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65DA2" w14:textId="77777777" w:rsidR="00AE2255" w:rsidRDefault="00AE2255">
      <w:pPr>
        <w:pStyle w:val="BodyText"/>
        <w:spacing w:before="3"/>
      </w:pPr>
    </w:p>
    <w:p w14:paraId="3A72E0ED" w14:textId="77777777" w:rsidR="00AE2255" w:rsidRDefault="00000000">
      <w:pPr>
        <w:pStyle w:val="BodyText"/>
        <w:spacing w:line="40" w:lineRule="exact"/>
        <w:ind w:left="87"/>
        <w:rPr>
          <w:sz w:val="4"/>
        </w:rPr>
      </w:pPr>
      <w:r>
        <w:rPr>
          <w:sz w:val="4"/>
        </w:rPr>
      </w:r>
      <w:r>
        <w:rPr>
          <w:sz w:val="4"/>
        </w:rPr>
        <w:pict w14:anchorId="51FAB709">
          <v:group id="docshapegroup2" o:spid="_x0000_s2251" style="width:554.25pt;height:2pt;mso-position-horizontal-relative:char;mso-position-vertical-relative:line" coordsize="11085,40">
            <v:shape id="docshape3" o:spid="_x0000_s2253" style="position:absolute;top:20;width:11085;height:2" coordorigin=",20" coordsize="11085,0" path="m11085,20l,20e" fillcolor="black" stroked="f">
              <v:fill opacity="0"/>
              <v:path arrowok="t"/>
            </v:shape>
            <v:line id="_x0000_s2252" style="position:absolute" from="0,20" to="11085,20" strokeweight="2pt"/>
            <w10:anchorlock/>
          </v:group>
        </w:pict>
      </w:r>
    </w:p>
    <w:p w14:paraId="642BAC1A" w14:textId="77777777" w:rsidR="00AE2255" w:rsidRDefault="00000000">
      <w:pPr>
        <w:spacing w:before="23"/>
        <w:ind w:left="41" w:right="40"/>
        <w:jc w:val="center"/>
        <w:rPr>
          <w:b/>
        </w:rPr>
      </w:pPr>
      <w:bookmarkStart w:id="0" w:name="Cover"/>
      <w:bookmarkEnd w:id="0"/>
      <w:r>
        <w:rPr>
          <w:b/>
        </w:rPr>
        <w:t>UNITED</w:t>
      </w:r>
      <w:r>
        <w:rPr>
          <w:b/>
          <w:spacing w:val="-4"/>
        </w:rPr>
        <w:t xml:space="preserve"> </w:t>
      </w:r>
      <w:r>
        <w:rPr>
          <w:b/>
          <w:spacing w:val="-2"/>
        </w:rPr>
        <w:t>STATES</w:t>
      </w:r>
    </w:p>
    <w:p w14:paraId="7A7650A3" w14:textId="77777777" w:rsidR="00AE2255" w:rsidRDefault="00000000">
      <w:pPr>
        <w:spacing w:before="11"/>
        <w:ind w:left="41" w:right="39"/>
        <w:jc w:val="center"/>
        <w:rPr>
          <w:b/>
        </w:rPr>
      </w:pPr>
      <w:r>
        <w:rPr>
          <w:b/>
        </w:rPr>
        <w:t>SECURITIES</w:t>
      </w:r>
      <w:r>
        <w:rPr>
          <w:b/>
          <w:spacing w:val="-5"/>
        </w:rPr>
        <w:t xml:space="preserve"> </w:t>
      </w:r>
      <w:r>
        <w:rPr>
          <w:b/>
        </w:rPr>
        <w:t>AND</w:t>
      </w:r>
      <w:r>
        <w:rPr>
          <w:b/>
          <w:spacing w:val="-5"/>
        </w:rPr>
        <w:t xml:space="preserve"> </w:t>
      </w:r>
      <w:r>
        <w:rPr>
          <w:b/>
        </w:rPr>
        <w:t>EXCHANGE</w:t>
      </w:r>
      <w:r>
        <w:rPr>
          <w:b/>
          <w:spacing w:val="-4"/>
        </w:rPr>
        <w:t xml:space="preserve"> </w:t>
      </w:r>
      <w:r>
        <w:rPr>
          <w:b/>
          <w:spacing w:val="-2"/>
        </w:rPr>
        <w:t>COMMISSION</w:t>
      </w:r>
    </w:p>
    <w:p w14:paraId="28006C56" w14:textId="77777777" w:rsidR="00AE2255" w:rsidRDefault="00000000">
      <w:pPr>
        <w:spacing w:before="11"/>
        <w:ind w:left="41" w:right="41"/>
        <w:jc w:val="center"/>
        <w:rPr>
          <w:b/>
        </w:rPr>
      </w:pPr>
      <w:r>
        <w:pict w14:anchorId="1A4CB288">
          <v:group id="docshapegroup4" o:spid="_x0000_s2248" style="position:absolute;left:0;text-align:left;margin-left:250.1pt;margin-top:16.35pt;width:102.75pt;height:.5pt;z-index:-15728128;mso-wrap-distance-left:0;mso-wrap-distance-right:0;mso-position-horizontal-relative:page" coordorigin="5002,327" coordsize="2055,10">
            <v:shape id="docshape5" o:spid="_x0000_s2250" style="position:absolute;left:5002;top:331;width:2055;height:2" coordorigin="5002,332" coordsize="2055,0" path="m7057,332r-2055,e" fillcolor="black" stroked="f">
              <v:fill opacity="0"/>
              <v:path arrowok="t"/>
            </v:shape>
            <v:line id="_x0000_s2249" style="position:absolute" from="5002,332" to="7057,332" strokeweight=".5pt"/>
            <w10:wrap type="topAndBottom" anchorx="page"/>
          </v:group>
        </w:pict>
      </w:r>
      <w:r>
        <w:rPr>
          <w:b/>
        </w:rPr>
        <w:t>Washington,</w:t>
      </w:r>
      <w:r>
        <w:rPr>
          <w:b/>
          <w:spacing w:val="-3"/>
        </w:rPr>
        <w:t xml:space="preserve"> </w:t>
      </w:r>
      <w:r>
        <w:rPr>
          <w:b/>
        </w:rPr>
        <w:t>D.C.</w:t>
      </w:r>
      <w:r>
        <w:rPr>
          <w:b/>
          <w:spacing w:val="-3"/>
        </w:rPr>
        <w:t xml:space="preserve"> </w:t>
      </w:r>
      <w:r>
        <w:rPr>
          <w:b/>
          <w:spacing w:val="-2"/>
        </w:rPr>
        <w:t>20549</w:t>
      </w:r>
    </w:p>
    <w:p w14:paraId="3348E11B" w14:textId="77777777" w:rsidR="00AE2255" w:rsidRDefault="00000000">
      <w:pPr>
        <w:spacing w:before="112"/>
        <w:ind w:left="41" w:right="98"/>
        <w:jc w:val="center"/>
        <w:rPr>
          <w:b/>
          <w:sz w:val="24"/>
        </w:rPr>
      </w:pPr>
      <w:r>
        <w:rPr>
          <w:b/>
          <w:sz w:val="24"/>
        </w:rPr>
        <w:t>FORM</w:t>
      </w:r>
      <w:r>
        <w:rPr>
          <w:b/>
          <w:spacing w:val="-2"/>
          <w:sz w:val="24"/>
        </w:rPr>
        <w:t xml:space="preserve"> </w:t>
      </w:r>
      <w:r>
        <w:rPr>
          <w:b/>
          <w:sz w:val="24"/>
        </w:rPr>
        <w:t>10-</w:t>
      </w:r>
      <w:r>
        <w:rPr>
          <w:b/>
          <w:spacing w:val="-10"/>
          <w:sz w:val="24"/>
        </w:rPr>
        <w:t>K</w:t>
      </w:r>
    </w:p>
    <w:p w14:paraId="0DF095B0" w14:textId="77777777" w:rsidR="00AE2255" w:rsidRDefault="00000000">
      <w:pPr>
        <w:pStyle w:val="BodyText"/>
        <w:spacing w:before="6"/>
        <w:rPr>
          <w:b/>
          <w:sz w:val="3"/>
        </w:rPr>
      </w:pPr>
      <w:r>
        <w:pict w14:anchorId="0B69D238">
          <v:group id="docshapegroup6" o:spid="_x0000_s2245" style="position:absolute;margin-left:250.1pt;margin-top:3.25pt;width:102.75pt;height:.5pt;z-index:-15727616;mso-wrap-distance-left:0;mso-wrap-distance-right:0;mso-position-horizontal-relative:page" coordorigin="5002,65" coordsize="2055,10">
            <v:shape id="docshape7" o:spid="_x0000_s2247" style="position:absolute;left:5002;top:70;width:2055;height:2" coordorigin="5002,70" coordsize="2055,0" path="m7057,70r-2055,e" fillcolor="black" stroked="f">
              <v:fill opacity="0"/>
              <v:path arrowok="t"/>
            </v:shape>
            <v:line id="_x0000_s2246" style="position:absolute" from="5002,70" to="7057,70" strokeweight=".5pt"/>
            <w10:wrap type="topAndBottom" anchorx="page"/>
          </v:group>
        </w:pict>
      </w:r>
    </w:p>
    <w:p w14:paraId="61AB4259" w14:textId="77777777" w:rsidR="00AE2255" w:rsidRDefault="00AE2255">
      <w:pPr>
        <w:pStyle w:val="BodyText"/>
        <w:rPr>
          <w:b/>
        </w:rPr>
      </w:pPr>
    </w:p>
    <w:p w14:paraId="021D4021" w14:textId="77777777" w:rsidR="00AE2255" w:rsidRDefault="00000000">
      <w:pPr>
        <w:spacing w:before="93"/>
        <w:ind w:left="160"/>
        <w:rPr>
          <w:sz w:val="16"/>
        </w:rPr>
      </w:pPr>
      <w:r>
        <w:rPr>
          <w:sz w:val="16"/>
        </w:rPr>
        <w:t>(Mark</w:t>
      </w:r>
      <w:r>
        <w:rPr>
          <w:spacing w:val="-1"/>
          <w:sz w:val="16"/>
        </w:rPr>
        <w:t xml:space="preserve"> </w:t>
      </w:r>
      <w:r>
        <w:rPr>
          <w:spacing w:val="-4"/>
          <w:sz w:val="16"/>
        </w:rPr>
        <w:t>One)</w:t>
      </w:r>
    </w:p>
    <w:p w14:paraId="3731E5C4" w14:textId="77777777" w:rsidR="00AE2255" w:rsidRDefault="00000000">
      <w:pPr>
        <w:spacing w:before="47"/>
        <w:ind w:left="228"/>
        <w:rPr>
          <w:sz w:val="16"/>
        </w:rPr>
      </w:pPr>
      <w:r>
        <w:rPr>
          <w:rFonts w:ascii="Arial Unicode MS" w:hAnsi="Arial Unicode MS"/>
          <w:b/>
          <w:sz w:val="16"/>
        </w:rPr>
        <w:t>☒</w:t>
      </w:r>
      <w:r>
        <w:rPr>
          <w:rFonts w:ascii="Arial Unicode MS" w:hAnsi="Arial Unicode MS"/>
          <w:b/>
          <w:spacing w:val="69"/>
          <w:sz w:val="16"/>
        </w:rPr>
        <w:t xml:space="preserve"> </w:t>
      </w:r>
      <w:r>
        <w:rPr>
          <w:sz w:val="16"/>
        </w:rPr>
        <w:t>ANNUAL</w:t>
      </w:r>
      <w:r>
        <w:rPr>
          <w:spacing w:val="-3"/>
          <w:sz w:val="16"/>
        </w:rPr>
        <w:t xml:space="preserve"> </w:t>
      </w:r>
      <w:r>
        <w:rPr>
          <w:sz w:val="16"/>
        </w:rPr>
        <w:t>REPORT</w:t>
      </w:r>
      <w:r>
        <w:rPr>
          <w:spacing w:val="-4"/>
          <w:sz w:val="16"/>
        </w:rPr>
        <w:t xml:space="preserve"> </w:t>
      </w:r>
      <w:r>
        <w:rPr>
          <w:sz w:val="16"/>
        </w:rPr>
        <w:t>PURSUANT</w:t>
      </w:r>
      <w:r>
        <w:rPr>
          <w:spacing w:val="-3"/>
          <w:sz w:val="16"/>
        </w:rPr>
        <w:t xml:space="preserve"> </w:t>
      </w:r>
      <w:r>
        <w:rPr>
          <w:sz w:val="16"/>
        </w:rPr>
        <w:t>TO</w:t>
      </w:r>
      <w:r>
        <w:rPr>
          <w:spacing w:val="-3"/>
          <w:sz w:val="16"/>
        </w:rPr>
        <w:t xml:space="preserve"> </w:t>
      </w:r>
      <w:r>
        <w:rPr>
          <w:sz w:val="16"/>
        </w:rPr>
        <w:t>SECTION</w:t>
      </w:r>
      <w:r>
        <w:rPr>
          <w:spacing w:val="-3"/>
          <w:sz w:val="16"/>
        </w:rPr>
        <w:t xml:space="preserve"> </w:t>
      </w:r>
      <w:r>
        <w:rPr>
          <w:sz w:val="16"/>
        </w:rPr>
        <w:t>13</w:t>
      </w:r>
      <w:r>
        <w:rPr>
          <w:spacing w:val="-2"/>
          <w:sz w:val="16"/>
        </w:rPr>
        <w:t xml:space="preserve"> </w:t>
      </w:r>
      <w:r>
        <w:rPr>
          <w:sz w:val="16"/>
        </w:rPr>
        <w:t>OR</w:t>
      </w:r>
      <w:r>
        <w:rPr>
          <w:spacing w:val="-2"/>
          <w:sz w:val="16"/>
        </w:rPr>
        <w:t xml:space="preserve"> </w:t>
      </w:r>
      <w:r>
        <w:rPr>
          <w:sz w:val="16"/>
        </w:rPr>
        <w:t>15(d)</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SECURITIES</w:t>
      </w:r>
      <w:r>
        <w:rPr>
          <w:spacing w:val="-3"/>
          <w:sz w:val="16"/>
        </w:rPr>
        <w:t xml:space="preserve"> </w:t>
      </w:r>
      <w:r>
        <w:rPr>
          <w:sz w:val="16"/>
        </w:rPr>
        <w:t>EXCHANGE</w:t>
      </w:r>
      <w:r>
        <w:rPr>
          <w:spacing w:val="-3"/>
          <w:sz w:val="16"/>
        </w:rPr>
        <w:t xml:space="preserve"> </w:t>
      </w:r>
      <w:r>
        <w:rPr>
          <w:sz w:val="16"/>
        </w:rPr>
        <w:t>ACT</w:t>
      </w:r>
      <w:r>
        <w:rPr>
          <w:spacing w:val="-3"/>
          <w:sz w:val="16"/>
        </w:rPr>
        <w:t xml:space="preserve"> </w:t>
      </w:r>
      <w:r>
        <w:rPr>
          <w:sz w:val="16"/>
        </w:rPr>
        <w:t>OF</w:t>
      </w:r>
      <w:r>
        <w:rPr>
          <w:spacing w:val="-4"/>
          <w:sz w:val="16"/>
        </w:rPr>
        <w:t xml:space="preserve"> 1934</w:t>
      </w:r>
    </w:p>
    <w:p w14:paraId="10485764" w14:textId="77777777" w:rsidR="00AE2255" w:rsidRDefault="00000000">
      <w:pPr>
        <w:pStyle w:val="Heading2"/>
        <w:spacing w:before="25"/>
        <w:ind w:left="41" w:right="41"/>
        <w:jc w:val="center"/>
      </w:pPr>
      <w:r>
        <w:t>For</w:t>
      </w:r>
      <w:r>
        <w:rPr>
          <w:spacing w:val="-4"/>
        </w:rPr>
        <w:t xml:space="preserve"> </w:t>
      </w:r>
      <w:r>
        <w:t>the</w:t>
      </w:r>
      <w:r>
        <w:rPr>
          <w:spacing w:val="-3"/>
        </w:rPr>
        <w:t xml:space="preserve"> </w:t>
      </w:r>
      <w:r>
        <w:t>fiscal</w:t>
      </w:r>
      <w:r>
        <w:rPr>
          <w:spacing w:val="-3"/>
        </w:rPr>
        <w:t xml:space="preserve"> </w:t>
      </w:r>
      <w:r>
        <w:t>year</w:t>
      </w:r>
      <w:r>
        <w:rPr>
          <w:spacing w:val="-4"/>
        </w:rPr>
        <w:t xml:space="preserve"> </w:t>
      </w:r>
      <w:r>
        <w:t>ended</w:t>
      </w:r>
      <w:r>
        <w:rPr>
          <w:spacing w:val="-3"/>
        </w:rPr>
        <w:t xml:space="preserve"> </w:t>
      </w:r>
      <w:r>
        <w:t>December</w:t>
      </w:r>
      <w:r>
        <w:rPr>
          <w:spacing w:val="-3"/>
        </w:rPr>
        <w:t xml:space="preserve"> </w:t>
      </w:r>
      <w:r>
        <w:t>31,</w:t>
      </w:r>
      <w:r>
        <w:rPr>
          <w:spacing w:val="-2"/>
        </w:rPr>
        <w:t xml:space="preserve"> </w:t>
      </w:r>
      <w:r>
        <w:rPr>
          <w:spacing w:val="-4"/>
        </w:rPr>
        <w:t>2022</w:t>
      </w:r>
    </w:p>
    <w:p w14:paraId="424D50E0" w14:textId="77777777" w:rsidR="00AE2255" w:rsidRDefault="00000000">
      <w:pPr>
        <w:pStyle w:val="BodyText"/>
        <w:spacing w:before="13"/>
        <w:ind w:left="41" w:right="772"/>
        <w:jc w:val="center"/>
      </w:pPr>
      <w:r>
        <w:rPr>
          <w:spacing w:val="-5"/>
        </w:rPr>
        <w:t>or</w:t>
      </w:r>
    </w:p>
    <w:p w14:paraId="2B246809" w14:textId="77777777" w:rsidR="00AE2255" w:rsidRDefault="00000000">
      <w:pPr>
        <w:pStyle w:val="ListParagraph"/>
        <w:numPr>
          <w:ilvl w:val="0"/>
          <w:numId w:val="15"/>
        </w:numPr>
        <w:tabs>
          <w:tab w:val="left" w:pos="468"/>
        </w:tabs>
        <w:spacing w:before="58"/>
        <w:ind w:hanging="240"/>
        <w:rPr>
          <w:sz w:val="16"/>
        </w:rPr>
      </w:pPr>
      <w:r>
        <w:rPr>
          <w:sz w:val="16"/>
        </w:rPr>
        <w:t>TRANSITION</w:t>
      </w:r>
      <w:r>
        <w:rPr>
          <w:spacing w:val="-6"/>
          <w:sz w:val="16"/>
        </w:rPr>
        <w:t xml:space="preserve"> </w:t>
      </w:r>
      <w:r>
        <w:rPr>
          <w:sz w:val="16"/>
        </w:rPr>
        <w:t>REPORT</w:t>
      </w:r>
      <w:r>
        <w:rPr>
          <w:spacing w:val="-4"/>
          <w:sz w:val="16"/>
        </w:rPr>
        <w:t xml:space="preserve"> </w:t>
      </w:r>
      <w:r>
        <w:rPr>
          <w:sz w:val="16"/>
        </w:rPr>
        <w:t>PURSUANT</w:t>
      </w:r>
      <w:r>
        <w:rPr>
          <w:spacing w:val="-3"/>
          <w:sz w:val="16"/>
        </w:rPr>
        <w:t xml:space="preserve"> </w:t>
      </w:r>
      <w:r>
        <w:rPr>
          <w:sz w:val="16"/>
        </w:rPr>
        <w:t>TO</w:t>
      </w:r>
      <w:r>
        <w:rPr>
          <w:spacing w:val="-4"/>
          <w:sz w:val="16"/>
        </w:rPr>
        <w:t xml:space="preserve"> </w:t>
      </w:r>
      <w:r>
        <w:rPr>
          <w:sz w:val="16"/>
        </w:rPr>
        <w:t>SECTION</w:t>
      </w:r>
      <w:r>
        <w:rPr>
          <w:spacing w:val="-4"/>
          <w:sz w:val="16"/>
        </w:rPr>
        <w:t xml:space="preserve"> </w:t>
      </w:r>
      <w:r>
        <w:rPr>
          <w:sz w:val="16"/>
        </w:rPr>
        <w:t>13</w:t>
      </w:r>
      <w:r>
        <w:rPr>
          <w:spacing w:val="-2"/>
          <w:sz w:val="16"/>
        </w:rPr>
        <w:t xml:space="preserve"> </w:t>
      </w:r>
      <w:r>
        <w:rPr>
          <w:sz w:val="16"/>
        </w:rPr>
        <w:t>OR</w:t>
      </w:r>
      <w:r>
        <w:rPr>
          <w:spacing w:val="-3"/>
          <w:sz w:val="16"/>
        </w:rPr>
        <w:t xml:space="preserve"> </w:t>
      </w:r>
      <w:r>
        <w:rPr>
          <w:sz w:val="16"/>
        </w:rPr>
        <w:t>15(d)</w:t>
      </w:r>
      <w:r>
        <w:rPr>
          <w:spacing w:val="-3"/>
          <w:sz w:val="16"/>
        </w:rPr>
        <w:t xml:space="preserve"> </w:t>
      </w:r>
      <w:r>
        <w:rPr>
          <w:sz w:val="16"/>
        </w:rPr>
        <w:t>OF</w:t>
      </w:r>
      <w:r>
        <w:rPr>
          <w:spacing w:val="-3"/>
          <w:sz w:val="16"/>
        </w:rPr>
        <w:t xml:space="preserve"> </w:t>
      </w:r>
      <w:r>
        <w:rPr>
          <w:sz w:val="16"/>
        </w:rPr>
        <w:t>THE</w:t>
      </w:r>
      <w:r>
        <w:rPr>
          <w:spacing w:val="-4"/>
          <w:sz w:val="16"/>
        </w:rPr>
        <w:t xml:space="preserve"> </w:t>
      </w:r>
      <w:r>
        <w:rPr>
          <w:sz w:val="16"/>
        </w:rPr>
        <w:t>SECURITIES</w:t>
      </w:r>
      <w:r>
        <w:rPr>
          <w:spacing w:val="-4"/>
          <w:sz w:val="16"/>
        </w:rPr>
        <w:t xml:space="preserve"> </w:t>
      </w:r>
      <w:r>
        <w:rPr>
          <w:sz w:val="16"/>
        </w:rPr>
        <w:t>EXCHANGE</w:t>
      </w:r>
      <w:r>
        <w:rPr>
          <w:spacing w:val="-3"/>
          <w:sz w:val="16"/>
        </w:rPr>
        <w:t xml:space="preserve"> </w:t>
      </w:r>
      <w:r>
        <w:rPr>
          <w:sz w:val="16"/>
        </w:rPr>
        <w:t>ACT</w:t>
      </w:r>
      <w:r>
        <w:rPr>
          <w:spacing w:val="-4"/>
          <w:sz w:val="16"/>
        </w:rPr>
        <w:t xml:space="preserve"> </w:t>
      </w:r>
      <w:r>
        <w:rPr>
          <w:sz w:val="16"/>
        </w:rPr>
        <w:t>OF</w:t>
      </w:r>
      <w:r>
        <w:rPr>
          <w:spacing w:val="-3"/>
          <w:sz w:val="16"/>
        </w:rPr>
        <w:t xml:space="preserve"> </w:t>
      </w:r>
      <w:r>
        <w:rPr>
          <w:spacing w:val="-4"/>
          <w:sz w:val="16"/>
        </w:rPr>
        <w:t>1934</w:t>
      </w:r>
    </w:p>
    <w:p w14:paraId="2EB7DFC3" w14:textId="77777777" w:rsidR="00AE2255" w:rsidRDefault="00000000">
      <w:pPr>
        <w:tabs>
          <w:tab w:val="left" w:pos="2806"/>
          <w:tab w:val="left" w:pos="3576"/>
        </w:tabs>
        <w:spacing w:before="34"/>
        <w:ind w:left="41"/>
        <w:jc w:val="center"/>
        <w:rPr>
          <w:sz w:val="18"/>
        </w:rPr>
      </w:pPr>
      <w:r>
        <w:rPr>
          <w:sz w:val="18"/>
        </w:rPr>
        <w:t xml:space="preserve">For the transition period from </w:t>
      </w:r>
      <w:r>
        <w:rPr>
          <w:sz w:val="18"/>
          <w:u w:val="single"/>
        </w:rPr>
        <w:tab/>
      </w:r>
      <w:r>
        <w:rPr>
          <w:sz w:val="18"/>
        </w:rPr>
        <w:t xml:space="preserve">to </w:t>
      </w:r>
      <w:r>
        <w:rPr>
          <w:sz w:val="18"/>
          <w:u w:val="single"/>
        </w:rPr>
        <w:tab/>
      </w:r>
    </w:p>
    <w:p w14:paraId="5F10020C" w14:textId="77777777" w:rsidR="00AE2255" w:rsidRDefault="00000000">
      <w:pPr>
        <w:spacing w:before="9"/>
        <w:ind w:left="41" w:right="41"/>
        <w:jc w:val="center"/>
        <w:rPr>
          <w:sz w:val="18"/>
        </w:rPr>
      </w:pPr>
      <w:r>
        <w:pict w14:anchorId="75B25468">
          <v:group id="docshapegroup8" o:spid="_x0000_s2242" style="position:absolute;left:0;text-align:left;margin-left:250.1pt;margin-top:13.15pt;width:102.75pt;height:.5pt;z-index:-15727104;mso-wrap-distance-left:0;mso-wrap-distance-right:0;mso-position-horizontal-relative:page" coordorigin="5002,263" coordsize="2055,10">
            <v:shape id="docshape9" o:spid="_x0000_s2244" style="position:absolute;left:5002;top:268;width:2055;height:2" coordorigin="5002,268" coordsize="2055,0" path="m7057,268r-2055,e" fillcolor="black" stroked="f">
              <v:fill opacity="0"/>
              <v:path arrowok="t"/>
            </v:shape>
            <v:line id="_x0000_s2243" style="position:absolute" from="5002,268" to="7057,268" strokeweight=".5pt"/>
            <w10:wrap type="topAndBottom" anchorx="page"/>
          </v:group>
        </w:pict>
      </w:r>
      <w:r>
        <w:rPr>
          <w:sz w:val="18"/>
        </w:rPr>
        <w:t>Commission</w:t>
      </w:r>
      <w:r>
        <w:rPr>
          <w:spacing w:val="-1"/>
          <w:sz w:val="18"/>
        </w:rPr>
        <w:t xml:space="preserve"> </w:t>
      </w:r>
      <w:r>
        <w:rPr>
          <w:sz w:val="18"/>
        </w:rPr>
        <w:t>file</w:t>
      </w:r>
      <w:r>
        <w:rPr>
          <w:spacing w:val="-1"/>
          <w:sz w:val="18"/>
        </w:rPr>
        <w:t xml:space="preserve"> </w:t>
      </w:r>
      <w:r>
        <w:rPr>
          <w:sz w:val="18"/>
        </w:rPr>
        <w:t>number</w:t>
      </w:r>
      <w:r>
        <w:rPr>
          <w:spacing w:val="-1"/>
          <w:sz w:val="18"/>
        </w:rPr>
        <w:t xml:space="preserve"> </w:t>
      </w:r>
      <w:r>
        <w:rPr>
          <w:sz w:val="18"/>
        </w:rPr>
        <w:t>1-</w:t>
      </w:r>
      <w:r>
        <w:rPr>
          <w:spacing w:val="-2"/>
          <w:sz w:val="18"/>
        </w:rPr>
        <w:t>11437</w:t>
      </w:r>
    </w:p>
    <w:p w14:paraId="042B67C5" w14:textId="77777777" w:rsidR="00AE2255" w:rsidRDefault="00AE2255">
      <w:pPr>
        <w:pStyle w:val="BodyText"/>
        <w:spacing w:before="10"/>
        <w:rPr>
          <w:sz w:val="24"/>
        </w:rPr>
      </w:pPr>
    </w:p>
    <w:p w14:paraId="1038A924" w14:textId="77777777" w:rsidR="00AE2255" w:rsidRDefault="00000000">
      <w:pPr>
        <w:spacing w:before="91"/>
        <w:ind w:left="41" w:right="39"/>
        <w:jc w:val="center"/>
        <w:rPr>
          <w:b/>
        </w:rPr>
      </w:pPr>
      <w:r>
        <w:rPr>
          <w:b/>
        </w:rPr>
        <w:t>LOCKHEED</w:t>
      </w:r>
      <w:r>
        <w:rPr>
          <w:b/>
          <w:spacing w:val="-3"/>
        </w:rPr>
        <w:t xml:space="preserve"> </w:t>
      </w:r>
      <w:r>
        <w:rPr>
          <w:b/>
        </w:rPr>
        <w:t>MARTIN</w:t>
      </w:r>
      <w:r>
        <w:rPr>
          <w:b/>
          <w:spacing w:val="-3"/>
        </w:rPr>
        <w:t xml:space="preserve"> </w:t>
      </w:r>
      <w:r>
        <w:rPr>
          <w:b/>
          <w:spacing w:val="-2"/>
        </w:rPr>
        <w:t>CORPORATION</w:t>
      </w:r>
    </w:p>
    <w:p w14:paraId="68BD82DF" w14:textId="77777777" w:rsidR="00AE2255" w:rsidRDefault="00000000">
      <w:pPr>
        <w:spacing w:before="29"/>
        <w:ind w:left="41" w:right="39"/>
        <w:jc w:val="center"/>
        <w:rPr>
          <w:sz w:val="16"/>
        </w:rPr>
      </w:pPr>
      <w:r>
        <w:rPr>
          <w:sz w:val="16"/>
        </w:rPr>
        <w:t>(Exact</w:t>
      </w:r>
      <w:r>
        <w:rPr>
          <w:spacing w:val="-1"/>
          <w:sz w:val="16"/>
        </w:rPr>
        <w:t xml:space="preserve"> </w:t>
      </w:r>
      <w:r>
        <w:rPr>
          <w:sz w:val="16"/>
        </w:rPr>
        <w:t>name of</w:t>
      </w:r>
      <w:r>
        <w:rPr>
          <w:spacing w:val="-1"/>
          <w:sz w:val="16"/>
        </w:rPr>
        <w:t xml:space="preserve"> </w:t>
      </w:r>
      <w:r>
        <w:rPr>
          <w:sz w:val="16"/>
        </w:rPr>
        <w:t>registrant as</w:t>
      </w:r>
      <w:r>
        <w:rPr>
          <w:spacing w:val="-1"/>
          <w:sz w:val="16"/>
        </w:rPr>
        <w:t xml:space="preserve"> </w:t>
      </w:r>
      <w:r>
        <w:rPr>
          <w:sz w:val="16"/>
        </w:rPr>
        <w:t>specified</w:t>
      </w:r>
      <w:r>
        <w:rPr>
          <w:spacing w:val="-1"/>
          <w:sz w:val="16"/>
        </w:rPr>
        <w:t xml:space="preserve"> </w:t>
      </w:r>
      <w:r>
        <w:rPr>
          <w:sz w:val="16"/>
        </w:rPr>
        <w:t>in its</w:t>
      </w:r>
      <w:r>
        <w:rPr>
          <w:spacing w:val="-1"/>
          <w:sz w:val="16"/>
        </w:rPr>
        <w:t xml:space="preserve"> </w:t>
      </w:r>
      <w:r>
        <w:rPr>
          <w:spacing w:val="-2"/>
          <w:sz w:val="16"/>
        </w:rPr>
        <w:t>charter)</w:t>
      </w:r>
    </w:p>
    <w:p w14:paraId="49529913" w14:textId="77777777" w:rsidR="00AE2255" w:rsidRDefault="00000000">
      <w:pPr>
        <w:tabs>
          <w:tab w:val="left" w:pos="7349"/>
        </w:tabs>
        <w:spacing w:before="81"/>
        <w:ind w:left="517"/>
        <w:jc w:val="center"/>
        <w:rPr>
          <w:b/>
          <w:sz w:val="16"/>
        </w:rPr>
      </w:pPr>
      <w:r>
        <w:rPr>
          <w:b/>
          <w:spacing w:val="-2"/>
          <w:sz w:val="16"/>
        </w:rPr>
        <w:t>Maryland</w:t>
      </w:r>
      <w:r>
        <w:rPr>
          <w:sz w:val="16"/>
        </w:rPr>
        <w:tab/>
      </w:r>
      <w:r>
        <w:rPr>
          <w:b/>
          <w:sz w:val="16"/>
        </w:rPr>
        <w:t>52-</w:t>
      </w:r>
      <w:r>
        <w:rPr>
          <w:b/>
          <w:spacing w:val="-2"/>
          <w:sz w:val="16"/>
        </w:rPr>
        <w:t>1893632</w:t>
      </w:r>
    </w:p>
    <w:p w14:paraId="00C7559B" w14:textId="77777777" w:rsidR="00AE2255" w:rsidRDefault="00AE2255">
      <w:pPr>
        <w:jc w:val="center"/>
        <w:rPr>
          <w:sz w:val="16"/>
        </w:rPr>
        <w:sectPr w:rsidR="00AE2255">
          <w:headerReference w:type="default" r:id="rId7"/>
          <w:type w:val="continuous"/>
          <w:pgSz w:w="12240" w:h="15840"/>
          <w:pgMar w:top="440" w:right="560" w:bottom="280" w:left="380" w:header="230" w:footer="0" w:gutter="0"/>
          <w:pgNumType w:start="1"/>
          <w:cols w:space="720"/>
        </w:sectPr>
      </w:pPr>
    </w:p>
    <w:p w14:paraId="7A2BDDC4" w14:textId="77777777" w:rsidR="00AE2255" w:rsidRDefault="00000000">
      <w:pPr>
        <w:spacing w:before="102" w:line="208" w:lineRule="auto"/>
        <w:ind w:left="1483" w:firstLine="35"/>
        <w:rPr>
          <w:sz w:val="16"/>
        </w:rPr>
      </w:pPr>
      <w:r>
        <w:rPr>
          <w:sz w:val="16"/>
        </w:rPr>
        <w:t>(State</w:t>
      </w:r>
      <w:r>
        <w:rPr>
          <w:spacing w:val="-1"/>
          <w:sz w:val="16"/>
        </w:rPr>
        <w:t xml:space="preserve"> </w:t>
      </w:r>
      <w:r>
        <w:rPr>
          <w:sz w:val="16"/>
        </w:rPr>
        <w:t>or</w:t>
      </w:r>
      <w:r>
        <w:rPr>
          <w:spacing w:val="-1"/>
          <w:sz w:val="16"/>
        </w:rPr>
        <w:t xml:space="preserve"> </w:t>
      </w:r>
      <w:r>
        <w:rPr>
          <w:sz w:val="16"/>
        </w:rPr>
        <w:t>other</w:t>
      </w:r>
      <w:r>
        <w:rPr>
          <w:spacing w:val="-1"/>
          <w:sz w:val="16"/>
        </w:rPr>
        <w:t xml:space="preserve"> </w:t>
      </w:r>
      <w:r>
        <w:rPr>
          <w:sz w:val="16"/>
        </w:rPr>
        <w:t>jurisdiction</w:t>
      </w:r>
      <w:r>
        <w:rPr>
          <w:spacing w:val="-1"/>
          <w:sz w:val="16"/>
        </w:rPr>
        <w:t xml:space="preserve"> </w:t>
      </w:r>
      <w:r>
        <w:rPr>
          <w:sz w:val="16"/>
        </w:rPr>
        <w:t>of</w:t>
      </w:r>
      <w:r>
        <w:rPr>
          <w:spacing w:val="40"/>
          <w:sz w:val="16"/>
        </w:rPr>
        <w:t xml:space="preserve"> </w:t>
      </w:r>
      <w:r>
        <w:rPr>
          <w:sz w:val="16"/>
        </w:rPr>
        <w:t xml:space="preserve">incorporation or </w:t>
      </w:r>
      <w:r>
        <w:rPr>
          <w:spacing w:val="-2"/>
          <w:sz w:val="16"/>
        </w:rPr>
        <w:t>organization)</w:t>
      </w:r>
    </w:p>
    <w:p w14:paraId="7FE7ACD3" w14:textId="77777777" w:rsidR="00AE2255" w:rsidRDefault="00000000">
      <w:pPr>
        <w:spacing w:before="73"/>
        <w:ind w:left="1483"/>
        <w:rPr>
          <w:sz w:val="16"/>
        </w:rPr>
      </w:pPr>
      <w:r>
        <w:br w:type="column"/>
      </w:r>
      <w:r>
        <w:rPr>
          <w:sz w:val="16"/>
        </w:rPr>
        <w:t>(I.R.S.</w:t>
      </w:r>
      <w:r>
        <w:rPr>
          <w:spacing w:val="-3"/>
          <w:sz w:val="16"/>
        </w:rPr>
        <w:t xml:space="preserve"> </w:t>
      </w:r>
      <w:r>
        <w:rPr>
          <w:sz w:val="16"/>
        </w:rPr>
        <w:t>Employer</w:t>
      </w:r>
      <w:r>
        <w:rPr>
          <w:spacing w:val="-1"/>
          <w:sz w:val="16"/>
        </w:rPr>
        <w:t xml:space="preserve"> </w:t>
      </w:r>
      <w:r>
        <w:rPr>
          <w:sz w:val="16"/>
        </w:rPr>
        <w:t xml:space="preserve">Identification </w:t>
      </w:r>
      <w:r>
        <w:rPr>
          <w:spacing w:val="-4"/>
          <w:sz w:val="16"/>
        </w:rPr>
        <w:t>No.)</w:t>
      </w:r>
    </w:p>
    <w:p w14:paraId="75DE135C" w14:textId="77777777" w:rsidR="00AE2255" w:rsidRDefault="00AE2255">
      <w:pPr>
        <w:rPr>
          <w:sz w:val="16"/>
        </w:rPr>
        <w:sectPr w:rsidR="00AE2255">
          <w:type w:val="continuous"/>
          <w:pgSz w:w="12240" w:h="15840"/>
          <w:pgMar w:top="440" w:right="560" w:bottom="280" w:left="380" w:header="230" w:footer="0" w:gutter="0"/>
          <w:cols w:num="2" w:space="720" w:equalWidth="0">
            <w:col w:w="3453" w:space="3227"/>
            <w:col w:w="4620"/>
          </w:cols>
        </w:sectPr>
      </w:pPr>
    </w:p>
    <w:p w14:paraId="6399A23C" w14:textId="77777777" w:rsidR="00AE2255" w:rsidRDefault="00000000">
      <w:pPr>
        <w:tabs>
          <w:tab w:val="left" w:pos="2746"/>
          <w:tab w:val="left" w:pos="3770"/>
          <w:tab w:val="left" w:pos="9124"/>
        </w:tabs>
        <w:spacing w:before="76"/>
        <w:ind w:left="646"/>
        <w:rPr>
          <w:b/>
          <w:sz w:val="16"/>
        </w:rPr>
      </w:pPr>
      <w:r>
        <w:rPr>
          <w:b/>
          <w:sz w:val="16"/>
        </w:rPr>
        <w:t>6801</w:t>
      </w:r>
      <w:r>
        <w:rPr>
          <w:b/>
          <w:spacing w:val="-2"/>
          <w:sz w:val="16"/>
        </w:rPr>
        <w:t xml:space="preserve"> </w:t>
      </w:r>
      <w:r>
        <w:rPr>
          <w:b/>
          <w:sz w:val="16"/>
        </w:rPr>
        <w:t>Rockledge</w:t>
      </w:r>
      <w:r>
        <w:rPr>
          <w:b/>
          <w:spacing w:val="-1"/>
          <w:sz w:val="16"/>
        </w:rPr>
        <w:t xml:space="preserve"> </w:t>
      </w:r>
      <w:r>
        <w:rPr>
          <w:b/>
          <w:spacing w:val="-2"/>
          <w:sz w:val="16"/>
        </w:rPr>
        <w:t>Drive,</w:t>
      </w:r>
      <w:r>
        <w:rPr>
          <w:b/>
          <w:sz w:val="16"/>
        </w:rPr>
        <w:tab/>
      </w:r>
      <w:r>
        <w:rPr>
          <w:b/>
          <w:spacing w:val="-2"/>
          <w:sz w:val="16"/>
        </w:rPr>
        <w:t>Bethesda,</w:t>
      </w:r>
      <w:r>
        <w:rPr>
          <w:b/>
          <w:sz w:val="16"/>
        </w:rPr>
        <w:tab/>
      </w:r>
      <w:r>
        <w:rPr>
          <w:b/>
          <w:spacing w:val="-2"/>
          <w:sz w:val="16"/>
        </w:rPr>
        <w:t>Maryland</w:t>
      </w:r>
      <w:r>
        <w:rPr>
          <w:sz w:val="16"/>
        </w:rPr>
        <w:tab/>
      </w:r>
      <w:r>
        <w:rPr>
          <w:b/>
          <w:spacing w:val="-2"/>
          <w:sz w:val="16"/>
        </w:rPr>
        <w:t>20817</w:t>
      </w:r>
    </w:p>
    <w:p w14:paraId="17F1D4B5" w14:textId="77777777" w:rsidR="00AE2255" w:rsidRDefault="00000000">
      <w:pPr>
        <w:tabs>
          <w:tab w:val="left" w:pos="8971"/>
        </w:tabs>
        <w:spacing w:before="66"/>
        <w:ind w:left="1177"/>
        <w:rPr>
          <w:sz w:val="16"/>
        </w:rPr>
      </w:pPr>
      <w:r>
        <w:rPr>
          <w:sz w:val="16"/>
        </w:rPr>
        <w:t>(Address</w:t>
      </w:r>
      <w:r>
        <w:rPr>
          <w:spacing w:val="-2"/>
          <w:sz w:val="16"/>
        </w:rPr>
        <w:t xml:space="preserve"> </w:t>
      </w:r>
      <w:r>
        <w:rPr>
          <w:sz w:val="16"/>
        </w:rPr>
        <w:t>of principal</w:t>
      </w:r>
      <w:r>
        <w:rPr>
          <w:spacing w:val="-1"/>
          <w:sz w:val="16"/>
        </w:rPr>
        <w:t xml:space="preserve"> </w:t>
      </w:r>
      <w:r>
        <w:rPr>
          <w:sz w:val="16"/>
        </w:rPr>
        <w:t xml:space="preserve">executive </w:t>
      </w:r>
      <w:r>
        <w:rPr>
          <w:spacing w:val="-2"/>
          <w:sz w:val="16"/>
        </w:rPr>
        <w:t>offices)</w:t>
      </w:r>
      <w:r>
        <w:rPr>
          <w:sz w:val="16"/>
        </w:rPr>
        <w:tab/>
        <w:t>(Zip</w:t>
      </w:r>
      <w:r>
        <w:rPr>
          <w:spacing w:val="-3"/>
          <w:sz w:val="16"/>
        </w:rPr>
        <w:t xml:space="preserve"> </w:t>
      </w:r>
      <w:r>
        <w:rPr>
          <w:spacing w:val="-2"/>
          <w:sz w:val="16"/>
        </w:rPr>
        <w:t>Code)</w:t>
      </w:r>
    </w:p>
    <w:p w14:paraId="3379CF5D" w14:textId="77777777" w:rsidR="00AE2255" w:rsidRDefault="00000000">
      <w:pPr>
        <w:spacing w:before="93"/>
        <w:ind w:left="5150"/>
        <w:rPr>
          <w:b/>
          <w:sz w:val="16"/>
        </w:rPr>
      </w:pPr>
      <w:r>
        <w:rPr>
          <w:b/>
          <w:sz w:val="16"/>
        </w:rPr>
        <w:t>(301)</w:t>
      </w:r>
      <w:r>
        <w:rPr>
          <w:b/>
          <w:spacing w:val="-2"/>
          <w:sz w:val="16"/>
        </w:rPr>
        <w:t xml:space="preserve"> </w:t>
      </w:r>
      <w:r>
        <w:rPr>
          <w:b/>
          <w:sz w:val="16"/>
        </w:rPr>
        <w:t>897-</w:t>
      </w:r>
      <w:r>
        <w:rPr>
          <w:b/>
          <w:spacing w:val="-4"/>
          <w:sz w:val="16"/>
        </w:rPr>
        <w:t>6000</w:t>
      </w:r>
    </w:p>
    <w:p w14:paraId="6314F1AF" w14:textId="77777777" w:rsidR="00AE2255" w:rsidRDefault="00000000">
      <w:pPr>
        <w:spacing w:before="11"/>
        <w:ind w:left="3949"/>
        <w:rPr>
          <w:sz w:val="16"/>
        </w:rPr>
      </w:pPr>
      <w:r>
        <w:pict w14:anchorId="555CFE1C">
          <v:group id="docshapegroup10" o:spid="_x0000_s2239" style="position:absolute;left:0;text-align:left;margin-left:250.1pt;margin-top:11.85pt;width:102.75pt;height:.5pt;z-index:-15726592;mso-wrap-distance-left:0;mso-wrap-distance-right:0;mso-position-horizontal-relative:page" coordorigin="5002,237" coordsize="2055,10">
            <v:shape id="docshape11" o:spid="_x0000_s2241" style="position:absolute;left:5002;top:241;width:2055;height:2" coordorigin="5002,242" coordsize="2055,0" path="m7057,242r-2055,e" fillcolor="black" stroked="f">
              <v:fill opacity="0"/>
              <v:path arrowok="t"/>
            </v:shape>
            <v:line id="_x0000_s2240" style="position:absolute" from="5002,242" to="7057,242" strokeweight=".5pt"/>
            <w10:wrap type="topAndBottom" anchorx="page"/>
          </v:group>
        </w:pict>
      </w:r>
      <w:r>
        <w:rPr>
          <w:sz w:val="16"/>
        </w:rPr>
        <w:t>(Registrant’s</w:t>
      </w:r>
      <w:r>
        <w:rPr>
          <w:spacing w:val="-2"/>
          <w:sz w:val="16"/>
        </w:rPr>
        <w:t xml:space="preserve"> </w:t>
      </w:r>
      <w:r>
        <w:rPr>
          <w:sz w:val="16"/>
        </w:rPr>
        <w:t xml:space="preserve">telephone number, including area </w:t>
      </w:r>
      <w:r>
        <w:rPr>
          <w:spacing w:val="-2"/>
          <w:sz w:val="16"/>
        </w:rPr>
        <w:t>code)</w:t>
      </w:r>
    </w:p>
    <w:p w14:paraId="3588AAAE" w14:textId="77777777" w:rsidR="00AE2255" w:rsidRDefault="00AE2255">
      <w:pPr>
        <w:pStyle w:val="BodyText"/>
        <w:spacing w:before="9"/>
        <w:rPr>
          <w:sz w:val="23"/>
        </w:rPr>
      </w:pPr>
    </w:p>
    <w:p w14:paraId="5708A276" w14:textId="77777777" w:rsidR="00AE2255" w:rsidRDefault="00000000">
      <w:pPr>
        <w:spacing w:before="93"/>
        <w:ind w:left="41" w:right="39"/>
        <w:jc w:val="center"/>
        <w:rPr>
          <w:sz w:val="18"/>
        </w:rPr>
      </w:pPr>
      <w:r>
        <w:rPr>
          <w:sz w:val="18"/>
        </w:rPr>
        <w:t>Securities</w:t>
      </w:r>
      <w:r>
        <w:rPr>
          <w:spacing w:val="-2"/>
          <w:sz w:val="18"/>
        </w:rPr>
        <w:t xml:space="preserve"> </w:t>
      </w:r>
      <w:r>
        <w:rPr>
          <w:sz w:val="18"/>
        </w:rPr>
        <w:t>registered pursuant</w:t>
      </w:r>
      <w:r>
        <w:rPr>
          <w:spacing w:val="-1"/>
          <w:sz w:val="18"/>
        </w:rPr>
        <w:t xml:space="preserve"> </w:t>
      </w:r>
      <w:r>
        <w:rPr>
          <w:sz w:val="18"/>
        </w:rPr>
        <w:t>to Section</w:t>
      </w:r>
      <w:r>
        <w:rPr>
          <w:spacing w:val="-1"/>
          <w:sz w:val="18"/>
        </w:rPr>
        <w:t xml:space="preserve"> </w:t>
      </w:r>
      <w:r>
        <w:rPr>
          <w:sz w:val="18"/>
        </w:rPr>
        <w:t>12(b) of</w:t>
      </w:r>
      <w:r>
        <w:rPr>
          <w:spacing w:val="-1"/>
          <w:sz w:val="18"/>
        </w:rPr>
        <w:t xml:space="preserve"> </w:t>
      </w:r>
      <w:r>
        <w:rPr>
          <w:sz w:val="18"/>
        </w:rPr>
        <w:t xml:space="preserve">the </w:t>
      </w:r>
      <w:r>
        <w:rPr>
          <w:spacing w:val="-4"/>
          <w:sz w:val="18"/>
        </w:rPr>
        <w:t>Act:</w:t>
      </w:r>
    </w:p>
    <w:p w14:paraId="014D6D20" w14:textId="77777777" w:rsidR="00AE2255" w:rsidRDefault="00AE2255">
      <w:pPr>
        <w:pStyle w:val="BodyText"/>
        <w:spacing w:before="4" w:after="1"/>
        <w:rPr>
          <w:sz w:val="9"/>
        </w:rPr>
      </w:pPr>
    </w:p>
    <w:tbl>
      <w:tblPr>
        <w:tblW w:w="0" w:type="auto"/>
        <w:tblInd w:w="918" w:type="dxa"/>
        <w:tblLayout w:type="fixed"/>
        <w:tblCellMar>
          <w:left w:w="0" w:type="dxa"/>
          <w:right w:w="0" w:type="dxa"/>
        </w:tblCellMar>
        <w:tblLook w:val="01E0" w:firstRow="1" w:lastRow="1" w:firstColumn="1" w:lastColumn="1" w:noHBand="0" w:noVBand="0"/>
      </w:tblPr>
      <w:tblGrid>
        <w:gridCol w:w="3154"/>
        <w:gridCol w:w="2902"/>
        <w:gridCol w:w="3967"/>
      </w:tblGrid>
      <w:tr w:rsidR="00AE2255" w14:paraId="1766E3E9" w14:textId="77777777">
        <w:trPr>
          <w:trHeight w:val="233"/>
        </w:trPr>
        <w:tc>
          <w:tcPr>
            <w:tcW w:w="3154" w:type="dxa"/>
          </w:tcPr>
          <w:p w14:paraId="12601974" w14:textId="77777777" w:rsidR="00AE2255" w:rsidRDefault="00000000">
            <w:pPr>
              <w:pStyle w:val="TableParagraph"/>
              <w:spacing w:before="0" w:line="199" w:lineRule="exact"/>
              <w:ind w:left="36" w:right="982"/>
              <w:jc w:val="center"/>
              <w:rPr>
                <w:sz w:val="18"/>
              </w:rPr>
            </w:pPr>
            <w:r>
              <w:rPr>
                <w:sz w:val="18"/>
                <w:u w:val="single"/>
              </w:rPr>
              <w:t xml:space="preserve">Title of each </w:t>
            </w:r>
            <w:r>
              <w:rPr>
                <w:spacing w:val="-2"/>
                <w:sz w:val="18"/>
                <w:u w:val="single"/>
              </w:rPr>
              <w:t>class</w:t>
            </w:r>
          </w:p>
        </w:tc>
        <w:tc>
          <w:tcPr>
            <w:tcW w:w="2902" w:type="dxa"/>
          </w:tcPr>
          <w:p w14:paraId="0BBD2CCB" w14:textId="77777777" w:rsidR="00AE2255" w:rsidRDefault="00000000">
            <w:pPr>
              <w:pStyle w:val="TableParagraph"/>
              <w:spacing w:before="0" w:line="199" w:lineRule="exact"/>
              <w:ind w:left="984" w:right="715"/>
              <w:jc w:val="center"/>
              <w:rPr>
                <w:sz w:val="18"/>
              </w:rPr>
            </w:pPr>
            <w:r>
              <w:rPr>
                <w:sz w:val="18"/>
                <w:u w:val="single"/>
              </w:rPr>
              <w:t xml:space="preserve">Trading </w:t>
            </w:r>
            <w:r>
              <w:rPr>
                <w:spacing w:val="-2"/>
                <w:sz w:val="18"/>
                <w:u w:val="single"/>
              </w:rPr>
              <w:t>Symbol</w:t>
            </w:r>
          </w:p>
        </w:tc>
        <w:tc>
          <w:tcPr>
            <w:tcW w:w="3967" w:type="dxa"/>
          </w:tcPr>
          <w:p w14:paraId="736C28D2" w14:textId="77777777" w:rsidR="00AE2255" w:rsidRDefault="00000000">
            <w:pPr>
              <w:pStyle w:val="TableParagraph"/>
              <w:spacing w:before="0" w:line="199" w:lineRule="exact"/>
              <w:ind w:left="718" w:right="41"/>
              <w:jc w:val="center"/>
              <w:rPr>
                <w:sz w:val="18"/>
              </w:rPr>
            </w:pPr>
            <w:r>
              <w:rPr>
                <w:sz w:val="18"/>
                <w:u w:val="single"/>
              </w:rPr>
              <w:t>Name</w:t>
            </w:r>
            <w:r>
              <w:rPr>
                <w:spacing w:val="-1"/>
                <w:sz w:val="18"/>
                <w:u w:val="single"/>
              </w:rPr>
              <w:t xml:space="preserve"> </w:t>
            </w:r>
            <w:r>
              <w:rPr>
                <w:sz w:val="18"/>
                <w:u w:val="single"/>
              </w:rPr>
              <w:t>of each exchange</w:t>
            </w:r>
            <w:r>
              <w:rPr>
                <w:spacing w:val="-1"/>
                <w:sz w:val="18"/>
                <w:u w:val="single"/>
              </w:rPr>
              <w:t xml:space="preserve"> </w:t>
            </w:r>
            <w:r>
              <w:rPr>
                <w:sz w:val="18"/>
                <w:u w:val="single"/>
              </w:rPr>
              <w:t xml:space="preserve">on which </w:t>
            </w:r>
            <w:r>
              <w:rPr>
                <w:spacing w:val="-2"/>
                <w:sz w:val="18"/>
                <w:u w:val="single"/>
              </w:rPr>
              <w:t>registered</w:t>
            </w:r>
          </w:p>
        </w:tc>
      </w:tr>
      <w:tr w:rsidR="00AE2255" w14:paraId="2C539C65" w14:textId="77777777">
        <w:trPr>
          <w:trHeight w:val="233"/>
        </w:trPr>
        <w:tc>
          <w:tcPr>
            <w:tcW w:w="3154" w:type="dxa"/>
          </w:tcPr>
          <w:p w14:paraId="614214D2" w14:textId="77777777" w:rsidR="00AE2255" w:rsidRDefault="00000000">
            <w:pPr>
              <w:pStyle w:val="TableParagraph"/>
              <w:spacing w:before="27" w:line="187" w:lineRule="exact"/>
              <w:ind w:left="36" w:right="983"/>
              <w:jc w:val="center"/>
              <w:rPr>
                <w:sz w:val="18"/>
              </w:rPr>
            </w:pPr>
            <w:r>
              <w:rPr>
                <w:sz w:val="18"/>
              </w:rPr>
              <w:t>Common</w:t>
            </w:r>
            <w:r>
              <w:rPr>
                <w:spacing w:val="-1"/>
                <w:sz w:val="18"/>
              </w:rPr>
              <w:t xml:space="preserve"> </w:t>
            </w:r>
            <w:r>
              <w:rPr>
                <w:sz w:val="18"/>
              </w:rPr>
              <w:t xml:space="preserve">Stock, $1 par </w:t>
            </w:r>
            <w:r>
              <w:rPr>
                <w:spacing w:val="-2"/>
                <w:sz w:val="18"/>
              </w:rPr>
              <w:t>value</w:t>
            </w:r>
          </w:p>
        </w:tc>
        <w:tc>
          <w:tcPr>
            <w:tcW w:w="2902" w:type="dxa"/>
          </w:tcPr>
          <w:p w14:paraId="3F259874" w14:textId="77777777" w:rsidR="00AE2255" w:rsidRDefault="00000000">
            <w:pPr>
              <w:pStyle w:val="TableParagraph"/>
              <w:spacing w:before="27" w:line="187" w:lineRule="exact"/>
              <w:ind w:left="984" w:right="715"/>
              <w:jc w:val="center"/>
              <w:rPr>
                <w:sz w:val="18"/>
              </w:rPr>
            </w:pPr>
            <w:r>
              <w:rPr>
                <w:spacing w:val="-5"/>
                <w:sz w:val="18"/>
              </w:rPr>
              <w:t>LMT</w:t>
            </w:r>
          </w:p>
        </w:tc>
        <w:tc>
          <w:tcPr>
            <w:tcW w:w="3967" w:type="dxa"/>
          </w:tcPr>
          <w:p w14:paraId="20565DA7" w14:textId="77777777" w:rsidR="00AE2255" w:rsidRDefault="00000000">
            <w:pPr>
              <w:pStyle w:val="TableParagraph"/>
              <w:spacing w:before="27" w:line="187" w:lineRule="exact"/>
              <w:ind w:left="717" w:right="41"/>
              <w:jc w:val="center"/>
              <w:rPr>
                <w:sz w:val="18"/>
              </w:rPr>
            </w:pPr>
            <w:r>
              <w:rPr>
                <w:sz w:val="18"/>
              </w:rPr>
              <w:t>New</w:t>
            </w:r>
            <w:r>
              <w:rPr>
                <w:spacing w:val="-4"/>
                <w:sz w:val="18"/>
              </w:rPr>
              <w:t xml:space="preserve"> </w:t>
            </w:r>
            <w:r>
              <w:rPr>
                <w:sz w:val="18"/>
              </w:rPr>
              <w:t>York</w:t>
            </w:r>
            <w:r>
              <w:rPr>
                <w:spacing w:val="-1"/>
                <w:sz w:val="18"/>
              </w:rPr>
              <w:t xml:space="preserve"> </w:t>
            </w:r>
            <w:r>
              <w:rPr>
                <w:sz w:val="18"/>
              </w:rPr>
              <w:t>Stock</w:t>
            </w:r>
            <w:r>
              <w:rPr>
                <w:spacing w:val="-1"/>
                <w:sz w:val="18"/>
              </w:rPr>
              <w:t xml:space="preserve"> </w:t>
            </w:r>
            <w:r>
              <w:rPr>
                <w:spacing w:val="-2"/>
                <w:sz w:val="18"/>
              </w:rPr>
              <w:t>Exchange</w:t>
            </w:r>
          </w:p>
        </w:tc>
      </w:tr>
    </w:tbl>
    <w:p w14:paraId="1EA3A888" w14:textId="77777777" w:rsidR="00AE2255" w:rsidRDefault="00AE2255">
      <w:pPr>
        <w:pStyle w:val="BodyText"/>
        <w:spacing w:before="6"/>
        <w:rPr>
          <w:sz w:val="19"/>
        </w:rPr>
      </w:pPr>
    </w:p>
    <w:p w14:paraId="07853B15" w14:textId="77777777" w:rsidR="00AE2255" w:rsidRDefault="00000000">
      <w:pPr>
        <w:ind w:left="41" w:right="38"/>
        <w:jc w:val="center"/>
        <w:rPr>
          <w:sz w:val="18"/>
        </w:rPr>
      </w:pPr>
      <w:r>
        <w:rPr>
          <w:sz w:val="18"/>
        </w:rPr>
        <w:t>Securities</w:t>
      </w:r>
      <w:r>
        <w:rPr>
          <w:spacing w:val="-2"/>
          <w:sz w:val="18"/>
        </w:rPr>
        <w:t xml:space="preserve"> </w:t>
      </w:r>
      <w:r>
        <w:rPr>
          <w:sz w:val="18"/>
        </w:rPr>
        <w:t>registered</w:t>
      </w:r>
      <w:r>
        <w:rPr>
          <w:spacing w:val="-1"/>
          <w:sz w:val="18"/>
        </w:rPr>
        <w:t xml:space="preserve"> </w:t>
      </w:r>
      <w:r>
        <w:rPr>
          <w:sz w:val="18"/>
        </w:rPr>
        <w:t>pursuant to</w:t>
      </w:r>
      <w:r>
        <w:rPr>
          <w:spacing w:val="-1"/>
          <w:sz w:val="18"/>
        </w:rPr>
        <w:t xml:space="preserve"> </w:t>
      </w:r>
      <w:r>
        <w:rPr>
          <w:sz w:val="18"/>
        </w:rPr>
        <w:t>Section 12(g)</w:t>
      </w:r>
      <w:r>
        <w:rPr>
          <w:spacing w:val="-1"/>
          <w:sz w:val="18"/>
        </w:rPr>
        <w:t xml:space="preserve"> </w:t>
      </w:r>
      <w:r>
        <w:rPr>
          <w:sz w:val="18"/>
        </w:rPr>
        <w:t>of the</w:t>
      </w:r>
      <w:r>
        <w:rPr>
          <w:spacing w:val="-1"/>
          <w:sz w:val="18"/>
        </w:rPr>
        <w:t xml:space="preserve"> </w:t>
      </w:r>
      <w:r>
        <w:rPr>
          <w:sz w:val="18"/>
        </w:rPr>
        <w:t xml:space="preserve">Act: </w:t>
      </w:r>
      <w:r>
        <w:rPr>
          <w:spacing w:val="-4"/>
          <w:sz w:val="18"/>
        </w:rPr>
        <w:t>None</w:t>
      </w:r>
    </w:p>
    <w:p w14:paraId="1D3847A8" w14:textId="77777777" w:rsidR="00AE2255" w:rsidRDefault="00000000">
      <w:pPr>
        <w:spacing w:before="92"/>
        <w:ind w:left="250"/>
        <w:jc w:val="both"/>
        <w:rPr>
          <w:rFonts w:ascii="Arial Unicode MS" w:hAnsi="Arial Unicode MS"/>
          <w:sz w:val="17"/>
        </w:rPr>
      </w:pPr>
      <w:r>
        <w:rPr>
          <w:sz w:val="17"/>
        </w:rPr>
        <w:t>Indicate</w:t>
      </w:r>
      <w:r>
        <w:rPr>
          <w:spacing w:val="-1"/>
          <w:sz w:val="17"/>
        </w:rPr>
        <w:t xml:space="preserve"> </w:t>
      </w:r>
      <w:r>
        <w:rPr>
          <w:sz w:val="17"/>
        </w:rPr>
        <w:t>by check</w:t>
      </w:r>
      <w:r>
        <w:rPr>
          <w:spacing w:val="-1"/>
          <w:sz w:val="17"/>
        </w:rPr>
        <w:t xml:space="preserve"> </w:t>
      </w:r>
      <w:r>
        <w:rPr>
          <w:sz w:val="17"/>
        </w:rPr>
        <w:t>mark if</w:t>
      </w:r>
      <w:r>
        <w:rPr>
          <w:spacing w:val="-1"/>
          <w:sz w:val="17"/>
        </w:rPr>
        <w:t xml:space="preserve"> </w:t>
      </w:r>
      <w:r>
        <w:rPr>
          <w:sz w:val="17"/>
        </w:rPr>
        <w:t>the registrant</w:t>
      </w:r>
      <w:r>
        <w:rPr>
          <w:spacing w:val="-1"/>
          <w:sz w:val="17"/>
        </w:rPr>
        <w:t xml:space="preserve"> </w:t>
      </w:r>
      <w:r>
        <w:rPr>
          <w:sz w:val="17"/>
        </w:rPr>
        <w:t>is</w:t>
      </w:r>
      <w:r>
        <w:rPr>
          <w:spacing w:val="-1"/>
          <w:sz w:val="17"/>
        </w:rPr>
        <w:t xml:space="preserve"> </w:t>
      </w:r>
      <w:r>
        <w:rPr>
          <w:sz w:val="17"/>
        </w:rPr>
        <w:t>a</w:t>
      </w:r>
      <w:r>
        <w:rPr>
          <w:spacing w:val="-1"/>
          <w:sz w:val="17"/>
        </w:rPr>
        <w:t xml:space="preserve"> </w:t>
      </w:r>
      <w:r>
        <w:rPr>
          <w:sz w:val="17"/>
        </w:rPr>
        <w:t>well-known seasoned issuer,</w:t>
      </w:r>
      <w:r>
        <w:rPr>
          <w:spacing w:val="-1"/>
          <w:sz w:val="17"/>
        </w:rPr>
        <w:t xml:space="preserve"> </w:t>
      </w:r>
      <w:r>
        <w:rPr>
          <w:sz w:val="17"/>
        </w:rPr>
        <w:t>as</w:t>
      </w:r>
      <w:r>
        <w:rPr>
          <w:spacing w:val="-1"/>
          <w:sz w:val="17"/>
        </w:rPr>
        <w:t xml:space="preserve"> </w:t>
      </w:r>
      <w:r>
        <w:rPr>
          <w:sz w:val="17"/>
        </w:rPr>
        <w:t>defined</w:t>
      </w:r>
      <w:r>
        <w:rPr>
          <w:spacing w:val="-1"/>
          <w:sz w:val="17"/>
        </w:rPr>
        <w:t xml:space="preserve"> </w:t>
      </w:r>
      <w:r>
        <w:rPr>
          <w:sz w:val="17"/>
        </w:rPr>
        <w:t>in Rule</w:t>
      </w:r>
      <w:r>
        <w:rPr>
          <w:spacing w:val="-1"/>
          <w:sz w:val="17"/>
        </w:rPr>
        <w:t xml:space="preserve"> </w:t>
      </w:r>
      <w:r>
        <w:rPr>
          <w:sz w:val="17"/>
        </w:rPr>
        <w:t>405 of</w:t>
      </w:r>
      <w:r>
        <w:rPr>
          <w:spacing w:val="-1"/>
          <w:sz w:val="17"/>
        </w:rPr>
        <w:t xml:space="preserve"> </w:t>
      </w:r>
      <w:r>
        <w:rPr>
          <w:sz w:val="17"/>
        </w:rPr>
        <w:t>the Securities</w:t>
      </w:r>
      <w:r>
        <w:rPr>
          <w:spacing w:val="-1"/>
          <w:sz w:val="17"/>
        </w:rPr>
        <w:t xml:space="preserve"> </w:t>
      </w:r>
      <w:r>
        <w:rPr>
          <w:sz w:val="17"/>
        </w:rPr>
        <w:t>Act.</w:t>
      </w:r>
      <w:r>
        <w:rPr>
          <w:spacing w:val="-9"/>
          <w:sz w:val="17"/>
        </w:rPr>
        <w:t xml:space="preserve"> </w:t>
      </w:r>
      <w:r>
        <w:rPr>
          <w:sz w:val="17"/>
        </w:rPr>
        <w:t>Yes</w:t>
      </w:r>
      <w:r>
        <w:rPr>
          <w:spacing w:val="-1"/>
          <w:sz w:val="17"/>
        </w:rPr>
        <w:t xml:space="preserve"> </w:t>
      </w:r>
      <w:proofErr w:type="gramStart"/>
      <w:r>
        <w:rPr>
          <w:rFonts w:ascii="Arial Unicode MS" w:hAnsi="Arial Unicode MS"/>
          <w:sz w:val="17"/>
        </w:rPr>
        <w:t>☒</w:t>
      </w:r>
      <w:r>
        <w:rPr>
          <w:rFonts w:ascii="Arial Unicode MS" w:hAnsi="Arial Unicode MS"/>
          <w:spacing w:val="36"/>
          <w:sz w:val="17"/>
        </w:rPr>
        <w:t xml:space="preserve">  </w:t>
      </w:r>
      <w:r>
        <w:rPr>
          <w:sz w:val="17"/>
        </w:rPr>
        <w:t>No</w:t>
      </w:r>
      <w:proofErr w:type="gramEnd"/>
      <w:r>
        <w:rPr>
          <w:spacing w:val="-2"/>
          <w:sz w:val="17"/>
        </w:rPr>
        <w:t xml:space="preserve"> </w:t>
      </w:r>
      <w:r>
        <w:rPr>
          <w:rFonts w:ascii="Arial Unicode MS" w:hAnsi="Arial Unicode MS"/>
          <w:spacing w:val="-10"/>
          <w:sz w:val="17"/>
        </w:rPr>
        <w:t>☐</w:t>
      </w:r>
    </w:p>
    <w:p w14:paraId="1321C642" w14:textId="77777777" w:rsidR="00AE2255" w:rsidRDefault="00000000">
      <w:pPr>
        <w:spacing w:before="28"/>
        <w:ind w:left="250"/>
        <w:jc w:val="both"/>
        <w:rPr>
          <w:rFonts w:ascii="Arial Unicode MS" w:hAnsi="Arial Unicode MS"/>
          <w:sz w:val="17"/>
        </w:rPr>
      </w:pPr>
      <w:r>
        <w:rPr>
          <w:sz w:val="17"/>
        </w:rPr>
        <w:t>Indicate by check mark if the registrant is</w:t>
      </w:r>
      <w:r>
        <w:rPr>
          <w:spacing w:val="-1"/>
          <w:sz w:val="17"/>
        </w:rPr>
        <w:t xml:space="preserve"> </w:t>
      </w:r>
      <w:r>
        <w:rPr>
          <w:sz w:val="17"/>
        </w:rPr>
        <w:t>not required to file reports</w:t>
      </w:r>
      <w:r>
        <w:rPr>
          <w:spacing w:val="-1"/>
          <w:sz w:val="17"/>
        </w:rPr>
        <w:t xml:space="preserve"> </w:t>
      </w:r>
      <w:r>
        <w:rPr>
          <w:sz w:val="17"/>
        </w:rPr>
        <w:t>pursuant to Section 13 or Section 15(d) of the Act. Yes</w:t>
      </w:r>
      <w:r>
        <w:rPr>
          <w:spacing w:val="-7"/>
          <w:sz w:val="17"/>
        </w:rPr>
        <w:t xml:space="preserve"> </w:t>
      </w:r>
      <w:proofErr w:type="gramStart"/>
      <w:r>
        <w:rPr>
          <w:rFonts w:ascii="Arial Unicode MS" w:hAnsi="Arial Unicode MS"/>
          <w:sz w:val="17"/>
        </w:rPr>
        <w:t>☐</w:t>
      </w:r>
      <w:r>
        <w:rPr>
          <w:rFonts w:ascii="Arial Unicode MS" w:hAnsi="Arial Unicode MS"/>
          <w:spacing w:val="37"/>
          <w:sz w:val="17"/>
        </w:rPr>
        <w:t xml:space="preserve">  </w:t>
      </w:r>
      <w:r>
        <w:rPr>
          <w:sz w:val="17"/>
        </w:rPr>
        <w:t>No</w:t>
      </w:r>
      <w:proofErr w:type="gramEnd"/>
      <w:r>
        <w:rPr>
          <w:spacing w:val="-1"/>
          <w:sz w:val="17"/>
        </w:rPr>
        <w:t xml:space="preserve"> </w:t>
      </w:r>
      <w:r>
        <w:rPr>
          <w:rFonts w:ascii="Arial Unicode MS" w:hAnsi="Arial Unicode MS"/>
          <w:spacing w:val="-12"/>
          <w:sz w:val="17"/>
        </w:rPr>
        <w:t>☒</w:t>
      </w:r>
    </w:p>
    <w:p w14:paraId="11BF9DBB" w14:textId="77777777" w:rsidR="00AE2255" w:rsidRDefault="00000000">
      <w:pPr>
        <w:spacing w:before="76" w:line="228" w:lineRule="auto"/>
        <w:ind w:left="250" w:right="156"/>
        <w:jc w:val="both"/>
        <w:rPr>
          <w:rFonts w:ascii="Arial Unicode MS" w:hAnsi="Arial Unicode MS"/>
          <w:sz w:val="17"/>
        </w:rPr>
      </w:pPr>
      <w:r>
        <w:rPr>
          <w:sz w:val="17"/>
        </w:rPr>
        <w:t>Indicate by check mark whether the registrant (1) has filed all reports required to be filed by Section 13 or 15(d) of the Securities Exchange Act of 1934 during the</w:t>
      </w:r>
      <w:r>
        <w:rPr>
          <w:spacing w:val="-1"/>
          <w:sz w:val="17"/>
        </w:rPr>
        <w:t xml:space="preserve"> </w:t>
      </w:r>
      <w:r>
        <w:rPr>
          <w:sz w:val="17"/>
        </w:rPr>
        <w:t>preceding</w:t>
      </w:r>
      <w:r>
        <w:rPr>
          <w:spacing w:val="-1"/>
          <w:sz w:val="17"/>
        </w:rPr>
        <w:t xml:space="preserve"> </w:t>
      </w:r>
      <w:r>
        <w:rPr>
          <w:sz w:val="17"/>
        </w:rPr>
        <w:t>12</w:t>
      </w:r>
      <w:r>
        <w:rPr>
          <w:spacing w:val="-1"/>
          <w:sz w:val="17"/>
        </w:rPr>
        <w:t xml:space="preserve"> </w:t>
      </w:r>
      <w:r>
        <w:rPr>
          <w:sz w:val="17"/>
        </w:rPr>
        <w:t>months</w:t>
      </w:r>
      <w:r>
        <w:rPr>
          <w:spacing w:val="-1"/>
          <w:sz w:val="17"/>
        </w:rPr>
        <w:t xml:space="preserve"> </w:t>
      </w:r>
      <w:r>
        <w:rPr>
          <w:sz w:val="17"/>
        </w:rPr>
        <w:t>(or</w:t>
      </w:r>
      <w:r>
        <w:rPr>
          <w:spacing w:val="-1"/>
          <w:sz w:val="17"/>
        </w:rPr>
        <w:t xml:space="preserve"> </w:t>
      </w:r>
      <w:r>
        <w:rPr>
          <w:sz w:val="17"/>
        </w:rPr>
        <w:t>for</w:t>
      </w:r>
      <w:r>
        <w:rPr>
          <w:spacing w:val="-1"/>
          <w:sz w:val="17"/>
        </w:rPr>
        <w:t xml:space="preserve"> </w:t>
      </w:r>
      <w:r>
        <w:rPr>
          <w:sz w:val="17"/>
        </w:rPr>
        <w:t>such</w:t>
      </w:r>
      <w:r>
        <w:rPr>
          <w:spacing w:val="-1"/>
          <w:sz w:val="17"/>
        </w:rPr>
        <w:t xml:space="preserve"> </w:t>
      </w:r>
      <w:r>
        <w:rPr>
          <w:sz w:val="17"/>
        </w:rPr>
        <w:t>shorter</w:t>
      </w:r>
      <w:r>
        <w:rPr>
          <w:spacing w:val="-1"/>
          <w:sz w:val="17"/>
        </w:rPr>
        <w:t xml:space="preserve"> </w:t>
      </w:r>
      <w:r>
        <w:rPr>
          <w:sz w:val="17"/>
        </w:rPr>
        <w:t>period</w:t>
      </w:r>
      <w:r>
        <w:rPr>
          <w:spacing w:val="-1"/>
          <w:sz w:val="17"/>
        </w:rPr>
        <w:t xml:space="preserve"> </w:t>
      </w:r>
      <w:r>
        <w:rPr>
          <w:sz w:val="17"/>
        </w:rPr>
        <w:t>that</w:t>
      </w:r>
      <w:r>
        <w:rPr>
          <w:spacing w:val="-1"/>
          <w:sz w:val="17"/>
        </w:rPr>
        <w:t xml:space="preserve"> </w:t>
      </w:r>
      <w:r>
        <w:rPr>
          <w:sz w:val="17"/>
        </w:rPr>
        <w:t>the</w:t>
      </w:r>
      <w:r>
        <w:rPr>
          <w:spacing w:val="-1"/>
          <w:sz w:val="17"/>
        </w:rPr>
        <w:t xml:space="preserve"> </w:t>
      </w:r>
      <w:r>
        <w:rPr>
          <w:sz w:val="17"/>
        </w:rPr>
        <w:t>registrant</w:t>
      </w:r>
      <w:r>
        <w:rPr>
          <w:spacing w:val="-1"/>
          <w:sz w:val="17"/>
        </w:rPr>
        <w:t xml:space="preserve"> </w:t>
      </w:r>
      <w:r>
        <w:rPr>
          <w:sz w:val="17"/>
        </w:rPr>
        <w:t>was</w:t>
      </w:r>
      <w:r>
        <w:rPr>
          <w:spacing w:val="-1"/>
          <w:sz w:val="17"/>
        </w:rPr>
        <w:t xml:space="preserve"> </w:t>
      </w:r>
      <w:r>
        <w:rPr>
          <w:sz w:val="17"/>
        </w:rPr>
        <w:t>required</w:t>
      </w:r>
      <w:r>
        <w:rPr>
          <w:spacing w:val="-1"/>
          <w:sz w:val="17"/>
        </w:rPr>
        <w:t xml:space="preserve"> </w:t>
      </w:r>
      <w:r>
        <w:rPr>
          <w:sz w:val="17"/>
        </w:rPr>
        <w:t>to</w:t>
      </w:r>
      <w:r>
        <w:rPr>
          <w:spacing w:val="-1"/>
          <w:sz w:val="17"/>
        </w:rPr>
        <w:t xml:space="preserve"> </w:t>
      </w:r>
      <w:r>
        <w:rPr>
          <w:sz w:val="17"/>
        </w:rPr>
        <w:t>file</w:t>
      </w:r>
      <w:r>
        <w:rPr>
          <w:spacing w:val="-1"/>
          <w:sz w:val="17"/>
        </w:rPr>
        <w:t xml:space="preserve"> </w:t>
      </w:r>
      <w:r>
        <w:rPr>
          <w:sz w:val="17"/>
        </w:rPr>
        <w:t>such</w:t>
      </w:r>
      <w:r>
        <w:rPr>
          <w:spacing w:val="-1"/>
          <w:sz w:val="17"/>
        </w:rPr>
        <w:t xml:space="preserve"> </w:t>
      </w:r>
      <w:r>
        <w:rPr>
          <w:sz w:val="17"/>
        </w:rPr>
        <w:t>reports),</w:t>
      </w:r>
      <w:r>
        <w:rPr>
          <w:spacing w:val="-1"/>
          <w:sz w:val="17"/>
        </w:rPr>
        <w:t xml:space="preserve"> </w:t>
      </w:r>
      <w:r>
        <w:rPr>
          <w:sz w:val="17"/>
        </w:rPr>
        <w:t>and</w:t>
      </w:r>
      <w:r>
        <w:rPr>
          <w:spacing w:val="-1"/>
          <w:sz w:val="17"/>
        </w:rPr>
        <w:t xml:space="preserve"> </w:t>
      </w:r>
      <w:r>
        <w:rPr>
          <w:sz w:val="17"/>
        </w:rPr>
        <w:t>(2)</w:t>
      </w:r>
      <w:r>
        <w:rPr>
          <w:spacing w:val="-1"/>
          <w:sz w:val="17"/>
        </w:rPr>
        <w:t xml:space="preserve"> </w:t>
      </w:r>
      <w:r>
        <w:rPr>
          <w:sz w:val="17"/>
        </w:rPr>
        <w:t>has</w:t>
      </w:r>
      <w:r>
        <w:rPr>
          <w:spacing w:val="-1"/>
          <w:sz w:val="17"/>
        </w:rPr>
        <w:t xml:space="preserve"> </w:t>
      </w:r>
      <w:r>
        <w:rPr>
          <w:sz w:val="17"/>
        </w:rPr>
        <w:t>been</w:t>
      </w:r>
      <w:r>
        <w:rPr>
          <w:spacing w:val="-1"/>
          <w:sz w:val="17"/>
        </w:rPr>
        <w:t xml:space="preserve"> </w:t>
      </w:r>
      <w:r>
        <w:rPr>
          <w:sz w:val="17"/>
        </w:rPr>
        <w:t>subject</w:t>
      </w:r>
      <w:r>
        <w:rPr>
          <w:spacing w:val="-1"/>
          <w:sz w:val="17"/>
        </w:rPr>
        <w:t xml:space="preserve"> </w:t>
      </w:r>
      <w:r>
        <w:rPr>
          <w:sz w:val="17"/>
        </w:rPr>
        <w:t>to</w:t>
      </w:r>
      <w:r>
        <w:rPr>
          <w:spacing w:val="-1"/>
          <w:sz w:val="17"/>
        </w:rPr>
        <w:t xml:space="preserve"> </w:t>
      </w:r>
      <w:r>
        <w:rPr>
          <w:sz w:val="17"/>
        </w:rPr>
        <w:t>such</w:t>
      </w:r>
      <w:r>
        <w:rPr>
          <w:spacing w:val="-1"/>
          <w:sz w:val="17"/>
        </w:rPr>
        <w:t xml:space="preserve"> </w:t>
      </w:r>
      <w:r>
        <w:rPr>
          <w:sz w:val="17"/>
        </w:rPr>
        <w:t>filing</w:t>
      </w:r>
      <w:r>
        <w:rPr>
          <w:spacing w:val="-1"/>
          <w:sz w:val="17"/>
        </w:rPr>
        <w:t xml:space="preserve"> </w:t>
      </w:r>
      <w:r>
        <w:rPr>
          <w:sz w:val="17"/>
        </w:rPr>
        <w:t>requirements</w:t>
      </w:r>
      <w:r>
        <w:rPr>
          <w:spacing w:val="-1"/>
          <w:sz w:val="17"/>
        </w:rPr>
        <w:t xml:space="preserve"> </w:t>
      </w:r>
      <w:r>
        <w:rPr>
          <w:sz w:val="17"/>
        </w:rPr>
        <w:t xml:space="preserve">for the past 90 days. Yes </w:t>
      </w:r>
      <w:r>
        <w:rPr>
          <w:rFonts w:ascii="Arial Unicode MS" w:hAnsi="Arial Unicode MS"/>
          <w:sz w:val="17"/>
        </w:rPr>
        <w:t>☒</w:t>
      </w:r>
      <w:r>
        <w:rPr>
          <w:rFonts w:ascii="Arial Unicode MS" w:hAnsi="Arial Unicode MS"/>
          <w:spacing w:val="80"/>
          <w:sz w:val="17"/>
        </w:rPr>
        <w:t xml:space="preserve"> </w:t>
      </w:r>
      <w:r>
        <w:rPr>
          <w:sz w:val="17"/>
        </w:rPr>
        <w:t xml:space="preserve">No </w:t>
      </w:r>
      <w:r>
        <w:rPr>
          <w:rFonts w:ascii="Arial Unicode MS" w:hAnsi="Arial Unicode MS"/>
          <w:sz w:val="17"/>
        </w:rPr>
        <w:t>☐</w:t>
      </w:r>
    </w:p>
    <w:p w14:paraId="7F12DAE8" w14:textId="77777777" w:rsidR="00AE2255" w:rsidRDefault="00000000">
      <w:pPr>
        <w:spacing w:before="71" w:line="249" w:lineRule="auto"/>
        <w:ind w:left="250" w:right="157"/>
        <w:jc w:val="both"/>
        <w:rPr>
          <w:sz w:val="17"/>
        </w:rPr>
      </w:pPr>
      <w:r>
        <w:rPr>
          <w:sz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w:t>
      </w:r>
    </w:p>
    <w:p w14:paraId="1164FD88" w14:textId="77777777" w:rsidR="00AE2255" w:rsidRDefault="00000000">
      <w:pPr>
        <w:spacing w:line="258" w:lineRule="exact"/>
        <w:ind w:left="250"/>
        <w:jc w:val="both"/>
        <w:rPr>
          <w:rFonts w:ascii="Arial Unicode MS" w:hAnsi="Arial Unicode MS"/>
          <w:sz w:val="17"/>
        </w:rPr>
      </w:pPr>
      <w:r>
        <w:rPr>
          <w:sz w:val="17"/>
        </w:rPr>
        <w:t>Yes</w:t>
      </w:r>
      <w:r>
        <w:rPr>
          <w:spacing w:val="-2"/>
          <w:sz w:val="17"/>
        </w:rPr>
        <w:t xml:space="preserve"> </w:t>
      </w:r>
      <w:proofErr w:type="gramStart"/>
      <w:r>
        <w:rPr>
          <w:rFonts w:ascii="Arial Unicode MS" w:hAnsi="Arial Unicode MS"/>
          <w:sz w:val="17"/>
        </w:rPr>
        <w:t>☒</w:t>
      </w:r>
      <w:r>
        <w:rPr>
          <w:rFonts w:ascii="Arial Unicode MS" w:hAnsi="Arial Unicode MS"/>
          <w:spacing w:val="36"/>
          <w:sz w:val="17"/>
        </w:rPr>
        <w:t xml:space="preserve">  </w:t>
      </w:r>
      <w:r>
        <w:rPr>
          <w:sz w:val="17"/>
        </w:rPr>
        <w:t>No</w:t>
      </w:r>
      <w:proofErr w:type="gramEnd"/>
      <w:r>
        <w:rPr>
          <w:spacing w:val="-1"/>
          <w:sz w:val="17"/>
        </w:rPr>
        <w:t xml:space="preserve"> </w:t>
      </w:r>
      <w:r>
        <w:rPr>
          <w:rFonts w:ascii="Arial Unicode MS" w:hAnsi="Arial Unicode MS"/>
          <w:spacing w:val="-10"/>
          <w:sz w:val="17"/>
        </w:rPr>
        <w:t>☐</w:t>
      </w:r>
    </w:p>
    <w:p w14:paraId="6A5EF8A2" w14:textId="77777777" w:rsidR="00AE2255" w:rsidRDefault="00000000">
      <w:pPr>
        <w:spacing w:before="67" w:line="249" w:lineRule="auto"/>
        <w:ind w:left="250" w:right="152"/>
        <w:jc w:val="both"/>
        <w:rPr>
          <w:sz w:val="17"/>
        </w:rPr>
      </w:pPr>
      <w:r>
        <w:rPr>
          <w:sz w:val="17"/>
        </w:rPr>
        <w:t xml:space="preserve">Indicate by check mark whether the registrant is a </w:t>
      </w:r>
      <w:proofErr w:type="gramStart"/>
      <w:r>
        <w:rPr>
          <w:sz w:val="17"/>
        </w:rPr>
        <w:t>large accelerated</w:t>
      </w:r>
      <w:proofErr w:type="gramEnd"/>
      <w:r>
        <w:rPr>
          <w:sz w:val="17"/>
        </w:rPr>
        <w:t xml:space="preserve"> filer, an accelerated filer, a non-accelerated filer, a smaller reporting company, or an emerging growth company. See the definitions of “</w:t>
      </w:r>
      <w:proofErr w:type="gramStart"/>
      <w:r>
        <w:rPr>
          <w:sz w:val="17"/>
        </w:rPr>
        <w:t>large accelerated</w:t>
      </w:r>
      <w:proofErr w:type="gramEnd"/>
      <w:r>
        <w:rPr>
          <w:sz w:val="17"/>
        </w:rPr>
        <w:t xml:space="preserve"> filer,” “accelerated filer,” “smaller reporting company,” and “emerging growth company” in Rule 12b-2 of the Exchange Act.</w:t>
      </w:r>
    </w:p>
    <w:p w14:paraId="587561D3" w14:textId="77777777" w:rsidR="00AE2255" w:rsidRDefault="00000000">
      <w:pPr>
        <w:spacing w:before="83"/>
        <w:ind w:left="250"/>
        <w:rPr>
          <w:rFonts w:ascii="Arial Unicode MS" w:hAnsi="Arial Unicode MS"/>
          <w:sz w:val="17"/>
        </w:rPr>
      </w:pPr>
      <w:proofErr w:type="gramStart"/>
      <w:r>
        <w:rPr>
          <w:sz w:val="17"/>
        </w:rPr>
        <w:t>Large</w:t>
      </w:r>
      <w:r>
        <w:rPr>
          <w:spacing w:val="-2"/>
          <w:sz w:val="17"/>
        </w:rPr>
        <w:t xml:space="preserve"> </w:t>
      </w:r>
      <w:r>
        <w:rPr>
          <w:sz w:val="17"/>
        </w:rPr>
        <w:t>accelerated</w:t>
      </w:r>
      <w:proofErr w:type="gramEnd"/>
      <w:r>
        <w:rPr>
          <w:spacing w:val="1"/>
          <w:sz w:val="17"/>
        </w:rPr>
        <w:t xml:space="preserve"> </w:t>
      </w:r>
      <w:r>
        <w:rPr>
          <w:sz w:val="17"/>
        </w:rPr>
        <w:t>filer</w:t>
      </w:r>
      <w:r>
        <w:rPr>
          <w:spacing w:val="-1"/>
          <w:sz w:val="17"/>
        </w:rPr>
        <w:t xml:space="preserve"> </w:t>
      </w:r>
      <w:r>
        <w:rPr>
          <w:rFonts w:ascii="Arial Unicode MS" w:hAnsi="Arial Unicode MS"/>
          <w:sz w:val="17"/>
        </w:rPr>
        <w:t>☒</w:t>
      </w:r>
      <w:r>
        <w:rPr>
          <w:rFonts w:ascii="Arial Unicode MS" w:hAnsi="Arial Unicode MS"/>
          <w:spacing w:val="57"/>
          <w:w w:val="150"/>
          <w:sz w:val="17"/>
        </w:rPr>
        <w:t xml:space="preserve"> </w:t>
      </w:r>
      <w:r>
        <w:rPr>
          <w:sz w:val="17"/>
        </w:rPr>
        <w:t>Accelerated</w:t>
      </w:r>
      <w:r>
        <w:rPr>
          <w:spacing w:val="1"/>
          <w:sz w:val="17"/>
        </w:rPr>
        <w:t xml:space="preserve"> </w:t>
      </w:r>
      <w:r>
        <w:rPr>
          <w:sz w:val="17"/>
        </w:rPr>
        <w:t>filer</w:t>
      </w:r>
      <w:r>
        <w:rPr>
          <w:spacing w:val="-1"/>
          <w:sz w:val="17"/>
        </w:rPr>
        <w:t xml:space="preserve"> </w:t>
      </w:r>
      <w:r>
        <w:rPr>
          <w:rFonts w:ascii="Arial Unicode MS" w:hAnsi="Arial Unicode MS"/>
          <w:sz w:val="17"/>
        </w:rPr>
        <w:t>☐</w:t>
      </w:r>
      <w:r>
        <w:rPr>
          <w:rFonts w:ascii="Arial Unicode MS" w:hAnsi="Arial Unicode MS"/>
          <w:spacing w:val="57"/>
          <w:w w:val="150"/>
          <w:sz w:val="17"/>
        </w:rPr>
        <w:t xml:space="preserve"> </w:t>
      </w:r>
      <w:r>
        <w:rPr>
          <w:sz w:val="17"/>
        </w:rPr>
        <w:t>Non–accelerated</w:t>
      </w:r>
      <w:r>
        <w:rPr>
          <w:spacing w:val="1"/>
          <w:sz w:val="17"/>
        </w:rPr>
        <w:t xml:space="preserve"> </w:t>
      </w:r>
      <w:r>
        <w:rPr>
          <w:sz w:val="17"/>
        </w:rPr>
        <w:t>filer</w:t>
      </w:r>
      <w:r>
        <w:rPr>
          <w:spacing w:val="-1"/>
          <w:sz w:val="17"/>
        </w:rPr>
        <w:t xml:space="preserve"> </w:t>
      </w:r>
      <w:r>
        <w:rPr>
          <w:rFonts w:ascii="Arial Unicode MS" w:hAnsi="Arial Unicode MS"/>
          <w:sz w:val="17"/>
        </w:rPr>
        <w:t>☐</w:t>
      </w:r>
      <w:r>
        <w:rPr>
          <w:rFonts w:ascii="Arial Unicode MS" w:hAnsi="Arial Unicode MS"/>
          <w:spacing w:val="57"/>
          <w:w w:val="150"/>
          <w:sz w:val="17"/>
        </w:rPr>
        <w:t xml:space="preserve"> </w:t>
      </w:r>
      <w:r>
        <w:rPr>
          <w:sz w:val="17"/>
        </w:rPr>
        <w:t>Smaller</w:t>
      </w:r>
      <w:r>
        <w:rPr>
          <w:spacing w:val="1"/>
          <w:sz w:val="17"/>
        </w:rPr>
        <w:t xml:space="preserve"> </w:t>
      </w:r>
      <w:r>
        <w:rPr>
          <w:sz w:val="17"/>
        </w:rPr>
        <w:t>reporting</w:t>
      </w:r>
      <w:r>
        <w:rPr>
          <w:spacing w:val="1"/>
          <w:sz w:val="17"/>
        </w:rPr>
        <w:t xml:space="preserve"> </w:t>
      </w:r>
      <w:r>
        <w:rPr>
          <w:sz w:val="17"/>
        </w:rPr>
        <w:t>company</w:t>
      </w:r>
      <w:r>
        <w:rPr>
          <w:spacing w:val="-1"/>
          <w:sz w:val="17"/>
        </w:rPr>
        <w:t xml:space="preserve"> </w:t>
      </w:r>
      <w:r>
        <w:rPr>
          <w:rFonts w:ascii="Arial Unicode MS" w:hAnsi="Arial Unicode MS"/>
          <w:sz w:val="17"/>
        </w:rPr>
        <w:t>☐</w:t>
      </w:r>
      <w:r>
        <w:rPr>
          <w:rFonts w:ascii="Arial Unicode MS" w:hAnsi="Arial Unicode MS"/>
          <w:spacing w:val="57"/>
          <w:w w:val="150"/>
          <w:sz w:val="17"/>
        </w:rPr>
        <w:t xml:space="preserve"> </w:t>
      </w:r>
      <w:r>
        <w:rPr>
          <w:sz w:val="17"/>
        </w:rPr>
        <w:t>Emerging</w:t>
      </w:r>
      <w:r>
        <w:rPr>
          <w:spacing w:val="1"/>
          <w:sz w:val="17"/>
        </w:rPr>
        <w:t xml:space="preserve"> </w:t>
      </w:r>
      <w:r>
        <w:rPr>
          <w:sz w:val="17"/>
        </w:rPr>
        <w:t>growth</w:t>
      </w:r>
      <w:r>
        <w:rPr>
          <w:spacing w:val="1"/>
          <w:sz w:val="17"/>
        </w:rPr>
        <w:t xml:space="preserve"> </w:t>
      </w:r>
      <w:r>
        <w:rPr>
          <w:sz w:val="17"/>
        </w:rPr>
        <w:t>company</w:t>
      </w:r>
      <w:r>
        <w:rPr>
          <w:spacing w:val="-1"/>
          <w:sz w:val="17"/>
        </w:rPr>
        <w:t xml:space="preserve"> </w:t>
      </w:r>
      <w:r>
        <w:rPr>
          <w:rFonts w:ascii="Arial Unicode MS" w:hAnsi="Arial Unicode MS"/>
          <w:spacing w:val="-10"/>
          <w:sz w:val="17"/>
        </w:rPr>
        <w:t>☐</w:t>
      </w:r>
    </w:p>
    <w:p w14:paraId="2A36C8F9" w14:textId="77777777" w:rsidR="00AE2255" w:rsidRDefault="00000000">
      <w:pPr>
        <w:spacing w:before="91" w:line="204" w:lineRule="auto"/>
        <w:ind w:left="250"/>
        <w:rPr>
          <w:rFonts w:ascii="Arial Unicode MS" w:hAnsi="Arial Unicode MS"/>
          <w:sz w:val="17"/>
        </w:rPr>
      </w:pPr>
      <w:r>
        <w:rPr>
          <w:sz w:val="17"/>
        </w:rPr>
        <w:t>If an emerging growth company, indicate by check mark if the registrant has elected not to use the extended transition period for complying with any new or</w:t>
      </w:r>
      <w:r>
        <w:rPr>
          <w:spacing w:val="40"/>
          <w:sz w:val="17"/>
        </w:rPr>
        <w:t xml:space="preserve"> </w:t>
      </w:r>
      <w:r>
        <w:rPr>
          <w:sz w:val="17"/>
        </w:rPr>
        <w:t xml:space="preserve">revised financial accounting standards provided pursuant to Section 13(a) of the Exchange Act. </w:t>
      </w:r>
      <w:r>
        <w:rPr>
          <w:rFonts w:ascii="Arial Unicode MS" w:hAnsi="Arial Unicode MS"/>
          <w:sz w:val="17"/>
        </w:rPr>
        <w:t>☐</w:t>
      </w:r>
    </w:p>
    <w:p w14:paraId="12C8D2D3" w14:textId="77777777" w:rsidR="00AE2255" w:rsidRDefault="00000000">
      <w:pPr>
        <w:spacing w:before="95" w:line="228" w:lineRule="auto"/>
        <w:ind w:left="250" w:right="157"/>
        <w:rPr>
          <w:rFonts w:ascii="Arial Unicode MS" w:hAnsi="Arial Unicode MS"/>
          <w:sz w:val="17"/>
        </w:rPr>
      </w:pPr>
      <w:r>
        <w:rPr>
          <w:sz w:val="17"/>
        </w:rPr>
        <w:t>Indicate by check mark whether the registrant has filed a report on and attestation to its management’s assessment of the effectiveness of its internal control</w:t>
      </w:r>
      <w:r>
        <w:rPr>
          <w:spacing w:val="40"/>
          <w:sz w:val="17"/>
        </w:rPr>
        <w:t xml:space="preserve"> </w:t>
      </w:r>
      <w:r>
        <w:rPr>
          <w:sz w:val="17"/>
        </w:rPr>
        <w:t>over</w:t>
      </w:r>
      <w:r>
        <w:rPr>
          <w:spacing w:val="-2"/>
          <w:sz w:val="17"/>
        </w:rPr>
        <w:t xml:space="preserve"> </w:t>
      </w:r>
      <w:r>
        <w:rPr>
          <w:sz w:val="17"/>
        </w:rPr>
        <w:t>financial</w:t>
      </w:r>
      <w:r>
        <w:rPr>
          <w:spacing w:val="-2"/>
          <w:sz w:val="17"/>
        </w:rPr>
        <w:t xml:space="preserve"> </w:t>
      </w:r>
      <w:r>
        <w:rPr>
          <w:sz w:val="17"/>
        </w:rPr>
        <w:t>reporting</w:t>
      </w:r>
      <w:r>
        <w:rPr>
          <w:spacing w:val="-2"/>
          <w:sz w:val="17"/>
        </w:rPr>
        <w:t xml:space="preserve"> </w:t>
      </w:r>
      <w:r>
        <w:rPr>
          <w:sz w:val="17"/>
        </w:rPr>
        <w:t>under</w:t>
      </w:r>
      <w:r>
        <w:rPr>
          <w:spacing w:val="-2"/>
          <w:sz w:val="17"/>
        </w:rPr>
        <w:t xml:space="preserve"> </w:t>
      </w:r>
      <w:r>
        <w:rPr>
          <w:sz w:val="17"/>
        </w:rPr>
        <w:t>Section</w:t>
      </w:r>
      <w:r>
        <w:rPr>
          <w:spacing w:val="-2"/>
          <w:sz w:val="17"/>
        </w:rPr>
        <w:t xml:space="preserve"> </w:t>
      </w:r>
      <w:r>
        <w:rPr>
          <w:sz w:val="17"/>
        </w:rPr>
        <w:t>404(b)</w:t>
      </w:r>
      <w:r>
        <w:rPr>
          <w:spacing w:val="-2"/>
          <w:sz w:val="17"/>
        </w:rPr>
        <w:t xml:space="preserve"> </w:t>
      </w:r>
      <w:r>
        <w:rPr>
          <w:sz w:val="17"/>
        </w:rPr>
        <w:t>of</w:t>
      </w:r>
      <w:r>
        <w:rPr>
          <w:spacing w:val="-2"/>
          <w:sz w:val="17"/>
        </w:rPr>
        <w:t xml:space="preserve"> </w:t>
      </w:r>
      <w:r>
        <w:rPr>
          <w:sz w:val="17"/>
        </w:rPr>
        <w:t>the</w:t>
      </w:r>
      <w:r>
        <w:rPr>
          <w:spacing w:val="-2"/>
          <w:sz w:val="17"/>
        </w:rPr>
        <w:t xml:space="preserve"> </w:t>
      </w:r>
      <w:r>
        <w:rPr>
          <w:sz w:val="17"/>
        </w:rPr>
        <w:t>Sarbanes-Oxley</w:t>
      </w:r>
      <w:r>
        <w:rPr>
          <w:spacing w:val="-2"/>
          <w:sz w:val="17"/>
        </w:rPr>
        <w:t xml:space="preserve"> </w:t>
      </w:r>
      <w:r>
        <w:rPr>
          <w:sz w:val="17"/>
        </w:rPr>
        <w:t>Act</w:t>
      </w:r>
      <w:r>
        <w:rPr>
          <w:spacing w:val="-2"/>
          <w:sz w:val="17"/>
        </w:rPr>
        <w:t xml:space="preserve"> </w:t>
      </w:r>
      <w:r>
        <w:rPr>
          <w:sz w:val="17"/>
        </w:rPr>
        <w:t>(15</w:t>
      </w:r>
      <w:r>
        <w:rPr>
          <w:spacing w:val="-2"/>
          <w:sz w:val="17"/>
        </w:rPr>
        <w:t xml:space="preserve"> </w:t>
      </w:r>
      <w:r>
        <w:rPr>
          <w:sz w:val="17"/>
        </w:rPr>
        <w:t>U.S.C.</w:t>
      </w:r>
      <w:r>
        <w:rPr>
          <w:spacing w:val="-2"/>
          <w:sz w:val="17"/>
        </w:rPr>
        <w:t xml:space="preserve"> </w:t>
      </w:r>
      <w:r>
        <w:rPr>
          <w:sz w:val="17"/>
        </w:rPr>
        <w:t>7262(b))</w:t>
      </w:r>
      <w:r>
        <w:rPr>
          <w:spacing w:val="-2"/>
          <w:sz w:val="17"/>
        </w:rPr>
        <w:t xml:space="preserve"> </w:t>
      </w:r>
      <w:r>
        <w:rPr>
          <w:sz w:val="17"/>
        </w:rPr>
        <w:t>by</w:t>
      </w:r>
      <w:r>
        <w:rPr>
          <w:spacing w:val="-2"/>
          <w:sz w:val="17"/>
        </w:rPr>
        <w:t xml:space="preserve"> </w:t>
      </w:r>
      <w:r>
        <w:rPr>
          <w:sz w:val="17"/>
        </w:rPr>
        <w:t>the</w:t>
      </w:r>
      <w:r>
        <w:rPr>
          <w:spacing w:val="-2"/>
          <w:sz w:val="17"/>
        </w:rPr>
        <w:t xml:space="preserve"> </w:t>
      </w:r>
      <w:r>
        <w:rPr>
          <w:sz w:val="17"/>
        </w:rPr>
        <w:t>registered</w:t>
      </w:r>
      <w:r>
        <w:rPr>
          <w:spacing w:val="-2"/>
          <w:sz w:val="17"/>
        </w:rPr>
        <w:t xml:space="preserve"> </w:t>
      </w:r>
      <w:r>
        <w:rPr>
          <w:sz w:val="17"/>
        </w:rPr>
        <w:t>public</w:t>
      </w:r>
      <w:r>
        <w:rPr>
          <w:spacing w:val="-2"/>
          <w:sz w:val="17"/>
        </w:rPr>
        <w:t xml:space="preserve"> </w:t>
      </w:r>
      <w:r>
        <w:rPr>
          <w:sz w:val="17"/>
        </w:rPr>
        <w:t>accounting</w:t>
      </w:r>
      <w:r>
        <w:rPr>
          <w:spacing w:val="-2"/>
          <w:sz w:val="17"/>
        </w:rPr>
        <w:t xml:space="preserve"> </w:t>
      </w:r>
      <w:r>
        <w:rPr>
          <w:sz w:val="17"/>
        </w:rPr>
        <w:t>firm</w:t>
      </w:r>
      <w:r>
        <w:rPr>
          <w:spacing w:val="-2"/>
          <w:sz w:val="17"/>
        </w:rPr>
        <w:t xml:space="preserve"> </w:t>
      </w:r>
      <w:r>
        <w:rPr>
          <w:sz w:val="17"/>
        </w:rPr>
        <w:t>that</w:t>
      </w:r>
      <w:r>
        <w:rPr>
          <w:spacing w:val="-2"/>
          <w:sz w:val="17"/>
        </w:rPr>
        <w:t xml:space="preserve"> </w:t>
      </w:r>
      <w:r>
        <w:rPr>
          <w:sz w:val="17"/>
        </w:rPr>
        <w:t>prepared</w:t>
      </w:r>
      <w:r>
        <w:rPr>
          <w:spacing w:val="-2"/>
          <w:sz w:val="17"/>
        </w:rPr>
        <w:t xml:space="preserve"> </w:t>
      </w:r>
      <w:r>
        <w:rPr>
          <w:sz w:val="17"/>
        </w:rPr>
        <w:t>or</w:t>
      </w:r>
      <w:r>
        <w:rPr>
          <w:spacing w:val="-2"/>
          <w:sz w:val="17"/>
        </w:rPr>
        <w:t xml:space="preserve"> </w:t>
      </w:r>
      <w:r>
        <w:rPr>
          <w:sz w:val="17"/>
        </w:rPr>
        <w:t>issued</w:t>
      </w:r>
      <w:r>
        <w:rPr>
          <w:spacing w:val="-2"/>
          <w:sz w:val="17"/>
        </w:rPr>
        <w:t xml:space="preserve"> </w:t>
      </w:r>
      <w:r>
        <w:rPr>
          <w:sz w:val="17"/>
        </w:rPr>
        <w:t xml:space="preserve">its audit report. </w:t>
      </w:r>
      <w:r>
        <w:rPr>
          <w:rFonts w:ascii="Arial Unicode MS" w:hAnsi="Arial Unicode MS"/>
          <w:sz w:val="17"/>
        </w:rPr>
        <w:t>☒</w:t>
      </w:r>
    </w:p>
    <w:p w14:paraId="3D4C9E60" w14:textId="77777777" w:rsidR="00AE2255" w:rsidRDefault="00000000">
      <w:pPr>
        <w:spacing w:before="32"/>
        <w:ind w:left="250"/>
        <w:rPr>
          <w:rFonts w:ascii="Arial Unicode MS" w:hAnsi="Arial Unicode MS"/>
          <w:sz w:val="17"/>
        </w:rPr>
      </w:pPr>
      <w:r>
        <w:rPr>
          <w:sz w:val="17"/>
        </w:rPr>
        <w:t>Indicate</w:t>
      </w:r>
      <w:r>
        <w:rPr>
          <w:spacing w:val="-1"/>
          <w:sz w:val="17"/>
        </w:rPr>
        <w:t xml:space="preserve"> </w:t>
      </w:r>
      <w:r>
        <w:rPr>
          <w:sz w:val="17"/>
        </w:rPr>
        <w:t>by check</w:t>
      </w:r>
      <w:r>
        <w:rPr>
          <w:spacing w:val="-1"/>
          <w:sz w:val="17"/>
        </w:rPr>
        <w:t xml:space="preserve"> </w:t>
      </w:r>
      <w:r>
        <w:rPr>
          <w:sz w:val="17"/>
        </w:rPr>
        <w:t>mark whether the</w:t>
      </w:r>
      <w:r>
        <w:rPr>
          <w:spacing w:val="-1"/>
          <w:sz w:val="17"/>
        </w:rPr>
        <w:t xml:space="preserve"> </w:t>
      </w:r>
      <w:r>
        <w:rPr>
          <w:sz w:val="17"/>
        </w:rPr>
        <w:t>registrant is</w:t>
      </w:r>
      <w:r>
        <w:rPr>
          <w:spacing w:val="-2"/>
          <w:sz w:val="17"/>
        </w:rPr>
        <w:t xml:space="preserve"> </w:t>
      </w:r>
      <w:r>
        <w:rPr>
          <w:sz w:val="17"/>
        </w:rPr>
        <w:t>a shell company</w:t>
      </w:r>
      <w:r>
        <w:rPr>
          <w:spacing w:val="-1"/>
          <w:sz w:val="17"/>
        </w:rPr>
        <w:t xml:space="preserve"> </w:t>
      </w:r>
      <w:r>
        <w:rPr>
          <w:sz w:val="17"/>
        </w:rPr>
        <w:t>(as</w:t>
      </w:r>
      <w:r>
        <w:rPr>
          <w:spacing w:val="-1"/>
          <w:sz w:val="17"/>
        </w:rPr>
        <w:t xml:space="preserve"> </w:t>
      </w:r>
      <w:r>
        <w:rPr>
          <w:sz w:val="17"/>
        </w:rPr>
        <w:t>defined</w:t>
      </w:r>
      <w:r>
        <w:rPr>
          <w:spacing w:val="-1"/>
          <w:sz w:val="17"/>
        </w:rPr>
        <w:t xml:space="preserve"> </w:t>
      </w:r>
      <w:r>
        <w:rPr>
          <w:sz w:val="17"/>
        </w:rPr>
        <w:t>in Rule 12b-2</w:t>
      </w:r>
      <w:r>
        <w:rPr>
          <w:spacing w:val="-1"/>
          <w:sz w:val="17"/>
        </w:rPr>
        <w:t xml:space="preserve"> </w:t>
      </w:r>
      <w:r>
        <w:rPr>
          <w:sz w:val="17"/>
        </w:rPr>
        <w:t>of the Exchange</w:t>
      </w:r>
      <w:r>
        <w:rPr>
          <w:spacing w:val="-1"/>
          <w:sz w:val="17"/>
        </w:rPr>
        <w:t xml:space="preserve"> </w:t>
      </w:r>
      <w:r>
        <w:rPr>
          <w:sz w:val="17"/>
        </w:rPr>
        <w:t>Act). Yes</w:t>
      </w:r>
      <w:r>
        <w:rPr>
          <w:spacing w:val="-6"/>
          <w:sz w:val="17"/>
        </w:rPr>
        <w:t xml:space="preserve"> </w:t>
      </w:r>
      <w:proofErr w:type="gramStart"/>
      <w:r>
        <w:rPr>
          <w:rFonts w:ascii="Arial Unicode MS" w:hAnsi="Arial Unicode MS"/>
          <w:sz w:val="17"/>
        </w:rPr>
        <w:t>☐</w:t>
      </w:r>
      <w:r>
        <w:rPr>
          <w:rFonts w:ascii="Arial Unicode MS" w:hAnsi="Arial Unicode MS"/>
          <w:spacing w:val="36"/>
          <w:sz w:val="17"/>
        </w:rPr>
        <w:t xml:space="preserve">  </w:t>
      </w:r>
      <w:r>
        <w:rPr>
          <w:sz w:val="17"/>
        </w:rPr>
        <w:t>No</w:t>
      </w:r>
      <w:proofErr w:type="gramEnd"/>
      <w:r>
        <w:rPr>
          <w:spacing w:val="-1"/>
          <w:sz w:val="17"/>
        </w:rPr>
        <w:t xml:space="preserve"> </w:t>
      </w:r>
      <w:r>
        <w:rPr>
          <w:rFonts w:ascii="Arial Unicode MS" w:hAnsi="Arial Unicode MS"/>
          <w:spacing w:val="-10"/>
          <w:sz w:val="17"/>
        </w:rPr>
        <w:t>☒</w:t>
      </w:r>
    </w:p>
    <w:p w14:paraId="3F64ABC8" w14:textId="77777777" w:rsidR="00AE2255" w:rsidRDefault="00000000">
      <w:pPr>
        <w:spacing w:before="68" w:line="249" w:lineRule="auto"/>
        <w:ind w:left="250"/>
        <w:rPr>
          <w:sz w:val="17"/>
        </w:rPr>
      </w:pPr>
      <w:r>
        <w:rPr>
          <w:sz w:val="17"/>
        </w:rPr>
        <w:t>The</w:t>
      </w:r>
      <w:r>
        <w:rPr>
          <w:spacing w:val="-2"/>
          <w:sz w:val="17"/>
        </w:rPr>
        <w:t xml:space="preserve"> </w:t>
      </w:r>
      <w:r>
        <w:rPr>
          <w:sz w:val="17"/>
        </w:rPr>
        <w:t>aggregate</w:t>
      </w:r>
      <w:r>
        <w:rPr>
          <w:spacing w:val="-2"/>
          <w:sz w:val="17"/>
        </w:rPr>
        <w:t xml:space="preserve"> </w:t>
      </w:r>
      <w:r>
        <w:rPr>
          <w:sz w:val="17"/>
        </w:rPr>
        <w:t>market</w:t>
      </w:r>
      <w:r>
        <w:rPr>
          <w:spacing w:val="-2"/>
          <w:sz w:val="17"/>
        </w:rPr>
        <w:t xml:space="preserve"> </w:t>
      </w:r>
      <w:r>
        <w:rPr>
          <w:sz w:val="17"/>
        </w:rPr>
        <w:t>value</w:t>
      </w:r>
      <w:r>
        <w:rPr>
          <w:spacing w:val="-2"/>
          <w:sz w:val="17"/>
        </w:rPr>
        <w:t xml:space="preserve"> </w:t>
      </w:r>
      <w:r>
        <w:rPr>
          <w:sz w:val="17"/>
        </w:rPr>
        <w:t>of</w:t>
      </w:r>
      <w:r>
        <w:rPr>
          <w:spacing w:val="-2"/>
          <w:sz w:val="17"/>
        </w:rPr>
        <w:t xml:space="preserve"> </w:t>
      </w:r>
      <w:r>
        <w:rPr>
          <w:sz w:val="17"/>
        </w:rPr>
        <w:t>voting</w:t>
      </w:r>
      <w:r>
        <w:rPr>
          <w:spacing w:val="-2"/>
          <w:sz w:val="17"/>
        </w:rPr>
        <w:t xml:space="preserve"> </w:t>
      </w:r>
      <w:r>
        <w:rPr>
          <w:sz w:val="17"/>
        </w:rPr>
        <w:t>and</w:t>
      </w:r>
      <w:r>
        <w:rPr>
          <w:spacing w:val="-2"/>
          <w:sz w:val="17"/>
        </w:rPr>
        <w:t xml:space="preserve"> </w:t>
      </w:r>
      <w:r>
        <w:rPr>
          <w:sz w:val="17"/>
        </w:rPr>
        <w:t>non-voting</w:t>
      </w:r>
      <w:r>
        <w:rPr>
          <w:spacing w:val="-2"/>
          <w:sz w:val="17"/>
        </w:rPr>
        <w:t xml:space="preserve"> </w:t>
      </w:r>
      <w:r>
        <w:rPr>
          <w:sz w:val="17"/>
        </w:rPr>
        <w:t>common</w:t>
      </w:r>
      <w:r>
        <w:rPr>
          <w:spacing w:val="-2"/>
          <w:sz w:val="17"/>
        </w:rPr>
        <w:t xml:space="preserve"> </w:t>
      </w:r>
      <w:r>
        <w:rPr>
          <w:sz w:val="17"/>
        </w:rPr>
        <w:t>stock</w:t>
      </w:r>
      <w:r>
        <w:rPr>
          <w:spacing w:val="-2"/>
          <w:sz w:val="17"/>
        </w:rPr>
        <w:t xml:space="preserve"> </w:t>
      </w:r>
      <w:r>
        <w:rPr>
          <w:sz w:val="17"/>
        </w:rPr>
        <w:t>held</w:t>
      </w:r>
      <w:r>
        <w:rPr>
          <w:spacing w:val="-2"/>
          <w:sz w:val="17"/>
        </w:rPr>
        <w:t xml:space="preserve"> </w:t>
      </w:r>
      <w:r>
        <w:rPr>
          <w:sz w:val="17"/>
        </w:rPr>
        <w:t>by</w:t>
      </w:r>
      <w:r>
        <w:rPr>
          <w:spacing w:val="-2"/>
          <w:sz w:val="17"/>
        </w:rPr>
        <w:t xml:space="preserve"> </w:t>
      </w:r>
      <w:r>
        <w:rPr>
          <w:sz w:val="17"/>
        </w:rPr>
        <w:t>non-affiliates</w:t>
      </w:r>
      <w:r>
        <w:rPr>
          <w:spacing w:val="-2"/>
          <w:sz w:val="17"/>
        </w:rPr>
        <w:t xml:space="preserve"> </w:t>
      </w:r>
      <w:r>
        <w:rPr>
          <w:sz w:val="17"/>
        </w:rPr>
        <w:t>of</w:t>
      </w:r>
      <w:r>
        <w:rPr>
          <w:spacing w:val="-2"/>
          <w:sz w:val="17"/>
        </w:rPr>
        <w:t xml:space="preserve"> </w:t>
      </w:r>
      <w:r>
        <w:rPr>
          <w:sz w:val="17"/>
        </w:rPr>
        <w:t>the</w:t>
      </w:r>
      <w:r>
        <w:rPr>
          <w:spacing w:val="-2"/>
          <w:sz w:val="17"/>
        </w:rPr>
        <w:t xml:space="preserve"> </w:t>
      </w:r>
      <w:r>
        <w:rPr>
          <w:sz w:val="17"/>
        </w:rPr>
        <w:t>registrant</w:t>
      </w:r>
      <w:r>
        <w:rPr>
          <w:spacing w:val="-2"/>
          <w:sz w:val="17"/>
        </w:rPr>
        <w:t xml:space="preserve"> </w:t>
      </w:r>
      <w:r>
        <w:rPr>
          <w:sz w:val="17"/>
        </w:rPr>
        <w:t>computed</w:t>
      </w:r>
      <w:r>
        <w:rPr>
          <w:spacing w:val="-2"/>
          <w:sz w:val="17"/>
        </w:rPr>
        <w:t xml:space="preserve"> </w:t>
      </w:r>
      <w:r>
        <w:rPr>
          <w:sz w:val="17"/>
        </w:rPr>
        <w:t>by</w:t>
      </w:r>
      <w:r>
        <w:rPr>
          <w:spacing w:val="-2"/>
          <w:sz w:val="17"/>
        </w:rPr>
        <w:t xml:space="preserve"> </w:t>
      </w:r>
      <w:r>
        <w:rPr>
          <w:sz w:val="17"/>
        </w:rPr>
        <w:t>reference</w:t>
      </w:r>
      <w:r>
        <w:rPr>
          <w:spacing w:val="-2"/>
          <w:sz w:val="17"/>
        </w:rPr>
        <w:t xml:space="preserve"> </w:t>
      </w:r>
      <w:r>
        <w:rPr>
          <w:sz w:val="17"/>
        </w:rPr>
        <w:t>to</w:t>
      </w:r>
      <w:r>
        <w:rPr>
          <w:spacing w:val="-2"/>
          <w:sz w:val="17"/>
        </w:rPr>
        <w:t xml:space="preserve"> </w:t>
      </w:r>
      <w:r>
        <w:rPr>
          <w:sz w:val="17"/>
        </w:rPr>
        <w:t>the</w:t>
      </w:r>
      <w:r>
        <w:rPr>
          <w:spacing w:val="-2"/>
          <w:sz w:val="17"/>
        </w:rPr>
        <w:t xml:space="preserve"> </w:t>
      </w:r>
      <w:r>
        <w:rPr>
          <w:sz w:val="17"/>
        </w:rPr>
        <w:t>last</w:t>
      </w:r>
      <w:r>
        <w:rPr>
          <w:spacing w:val="-2"/>
          <w:sz w:val="17"/>
        </w:rPr>
        <w:t xml:space="preserve"> </w:t>
      </w:r>
      <w:r>
        <w:rPr>
          <w:sz w:val="17"/>
        </w:rPr>
        <w:t>sales</w:t>
      </w:r>
      <w:r>
        <w:rPr>
          <w:spacing w:val="-2"/>
          <w:sz w:val="17"/>
        </w:rPr>
        <w:t xml:space="preserve"> </w:t>
      </w:r>
      <w:r>
        <w:rPr>
          <w:sz w:val="17"/>
        </w:rPr>
        <w:t>price</w:t>
      </w:r>
      <w:r>
        <w:rPr>
          <w:spacing w:val="-2"/>
          <w:sz w:val="17"/>
        </w:rPr>
        <w:t xml:space="preserve"> </w:t>
      </w:r>
      <w:r>
        <w:rPr>
          <w:sz w:val="17"/>
        </w:rPr>
        <w:t>of</w:t>
      </w:r>
      <w:r>
        <w:rPr>
          <w:spacing w:val="-2"/>
          <w:sz w:val="17"/>
        </w:rPr>
        <w:t xml:space="preserve"> </w:t>
      </w:r>
      <w:r>
        <w:rPr>
          <w:sz w:val="17"/>
        </w:rPr>
        <w:t>such stock, as of the last business day of the registrant’s most recently completed second fiscal quarter, which was</w:t>
      </w:r>
      <w:r>
        <w:rPr>
          <w:spacing w:val="-6"/>
          <w:sz w:val="17"/>
        </w:rPr>
        <w:t xml:space="preserve"> </w:t>
      </w:r>
      <w:r>
        <w:rPr>
          <w:sz w:val="17"/>
        </w:rPr>
        <w:t>June 24, 2022, was approximately</w:t>
      </w:r>
      <w:r>
        <w:rPr>
          <w:spacing w:val="-1"/>
          <w:sz w:val="17"/>
        </w:rPr>
        <w:t xml:space="preserve"> </w:t>
      </w:r>
      <w:r>
        <w:rPr>
          <w:sz w:val="17"/>
        </w:rPr>
        <w:t>$110.7 billion.</w:t>
      </w:r>
    </w:p>
    <w:p w14:paraId="141EE882" w14:textId="77777777" w:rsidR="00AE2255" w:rsidRDefault="00000000">
      <w:pPr>
        <w:spacing w:before="121"/>
        <w:ind w:left="250"/>
        <w:rPr>
          <w:sz w:val="17"/>
        </w:rPr>
      </w:pPr>
      <w:r>
        <w:rPr>
          <w:sz w:val="17"/>
        </w:rPr>
        <w:t>There</w:t>
      </w:r>
      <w:r>
        <w:rPr>
          <w:spacing w:val="-3"/>
          <w:sz w:val="17"/>
        </w:rPr>
        <w:t xml:space="preserve"> </w:t>
      </w:r>
      <w:r>
        <w:rPr>
          <w:sz w:val="17"/>
        </w:rPr>
        <w:t>were</w:t>
      </w:r>
      <w:r>
        <w:rPr>
          <w:spacing w:val="-1"/>
          <w:sz w:val="17"/>
        </w:rPr>
        <w:t xml:space="preserve"> </w:t>
      </w:r>
      <w:r>
        <w:rPr>
          <w:sz w:val="17"/>
        </w:rPr>
        <w:t>255,297,298</w:t>
      </w:r>
      <w:r>
        <w:rPr>
          <w:spacing w:val="-1"/>
          <w:sz w:val="17"/>
        </w:rPr>
        <w:t xml:space="preserve"> </w:t>
      </w:r>
      <w:r>
        <w:rPr>
          <w:sz w:val="17"/>
        </w:rPr>
        <w:t>shares</w:t>
      </w:r>
      <w:r>
        <w:rPr>
          <w:spacing w:val="-2"/>
          <w:sz w:val="17"/>
        </w:rPr>
        <w:t xml:space="preserve"> </w:t>
      </w:r>
      <w:r>
        <w:rPr>
          <w:sz w:val="17"/>
        </w:rPr>
        <w:t>of our common</w:t>
      </w:r>
      <w:r>
        <w:rPr>
          <w:spacing w:val="-1"/>
          <w:sz w:val="17"/>
        </w:rPr>
        <w:t xml:space="preserve"> </w:t>
      </w:r>
      <w:r>
        <w:rPr>
          <w:sz w:val="17"/>
        </w:rPr>
        <w:t>stock, $1 par</w:t>
      </w:r>
      <w:r>
        <w:rPr>
          <w:spacing w:val="-1"/>
          <w:sz w:val="17"/>
        </w:rPr>
        <w:t xml:space="preserve"> </w:t>
      </w:r>
      <w:r>
        <w:rPr>
          <w:sz w:val="17"/>
        </w:rPr>
        <w:t>value per</w:t>
      </w:r>
      <w:r>
        <w:rPr>
          <w:spacing w:val="-1"/>
          <w:sz w:val="17"/>
        </w:rPr>
        <w:t xml:space="preserve"> </w:t>
      </w:r>
      <w:r>
        <w:rPr>
          <w:sz w:val="17"/>
        </w:rPr>
        <w:t>share, outstanding as</w:t>
      </w:r>
      <w:r>
        <w:rPr>
          <w:spacing w:val="-2"/>
          <w:sz w:val="17"/>
        </w:rPr>
        <w:t xml:space="preserve"> </w:t>
      </w:r>
      <w:r>
        <w:rPr>
          <w:sz w:val="17"/>
        </w:rPr>
        <w:t>of</w:t>
      </w:r>
      <w:r>
        <w:rPr>
          <w:spacing w:val="-4"/>
          <w:sz w:val="17"/>
        </w:rPr>
        <w:t xml:space="preserve"> </w:t>
      </w:r>
      <w:r>
        <w:rPr>
          <w:sz w:val="17"/>
        </w:rPr>
        <w:t xml:space="preserve">January 20, </w:t>
      </w:r>
      <w:r>
        <w:rPr>
          <w:spacing w:val="-2"/>
          <w:sz w:val="17"/>
        </w:rPr>
        <w:t>2023.</w:t>
      </w:r>
    </w:p>
    <w:p w14:paraId="00CA7655" w14:textId="77777777" w:rsidR="00AE2255" w:rsidRDefault="00000000">
      <w:pPr>
        <w:spacing w:before="126"/>
        <w:ind w:left="41" w:right="38"/>
        <w:jc w:val="center"/>
        <w:rPr>
          <w:b/>
          <w:sz w:val="17"/>
        </w:rPr>
      </w:pPr>
      <w:r>
        <w:rPr>
          <w:b/>
          <w:sz w:val="17"/>
        </w:rPr>
        <w:t>DOCUMENTS</w:t>
      </w:r>
      <w:r>
        <w:rPr>
          <w:b/>
          <w:spacing w:val="-6"/>
          <w:sz w:val="17"/>
        </w:rPr>
        <w:t xml:space="preserve"> </w:t>
      </w:r>
      <w:r>
        <w:rPr>
          <w:b/>
          <w:sz w:val="17"/>
        </w:rPr>
        <w:t>INCORPORATED</w:t>
      </w:r>
      <w:r>
        <w:rPr>
          <w:b/>
          <w:spacing w:val="-6"/>
          <w:sz w:val="17"/>
        </w:rPr>
        <w:t xml:space="preserve"> </w:t>
      </w:r>
      <w:r>
        <w:rPr>
          <w:b/>
          <w:sz w:val="17"/>
        </w:rPr>
        <w:t>BY</w:t>
      </w:r>
      <w:r>
        <w:rPr>
          <w:b/>
          <w:spacing w:val="-6"/>
          <w:sz w:val="17"/>
        </w:rPr>
        <w:t xml:space="preserve"> </w:t>
      </w:r>
      <w:r>
        <w:rPr>
          <w:b/>
          <w:spacing w:val="-2"/>
          <w:sz w:val="17"/>
        </w:rPr>
        <w:t>REFERENCE</w:t>
      </w:r>
    </w:p>
    <w:p w14:paraId="722A49B5" w14:textId="77777777" w:rsidR="00AE2255" w:rsidRDefault="00000000">
      <w:pPr>
        <w:spacing w:before="125" w:line="194" w:lineRule="auto"/>
        <w:ind w:left="250"/>
        <w:rPr>
          <w:sz w:val="17"/>
        </w:rPr>
      </w:pPr>
      <w:r>
        <w:rPr>
          <w:sz w:val="17"/>
        </w:rPr>
        <w:t>Portions</w:t>
      </w:r>
      <w:r>
        <w:rPr>
          <w:spacing w:val="-1"/>
          <w:sz w:val="17"/>
        </w:rPr>
        <w:t xml:space="preserve"> </w:t>
      </w:r>
      <w:r>
        <w:rPr>
          <w:sz w:val="17"/>
        </w:rPr>
        <w:t>of</w:t>
      </w:r>
      <w:r>
        <w:rPr>
          <w:spacing w:val="-1"/>
          <w:sz w:val="17"/>
        </w:rPr>
        <w:t xml:space="preserve"> </w:t>
      </w:r>
      <w:r>
        <w:rPr>
          <w:sz w:val="17"/>
        </w:rPr>
        <w:t>Lockheed</w:t>
      </w:r>
      <w:r>
        <w:rPr>
          <w:spacing w:val="-1"/>
          <w:sz w:val="17"/>
        </w:rPr>
        <w:t xml:space="preserve"> </w:t>
      </w:r>
      <w:r>
        <w:rPr>
          <w:sz w:val="17"/>
        </w:rPr>
        <w:t>Martin</w:t>
      </w:r>
      <w:r>
        <w:rPr>
          <w:spacing w:val="-1"/>
          <w:sz w:val="17"/>
        </w:rPr>
        <w:t xml:space="preserve"> </w:t>
      </w:r>
      <w:r>
        <w:rPr>
          <w:sz w:val="17"/>
        </w:rPr>
        <w:t>Corporation’s</w:t>
      </w:r>
      <w:r>
        <w:rPr>
          <w:spacing w:val="-2"/>
          <w:sz w:val="17"/>
        </w:rPr>
        <w:t xml:space="preserve"> </w:t>
      </w:r>
      <w:r>
        <w:rPr>
          <w:sz w:val="17"/>
        </w:rPr>
        <w:t>2023</w:t>
      </w:r>
      <w:r>
        <w:rPr>
          <w:spacing w:val="-1"/>
          <w:sz w:val="17"/>
        </w:rPr>
        <w:t xml:space="preserve"> </w:t>
      </w:r>
      <w:r>
        <w:rPr>
          <w:sz w:val="17"/>
        </w:rPr>
        <w:t>Definitive</w:t>
      </w:r>
      <w:r>
        <w:rPr>
          <w:spacing w:val="-1"/>
          <w:sz w:val="17"/>
        </w:rPr>
        <w:t xml:space="preserve"> </w:t>
      </w:r>
      <w:r>
        <w:rPr>
          <w:sz w:val="17"/>
        </w:rPr>
        <w:t>Proxy</w:t>
      </w:r>
      <w:r>
        <w:rPr>
          <w:spacing w:val="-1"/>
          <w:sz w:val="17"/>
        </w:rPr>
        <w:t xml:space="preserve"> </w:t>
      </w:r>
      <w:r>
        <w:rPr>
          <w:sz w:val="17"/>
        </w:rPr>
        <w:t>Statement</w:t>
      </w:r>
      <w:r>
        <w:rPr>
          <w:spacing w:val="-1"/>
          <w:sz w:val="17"/>
        </w:rPr>
        <w:t xml:space="preserve"> </w:t>
      </w:r>
      <w:r>
        <w:rPr>
          <w:sz w:val="17"/>
        </w:rPr>
        <w:t>are</w:t>
      </w:r>
      <w:r>
        <w:rPr>
          <w:spacing w:val="-1"/>
          <w:sz w:val="17"/>
        </w:rPr>
        <w:t xml:space="preserve"> </w:t>
      </w:r>
      <w:r>
        <w:rPr>
          <w:sz w:val="17"/>
        </w:rPr>
        <w:t>incorporated</w:t>
      </w:r>
      <w:r>
        <w:rPr>
          <w:spacing w:val="-1"/>
          <w:sz w:val="17"/>
        </w:rPr>
        <w:t xml:space="preserve"> </w:t>
      </w:r>
      <w:r>
        <w:rPr>
          <w:sz w:val="17"/>
        </w:rPr>
        <w:t>by</w:t>
      </w:r>
      <w:r>
        <w:rPr>
          <w:spacing w:val="-1"/>
          <w:sz w:val="17"/>
        </w:rPr>
        <w:t xml:space="preserve"> </w:t>
      </w:r>
      <w:r>
        <w:rPr>
          <w:sz w:val="17"/>
        </w:rPr>
        <w:t>reference</w:t>
      </w:r>
      <w:r>
        <w:rPr>
          <w:spacing w:val="-1"/>
          <w:sz w:val="17"/>
        </w:rPr>
        <w:t xml:space="preserve"> </w:t>
      </w:r>
      <w:r>
        <w:rPr>
          <w:sz w:val="17"/>
        </w:rPr>
        <w:t>into</w:t>
      </w:r>
      <w:r>
        <w:rPr>
          <w:spacing w:val="-1"/>
          <w:sz w:val="17"/>
        </w:rPr>
        <w:t xml:space="preserve"> </w:t>
      </w:r>
      <w:r>
        <w:rPr>
          <w:sz w:val="17"/>
        </w:rPr>
        <w:t>Part</w:t>
      </w:r>
      <w:r>
        <w:rPr>
          <w:spacing w:val="-1"/>
          <w:sz w:val="17"/>
        </w:rPr>
        <w:t xml:space="preserve"> </w:t>
      </w:r>
      <w:r>
        <w:rPr>
          <w:sz w:val="17"/>
        </w:rPr>
        <w:t>III</w:t>
      </w:r>
      <w:r>
        <w:rPr>
          <w:spacing w:val="-1"/>
          <w:sz w:val="17"/>
        </w:rPr>
        <w:t xml:space="preserve"> </w:t>
      </w:r>
      <w:r>
        <w:rPr>
          <w:sz w:val="17"/>
        </w:rPr>
        <w:t>of</w:t>
      </w:r>
      <w:r>
        <w:rPr>
          <w:spacing w:val="-1"/>
          <w:sz w:val="17"/>
        </w:rPr>
        <w:t xml:space="preserve"> </w:t>
      </w:r>
      <w:r>
        <w:rPr>
          <w:sz w:val="17"/>
        </w:rPr>
        <w:t>this</w:t>
      </w:r>
      <w:r>
        <w:rPr>
          <w:spacing w:val="-1"/>
          <w:sz w:val="17"/>
        </w:rPr>
        <w:t xml:space="preserve"> </w:t>
      </w:r>
      <w:r>
        <w:rPr>
          <w:sz w:val="17"/>
        </w:rPr>
        <w:t>Form</w:t>
      </w:r>
      <w:r>
        <w:rPr>
          <w:spacing w:val="-1"/>
          <w:sz w:val="17"/>
        </w:rPr>
        <w:t xml:space="preserve"> </w:t>
      </w:r>
      <w:r>
        <w:rPr>
          <w:sz w:val="17"/>
        </w:rPr>
        <w:t>10</w:t>
      </w:r>
      <w:r>
        <w:rPr>
          <w:rFonts w:ascii="Arial Unicode MS" w:hAnsi="Arial Unicode MS"/>
          <w:sz w:val="17"/>
        </w:rPr>
        <w:t>-</w:t>
      </w:r>
      <w:r>
        <w:rPr>
          <w:sz w:val="17"/>
        </w:rPr>
        <w:t>K.</w:t>
      </w:r>
      <w:r>
        <w:rPr>
          <w:spacing w:val="-1"/>
          <w:sz w:val="17"/>
        </w:rPr>
        <w:t xml:space="preserve"> </w:t>
      </w:r>
      <w:r>
        <w:rPr>
          <w:sz w:val="17"/>
        </w:rPr>
        <w:t>The</w:t>
      </w:r>
      <w:r>
        <w:rPr>
          <w:spacing w:val="-1"/>
          <w:sz w:val="17"/>
        </w:rPr>
        <w:t xml:space="preserve"> </w:t>
      </w:r>
      <w:r>
        <w:rPr>
          <w:sz w:val="17"/>
        </w:rPr>
        <w:t>2023</w:t>
      </w:r>
      <w:r>
        <w:rPr>
          <w:spacing w:val="-1"/>
          <w:sz w:val="17"/>
        </w:rPr>
        <w:t xml:space="preserve"> </w:t>
      </w:r>
      <w:r>
        <w:rPr>
          <w:sz w:val="17"/>
        </w:rPr>
        <w:t>Definitive Proxy Statement will be filed with the Securities and Exchange Commission within 120 days after the end of the fiscal year to which this report relates.</w:t>
      </w:r>
    </w:p>
    <w:p w14:paraId="5B5A92C0" w14:textId="77777777" w:rsidR="00AE2255" w:rsidRDefault="00AE2255">
      <w:pPr>
        <w:spacing w:line="194" w:lineRule="auto"/>
        <w:rPr>
          <w:sz w:val="17"/>
        </w:rPr>
        <w:sectPr w:rsidR="00AE2255">
          <w:type w:val="continuous"/>
          <w:pgSz w:w="12240" w:h="15840"/>
          <w:pgMar w:top="440" w:right="560" w:bottom="280" w:left="380" w:header="230" w:footer="0" w:gutter="0"/>
          <w:cols w:space="720"/>
        </w:sectPr>
      </w:pPr>
    </w:p>
    <w:p w14:paraId="3CBCA7A4" w14:textId="77777777" w:rsidR="00AE2255" w:rsidRDefault="00AE2255">
      <w:pPr>
        <w:pStyle w:val="BodyText"/>
      </w:pPr>
    </w:p>
    <w:p w14:paraId="2C781AE4" w14:textId="77777777" w:rsidR="00AE2255" w:rsidRDefault="00AE2255">
      <w:pPr>
        <w:pStyle w:val="BodyText"/>
      </w:pPr>
    </w:p>
    <w:p w14:paraId="16AC6E47" w14:textId="77777777" w:rsidR="00AE2255" w:rsidRDefault="00AE2255">
      <w:pPr>
        <w:pStyle w:val="BodyText"/>
        <w:spacing w:before="2"/>
        <w:rPr>
          <w:sz w:val="12"/>
        </w:rPr>
      </w:pPr>
    </w:p>
    <w:tbl>
      <w:tblPr>
        <w:tblW w:w="0" w:type="auto"/>
        <w:tblInd w:w="620" w:type="dxa"/>
        <w:tblLayout w:type="fixed"/>
        <w:tblCellMar>
          <w:left w:w="0" w:type="dxa"/>
          <w:right w:w="0" w:type="dxa"/>
        </w:tblCellMar>
        <w:tblLook w:val="01E0" w:firstRow="1" w:lastRow="1" w:firstColumn="1" w:lastColumn="1" w:noHBand="0" w:noVBand="0"/>
      </w:tblPr>
      <w:tblGrid>
        <w:gridCol w:w="1375"/>
        <w:gridCol w:w="8252"/>
        <w:gridCol w:w="600"/>
      </w:tblGrid>
      <w:tr w:rsidR="00AE2255" w14:paraId="5364A3D8" w14:textId="77777777">
        <w:trPr>
          <w:trHeight w:val="320"/>
        </w:trPr>
        <w:tc>
          <w:tcPr>
            <w:tcW w:w="1375" w:type="dxa"/>
            <w:vMerge w:val="restart"/>
          </w:tcPr>
          <w:p w14:paraId="700F5E46" w14:textId="77777777" w:rsidR="00AE2255" w:rsidRDefault="00AE2255">
            <w:pPr>
              <w:pStyle w:val="TableParagraph"/>
              <w:spacing w:before="0"/>
              <w:jc w:val="left"/>
              <w:rPr>
                <w:sz w:val="20"/>
              </w:rPr>
            </w:pPr>
          </w:p>
        </w:tc>
        <w:tc>
          <w:tcPr>
            <w:tcW w:w="8252" w:type="dxa"/>
          </w:tcPr>
          <w:p w14:paraId="18A0A462" w14:textId="77777777" w:rsidR="00AE2255" w:rsidRDefault="00000000">
            <w:pPr>
              <w:pStyle w:val="TableParagraph"/>
              <w:spacing w:before="0" w:line="221" w:lineRule="exact"/>
              <w:ind w:left="2447"/>
              <w:jc w:val="left"/>
              <w:rPr>
                <w:b/>
                <w:sz w:val="20"/>
              </w:rPr>
            </w:pPr>
            <w:bookmarkStart w:id="1" w:name="Table_of_Contents"/>
            <w:bookmarkStart w:id="2" w:name="_bookmark0"/>
            <w:bookmarkEnd w:id="1"/>
            <w:bookmarkEnd w:id="2"/>
            <w:r>
              <w:rPr>
                <w:b/>
                <w:sz w:val="20"/>
              </w:rPr>
              <w:t>Lockheed</w:t>
            </w:r>
            <w:r>
              <w:rPr>
                <w:b/>
                <w:spacing w:val="-6"/>
                <w:sz w:val="20"/>
              </w:rPr>
              <w:t xml:space="preserve"> </w:t>
            </w:r>
            <w:r>
              <w:rPr>
                <w:b/>
                <w:sz w:val="20"/>
              </w:rPr>
              <w:t>Martin</w:t>
            </w:r>
            <w:r>
              <w:rPr>
                <w:b/>
                <w:spacing w:val="-5"/>
                <w:sz w:val="20"/>
              </w:rPr>
              <w:t xml:space="preserve"> </w:t>
            </w:r>
            <w:r>
              <w:rPr>
                <w:b/>
                <w:spacing w:val="-2"/>
                <w:sz w:val="20"/>
              </w:rPr>
              <w:t>Corporation</w:t>
            </w:r>
          </w:p>
        </w:tc>
        <w:tc>
          <w:tcPr>
            <w:tcW w:w="600" w:type="dxa"/>
            <w:vMerge w:val="restart"/>
          </w:tcPr>
          <w:p w14:paraId="65CF0E4E" w14:textId="77777777" w:rsidR="00AE2255" w:rsidRDefault="00AE2255">
            <w:pPr>
              <w:pStyle w:val="TableParagraph"/>
              <w:spacing w:before="0"/>
              <w:jc w:val="left"/>
              <w:rPr>
                <w:sz w:val="20"/>
              </w:rPr>
            </w:pPr>
          </w:p>
        </w:tc>
      </w:tr>
      <w:tr w:rsidR="00AE2255" w14:paraId="1E4E1915" w14:textId="77777777">
        <w:trPr>
          <w:trHeight w:val="660"/>
        </w:trPr>
        <w:tc>
          <w:tcPr>
            <w:tcW w:w="1375" w:type="dxa"/>
            <w:vMerge/>
            <w:tcBorders>
              <w:top w:val="nil"/>
            </w:tcBorders>
          </w:tcPr>
          <w:p w14:paraId="56EE89AE" w14:textId="77777777" w:rsidR="00AE2255" w:rsidRDefault="00AE2255">
            <w:pPr>
              <w:rPr>
                <w:sz w:val="2"/>
                <w:szCs w:val="2"/>
              </w:rPr>
            </w:pPr>
          </w:p>
        </w:tc>
        <w:tc>
          <w:tcPr>
            <w:tcW w:w="8252" w:type="dxa"/>
          </w:tcPr>
          <w:p w14:paraId="1824CDDA" w14:textId="77777777" w:rsidR="00AE2255" w:rsidRDefault="00000000">
            <w:pPr>
              <w:pStyle w:val="TableParagraph"/>
              <w:spacing w:before="90"/>
              <w:ind w:left="2065" w:right="2810"/>
              <w:jc w:val="center"/>
              <w:rPr>
                <w:b/>
                <w:sz w:val="20"/>
              </w:rPr>
            </w:pPr>
            <w:r>
              <w:rPr>
                <w:b/>
                <w:sz w:val="20"/>
              </w:rPr>
              <w:t>Form</w:t>
            </w:r>
            <w:r>
              <w:rPr>
                <w:b/>
                <w:spacing w:val="-2"/>
                <w:sz w:val="20"/>
              </w:rPr>
              <w:t xml:space="preserve"> </w:t>
            </w:r>
            <w:r>
              <w:rPr>
                <w:b/>
                <w:sz w:val="20"/>
              </w:rPr>
              <w:t>10-</w:t>
            </w:r>
            <w:r>
              <w:rPr>
                <w:b/>
                <w:spacing w:val="-10"/>
                <w:sz w:val="20"/>
              </w:rPr>
              <w:t>K</w:t>
            </w:r>
          </w:p>
          <w:p w14:paraId="56F9DE6A" w14:textId="77777777" w:rsidR="00AE2255" w:rsidRDefault="00000000">
            <w:pPr>
              <w:pStyle w:val="TableParagraph"/>
              <w:spacing w:before="10"/>
              <w:ind w:left="2065" w:right="2810"/>
              <w:jc w:val="center"/>
              <w:rPr>
                <w:b/>
                <w:sz w:val="20"/>
              </w:rPr>
            </w:pPr>
            <w:r>
              <w:rPr>
                <w:b/>
                <w:sz w:val="20"/>
              </w:rPr>
              <w:t>For</w:t>
            </w:r>
            <w:r>
              <w:rPr>
                <w:b/>
                <w:spacing w:val="-4"/>
                <w:sz w:val="20"/>
              </w:rPr>
              <w:t xml:space="preserve"> </w:t>
            </w:r>
            <w:r>
              <w:rPr>
                <w:b/>
                <w:sz w:val="20"/>
              </w:rPr>
              <w:t>the</w:t>
            </w:r>
            <w:r>
              <w:rPr>
                <w:b/>
                <w:spacing w:val="-3"/>
                <w:sz w:val="20"/>
              </w:rPr>
              <w:t xml:space="preserve"> </w:t>
            </w:r>
            <w:r>
              <w:rPr>
                <w:b/>
                <w:sz w:val="20"/>
              </w:rPr>
              <w:t>Year</w:t>
            </w:r>
            <w:r>
              <w:rPr>
                <w:b/>
                <w:spacing w:val="-3"/>
                <w:sz w:val="20"/>
              </w:rPr>
              <w:t xml:space="preserve"> </w:t>
            </w:r>
            <w:r>
              <w:rPr>
                <w:b/>
                <w:sz w:val="20"/>
              </w:rPr>
              <w:t>Ended</w:t>
            </w:r>
            <w:r>
              <w:rPr>
                <w:b/>
                <w:spacing w:val="-4"/>
                <w:sz w:val="20"/>
              </w:rPr>
              <w:t xml:space="preserve"> </w:t>
            </w:r>
            <w:r>
              <w:rPr>
                <w:b/>
                <w:sz w:val="20"/>
              </w:rPr>
              <w:t>December</w:t>
            </w:r>
            <w:r>
              <w:rPr>
                <w:b/>
                <w:spacing w:val="-3"/>
                <w:sz w:val="20"/>
              </w:rPr>
              <w:t xml:space="preserve"> </w:t>
            </w:r>
            <w:r>
              <w:rPr>
                <w:b/>
                <w:sz w:val="20"/>
              </w:rPr>
              <w:t>31,</w:t>
            </w:r>
            <w:r>
              <w:rPr>
                <w:b/>
                <w:spacing w:val="-2"/>
                <w:sz w:val="20"/>
              </w:rPr>
              <w:t xml:space="preserve"> </w:t>
            </w:r>
            <w:r>
              <w:rPr>
                <w:b/>
                <w:spacing w:val="-4"/>
                <w:sz w:val="20"/>
              </w:rPr>
              <w:t>2022</w:t>
            </w:r>
          </w:p>
        </w:tc>
        <w:tc>
          <w:tcPr>
            <w:tcW w:w="600" w:type="dxa"/>
            <w:vMerge/>
            <w:tcBorders>
              <w:top w:val="nil"/>
            </w:tcBorders>
          </w:tcPr>
          <w:p w14:paraId="4AD66784" w14:textId="77777777" w:rsidR="00AE2255" w:rsidRDefault="00AE2255">
            <w:pPr>
              <w:rPr>
                <w:sz w:val="2"/>
                <w:szCs w:val="2"/>
              </w:rPr>
            </w:pPr>
          </w:p>
        </w:tc>
      </w:tr>
      <w:tr w:rsidR="00AE2255" w14:paraId="0B1C65F2" w14:textId="77777777">
        <w:trPr>
          <w:trHeight w:val="519"/>
        </w:trPr>
        <w:tc>
          <w:tcPr>
            <w:tcW w:w="1375" w:type="dxa"/>
            <w:vMerge/>
            <w:tcBorders>
              <w:top w:val="nil"/>
            </w:tcBorders>
          </w:tcPr>
          <w:p w14:paraId="35250436" w14:textId="77777777" w:rsidR="00AE2255" w:rsidRDefault="00AE2255">
            <w:pPr>
              <w:rPr>
                <w:sz w:val="2"/>
                <w:szCs w:val="2"/>
              </w:rPr>
            </w:pPr>
          </w:p>
        </w:tc>
        <w:tc>
          <w:tcPr>
            <w:tcW w:w="8252" w:type="dxa"/>
          </w:tcPr>
          <w:p w14:paraId="681F4D54" w14:textId="77777777" w:rsidR="00AE2255" w:rsidRDefault="00000000">
            <w:pPr>
              <w:pStyle w:val="TableParagraph"/>
              <w:spacing w:before="90"/>
              <w:ind w:left="2065" w:right="2810"/>
              <w:jc w:val="center"/>
              <w:rPr>
                <w:b/>
                <w:sz w:val="20"/>
              </w:rPr>
            </w:pPr>
            <w:r>
              <w:rPr>
                <w:b/>
                <w:sz w:val="20"/>
              </w:rPr>
              <w:t>Table</w:t>
            </w:r>
            <w:r>
              <w:rPr>
                <w:b/>
                <w:spacing w:val="-5"/>
                <w:sz w:val="20"/>
              </w:rPr>
              <w:t xml:space="preserve"> </w:t>
            </w:r>
            <w:r>
              <w:rPr>
                <w:b/>
                <w:sz w:val="20"/>
              </w:rPr>
              <w:t>of</w:t>
            </w:r>
            <w:r>
              <w:rPr>
                <w:b/>
                <w:spacing w:val="-1"/>
                <w:sz w:val="20"/>
              </w:rPr>
              <w:t xml:space="preserve"> </w:t>
            </w:r>
            <w:r>
              <w:rPr>
                <w:b/>
                <w:spacing w:val="-2"/>
                <w:sz w:val="20"/>
              </w:rPr>
              <w:t>Contents</w:t>
            </w:r>
          </w:p>
        </w:tc>
        <w:tc>
          <w:tcPr>
            <w:tcW w:w="600" w:type="dxa"/>
            <w:vMerge/>
            <w:tcBorders>
              <w:top w:val="nil"/>
            </w:tcBorders>
          </w:tcPr>
          <w:p w14:paraId="13E674D2" w14:textId="77777777" w:rsidR="00AE2255" w:rsidRDefault="00AE2255">
            <w:pPr>
              <w:rPr>
                <w:sz w:val="2"/>
                <w:szCs w:val="2"/>
              </w:rPr>
            </w:pPr>
          </w:p>
        </w:tc>
      </w:tr>
      <w:tr w:rsidR="00AE2255" w14:paraId="7B024EEF" w14:textId="77777777">
        <w:trPr>
          <w:trHeight w:val="440"/>
        </w:trPr>
        <w:tc>
          <w:tcPr>
            <w:tcW w:w="1375" w:type="dxa"/>
          </w:tcPr>
          <w:p w14:paraId="5B7FBD98" w14:textId="77777777" w:rsidR="00AE2255" w:rsidRDefault="00000000">
            <w:pPr>
              <w:pStyle w:val="TableParagraph"/>
              <w:spacing w:before="190" w:line="230" w:lineRule="exact"/>
              <w:ind w:left="50"/>
              <w:jc w:val="left"/>
              <w:rPr>
                <w:b/>
                <w:sz w:val="20"/>
              </w:rPr>
            </w:pPr>
            <w:r>
              <w:rPr>
                <w:b/>
                <w:sz w:val="20"/>
              </w:rPr>
              <w:t>PART</w:t>
            </w:r>
            <w:r>
              <w:rPr>
                <w:b/>
                <w:spacing w:val="-4"/>
                <w:sz w:val="20"/>
              </w:rPr>
              <w:t xml:space="preserve"> </w:t>
            </w:r>
            <w:r>
              <w:rPr>
                <w:b/>
                <w:spacing w:val="-10"/>
                <w:sz w:val="20"/>
              </w:rPr>
              <w:t>I</w:t>
            </w:r>
          </w:p>
        </w:tc>
        <w:tc>
          <w:tcPr>
            <w:tcW w:w="8252" w:type="dxa"/>
          </w:tcPr>
          <w:p w14:paraId="4E995166" w14:textId="77777777" w:rsidR="00AE2255" w:rsidRDefault="00AE2255">
            <w:pPr>
              <w:pStyle w:val="TableParagraph"/>
              <w:spacing w:before="0"/>
              <w:jc w:val="left"/>
              <w:rPr>
                <w:sz w:val="20"/>
              </w:rPr>
            </w:pPr>
          </w:p>
        </w:tc>
        <w:tc>
          <w:tcPr>
            <w:tcW w:w="600" w:type="dxa"/>
            <w:tcBorders>
              <w:bottom w:val="single" w:sz="8" w:space="0" w:color="000000"/>
            </w:tcBorders>
          </w:tcPr>
          <w:p w14:paraId="6AD4A672" w14:textId="77777777" w:rsidR="00AE2255" w:rsidRDefault="00000000">
            <w:pPr>
              <w:pStyle w:val="TableParagraph"/>
              <w:spacing w:before="190" w:line="230" w:lineRule="exact"/>
              <w:ind w:left="69"/>
              <w:jc w:val="left"/>
              <w:rPr>
                <w:b/>
                <w:sz w:val="20"/>
              </w:rPr>
            </w:pPr>
            <w:r>
              <w:rPr>
                <w:b/>
                <w:spacing w:val="-4"/>
                <w:sz w:val="20"/>
              </w:rPr>
              <w:t>Page</w:t>
            </w:r>
          </w:p>
        </w:tc>
      </w:tr>
      <w:tr w:rsidR="00AE2255" w14:paraId="0FBB198C" w14:textId="77777777">
        <w:trPr>
          <w:trHeight w:val="592"/>
        </w:trPr>
        <w:tc>
          <w:tcPr>
            <w:tcW w:w="1375" w:type="dxa"/>
          </w:tcPr>
          <w:p w14:paraId="229B19D7" w14:textId="77777777" w:rsidR="00AE2255" w:rsidRDefault="00AE2255">
            <w:pPr>
              <w:pStyle w:val="TableParagraph"/>
              <w:spacing w:before="6"/>
              <w:jc w:val="left"/>
              <w:rPr>
                <w:sz w:val="27"/>
              </w:rPr>
            </w:pPr>
          </w:p>
          <w:p w14:paraId="333B200D" w14:textId="77777777" w:rsidR="00AE2255" w:rsidRDefault="00000000">
            <w:pPr>
              <w:pStyle w:val="TableParagraph"/>
              <w:spacing w:before="0"/>
              <w:ind w:left="275"/>
              <w:jc w:val="left"/>
              <w:rPr>
                <w:sz w:val="20"/>
              </w:rPr>
            </w:pPr>
            <w:r>
              <w:rPr>
                <w:sz w:val="20"/>
              </w:rPr>
              <w:t>ITEM</w:t>
            </w:r>
            <w:r>
              <w:rPr>
                <w:spacing w:val="-5"/>
                <w:sz w:val="20"/>
              </w:rPr>
              <w:t xml:space="preserve"> 1.</w:t>
            </w:r>
          </w:p>
        </w:tc>
        <w:tc>
          <w:tcPr>
            <w:tcW w:w="8252" w:type="dxa"/>
          </w:tcPr>
          <w:p w14:paraId="7E496F7B" w14:textId="77777777" w:rsidR="00AE2255" w:rsidRDefault="00AE2255">
            <w:pPr>
              <w:pStyle w:val="TableParagraph"/>
              <w:spacing w:before="8"/>
              <w:jc w:val="left"/>
              <w:rPr>
                <w:sz w:val="28"/>
              </w:rPr>
            </w:pPr>
          </w:p>
          <w:p w14:paraId="6246BCF0" w14:textId="77777777" w:rsidR="00AE2255" w:rsidRDefault="00000000">
            <w:pPr>
              <w:pStyle w:val="TableParagraph"/>
              <w:spacing w:before="0"/>
              <w:ind w:right="54"/>
              <w:rPr>
                <w:sz w:val="20"/>
              </w:rPr>
            </w:pPr>
            <w:hyperlink w:anchor="_bookmark1" w:history="1">
              <w:r>
                <w:rPr>
                  <w:color w:val="0000FF"/>
                  <w:sz w:val="20"/>
                  <w:u w:val="single" w:color="0000FF"/>
                </w:rPr>
                <w:t>Business</w:t>
              </w:r>
            </w:hyperlink>
            <w:r>
              <w:rPr>
                <w:color w:val="0000FF"/>
                <w:spacing w:val="79"/>
                <w:sz w:val="20"/>
              </w:rPr>
              <w:t xml:space="preserve"> </w:t>
            </w:r>
            <w:r>
              <w:rPr>
                <w:color w:val="B3B3B3"/>
                <w:spacing w:val="-2"/>
                <w:sz w:val="20"/>
              </w:rPr>
              <w:t>.................................................................................................................................................</w:t>
            </w:r>
          </w:p>
        </w:tc>
        <w:tc>
          <w:tcPr>
            <w:tcW w:w="600" w:type="dxa"/>
            <w:tcBorders>
              <w:top w:val="single" w:sz="8" w:space="0" w:color="000000"/>
            </w:tcBorders>
          </w:tcPr>
          <w:p w14:paraId="4ECB3BBF" w14:textId="77777777" w:rsidR="00AE2255" w:rsidRDefault="00AE2255">
            <w:pPr>
              <w:pStyle w:val="TableParagraph"/>
              <w:spacing w:before="8"/>
              <w:jc w:val="left"/>
              <w:rPr>
                <w:sz w:val="28"/>
              </w:rPr>
            </w:pPr>
          </w:p>
          <w:p w14:paraId="65BFF230" w14:textId="77777777" w:rsidR="00AE2255" w:rsidRDefault="00000000">
            <w:pPr>
              <w:pStyle w:val="TableParagraph"/>
              <w:spacing w:before="0"/>
              <w:ind w:right="50"/>
              <w:rPr>
                <w:sz w:val="20"/>
              </w:rPr>
            </w:pPr>
            <w:hyperlink w:anchor="_bookmark1" w:history="1">
              <w:r>
                <w:rPr>
                  <w:color w:val="0000FF"/>
                  <w:sz w:val="20"/>
                </w:rPr>
                <w:t>3</w:t>
              </w:r>
            </w:hyperlink>
          </w:p>
        </w:tc>
      </w:tr>
      <w:tr w:rsidR="00AE2255" w14:paraId="2D1D4D42" w14:textId="77777777">
        <w:trPr>
          <w:trHeight w:val="300"/>
        </w:trPr>
        <w:tc>
          <w:tcPr>
            <w:tcW w:w="1375" w:type="dxa"/>
          </w:tcPr>
          <w:p w14:paraId="17CFB7E0" w14:textId="77777777" w:rsidR="00AE2255" w:rsidRDefault="00000000">
            <w:pPr>
              <w:pStyle w:val="TableParagraph"/>
              <w:spacing w:before="24"/>
              <w:ind w:left="275"/>
              <w:jc w:val="left"/>
              <w:rPr>
                <w:sz w:val="20"/>
              </w:rPr>
            </w:pPr>
            <w:r>
              <w:rPr>
                <w:sz w:val="20"/>
              </w:rPr>
              <w:t>ITEM</w:t>
            </w:r>
            <w:r>
              <w:rPr>
                <w:spacing w:val="-5"/>
                <w:sz w:val="20"/>
              </w:rPr>
              <w:t xml:space="preserve"> 1A.</w:t>
            </w:r>
          </w:p>
        </w:tc>
        <w:tc>
          <w:tcPr>
            <w:tcW w:w="8252" w:type="dxa"/>
          </w:tcPr>
          <w:p w14:paraId="16CDBFB4" w14:textId="77777777" w:rsidR="00AE2255" w:rsidRDefault="00000000">
            <w:pPr>
              <w:pStyle w:val="TableParagraph"/>
              <w:spacing w:before="37"/>
              <w:ind w:right="50"/>
              <w:rPr>
                <w:sz w:val="20"/>
              </w:rPr>
            </w:pPr>
            <w:hyperlink w:anchor="_bookmark2" w:history="1">
              <w:r>
                <w:rPr>
                  <w:color w:val="0000FF"/>
                  <w:sz w:val="20"/>
                  <w:u w:val="single" w:color="0000FF"/>
                </w:rPr>
                <w:t>Risk</w:t>
              </w:r>
              <w:r>
                <w:rPr>
                  <w:color w:val="0000FF"/>
                  <w:spacing w:val="66"/>
                  <w:w w:val="150"/>
                  <w:sz w:val="20"/>
                  <w:u w:val="single" w:color="0000FF"/>
                </w:rPr>
                <w:t xml:space="preserve"> </w:t>
              </w:r>
              <w:r>
                <w:rPr>
                  <w:color w:val="0000FF"/>
                  <w:spacing w:val="-2"/>
                  <w:sz w:val="20"/>
                  <w:u w:val="single" w:color="0000FF"/>
                </w:rPr>
                <w:t>Factors</w:t>
              </w:r>
            </w:hyperlink>
            <w:r>
              <w:rPr>
                <w:color w:val="B3B3B3"/>
                <w:spacing w:val="-2"/>
                <w:sz w:val="20"/>
              </w:rPr>
              <w:t>............................................................................................................................................</w:t>
            </w:r>
          </w:p>
        </w:tc>
        <w:tc>
          <w:tcPr>
            <w:tcW w:w="600" w:type="dxa"/>
          </w:tcPr>
          <w:p w14:paraId="6E402020" w14:textId="77777777" w:rsidR="00AE2255" w:rsidRDefault="00000000">
            <w:pPr>
              <w:pStyle w:val="TableParagraph"/>
              <w:spacing w:before="37"/>
              <w:ind w:right="50"/>
              <w:rPr>
                <w:sz w:val="20"/>
              </w:rPr>
            </w:pPr>
            <w:hyperlink w:anchor="_bookmark2" w:history="1">
              <w:r>
                <w:rPr>
                  <w:color w:val="0000FF"/>
                  <w:spacing w:val="-5"/>
                  <w:sz w:val="20"/>
                </w:rPr>
                <w:t>10</w:t>
              </w:r>
            </w:hyperlink>
          </w:p>
        </w:tc>
      </w:tr>
      <w:tr w:rsidR="00AE2255" w14:paraId="0330B46F" w14:textId="77777777">
        <w:trPr>
          <w:trHeight w:val="300"/>
        </w:trPr>
        <w:tc>
          <w:tcPr>
            <w:tcW w:w="1375" w:type="dxa"/>
          </w:tcPr>
          <w:p w14:paraId="5829AA87" w14:textId="77777777" w:rsidR="00AE2255" w:rsidRDefault="00000000">
            <w:pPr>
              <w:pStyle w:val="TableParagraph"/>
              <w:spacing w:before="24"/>
              <w:ind w:left="275"/>
              <w:jc w:val="left"/>
              <w:rPr>
                <w:sz w:val="20"/>
              </w:rPr>
            </w:pPr>
            <w:r>
              <w:rPr>
                <w:sz w:val="20"/>
              </w:rPr>
              <w:t>ITEM</w:t>
            </w:r>
            <w:r>
              <w:rPr>
                <w:spacing w:val="-5"/>
                <w:sz w:val="20"/>
              </w:rPr>
              <w:t xml:space="preserve"> 1B.</w:t>
            </w:r>
          </w:p>
        </w:tc>
        <w:tc>
          <w:tcPr>
            <w:tcW w:w="8252" w:type="dxa"/>
          </w:tcPr>
          <w:p w14:paraId="517FD6CE" w14:textId="77777777" w:rsidR="00AE2255" w:rsidRDefault="00000000">
            <w:pPr>
              <w:pStyle w:val="TableParagraph"/>
              <w:spacing w:before="37"/>
              <w:ind w:right="53"/>
              <w:rPr>
                <w:sz w:val="20"/>
              </w:rPr>
            </w:pPr>
            <w:hyperlink w:anchor="_bookmark3" w:history="1">
              <w:r>
                <w:rPr>
                  <w:color w:val="0000FF"/>
                  <w:sz w:val="20"/>
                  <w:u w:val="single" w:color="0000FF"/>
                </w:rPr>
                <w:t>Unresolved</w:t>
              </w:r>
              <w:r>
                <w:rPr>
                  <w:color w:val="0000FF"/>
                  <w:spacing w:val="3"/>
                  <w:sz w:val="20"/>
                  <w:u w:val="single" w:color="0000FF"/>
                </w:rPr>
                <w:t xml:space="preserve"> </w:t>
              </w:r>
              <w:r>
                <w:rPr>
                  <w:color w:val="0000FF"/>
                  <w:sz w:val="20"/>
                  <w:u w:val="single" w:color="0000FF"/>
                </w:rPr>
                <w:t>Staff</w:t>
              </w:r>
              <w:r>
                <w:rPr>
                  <w:color w:val="0000FF"/>
                  <w:spacing w:val="6"/>
                  <w:sz w:val="20"/>
                  <w:u w:val="single" w:color="0000FF"/>
                </w:rPr>
                <w:t xml:space="preserve"> </w:t>
              </w:r>
              <w:r>
                <w:rPr>
                  <w:color w:val="0000FF"/>
                  <w:sz w:val="20"/>
                  <w:u w:val="single" w:color="0000FF"/>
                </w:rPr>
                <w:t>Comments</w:t>
              </w:r>
            </w:hyperlink>
            <w:r>
              <w:rPr>
                <w:color w:val="0000FF"/>
                <w:spacing w:val="-15"/>
                <w:sz w:val="20"/>
              </w:rPr>
              <w:t xml:space="preserve"> </w:t>
            </w:r>
            <w:r>
              <w:rPr>
                <w:color w:val="B3B3B3"/>
                <w:spacing w:val="-2"/>
                <w:sz w:val="20"/>
              </w:rPr>
              <w:t>..................................................................................................................</w:t>
            </w:r>
          </w:p>
        </w:tc>
        <w:tc>
          <w:tcPr>
            <w:tcW w:w="600" w:type="dxa"/>
          </w:tcPr>
          <w:p w14:paraId="30608DE7" w14:textId="77777777" w:rsidR="00AE2255" w:rsidRDefault="00000000">
            <w:pPr>
              <w:pStyle w:val="TableParagraph"/>
              <w:spacing w:before="37"/>
              <w:ind w:right="50"/>
              <w:rPr>
                <w:sz w:val="20"/>
              </w:rPr>
            </w:pPr>
            <w:hyperlink w:anchor="_bookmark3" w:history="1">
              <w:r>
                <w:rPr>
                  <w:color w:val="0000FF"/>
                  <w:spacing w:val="-5"/>
                  <w:sz w:val="20"/>
                </w:rPr>
                <w:t>23</w:t>
              </w:r>
            </w:hyperlink>
          </w:p>
        </w:tc>
      </w:tr>
      <w:tr w:rsidR="00AE2255" w14:paraId="43B13C54" w14:textId="77777777">
        <w:trPr>
          <w:trHeight w:val="300"/>
        </w:trPr>
        <w:tc>
          <w:tcPr>
            <w:tcW w:w="1375" w:type="dxa"/>
          </w:tcPr>
          <w:p w14:paraId="7E86ADCF" w14:textId="77777777" w:rsidR="00AE2255" w:rsidRDefault="00000000">
            <w:pPr>
              <w:pStyle w:val="TableParagraph"/>
              <w:spacing w:before="24"/>
              <w:ind w:left="275"/>
              <w:jc w:val="left"/>
              <w:rPr>
                <w:sz w:val="20"/>
              </w:rPr>
            </w:pPr>
            <w:r>
              <w:rPr>
                <w:sz w:val="20"/>
              </w:rPr>
              <w:t>ITEM</w:t>
            </w:r>
            <w:r>
              <w:rPr>
                <w:spacing w:val="-5"/>
                <w:sz w:val="20"/>
              </w:rPr>
              <w:t xml:space="preserve"> 2.</w:t>
            </w:r>
          </w:p>
        </w:tc>
        <w:tc>
          <w:tcPr>
            <w:tcW w:w="8252" w:type="dxa"/>
          </w:tcPr>
          <w:p w14:paraId="0FC6D3D8" w14:textId="77777777" w:rsidR="00AE2255" w:rsidRDefault="00000000">
            <w:pPr>
              <w:pStyle w:val="TableParagraph"/>
              <w:spacing w:before="37"/>
              <w:ind w:right="54"/>
              <w:rPr>
                <w:sz w:val="20"/>
              </w:rPr>
            </w:pPr>
            <w:hyperlink w:anchor="_bookmark4" w:history="1">
              <w:r>
                <w:rPr>
                  <w:color w:val="0000FF"/>
                  <w:sz w:val="20"/>
                  <w:u w:val="single" w:color="0000FF"/>
                </w:rPr>
                <w:t>Properties</w:t>
              </w:r>
            </w:hyperlink>
            <w:r>
              <w:rPr>
                <w:color w:val="0000FF"/>
                <w:spacing w:val="76"/>
                <w:sz w:val="20"/>
              </w:rPr>
              <w:t xml:space="preserve"> </w:t>
            </w:r>
            <w:r>
              <w:rPr>
                <w:color w:val="B3B3B3"/>
                <w:spacing w:val="-2"/>
                <w:sz w:val="20"/>
              </w:rPr>
              <w:t>...............................................................................................................................................</w:t>
            </w:r>
          </w:p>
        </w:tc>
        <w:tc>
          <w:tcPr>
            <w:tcW w:w="600" w:type="dxa"/>
          </w:tcPr>
          <w:p w14:paraId="59B9B067" w14:textId="77777777" w:rsidR="00AE2255" w:rsidRDefault="00000000">
            <w:pPr>
              <w:pStyle w:val="TableParagraph"/>
              <w:spacing w:before="37"/>
              <w:ind w:right="50"/>
              <w:rPr>
                <w:sz w:val="20"/>
              </w:rPr>
            </w:pPr>
            <w:hyperlink w:anchor="_bookmark4" w:history="1">
              <w:r>
                <w:rPr>
                  <w:color w:val="0000FF"/>
                  <w:spacing w:val="-5"/>
                  <w:sz w:val="20"/>
                </w:rPr>
                <w:t>23</w:t>
              </w:r>
            </w:hyperlink>
          </w:p>
        </w:tc>
      </w:tr>
      <w:tr w:rsidR="00AE2255" w14:paraId="3B102553" w14:textId="77777777">
        <w:trPr>
          <w:trHeight w:val="300"/>
        </w:trPr>
        <w:tc>
          <w:tcPr>
            <w:tcW w:w="1375" w:type="dxa"/>
          </w:tcPr>
          <w:p w14:paraId="0164455A" w14:textId="77777777" w:rsidR="00AE2255" w:rsidRDefault="00000000">
            <w:pPr>
              <w:pStyle w:val="TableParagraph"/>
              <w:spacing w:before="24"/>
              <w:ind w:left="275"/>
              <w:jc w:val="left"/>
              <w:rPr>
                <w:sz w:val="20"/>
              </w:rPr>
            </w:pPr>
            <w:r>
              <w:rPr>
                <w:sz w:val="20"/>
              </w:rPr>
              <w:t>ITEM</w:t>
            </w:r>
            <w:r>
              <w:rPr>
                <w:spacing w:val="-5"/>
                <w:sz w:val="20"/>
              </w:rPr>
              <w:t xml:space="preserve"> 3.</w:t>
            </w:r>
          </w:p>
        </w:tc>
        <w:tc>
          <w:tcPr>
            <w:tcW w:w="8252" w:type="dxa"/>
          </w:tcPr>
          <w:p w14:paraId="7EC53135" w14:textId="77777777" w:rsidR="00AE2255" w:rsidRDefault="00000000">
            <w:pPr>
              <w:pStyle w:val="TableParagraph"/>
              <w:spacing w:before="37"/>
              <w:ind w:right="52"/>
              <w:rPr>
                <w:sz w:val="20"/>
              </w:rPr>
            </w:pPr>
            <w:hyperlink w:anchor="_bookmark5" w:history="1">
              <w:r>
                <w:rPr>
                  <w:color w:val="0000FF"/>
                  <w:sz w:val="20"/>
                  <w:u w:val="single" w:color="0000FF"/>
                </w:rPr>
                <w:t>Legal</w:t>
              </w:r>
              <w:r>
                <w:rPr>
                  <w:color w:val="0000FF"/>
                  <w:spacing w:val="33"/>
                  <w:sz w:val="20"/>
                  <w:u w:val="single" w:color="0000FF"/>
                </w:rPr>
                <w:t xml:space="preserve"> </w:t>
              </w:r>
              <w:r>
                <w:rPr>
                  <w:color w:val="0000FF"/>
                  <w:sz w:val="20"/>
                  <w:u w:val="single" w:color="0000FF"/>
                </w:rPr>
                <w:t>Proceedings</w:t>
              </w:r>
            </w:hyperlink>
            <w:r>
              <w:rPr>
                <w:color w:val="0000FF"/>
                <w:spacing w:val="-7"/>
                <w:sz w:val="20"/>
              </w:rPr>
              <w:t xml:space="preserve"> </w:t>
            </w:r>
            <w:r>
              <w:rPr>
                <w:color w:val="B3B3B3"/>
                <w:spacing w:val="-2"/>
                <w:sz w:val="20"/>
              </w:rPr>
              <w:t>..................................................................................................................................</w:t>
            </w:r>
          </w:p>
        </w:tc>
        <w:tc>
          <w:tcPr>
            <w:tcW w:w="600" w:type="dxa"/>
          </w:tcPr>
          <w:p w14:paraId="6DFDC234" w14:textId="77777777" w:rsidR="00AE2255" w:rsidRDefault="00000000">
            <w:pPr>
              <w:pStyle w:val="TableParagraph"/>
              <w:spacing w:before="37"/>
              <w:ind w:right="50"/>
              <w:rPr>
                <w:sz w:val="20"/>
              </w:rPr>
            </w:pPr>
            <w:hyperlink w:anchor="_bookmark5" w:history="1">
              <w:r>
                <w:rPr>
                  <w:color w:val="0000FF"/>
                  <w:spacing w:val="-5"/>
                  <w:sz w:val="20"/>
                </w:rPr>
                <w:t>24</w:t>
              </w:r>
            </w:hyperlink>
          </w:p>
        </w:tc>
      </w:tr>
      <w:tr w:rsidR="00AE2255" w14:paraId="5C56BAC8" w14:textId="77777777">
        <w:trPr>
          <w:trHeight w:val="299"/>
        </w:trPr>
        <w:tc>
          <w:tcPr>
            <w:tcW w:w="1375" w:type="dxa"/>
          </w:tcPr>
          <w:p w14:paraId="7574B24C" w14:textId="77777777" w:rsidR="00AE2255" w:rsidRDefault="00000000">
            <w:pPr>
              <w:pStyle w:val="TableParagraph"/>
              <w:spacing w:before="24"/>
              <w:ind w:left="275"/>
              <w:jc w:val="left"/>
              <w:rPr>
                <w:sz w:val="20"/>
              </w:rPr>
            </w:pPr>
            <w:r>
              <w:rPr>
                <w:sz w:val="20"/>
              </w:rPr>
              <w:t>ITEM</w:t>
            </w:r>
            <w:r>
              <w:rPr>
                <w:spacing w:val="-5"/>
                <w:sz w:val="20"/>
              </w:rPr>
              <w:t xml:space="preserve"> 4.</w:t>
            </w:r>
          </w:p>
        </w:tc>
        <w:tc>
          <w:tcPr>
            <w:tcW w:w="8252" w:type="dxa"/>
          </w:tcPr>
          <w:p w14:paraId="18E902F3" w14:textId="77777777" w:rsidR="00AE2255" w:rsidRDefault="00000000">
            <w:pPr>
              <w:pStyle w:val="TableParagraph"/>
              <w:spacing w:before="37"/>
              <w:ind w:right="54"/>
              <w:rPr>
                <w:sz w:val="20"/>
              </w:rPr>
            </w:pPr>
            <w:hyperlink w:anchor="_bookmark6" w:history="1">
              <w:r>
                <w:rPr>
                  <w:color w:val="0000FF"/>
                  <w:sz w:val="20"/>
                  <w:u w:val="single" w:color="0000FF"/>
                </w:rPr>
                <w:t>Mine</w:t>
              </w:r>
              <w:r>
                <w:rPr>
                  <w:color w:val="0000FF"/>
                  <w:spacing w:val="6"/>
                  <w:sz w:val="20"/>
                  <w:u w:val="single" w:color="0000FF"/>
                </w:rPr>
                <w:t xml:space="preserve"> </w:t>
              </w:r>
              <w:r>
                <w:rPr>
                  <w:color w:val="0000FF"/>
                  <w:sz w:val="20"/>
                  <w:u w:val="single" w:color="0000FF"/>
                </w:rPr>
                <w:t>Safety</w:t>
              </w:r>
              <w:r>
                <w:rPr>
                  <w:color w:val="0000FF"/>
                  <w:spacing w:val="10"/>
                  <w:sz w:val="20"/>
                  <w:u w:val="single" w:color="0000FF"/>
                </w:rPr>
                <w:t xml:space="preserve"> </w:t>
              </w:r>
              <w:r>
                <w:rPr>
                  <w:color w:val="0000FF"/>
                  <w:sz w:val="20"/>
                  <w:u w:val="single" w:color="0000FF"/>
                </w:rPr>
                <w:t>Disclosures</w:t>
              </w:r>
            </w:hyperlink>
            <w:r>
              <w:rPr>
                <w:color w:val="0000FF"/>
                <w:spacing w:val="-2"/>
                <w:sz w:val="20"/>
              </w:rPr>
              <w:t xml:space="preserve"> </w:t>
            </w:r>
            <w:r>
              <w:rPr>
                <w:color w:val="B3B3B3"/>
                <w:spacing w:val="-2"/>
                <w:sz w:val="20"/>
              </w:rPr>
              <w:t>........................................................................................................................</w:t>
            </w:r>
          </w:p>
        </w:tc>
        <w:tc>
          <w:tcPr>
            <w:tcW w:w="600" w:type="dxa"/>
          </w:tcPr>
          <w:p w14:paraId="3E22E923" w14:textId="77777777" w:rsidR="00AE2255" w:rsidRDefault="00000000">
            <w:pPr>
              <w:pStyle w:val="TableParagraph"/>
              <w:spacing w:before="37"/>
              <w:ind w:right="50"/>
              <w:rPr>
                <w:sz w:val="20"/>
              </w:rPr>
            </w:pPr>
            <w:hyperlink w:anchor="_bookmark6" w:history="1">
              <w:r>
                <w:rPr>
                  <w:color w:val="0000FF"/>
                  <w:spacing w:val="-5"/>
                  <w:sz w:val="20"/>
                </w:rPr>
                <w:t>24</w:t>
              </w:r>
            </w:hyperlink>
          </w:p>
        </w:tc>
      </w:tr>
      <w:tr w:rsidR="00AE2255" w14:paraId="3CEA10FA" w14:textId="77777777">
        <w:trPr>
          <w:trHeight w:val="267"/>
        </w:trPr>
        <w:tc>
          <w:tcPr>
            <w:tcW w:w="1375" w:type="dxa"/>
          </w:tcPr>
          <w:p w14:paraId="0648670C" w14:textId="77777777" w:rsidR="00AE2255" w:rsidRDefault="00000000">
            <w:pPr>
              <w:pStyle w:val="TableParagraph"/>
              <w:spacing w:before="24" w:line="223" w:lineRule="exact"/>
              <w:ind w:left="275"/>
              <w:jc w:val="left"/>
              <w:rPr>
                <w:sz w:val="20"/>
              </w:rPr>
            </w:pPr>
            <w:r>
              <w:rPr>
                <w:sz w:val="20"/>
              </w:rPr>
              <w:t>ITEM</w:t>
            </w:r>
            <w:r>
              <w:rPr>
                <w:spacing w:val="-5"/>
                <w:sz w:val="20"/>
              </w:rPr>
              <w:t xml:space="preserve"> </w:t>
            </w:r>
            <w:r>
              <w:rPr>
                <w:spacing w:val="-2"/>
                <w:sz w:val="20"/>
              </w:rPr>
              <w:t>4(a).</w:t>
            </w:r>
          </w:p>
        </w:tc>
        <w:tc>
          <w:tcPr>
            <w:tcW w:w="8252" w:type="dxa"/>
          </w:tcPr>
          <w:p w14:paraId="22A5E96A" w14:textId="77777777" w:rsidR="00AE2255" w:rsidRDefault="00000000">
            <w:pPr>
              <w:pStyle w:val="TableParagraph"/>
              <w:spacing w:before="37" w:line="210" w:lineRule="exact"/>
              <w:ind w:right="53"/>
              <w:rPr>
                <w:sz w:val="20"/>
              </w:rPr>
            </w:pPr>
            <w:hyperlink w:anchor="_bookmark7" w:history="1">
              <w:r>
                <w:rPr>
                  <w:color w:val="0000FF"/>
                  <w:sz w:val="20"/>
                  <w:u w:val="single" w:color="0000FF"/>
                </w:rPr>
                <w:t>Information</w:t>
              </w:r>
              <w:r>
                <w:rPr>
                  <w:color w:val="0000FF"/>
                  <w:spacing w:val="-6"/>
                  <w:sz w:val="20"/>
                  <w:u w:val="single" w:color="0000FF"/>
                </w:rPr>
                <w:t xml:space="preserve"> </w:t>
              </w:r>
              <w:r>
                <w:rPr>
                  <w:color w:val="0000FF"/>
                  <w:sz w:val="20"/>
                  <w:u w:val="single" w:color="0000FF"/>
                </w:rPr>
                <w:t>about</w:t>
              </w:r>
              <w:r>
                <w:rPr>
                  <w:color w:val="0000FF"/>
                  <w:spacing w:val="-4"/>
                  <w:sz w:val="20"/>
                  <w:u w:val="single" w:color="0000FF"/>
                </w:rPr>
                <w:t xml:space="preserve"> </w:t>
              </w:r>
              <w:r>
                <w:rPr>
                  <w:color w:val="0000FF"/>
                  <w:sz w:val="20"/>
                  <w:u w:val="single" w:color="0000FF"/>
                </w:rPr>
                <w:t>our</w:t>
              </w:r>
              <w:r>
                <w:rPr>
                  <w:color w:val="0000FF"/>
                  <w:spacing w:val="-3"/>
                  <w:sz w:val="20"/>
                  <w:u w:val="single" w:color="0000FF"/>
                </w:rPr>
                <w:t xml:space="preserve"> </w:t>
              </w:r>
              <w:r>
                <w:rPr>
                  <w:color w:val="0000FF"/>
                  <w:sz w:val="20"/>
                  <w:u w:val="single" w:color="0000FF"/>
                </w:rPr>
                <w:t>Executive</w:t>
              </w:r>
              <w:r>
                <w:rPr>
                  <w:color w:val="0000FF"/>
                  <w:spacing w:val="-3"/>
                  <w:sz w:val="20"/>
                  <w:u w:val="single" w:color="0000FF"/>
                </w:rPr>
                <w:t xml:space="preserve"> </w:t>
              </w:r>
              <w:r>
                <w:rPr>
                  <w:color w:val="0000FF"/>
                  <w:sz w:val="20"/>
                  <w:u w:val="single" w:color="0000FF"/>
                </w:rPr>
                <w:t>Officers</w:t>
              </w:r>
            </w:hyperlink>
            <w:r>
              <w:rPr>
                <w:color w:val="0000FF"/>
                <w:spacing w:val="-13"/>
                <w:sz w:val="20"/>
              </w:rPr>
              <w:t xml:space="preserve"> </w:t>
            </w:r>
            <w:r>
              <w:rPr>
                <w:color w:val="B3B3B3"/>
                <w:spacing w:val="-2"/>
                <w:sz w:val="20"/>
              </w:rPr>
              <w:t>.............................................................................................</w:t>
            </w:r>
          </w:p>
        </w:tc>
        <w:tc>
          <w:tcPr>
            <w:tcW w:w="600" w:type="dxa"/>
          </w:tcPr>
          <w:p w14:paraId="51F847DF" w14:textId="77777777" w:rsidR="00AE2255" w:rsidRDefault="00000000">
            <w:pPr>
              <w:pStyle w:val="TableParagraph"/>
              <w:spacing w:before="37" w:line="210" w:lineRule="exact"/>
              <w:ind w:right="50"/>
              <w:rPr>
                <w:sz w:val="20"/>
              </w:rPr>
            </w:pPr>
            <w:hyperlink w:anchor="_bookmark7" w:history="1">
              <w:r>
                <w:rPr>
                  <w:color w:val="0000FF"/>
                  <w:spacing w:val="-5"/>
                  <w:sz w:val="20"/>
                </w:rPr>
                <w:t>24</w:t>
              </w:r>
            </w:hyperlink>
          </w:p>
        </w:tc>
      </w:tr>
    </w:tbl>
    <w:p w14:paraId="7A9A0DED" w14:textId="77777777" w:rsidR="00AE2255" w:rsidRDefault="00AE2255">
      <w:pPr>
        <w:pStyle w:val="BodyText"/>
        <w:spacing w:before="1"/>
        <w:rPr>
          <w:sz w:val="23"/>
        </w:rPr>
      </w:pPr>
    </w:p>
    <w:p w14:paraId="03152567" w14:textId="77777777" w:rsidR="00AE2255" w:rsidRDefault="00000000">
      <w:pPr>
        <w:spacing w:before="92"/>
        <w:ind w:left="662"/>
        <w:rPr>
          <w:b/>
          <w:sz w:val="20"/>
        </w:rPr>
      </w:pPr>
      <w:r>
        <w:rPr>
          <w:b/>
          <w:sz w:val="20"/>
        </w:rPr>
        <w:t>PART</w:t>
      </w:r>
      <w:r>
        <w:rPr>
          <w:b/>
          <w:spacing w:val="-4"/>
          <w:sz w:val="20"/>
        </w:rPr>
        <w:t xml:space="preserve"> </w:t>
      </w:r>
      <w:r>
        <w:rPr>
          <w:b/>
          <w:spacing w:val="-5"/>
          <w:sz w:val="20"/>
        </w:rPr>
        <w:t>II</w:t>
      </w:r>
    </w:p>
    <w:p w14:paraId="5D488DE6" w14:textId="77777777" w:rsidR="00AE2255" w:rsidRDefault="00AE2255">
      <w:pPr>
        <w:pStyle w:val="BodyText"/>
        <w:rPr>
          <w:b/>
        </w:rPr>
      </w:pPr>
    </w:p>
    <w:p w14:paraId="43789436" w14:textId="77777777" w:rsidR="00AE2255" w:rsidRDefault="00AE2255">
      <w:pPr>
        <w:pStyle w:val="BodyText"/>
        <w:spacing w:before="10"/>
        <w:rPr>
          <w:b/>
          <w:sz w:val="11"/>
        </w:rPr>
      </w:pPr>
    </w:p>
    <w:tbl>
      <w:tblPr>
        <w:tblW w:w="0" w:type="auto"/>
        <w:tblInd w:w="845" w:type="dxa"/>
        <w:tblLayout w:type="fixed"/>
        <w:tblCellMar>
          <w:left w:w="0" w:type="dxa"/>
          <w:right w:w="0" w:type="dxa"/>
        </w:tblCellMar>
        <w:tblLook w:val="01E0" w:firstRow="1" w:lastRow="1" w:firstColumn="1" w:lastColumn="1" w:noHBand="0" w:noVBand="0"/>
      </w:tblPr>
      <w:tblGrid>
        <w:gridCol w:w="1111"/>
        <w:gridCol w:w="8388"/>
        <w:gridCol w:w="500"/>
      </w:tblGrid>
      <w:tr w:rsidR="00AE2255" w14:paraId="055E51E5" w14:textId="77777777">
        <w:trPr>
          <w:trHeight w:val="219"/>
        </w:trPr>
        <w:tc>
          <w:tcPr>
            <w:tcW w:w="1111" w:type="dxa"/>
          </w:tcPr>
          <w:p w14:paraId="03DABC6E" w14:textId="77777777" w:rsidR="00AE2255" w:rsidRDefault="00000000">
            <w:pPr>
              <w:pStyle w:val="TableParagraph"/>
              <w:spacing w:before="0" w:line="199" w:lineRule="exact"/>
              <w:ind w:left="50"/>
              <w:jc w:val="left"/>
              <w:rPr>
                <w:sz w:val="20"/>
              </w:rPr>
            </w:pPr>
            <w:r>
              <w:rPr>
                <w:sz w:val="20"/>
              </w:rPr>
              <w:t>ITEM</w:t>
            </w:r>
            <w:r>
              <w:rPr>
                <w:spacing w:val="-5"/>
                <w:sz w:val="20"/>
              </w:rPr>
              <w:t xml:space="preserve"> 5.</w:t>
            </w:r>
          </w:p>
        </w:tc>
        <w:tc>
          <w:tcPr>
            <w:tcW w:w="8388" w:type="dxa"/>
          </w:tcPr>
          <w:p w14:paraId="797B6F25" w14:textId="77777777" w:rsidR="00AE2255" w:rsidRDefault="00000000">
            <w:pPr>
              <w:pStyle w:val="TableParagraph"/>
              <w:spacing w:before="0" w:line="199" w:lineRule="exact"/>
              <w:ind w:left="228"/>
              <w:jc w:val="left"/>
              <w:rPr>
                <w:sz w:val="20"/>
              </w:rPr>
            </w:pPr>
            <w:hyperlink w:anchor="_bookmark8" w:history="1">
              <w:r>
                <w:rPr>
                  <w:color w:val="0000FF"/>
                  <w:sz w:val="20"/>
                  <w:u w:val="single" w:color="0000FF"/>
                </w:rPr>
                <w:t>Market</w:t>
              </w:r>
              <w:r>
                <w:rPr>
                  <w:color w:val="0000FF"/>
                  <w:spacing w:val="-7"/>
                  <w:sz w:val="20"/>
                  <w:u w:val="single" w:color="0000FF"/>
                </w:rPr>
                <w:t xml:space="preserve"> </w:t>
              </w:r>
              <w:r>
                <w:rPr>
                  <w:color w:val="0000FF"/>
                  <w:sz w:val="20"/>
                  <w:u w:val="single" w:color="0000FF"/>
                </w:rPr>
                <w:t>for</w:t>
              </w:r>
              <w:r>
                <w:rPr>
                  <w:color w:val="0000FF"/>
                  <w:spacing w:val="-4"/>
                  <w:sz w:val="20"/>
                  <w:u w:val="single" w:color="0000FF"/>
                </w:rPr>
                <w:t xml:space="preserve"> </w:t>
              </w:r>
              <w:r>
                <w:rPr>
                  <w:color w:val="0000FF"/>
                  <w:sz w:val="20"/>
                  <w:u w:val="single" w:color="0000FF"/>
                </w:rPr>
                <w:t>Registrant’s</w:t>
              </w:r>
              <w:r>
                <w:rPr>
                  <w:color w:val="0000FF"/>
                  <w:spacing w:val="-5"/>
                  <w:sz w:val="20"/>
                  <w:u w:val="single" w:color="0000FF"/>
                </w:rPr>
                <w:t xml:space="preserve"> </w:t>
              </w:r>
              <w:r>
                <w:rPr>
                  <w:color w:val="0000FF"/>
                  <w:sz w:val="20"/>
                  <w:u w:val="single" w:color="0000FF"/>
                </w:rPr>
                <w:t>Common</w:t>
              </w:r>
              <w:r>
                <w:rPr>
                  <w:color w:val="0000FF"/>
                  <w:spacing w:val="-3"/>
                  <w:sz w:val="20"/>
                  <w:u w:val="single" w:color="0000FF"/>
                </w:rPr>
                <w:t xml:space="preserve"> </w:t>
              </w:r>
              <w:r>
                <w:rPr>
                  <w:color w:val="0000FF"/>
                  <w:sz w:val="20"/>
                  <w:u w:val="single" w:color="0000FF"/>
                </w:rPr>
                <w:t>Equity,</w:t>
              </w:r>
              <w:r>
                <w:rPr>
                  <w:color w:val="0000FF"/>
                  <w:spacing w:val="-4"/>
                  <w:sz w:val="20"/>
                  <w:u w:val="single" w:color="0000FF"/>
                </w:rPr>
                <w:t xml:space="preserve"> </w:t>
              </w:r>
              <w:r>
                <w:rPr>
                  <w:color w:val="0000FF"/>
                  <w:sz w:val="20"/>
                  <w:u w:val="single" w:color="0000FF"/>
                </w:rPr>
                <w:t>Related</w:t>
              </w:r>
              <w:r>
                <w:rPr>
                  <w:color w:val="0000FF"/>
                  <w:spacing w:val="-4"/>
                  <w:sz w:val="20"/>
                  <w:u w:val="single" w:color="0000FF"/>
                </w:rPr>
                <w:t xml:space="preserve"> </w:t>
              </w:r>
              <w:r>
                <w:rPr>
                  <w:color w:val="0000FF"/>
                  <w:sz w:val="20"/>
                  <w:u w:val="single" w:color="0000FF"/>
                </w:rPr>
                <w:t>Stockholder</w:t>
              </w:r>
              <w:r>
                <w:rPr>
                  <w:color w:val="0000FF"/>
                  <w:spacing w:val="-4"/>
                  <w:sz w:val="20"/>
                  <w:u w:val="single" w:color="0000FF"/>
                </w:rPr>
                <w:t xml:space="preserve"> </w:t>
              </w:r>
              <w:r>
                <w:rPr>
                  <w:color w:val="0000FF"/>
                  <w:sz w:val="20"/>
                  <w:u w:val="single" w:color="0000FF"/>
                </w:rPr>
                <w:t>Matters</w:t>
              </w:r>
              <w:r>
                <w:rPr>
                  <w:color w:val="0000FF"/>
                  <w:spacing w:val="-4"/>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Issuer</w:t>
              </w:r>
              <w:r>
                <w:rPr>
                  <w:color w:val="0000FF"/>
                  <w:spacing w:val="-4"/>
                  <w:sz w:val="20"/>
                  <w:u w:val="single" w:color="0000FF"/>
                </w:rPr>
                <w:t xml:space="preserve"> </w:t>
              </w:r>
              <w:r>
                <w:rPr>
                  <w:color w:val="0000FF"/>
                  <w:sz w:val="20"/>
                  <w:u w:val="single" w:color="0000FF"/>
                </w:rPr>
                <w:t>Purchases</w:t>
              </w:r>
              <w:r>
                <w:rPr>
                  <w:color w:val="0000FF"/>
                  <w:spacing w:val="-4"/>
                  <w:sz w:val="20"/>
                  <w:u w:val="single" w:color="0000FF"/>
                </w:rPr>
                <w:t xml:space="preserve"> </w:t>
              </w:r>
              <w:r>
                <w:rPr>
                  <w:color w:val="0000FF"/>
                  <w:spacing w:val="-5"/>
                  <w:sz w:val="20"/>
                  <w:u w:val="single" w:color="0000FF"/>
                </w:rPr>
                <w:t>of</w:t>
              </w:r>
            </w:hyperlink>
          </w:p>
        </w:tc>
        <w:tc>
          <w:tcPr>
            <w:tcW w:w="500" w:type="dxa"/>
          </w:tcPr>
          <w:p w14:paraId="0F63DE92" w14:textId="77777777" w:rsidR="00AE2255" w:rsidRDefault="00AE2255">
            <w:pPr>
              <w:pStyle w:val="TableParagraph"/>
              <w:spacing w:before="0"/>
              <w:jc w:val="left"/>
              <w:rPr>
                <w:sz w:val="14"/>
              </w:rPr>
            </w:pPr>
          </w:p>
        </w:tc>
      </w:tr>
      <w:tr w:rsidR="00AE2255" w14:paraId="7253AB96" w14:textId="77777777">
        <w:trPr>
          <w:trHeight w:val="243"/>
        </w:trPr>
        <w:tc>
          <w:tcPr>
            <w:tcW w:w="1111" w:type="dxa"/>
          </w:tcPr>
          <w:p w14:paraId="0E788347" w14:textId="77777777" w:rsidR="00AE2255" w:rsidRDefault="00AE2255">
            <w:pPr>
              <w:pStyle w:val="TableParagraph"/>
              <w:spacing w:before="0"/>
              <w:jc w:val="left"/>
              <w:rPr>
                <w:sz w:val="16"/>
              </w:rPr>
            </w:pPr>
          </w:p>
        </w:tc>
        <w:tc>
          <w:tcPr>
            <w:tcW w:w="8388" w:type="dxa"/>
          </w:tcPr>
          <w:p w14:paraId="40510067" w14:textId="77777777" w:rsidR="00AE2255" w:rsidRDefault="00000000">
            <w:pPr>
              <w:pStyle w:val="TableParagraph"/>
              <w:spacing w:before="0" w:line="211" w:lineRule="exact"/>
              <w:ind w:left="228"/>
              <w:jc w:val="left"/>
              <w:rPr>
                <w:sz w:val="20"/>
              </w:rPr>
            </w:pPr>
            <w:hyperlink w:anchor="_bookmark8" w:history="1">
              <w:r>
                <w:rPr>
                  <w:color w:val="0000FF"/>
                  <w:sz w:val="20"/>
                  <w:u w:val="single" w:color="0000FF"/>
                </w:rPr>
                <w:t>Equity</w:t>
              </w:r>
              <w:r>
                <w:rPr>
                  <w:color w:val="0000FF"/>
                  <w:spacing w:val="31"/>
                  <w:sz w:val="20"/>
                  <w:u w:val="single" w:color="0000FF"/>
                </w:rPr>
                <w:t xml:space="preserve"> </w:t>
              </w:r>
              <w:r>
                <w:rPr>
                  <w:color w:val="0000FF"/>
                  <w:sz w:val="20"/>
                  <w:u w:val="single" w:color="0000FF"/>
                </w:rPr>
                <w:t>Securities</w:t>
              </w:r>
            </w:hyperlink>
            <w:r>
              <w:rPr>
                <w:color w:val="0000FF"/>
                <w:spacing w:val="8"/>
                <w:sz w:val="20"/>
              </w:rPr>
              <w:t xml:space="preserve"> </w:t>
            </w:r>
            <w:r>
              <w:rPr>
                <w:color w:val="B3B3B3"/>
                <w:spacing w:val="-2"/>
                <w:sz w:val="20"/>
              </w:rPr>
              <w:t>....................................................................................................................................</w:t>
            </w:r>
          </w:p>
        </w:tc>
        <w:tc>
          <w:tcPr>
            <w:tcW w:w="500" w:type="dxa"/>
          </w:tcPr>
          <w:p w14:paraId="7E893F70" w14:textId="77777777" w:rsidR="00AE2255" w:rsidRDefault="00000000">
            <w:pPr>
              <w:pStyle w:val="TableParagraph"/>
              <w:spacing w:before="0" w:line="211" w:lineRule="exact"/>
              <w:ind w:right="47"/>
              <w:rPr>
                <w:sz w:val="20"/>
              </w:rPr>
            </w:pPr>
            <w:hyperlink w:anchor="_bookmark8" w:history="1">
              <w:r>
                <w:rPr>
                  <w:color w:val="0000FF"/>
                  <w:spacing w:val="-5"/>
                  <w:sz w:val="20"/>
                </w:rPr>
                <w:t>26</w:t>
              </w:r>
            </w:hyperlink>
          </w:p>
        </w:tc>
      </w:tr>
      <w:tr w:rsidR="00AE2255" w14:paraId="465BBC75" w14:textId="77777777">
        <w:trPr>
          <w:trHeight w:val="300"/>
        </w:trPr>
        <w:tc>
          <w:tcPr>
            <w:tcW w:w="1111" w:type="dxa"/>
          </w:tcPr>
          <w:p w14:paraId="0EEA9C18" w14:textId="77777777" w:rsidR="00AE2255" w:rsidRDefault="00000000">
            <w:pPr>
              <w:pStyle w:val="TableParagraph"/>
              <w:spacing w:before="24"/>
              <w:ind w:left="50"/>
              <w:jc w:val="left"/>
              <w:rPr>
                <w:sz w:val="20"/>
              </w:rPr>
            </w:pPr>
            <w:r>
              <w:rPr>
                <w:sz w:val="20"/>
              </w:rPr>
              <w:t>ITEM</w:t>
            </w:r>
            <w:r>
              <w:rPr>
                <w:spacing w:val="-5"/>
                <w:sz w:val="20"/>
              </w:rPr>
              <w:t xml:space="preserve"> 6.</w:t>
            </w:r>
          </w:p>
        </w:tc>
        <w:tc>
          <w:tcPr>
            <w:tcW w:w="8388" w:type="dxa"/>
          </w:tcPr>
          <w:p w14:paraId="59730F45" w14:textId="77777777" w:rsidR="00AE2255" w:rsidRDefault="00000000">
            <w:pPr>
              <w:pStyle w:val="TableParagraph"/>
              <w:spacing w:before="37"/>
              <w:ind w:left="228"/>
              <w:jc w:val="left"/>
              <w:rPr>
                <w:sz w:val="20"/>
              </w:rPr>
            </w:pPr>
            <w:hyperlink w:anchor="_bookmark9" w:history="1">
              <w:r>
                <w:rPr>
                  <w:color w:val="0000FF"/>
                  <w:sz w:val="20"/>
                  <w:u w:val="single" w:color="0000FF"/>
                </w:rPr>
                <w:t>Selected</w:t>
              </w:r>
              <w:r>
                <w:rPr>
                  <w:color w:val="0000FF"/>
                  <w:spacing w:val="21"/>
                  <w:sz w:val="20"/>
                  <w:u w:val="single" w:color="0000FF"/>
                </w:rPr>
                <w:t xml:space="preserve"> </w:t>
              </w:r>
              <w:r>
                <w:rPr>
                  <w:color w:val="0000FF"/>
                  <w:sz w:val="20"/>
                  <w:u w:val="single" w:color="0000FF"/>
                </w:rPr>
                <w:t>Financial</w:t>
              </w:r>
              <w:r>
                <w:rPr>
                  <w:color w:val="0000FF"/>
                  <w:spacing w:val="23"/>
                  <w:sz w:val="20"/>
                  <w:u w:val="single" w:color="0000FF"/>
                </w:rPr>
                <w:t xml:space="preserve"> </w:t>
              </w:r>
              <w:r>
                <w:rPr>
                  <w:color w:val="0000FF"/>
                  <w:spacing w:val="-2"/>
                  <w:sz w:val="20"/>
                  <w:u w:val="single" w:color="0000FF"/>
                </w:rPr>
                <w:t>Data</w:t>
              </w:r>
            </w:hyperlink>
            <w:r>
              <w:rPr>
                <w:color w:val="B3B3B3"/>
                <w:spacing w:val="-2"/>
                <w:sz w:val="20"/>
              </w:rPr>
              <w:t>..........................................................................................................................</w:t>
            </w:r>
          </w:p>
        </w:tc>
        <w:tc>
          <w:tcPr>
            <w:tcW w:w="500" w:type="dxa"/>
          </w:tcPr>
          <w:p w14:paraId="2E1DC001" w14:textId="77777777" w:rsidR="00AE2255" w:rsidRDefault="00000000">
            <w:pPr>
              <w:pStyle w:val="TableParagraph"/>
              <w:spacing w:before="37"/>
              <w:ind w:right="47"/>
              <w:rPr>
                <w:sz w:val="20"/>
              </w:rPr>
            </w:pPr>
            <w:hyperlink w:anchor="_bookmark9" w:history="1">
              <w:r>
                <w:rPr>
                  <w:color w:val="0000FF"/>
                  <w:spacing w:val="-5"/>
                  <w:sz w:val="20"/>
                </w:rPr>
                <w:t>28</w:t>
              </w:r>
            </w:hyperlink>
          </w:p>
        </w:tc>
      </w:tr>
      <w:tr w:rsidR="00AE2255" w14:paraId="30A714B4" w14:textId="77777777">
        <w:trPr>
          <w:trHeight w:val="300"/>
        </w:trPr>
        <w:tc>
          <w:tcPr>
            <w:tcW w:w="1111" w:type="dxa"/>
          </w:tcPr>
          <w:p w14:paraId="4859A307" w14:textId="77777777" w:rsidR="00AE2255" w:rsidRDefault="00000000">
            <w:pPr>
              <w:pStyle w:val="TableParagraph"/>
              <w:spacing w:before="24"/>
              <w:ind w:left="50"/>
              <w:jc w:val="left"/>
              <w:rPr>
                <w:sz w:val="20"/>
              </w:rPr>
            </w:pPr>
            <w:r>
              <w:rPr>
                <w:sz w:val="20"/>
              </w:rPr>
              <w:t>ITEM</w:t>
            </w:r>
            <w:r>
              <w:rPr>
                <w:spacing w:val="-5"/>
                <w:sz w:val="20"/>
              </w:rPr>
              <w:t xml:space="preserve"> 7.</w:t>
            </w:r>
          </w:p>
        </w:tc>
        <w:tc>
          <w:tcPr>
            <w:tcW w:w="8388" w:type="dxa"/>
          </w:tcPr>
          <w:p w14:paraId="31D02B2C" w14:textId="77777777" w:rsidR="00AE2255" w:rsidRDefault="00000000">
            <w:pPr>
              <w:pStyle w:val="TableParagraph"/>
              <w:spacing w:before="37"/>
              <w:ind w:left="228"/>
              <w:jc w:val="left"/>
              <w:rPr>
                <w:sz w:val="20"/>
              </w:rPr>
            </w:pPr>
            <w:hyperlink w:anchor="_bookmark10" w:history="1">
              <w:r>
                <w:rPr>
                  <w:color w:val="0000FF"/>
                  <w:sz w:val="20"/>
                  <w:u w:val="single" w:color="0000FF"/>
                </w:rPr>
                <w:t>Management’s</w:t>
              </w:r>
              <w:r>
                <w:rPr>
                  <w:color w:val="0000FF"/>
                  <w:spacing w:val="-9"/>
                  <w:sz w:val="20"/>
                  <w:u w:val="single" w:color="0000FF"/>
                </w:rPr>
                <w:t xml:space="preserve"> </w:t>
              </w:r>
              <w:r>
                <w:rPr>
                  <w:color w:val="0000FF"/>
                  <w:sz w:val="20"/>
                  <w:u w:val="single" w:color="0000FF"/>
                </w:rPr>
                <w:t>Discussion</w:t>
              </w:r>
              <w:r>
                <w:rPr>
                  <w:color w:val="0000FF"/>
                  <w:spacing w:val="-4"/>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Analysis</w:t>
              </w:r>
              <w:r>
                <w:rPr>
                  <w:color w:val="0000FF"/>
                  <w:spacing w:val="-5"/>
                  <w:sz w:val="20"/>
                  <w:u w:val="single" w:color="0000FF"/>
                </w:rPr>
                <w:t xml:space="preserve"> </w:t>
              </w:r>
              <w:r>
                <w:rPr>
                  <w:color w:val="0000FF"/>
                  <w:sz w:val="20"/>
                  <w:u w:val="single" w:color="0000FF"/>
                </w:rPr>
                <w:t>of</w:t>
              </w:r>
              <w:r>
                <w:rPr>
                  <w:color w:val="0000FF"/>
                  <w:spacing w:val="-4"/>
                  <w:sz w:val="20"/>
                  <w:u w:val="single" w:color="0000FF"/>
                </w:rPr>
                <w:t xml:space="preserve"> </w:t>
              </w:r>
              <w:r>
                <w:rPr>
                  <w:color w:val="0000FF"/>
                  <w:sz w:val="20"/>
                  <w:u w:val="single" w:color="0000FF"/>
                </w:rPr>
                <w:t>Financial</w:t>
              </w:r>
              <w:r>
                <w:rPr>
                  <w:color w:val="0000FF"/>
                  <w:spacing w:val="-5"/>
                  <w:sz w:val="20"/>
                  <w:u w:val="single" w:color="0000FF"/>
                </w:rPr>
                <w:t xml:space="preserve"> </w:t>
              </w:r>
              <w:r>
                <w:rPr>
                  <w:color w:val="0000FF"/>
                  <w:sz w:val="20"/>
                  <w:u w:val="single" w:color="0000FF"/>
                </w:rPr>
                <w:t>Condition</w:t>
              </w:r>
              <w:r>
                <w:rPr>
                  <w:color w:val="0000FF"/>
                  <w:spacing w:val="-4"/>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Results</w:t>
              </w:r>
              <w:r>
                <w:rPr>
                  <w:color w:val="0000FF"/>
                  <w:spacing w:val="-5"/>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Operations</w:t>
              </w:r>
            </w:hyperlink>
            <w:r>
              <w:rPr>
                <w:color w:val="0000FF"/>
                <w:spacing w:val="-25"/>
                <w:sz w:val="20"/>
              </w:rPr>
              <w:t xml:space="preserve"> </w:t>
            </w:r>
            <w:r>
              <w:rPr>
                <w:color w:val="B3B3B3"/>
                <w:spacing w:val="-2"/>
                <w:sz w:val="20"/>
              </w:rPr>
              <w:t>................</w:t>
            </w:r>
          </w:p>
        </w:tc>
        <w:tc>
          <w:tcPr>
            <w:tcW w:w="500" w:type="dxa"/>
          </w:tcPr>
          <w:p w14:paraId="1A14F27B" w14:textId="77777777" w:rsidR="00AE2255" w:rsidRDefault="00000000">
            <w:pPr>
              <w:pStyle w:val="TableParagraph"/>
              <w:spacing w:before="37"/>
              <w:ind w:right="47"/>
              <w:rPr>
                <w:sz w:val="20"/>
              </w:rPr>
            </w:pPr>
            <w:hyperlink w:anchor="_bookmark10" w:history="1">
              <w:r>
                <w:rPr>
                  <w:color w:val="0000FF"/>
                  <w:spacing w:val="-5"/>
                  <w:sz w:val="20"/>
                </w:rPr>
                <w:t>30</w:t>
              </w:r>
            </w:hyperlink>
          </w:p>
        </w:tc>
      </w:tr>
      <w:tr w:rsidR="00AE2255" w14:paraId="73D9A33C" w14:textId="77777777">
        <w:trPr>
          <w:trHeight w:val="300"/>
        </w:trPr>
        <w:tc>
          <w:tcPr>
            <w:tcW w:w="1111" w:type="dxa"/>
          </w:tcPr>
          <w:p w14:paraId="14D203D4" w14:textId="77777777" w:rsidR="00AE2255" w:rsidRDefault="00000000">
            <w:pPr>
              <w:pStyle w:val="TableParagraph"/>
              <w:spacing w:before="24"/>
              <w:ind w:left="50"/>
              <w:jc w:val="left"/>
              <w:rPr>
                <w:sz w:val="20"/>
              </w:rPr>
            </w:pPr>
            <w:r>
              <w:rPr>
                <w:sz w:val="20"/>
              </w:rPr>
              <w:t>ITEM</w:t>
            </w:r>
            <w:r>
              <w:rPr>
                <w:spacing w:val="-5"/>
                <w:sz w:val="20"/>
              </w:rPr>
              <w:t xml:space="preserve"> 7A.</w:t>
            </w:r>
          </w:p>
        </w:tc>
        <w:tc>
          <w:tcPr>
            <w:tcW w:w="8388" w:type="dxa"/>
          </w:tcPr>
          <w:p w14:paraId="57E9859A" w14:textId="77777777" w:rsidR="00AE2255" w:rsidRDefault="00000000">
            <w:pPr>
              <w:pStyle w:val="TableParagraph"/>
              <w:spacing w:before="37"/>
              <w:ind w:left="228"/>
              <w:jc w:val="left"/>
              <w:rPr>
                <w:sz w:val="20"/>
              </w:rPr>
            </w:pPr>
            <w:hyperlink w:anchor="_bookmark11" w:history="1">
              <w:r>
                <w:rPr>
                  <w:color w:val="0000FF"/>
                  <w:sz w:val="20"/>
                  <w:u w:val="single" w:color="0000FF"/>
                </w:rPr>
                <w:t>Quantitative</w:t>
              </w:r>
              <w:r>
                <w:rPr>
                  <w:color w:val="0000FF"/>
                  <w:spacing w:val="-8"/>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Qualitative</w:t>
              </w:r>
              <w:r>
                <w:rPr>
                  <w:color w:val="0000FF"/>
                  <w:spacing w:val="-6"/>
                  <w:sz w:val="20"/>
                  <w:u w:val="single" w:color="0000FF"/>
                </w:rPr>
                <w:t xml:space="preserve"> </w:t>
              </w:r>
              <w:r>
                <w:rPr>
                  <w:color w:val="0000FF"/>
                  <w:sz w:val="20"/>
                  <w:u w:val="single" w:color="0000FF"/>
                </w:rPr>
                <w:t>Disclosures</w:t>
              </w:r>
              <w:r>
                <w:rPr>
                  <w:color w:val="0000FF"/>
                  <w:spacing w:val="-5"/>
                  <w:sz w:val="20"/>
                  <w:u w:val="single" w:color="0000FF"/>
                </w:rPr>
                <w:t xml:space="preserve"> </w:t>
              </w:r>
              <w:r>
                <w:rPr>
                  <w:color w:val="0000FF"/>
                  <w:sz w:val="20"/>
                  <w:u w:val="single" w:color="0000FF"/>
                </w:rPr>
                <w:t>About</w:t>
              </w:r>
              <w:r>
                <w:rPr>
                  <w:color w:val="0000FF"/>
                  <w:spacing w:val="-6"/>
                  <w:sz w:val="20"/>
                  <w:u w:val="single" w:color="0000FF"/>
                </w:rPr>
                <w:t xml:space="preserve"> </w:t>
              </w:r>
              <w:r>
                <w:rPr>
                  <w:color w:val="0000FF"/>
                  <w:sz w:val="20"/>
                  <w:u w:val="single" w:color="0000FF"/>
                </w:rPr>
                <w:t>Market</w:t>
              </w:r>
              <w:r>
                <w:rPr>
                  <w:color w:val="0000FF"/>
                  <w:spacing w:val="-5"/>
                  <w:sz w:val="20"/>
                  <w:u w:val="single" w:color="0000FF"/>
                </w:rPr>
                <w:t xml:space="preserve"> </w:t>
              </w:r>
              <w:r>
                <w:rPr>
                  <w:color w:val="0000FF"/>
                  <w:spacing w:val="-2"/>
                  <w:sz w:val="20"/>
                  <w:u w:val="single" w:color="0000FF"/>
                </w:rPr>
                <w:t>Risk</w:t>
              </w:r>
            </w:hyperlink>
            <w:r>
              <w:rPr>
                <w:color w:val="B3B3B3"/>
                <w:spacing w:val="-2"/>
                <w:sz w:val="20"/>
              </w:rPr>
              <w:t>...............................................................</w:t>
            </w:r>
          </w:p>
        </w:tc>
        <w:tc>
          <w:tcPr>
            <w:tcW w:w="500" w:type="dxa"/>
          </w:tcPr>
          <w:p w14:paraId="34B73784" w14:textId="77777777" w:rsidR="00AE2255" w:rsidRDefault="00000000">
            <w:pPr>
              <w:pStyle w:val="TableParagraph"/>
              <w:spacing w:before="37"/>
              <w:ind w:right="47"/>
              <w:rPr>
                <w:sz w:val="20"/>
              </w:rPr>
            </w:pPr>
            <w:hyperlink w:anchor="_bookmark11" w:history="1">
              <w:r>
                <w:rPr>
                  <w:color w:val="0000FF"/>
                  <w:spacing w:val="-5"/>
                  <w:sz w:val="20"/>
                </w:rPr>
                <w:t>58</w:t>
              </w:r>
            </w:hyperlink>
          </w:p>
        </w:tc>
      </w:tr>
      <w:tr w:rsidR="00AE2255" w14:paraId="03FE371D" w14:textId="77777777">
        <w:trPr>
          <w:trHeight w:val="300"/>
        </w:trPr>
        <w:tc>
          <w:tcPr>
            <w:tcW w:w="1111" w:type="dxa"/>
          </w:tcPr>
          <w:p w14:paraId="7F581E4B" w14:textId="77777777" w:rsidR="00AE2255" w:rsidRDefault="00000000">
            <w:pPr>
              <w:pStyle w:val="TableParagraph"/>
              <w:spacing w:before="24"/>
              <w:ind w:left="50"/>
              <w:jc w:val="left"/>
              <w:rPr>
                <w:sz w:val="20"/>
              </w:rPr>
            </w:pPr>
            <w:r>
              <w:rPr>
                <w:sz w:val="20"/>
              </w:rPr>
              <w:t>ITEM</w:t>
            </w:r>
            <w:r>
              <w:rPr>
                <w:spacing w:val="-5"/>
                <w:sz w:val="20"/>
              </w:rPr>
              <w:t xml:space="preserve"> 8.</w:t>
            </w:r>
          </w:p>
        </w:tc>
        <w:tc>
          <w:tcPr>
            <w:tcW w:w="8388" w:type="dxa"/>
          </w:tcPr>
          <w:p w14:paraId="728F19DB" w14:textId="77777777" w:rsidR="00AE2255" w:rsidRDefault="00000000">
            <w:pPr>
              <w:pStyle w:val="TableParagraph"/>
              <w:spacing w:before="37"/>
              <w:ind w:left="228"/>
              <w:jc w:val="left"/>
              <w:rPr>
                <w:sz w:val="20"/>
              </w:rPr>
            </w:pPr>
            <w:hyperlink w:anchor="_bookmark12" w:history="1">
              <w:r>
                <w:rPr>
                  <w:color w:val="0000FF"/>
                  <w:sz w:val="20"/>
                  <w:u w:val="single" w:color="0000FF"/>
                </w:rPr>
                <w:t>Financial</w:t>
              </w:r>
              <w:r>
                <w:rPr>
                  <w:color w:val="0000FF"/>
                  <w:spacing w:val="-7"/>
                  <w:sz w:val="20"/>
                  <w:u w:val="single" w:color="0000FF"/>
                </w:rPr>
                <w:t xml:space="preserve"> </w:t>
              </w:r>
              <w:r>
                <w:rPr>
                  <w:color w:val="0000FF"/>
                  <w:sz w:val="20"/>
                  <w:u w:val="single" w:color="0000FF"/>
                </w:rPr>
                <w:t>Statements</w:t>
              </w:r>
              <w:r>
                <w:rPr>
                  <w:color w:val="0000FF"/>
                  <w:spacing w:val="-6"/>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Supplementary</w:t>
              </w:r>
              <w:r>
                <w:rPr>
                  <w:color w:val="0000FF"/>
                  <w:spacing w:val="-5"/>
                  <w:sz w:val="20"/>
                  <w:u w:val="single" w:color="0000FF"/>
                </w:rPr>
                <w:t xml:space="preserve"> </w:t>
              </w:r>
              <w:r>
                <w:rPr>
                  <w:color w:val="0000FF"/>
                  <w:spacing w:val="-2"/>
                  <w:sz w:val="20"/>
                  <w:u w:val="single" w:color="0000FF"/>
                </w:rPr>
                <w:t>Data</w:t>
              </w:r>
            </w:hyperlink>
            <w:r>
              <w:rPr>
                <w:color w:val="B3B3B3"/>
                <w:spacing w:val="-2"/>
                <w:sz w:val="20"/>
              </w:rPr>
              <w:t>......................................................................................</w:t>
            </w:r>
          </w:p>
        </w:tc>
        <w:tc>
          <w:tcPr>
            <w:tcW w:w="500" w:type="dxa"/>
          </w:tcPr>
          <w:p w14:paraId="76DFD513" w14:textId="77777777" w:rsidR="00AE2255" w:rsidRDefault="00000000">
            <w:pPr>
              <w:pStyle w:val="TableParagraph"/>
              <w:spacing w:before="37"/>
              <w:ind w:right="47"/>
              <w:rPr>
                <w:sz w:val="20"/>
              </w:rPr>
            </w:pPr>
            <w:hyperlink w:anchor="_bookmark12" w:history="1">
              <w:r>
                <w:rPr>
                  <w:color w:val="0000FF"/>
                  <w:spacing w:val="-5"/>
                  <w:sz w:val="20"/>
                </w:rPr>
                <w:t>60</w:t>
              </w:r>
            </w:hyperlink>
          </w:p>
        </w:tc>
      </w:tr>
      <w:tr w:rsidR="00AE2255" w14:paraId="7F4D452E" w14:textId="77777777">
        <w:trPr>
          <w:trHeight w:val="300"/>
        </w:trPr>
        <w:tc>
          <w:tcPr>
            <w:tcW w:w="1111" w:type="dxa"/>
          </w:tcPr>
          <w:p w14:paraId="4A94F4BA" w14:textId="77777777" w:rsidR="00AE2255" w:rsidRDefault="00000000">
            <w:pPr>
              <w:pStyle w:val="TableParagraph"/>
              <w:spacing w:before="24"/>
              <w:ind w:left="50"/>
              <w:jc w:val="left"/>
              <w:rPr>
                <w:sz w:val="20"/>
              </w:rPr>
            </w:pPr>
            <w:r>
              <w:rPr>
                <w:sz w:val="20"/>
              </w:rPr>
              <w:t>ITEM</w:t>
            </w:r>
            <w:r>
              <w:rPr>
                <w:spacing w:val="-5"/>
                <w:sz w:val="20"/>
              </w:rPr>
              <w:t xml:space="preserve"> 9.</w:t>
            </w:r>
          </w:p>
        </w:tc>
        <w:tc>
          <w:tcPr>
            <w:tcW w:w="8388" w:type="dxa"/>
          </w:tcPr>
          <w:p w14:paraId="4F7D6F51" w14:textId="77777777" w:rsidR="00AE2255" w:rsidRDefault="00000000">
            <w:pPr>
              <w:pStyle w:val="TableParagraph"/>
              <w:spacing w:before="37"/>
              <w:ind w:left="228"/>
              <w:jc w:val="left"/>
              <w:rPr>
                <w:sz w:val="20"/>
              </w:rPr>
            </w:pPr>
            <w:hyperlink w:anchor="_bookmark19" w:history="1">
              <w:r>
                <w:rPr>
                  <w:color w:val="0000FF"/>
                  <w:sz w:val="20"/>
                  <w:u w:val="single" w:color="0000FF"/>
                </w:rPr>
                <w:t>Changes</w:t>
              </w:r>
              <w:r>
                <w:rPr>
                  <w:color w:val="0000FF"/>
                  <w:spacing w:val="-7"/>
                  <w:sz w:val="20"/>
                  <w:u w:val="single" w:color="0000FF"/>
                </w:rPr>
                <w:t xml:space="preserve"> </w:t>
              </w:r>
              <w:r>
                <w:rPr>
                  <w:color w:val="0000FF"/>
                  <w:sz w:val="20"/>
                  <w:u w:val="single" w:color="0000FF"/>
                </w:rPr>
                <w:t>in</w:t>
              </w:r>
              <w:r>
                <w:rPr>
                  <w:color w:val="0000FF"/>
                  <w:spacing w:val="-3"/>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Disagreements</w:t>
              </w:r>
              <w:r>
                <w:rPr>
                  <w:color w:val="0000FF"/>
                  <w:spacing w:val="-4"/>
                  <w:sz w:val="20"/>
                  <w:u w:val="single" w:color="0000FF"/>
                </w:rPr>
                <w:t xml:space="preserve"> </w:t>
              </w:r>
              <w:r>
                <w:rPr>
                  <w:color w:val="0000FF"/>
                  <w:sz w:val="20"/>
                  <w:u w:val="single" w:color="0000FF"/>
                </w:rPr>
                <w:t>with</w:t>
              </w:r>
              <w:r>
                <w:rPr>
                  <w:color w:val="0000FF"/>
                  <w:spacing w:val="-4"/>
                  <w:sz w:val="20"/>
                  <w:u w:val="single" w:color="0000FF"/>
                </w:rPr>
                <w:t xml:space="preserve"> </w:t>
              </w:r>
              <w:r>
                <w:rPr>
                  <w:color w:val="0000FF"/>
                  <w:sz w:val="20"/>
                  <w:u w:val="single" w:color="0000FF"/>
                </w:rPr>
                <w:t>Accountants</w:t>
              </w:r>
              <w:r>
                <w:rPr>
                  <w:color w:val="0000FF"/>
                  <w:spacing w:val="-4"/>
                  <w:sz w:val="20"/>
                  <w:u w:val="single" w:color="0000FF"/>
                </w:rPr>
                <w:t xml:space="preserve"> </w:t>
              </w:r>
              <w:r>
                <w:rPr>
                  <w:color w:val="0000FF"/>
                  <w:sz w:val="20"/>
                  <w:u w:val="single" w:color="0000FF"/>
                </w:rPr>
                <w:t>on</w:t>
              </w:r>
              <w:r>
                <w:rPr>
                  <w:color w:val="0000FF"/>
                  <w:spacing w:val="-4"/>
                  <w:sz w:val="20"/>
                  <w:u w:val="single" w:color="0000FF"/>
                </w:rPr>
                <w:t xml:space="preserve"> </w:t>
              </w:r>
              <w:r>
                <w:rPr>
                  <w:color w:val="0000FF"/>
                  <w:sz w:val="20"/>
                  <w:u w:val="single" w:color="0000FF"/>
                </w:rPr>
                <w:t>Accounting</w:t>
              </w:r>
              <w:r>
                <w:rPr>
                  <w:color w:val="0000FF"/>
                  <w:spacing w:val="-4"/>
                  <w:sz w:val="20"/>
                  <w:u w:val="single" w:color="0000FF"/>
                </w:rPr>
                <w:t xml:space="preserve"> </w:t>
              </w:r>
              <w:r>
                <w:rPr>
                  <w:color w:val="0000FF"/>
                  <w:sz w:val="20"/>
                  <w:u w:val="single" w:color="0000FF"/>
                </w:rPr>
                <w:t>and</w:t>
              </w:r>
              <w:r>
                <w:rPr>
                  <w:color w:val="0000FF"/>
                  <w:spacing w:val="-3"/>
                  <w:sz w:val="20"/>
                  <w:u w:val="single" w:color="0000FF"/>
                </w:rPr>
                <w:t xml:space="preserve"> </w:t>
              </w:r>
              <w:r>
                <w:rPr>
                  <w:color w:val="0000FF"/>
                  <w:sz w:val="20"/>
                  <w:u w:val="single" w:color="0000FF"/>
                </w:rPr>
                <w:t>Financial</w:t>
              </w:r>
              <w:r>
                <w:rPr>
                  <w:color w:val="0000FF"/>
                  <w:spacing w:val="-4"/>
                  <w:sz w:val="20"/>
                  <w:u w:val="single" w:color="0000FF"/>
                </w:rPr>
                <w:t xml:space="preserve"> </w:t>
              </w:r>
              <w:r>
                <w:rPr>
                  <w:color w:val="0000FF"/>
                  <w:spacing w:val="-2"/>
                  <w:sz w:val="20"/>
                  <w:u w:val="single" w:color="0000FF"/>
                </w:rPr>
                <w:t>Disclosure</w:t>
              </w:r>
            </w:hyperlink>
            <w:r>
              <w:rPr>
                <w:color w:val="B3B3B3"/>
                <w:spacing w:val="-2"/>
                <w:sz w:val="20"/>
              </w:rPr>
              <w:t>................</w:t>
            </w:r>
          </w:p>
        </w:tc>
        <w:tc>
          <w:tcPr>
            <w:tcW w:w="500" w:type="dxa"/>
          </w:tcPr>
          <w:p w14:paraId="1A2457E9" w14:textId="77777777" w:rsidR="00AE2255" w:rsidRDefault="00000000">
            <w:pPr>
              <w:pStyle w:val="TableParagraph"/>
              <w:spacing w:before="37"/>
              <w:ind w:right="47"/>
              <w:rPr>
                <w:sz w:val="20"/>
              </w:rPr>
            </w:pPr>
            <w:hyperlink w:anchor="_bookmark19" w:history="1">
              <w:r>
                <w:rPr>
                  <w:color w:val="0000FF"/>
                  <w:spacing w:val="-5"/>
                  <w:sz w:val="20"/>
                </w:rPr>
                <w:t>103</w:t>
              </w:r>
            </w:hyperlink>
          </w:p>
        </w:tc>
      </w:tr>
      <w:tr w:rsidR="00AE2255" w14:paraId="5529464E" w14:textId="77777777">
        <w:trPr>
          <w:trHeight w:val="300"/>
        </w:trPr>
        <w:tc>
          <w:tcPr>
            <w:tcW w:w="1111" w:type="dxa"/>
          </w:tcPr>
          <w:p w14:paraId="5263F71C" w14:textId="77777777" w:rsidR="00AE2255" w:rsidRDefault="00000000">
            <w:pPr>
              <w:pStyle w:val="TableParagraph"/>
              <w:spacing w:before="24"/>
              <w:ind w:left="50"/>
              <w:jc w:val="left"/>
              <w:rPr>
                <w:sz w:val="20"/>
              </w:rPr>
            </w:pPr>
            <w:r>
              <w:rPr>
                <w:sz w:val="20"/>
              </w:rPr>
              <w:t>ITEM</w:t>
            </w:r>
            <w:r>
              <w:rPr>
                <w:spacing w:val="-5"/>
                <w:sz w:val="20"/>
              </w:rPr>
              <w:t xml:space="preserve"> 9A.</w:t>
            </w:r>
          </w:p>
        </w:tc>
        <w:tc>
          <w:tcPr>
            <w:tcW w:w="8388" w:type="dxa"/>
          </w:tcPr>
          <w:p w14:paraId="600BE1AF" w14:textId="77777777" w:rsidR="00AE2255" w:rsidRDefault="00000000">
            <w:pPr>
              <w:pStyle w:val="TableParagraph"/>
              <w:spacing w:before="37"/>
              <w:ind w:left="228"/>
              <w:jc w:val="left"/>
              <w:rPr>
                <w:sz w:val="20"/>
              </w:rPr>
            </w:pPr>
            <w:hyperlink w:anchor="_bookmark20" w:history="1">
              <w:r>
                <w:rPr>
                  <w:color w:val="0000FF"/>
                  <w:sz w:val="20"/>
                  <w:u w:val="single" w:color="0000FF"/>
                </w:rPr>
                <w:t>Controls</w:t>
              </w:r>
              <w:r>
                <w:rPr>
                  <w:color w:val="0000FF"/>
                  <w:spacing w:val="8"/>
                  <w:sz w:val="20"/>
                  <w:u w:val="single" w:color="0000FF"/>
                </w:rPr>
                <w:t xml:space="preserve"> </w:t>
              </w:r>
              <w:r>
                <w:rPr>
                  <w:color w:val="0000FF"/>
                  <w:sz w:val="20"/>
                  <w:u w:val="single" w:color="0000FF"/>
                </w:rPr>
                <w:t>and</w:t>
              </w:r>
              <w:r>
                <w:rPr>
                  <w:color w:val="0000FF"/>
                  <w:spacing w:val="11"/>
                  <w:sz w:val="20"/>
                  <w:u w:val="single" w:color="0000FF"/>
                </w:rPr>
                <w:t xml:space="preserve"> </w:t>
              </w:r>
              <w:r>
                <w:rPr>
                  <w:color w:val="0000FF"/>
                  <w:sz w:val="20"/>
                  <w:u w:val="single" w:color="0000FF"/>
                </w:rPr>
                <w:t>Procedures</w:t>
              </w:r>
            </w:hyperlink>
            <w:r>
              <w:rPr>
                <w:color w:val="0000FF"/>
                <w:sz w:val="20"/>
              </w:rPr>
              <w:t xml:space="preserve"> </w:t>
            </w:r>
            <w:r>
              <w:rPr>
                <w:color w:val="B3B3B3"/>
                <w:spacing w:val="-2"/>
                <w:sz w:val="20"/>
              </w:rPr>
              <w:t>........................................................................................................................</w:t>
            </w:r>
          </w:p>
        </w:tc>
        <w:tc>
          <w:tcPr>
            <w:tcW w:w="500" w:type="dxa"/>
          </w:tcPr>
          <w:p w14:paraId="42DDE1B9" w14:textId="77777777" w:rsidR="00AE2255" w:rsidRDefault="00000000">
            <w:pPr>
              <w:pStyle w:val="TableParagraph"/>
              <w:spacing w:before="37"/>
              <w:ind w:right="47"/>
              <w:rPr>
                <w:sz w:val="20"/>
              </w:rPr>
            </w:pPr>
            <w:hyperlink w:anchor="_bookmark20" w:history="1">
              <w:r>
                <w:rPr>
                  <w:color w:val="0000FF"/>
                  <w:spacing w:val="-5"/>
                  <w:sz w:val="20"/>
                </w:rPr>
                <w:t>103</w:t>
              </w:r>
            </w:hyperlink>
          </w:p>
        </w:tc>
      </w:tr>
      <w:tr w:rsidR="00AE2255" w14:paraId="10161E87" w14:textId="77777777">
        <w:trPr>
          <w:trHeight w:val="295"/>
        </w:trPr>
        <w:tc>
          <w:tcPr>
            <w:tcW w:w="1111" w:type="dxa"/>
          </w:tcPr>
          <w:p w14:paraId="2B7AFED8" w14:textId="77777777" w:rsidR="00AE2255" w:rsidRDefault="00000000">
            <w:pPr>
              <w:pStyle w:val="TableParagraph"/>
              <w:spacing w:before="24"/>
              <w:ind w:left="50"/>
              <w:jc w:val="left"/>
              <w:rPr>
                <w:sz w:val="20"/>
              </w:rPr>
            </w:pPr>
            <w:r>
              <w:rPr>
                <w:sz w:val="20"/>
              </w:rPr>
              <w:t>ITEM</w:t>
            </w:r>
            <w:r>
              <w:rPr>
                <w:spacing w:val="-5"/>
                <w:sz w:val="20"/>
              </w:rPr>
              <w:t xml:space="preserve"> 9B.</w:t>
            </w:r>
          </w:p>
        </w:tc>
        <w:tc>
          <w:tcPr>
            <w:tcW w:w="8388" w:type="dxa"/>
          </w:tcPr>
          <w:p w14:paraId="288F7C83" w14:textId="77777777" w:rsidR="00AE2255" w:rsidRDefault="00000000">
            <w:pPr>
              <w:pStyle w:val="TableParagraph"/>
              <w:spacing w:before="37"/>
              <w:ind w:left="228"/>
              <w:jc w:val="left"/>
              <w:rPr>
                <w:sz w:val="20"/>
              </w:rPr>
            </w:pPr>
            <w:hyperlink w:anchor="_bookmark22" w:history="1">
              <w:r>
                <w:rPr>
                  <w:color w:val="0000FF"/>
                  <w:sz w:val="20"/>
                  <w:u w:val="single" w:color="0000FF"/>
                </w:rPr>
                <w:t>Other</w:t>
              </w:r>
              <w:r>
                <w:rPr>
                  <w:color w:val="0000FF"/>
                  <w:spacing w:val="77"/>
                  <w:sz w:val="20"/>
                  <w:u w:val="single" w:color="0000FF"/>
                </w:rPr>
                <w:t xml:space="preserve"> </w:t>
              </w:r>
              <w:r>
                <w:rPr>
                  <w:color w:val="0000FF"/>
                  <w:spacing w:val="-2"/>
                  <w:sz w:val="20"/>
                  <w:u w:val="single" w:color="0000FF"/>
                </w:rPr>
                <w:t>Information</w:t>
              </w:r>
            </w:hyperlink>
            <w:r>
              <w:rPr>
                <w:color w:val="B3B3B3"/>
                <w:spacing w:val="-2"/>
                <w:sz w:val="20"/>
              </w:rPr>
              <w:t>...................................................................................................................................</w:t>
            </w:r>
          </w:p>
        </w:tc>
        <w:tc>
          <w:tcPr>
            <w:tcW w:w="500" w:type="dxa"/>
          </w:tcPr>
          <w:p w14:paraId="23A8717A" w14:textId="77777777" w:rsidR="00AE2255" w:rsidRDefault="00000000">
            <w:pPr>
              <w:pStyle w:val="TableParagraph"/>
              <w:spacing w:before="37"/>
              <w:ind w:right="47"/>
              <w:rPr>
                <w:sz w:val="20"/>
              </w:rPr>
            </w:pPr>
            <w:hyperlink w:anchor="_bookmark22" w:history="1">
              <w:r>
                <w:rPr>
                  <w:color w:val="0000FF"/>
                  <w:spacing w:val="-5"/>
                  <w:sz w:val="20"/>
                </w:rPr>
                <w:t>105</w:t>
              </w:r>
            </w:hyperlink>
          </w:p>
        </w:tc>
      </w:tr>
      <w:tr w:rsidR="00AE2255" w14:paraId="418F8A41" w14:textId="77777777">
        <w:trPr>
          <w:trHeight w:val="271"/>
        </w:trPr>
        <w:tc>
          <w:tcPr>
            <w:tcW w:w="1111" w:type="dxa"/>
          </w:tcPr>
          <w:p w14:paraId="3B9DE647" w14:textId="77777777" w:rsidR="00AE2255" w:rsidRDefault="00000000">
            <w:pPr>
              <w:pStyle w:val="TableParagraph"/>
              <w:spacing w:before="28" w:line="223" w:lineRule="exact"/>
              <w:ind w:left="50"/>
              <w:jc w:val="left"/>
              <w:rPr>
                <w:sz w:val="20"/>
              </w:rPr>
            </w:pPr>
            <w:r>
              <w:rPr>
                <w:sz w:val="20"/>
              </w:rPr>
              <w:t>ITEM</w:t>
            </w:r>
            <w:r>
              <w:rPr>
                <w:spacing w:val="-5"/>
                <w:sz w:val="20"/>
              </w:rPr>
              <w:t xml:space="preserve"> 9C.</w:t>
            </w:r>
          </w:p>
        </w:tc>
        <w:tc>
          <w:tcPr>
            <w:tcW w:w="8388" w:type="dxa"/>
          </w:tcPr>
          <w:p w14:paraId="33980557" w14:textId="77777777" w:rsidR="00AE2255" w:rsidRDefault="00000000">
            <w:pPr>
              <w:pStyle w:val="TableParagraph"/>
              <w:spacing w:before="19" w:line="233" w:lineRule="exact"/>
              <w:ind w:left="228"/>
              <w:jc w:val="left"/>
            </w:pPr>
            <w:hyperlink w:anchor="_bookmark23" w:history="1">
              <w:r>
                <w:rPr>
                  <w:color w:val="0000FF"/>
                  <w:sz w:val="20"/>
                  <w:u w:val="single" w:color="0000FF"/>
                </w:rPr>
                <w:t>Disclosure</w:t>
              </w:r>
              <w:r>
                <w:rPr>
                  <w:color w:val="0000FF"/>
                  <w:spacing w:val="-11"/>
                  <w:sz w:val="20"/>
                  <w:u w:val="single" w:color="0000FF"/>
                </w:rPr>
                <w:t xml:space="preserve"> </w:t>
              </w:r>
              <w:r>
                <w:rPr>
                  <w:color w:val="0000FF"/>
                  <w:sz w:val="20"/>
                  <w:u w:val="single" w:color="0000FF"/>
                </w:rPr>
                <w:t>Regarding</w:t>
              </w:r>
              <w:r>
                <w:rPr>
                  <w:color w:val="0000FF"/>
                  <w:spacing w:val="-5"/>
                  <w:sz w:val="20"/>
                  <w:u w:val="single" w:color="0000FF"/>
                </w:rPr>
                <w:t xml:space="preserve"> </w:t>
              </w:r>
              <w:r>
                <w:rPr>
                  <w:color w:val="0000FF"/>
                  <w:sz w:val="20"/>
                  <w:u w:val="single" w:color="0000FF"/>
                </w:rPr>
                <w:t>Foreign</w:t>
              </w:r>
              <w:r>
                <w:rPr>
                  <w:color w:val="0000FF"/>
                  <w:spacing w:val="-4"/>
                  <w:sz w:val="20"/>
                  <w:u w:val="single" w:color="0000FF"/>
                </w:rPr>
                <w:t xml:space="preserve"> </w:t>
              </w:r>
              <w:r>
                <w:rPr>
                  <w:color w:val="0000FF"/>
                  <w:sz w:val="20"/>
                  <w:u w:val="single" w:color="0000FF"/>
                </w:rPr>
                <w:t>Jurisdictions</w:t>
              </w:r>
              <w:r>
                <w:rPr>
                  <w:color w:val="0000FF"/>
                  <w:spacing w:val="-6"/>
                  <w:sz w:val="20"/>
                  <w:u w:val="single" w:color="0000FF"/>
                </w:rPr>
                <w:t xml:space="preserve"> </w:t>
              </w:r>
              <w:r>
                <w:rPr>
                  <w:color w:val="0000FF"/>
                  <w:sz w:val="20"/>
                  <w:u w:val="single" w:color="0000FF"/>
                </w:rPr>
                <w:t>that</w:t>
              </w:r>
              <w:r>
                <w:rPr>
                  <w:color w:val="0000FF"/>
                  <w:spacing w:val="-5"/>
                  <w:sz w:val="20"/>
                  <w:u w:val="single" w:color="0000FF"/>
                </w:rPr>
                <w:t xml:space="preserve"> </w:t>
              </w:r>
              <w:r>
                <w:rPr>
                  <w:color w:val="0000FF"/>
                  <w:sz w:val="20"/>
                  <w:u w:val="single" w:color="0000FF"/>
                </w:rPr>
                <w:t>Prevent</w:t>
              </w:r>
              <w:r>
                <w:rPr>
                  <w:color w:val="0000FF"/>
                  <w:spacing w:val="-5"/>
                  <w:sz w:val="20"/>
                  <w:u w:val="single" w:color="0000FF"/>
                </w:rPr>
                <w:t xml:space="preserve"> </w:t>
              </w:r>
              <w:r>
                <w:rPr>
                  <w:color w:val="0000FF"/>
                  <w:sz w:val="20"/>
                  <w:u w:val="single" w:color="0000FF"/>
                </w:rPr>
                <w:t>Inspections</w:t>
              </w:r>
            </w:hyperlink>
            <w:r>
              <w:rPr>
                <w:color w:val="0000FF"/>
                <w:spacing w:val="-13"/>
                <w:sz w:val="20"/>
              </w:rPr>
              <w:t xml:space="preserve"> </w:t>
            </w:r>
            <w:r>
              <w:rPr>
                <w:color w:val="B3B3B3"/>
                <w:spacing w:val="-2"/>
              </w:rPr>
              <w:t>..............................................</w:t>
            </w:r>
          </w:p>
        </w:tc>
        <w:tc>
          <w:tcPr>
            <w:tcW w:w="500" w:type="dxa"/>
          </w:tcPr>
          <w:p w14:paraId="6A11A262" w14:textId="77777777" w:rsidR="00AE2255" w:rsidRDefault="00000000">
            <w:pPr>
              <w:pStyle w:val="TableParagraph"/>
              <w:spacing w:before="42" w:line="210" w:lineRule="exact"/>
              <w:ind w:right="47"/>
              <w:rPr>
                <w:sz w:val="20"/>
              </w:rPr>
            </w:pPr>
            <w:hyperlink w:anchor="_bookmark23" w:history="1">
              <w:r>
                <w:rPr>
                  <w:color w:val="0000FF"/>
                  <w:spacing w:val="-5"/>
                  <w:sz w:val="20"/>
                </w:rPr>
                <w:t>105</w:t>
              </w:r>
            </w:hyperlink>
          </w:p>
        </w:tc>
      </w:tr>
    </w:tbl>
    <w:p w14:paraId="3AB7B4BC" w14:textId="77777777" w:rsidR="00AE2255" w:rsidRDefault="00AE2255">
      <w:pPr>
        <w:pStyle w:val="BodyText"/>
        <w:spacing w:before="10"/>
        <w:rPr>
          <w:b/>
          <w:sz w:val="30"/>
        </w:rPr>
      </w:pPr>
    </w:p>
    <w:p w14:paraId="349D50F6" w14:textId="77777777" w:rsidR="00AE2255" w:rsidRDefault="00000000">
      <w:pPr>
        <w:ind w:left="662"/>
        <w:rPr>
          <w:b/>
          <w:sz w:val="20"/>
        </w:rPr>
      </w:pPr>
      <w:r>
        <w:rPr>
          <w:b/>
          <w:sz w:val="20"/>
        </w:rPr>
        <w:t>PART</w:t>
      </w:r>
      <w:r>
        <w:rPr>
          <w:b/>
          <w:spacing w:val="-4"/>
          <w:sz w:val="20"/>
        </w:rPr>
        <w:t xml:space="preserve"> </w:t>
      </w:r>
      <w:r>
        <w:rPr>
          <w:b/>
          <w:spacing w:val="-5"/>
          <w:sz w:val="20"/>
        </w:rPr>
        <w:t>III</w:t>
      </w:r>
    </w:p>
    <w:p w14:paraId="1237BDD8" w14:textId="77777777" w:rsidR="00AE2255" w:rsidRDefault="00AE2255">
      <w:pPr>
        <w:pStyle w:val="BodyText"/>
        <w:rPr>
          <w:b/>
        </w:rPr>
      </w:pPr>
    </w:p>
    <w:p w14:paraId="7F7ABE17" w14:textId="77777777" w:rsidR="00AE2255" w:rsidRDefault="00AE2255">
      <w:pPr>
        <w:pStyle w:val="BodyText"/>
        <w:spacing w:before="10"/>
        <w:rPr>
          <w:b/>
          <w:sz w:val="11"/>
        </w:rPr>
      </w:pPr>
    </w:p>
    <w:tbl>
      <w:tblPr>
        <w:tblW w:w="0" w:type="auto"/>
        <w:tblInd w:w="845" w:type="dxa"/>
        <w:tblLayout w:type="fixed"/>
        <w:tblCellMar>
          <w:left w:w="0" w:type="dxa"/>
          <w:right w:w="0" w:type="dxa"/>
        </w:tblCellMar>
        <w:tblLook w:val="01E0" w:firstRow="1" w:lastRow="1" w:firstColumn="1" w:lastColumn="1" w:noHBand="0" w:noVBand="0"/>
      </w:tblPr>
      <w:tblGrid>
        <w:gridCol w:w="1089"/>
        <w:gridCol w:w="8410"/>
        <w:gridCol w:w="499"/>
      </w:tblGrid>
      <w:tr w:rsidR="00AE2255" w14:paraId="3261A1C4" w14:textId="77777777">
        <w:trPr>
          <w:trHeight w:val="267"/>
        </w:trPr>
        <w:tc>
          <w:tcPr>
            <w:tcW w:w="1089" w:type="dxa"/>
          </w:tcPr>
          <w:p w14:paraId="22DB6228" w14:textId="77777777" w:rsidR="00AE2255" w:rsidRDefault="00000000">
            <w:pPr>
              <w:pStyle w:val="TableParagraph"/>
              <w:spacing w:before="0" w:line="221" w:lineRule="exact"/>
              <w:ind w:left="50"/>
              <w:jc w:val="left"/>
              <w:rPr>
                <w:sz w:val="20"/>
              </w:rPr>
            </w:pPr>
            <w:r>
              <w:rPr>
                <w:sz w:val="20"/>
              </w:rPr>
              <w:t>ITEM</w:t>
            </w:r>
            <w:r>
              <w:rPr>
                <w:spacing w:val="-5"/>
                <w:sz w:val="20"/>
              </w:rPr>
              <w:t xml:space="preserve"> 10.</w:t>
            </w:r>
          </w:p>
        </w:tc>
        <w:tc>
          <w:tcPr>
            <w:tcW w:w="8410" w:type="dxa"/>
          </w:tcPr>
          <w:p w14:paraId="55515E4A" w14:textId="77777777" w:rsidR="00AE2255" w:rsidRDefault="00000000">
            <w:pPr>
              <w:pStyle w:val="TableParagraph"/>
              <w:spacing w:before="5"/>
              <w:ind w:right="148"/>
              <w:rPr>
                <w:sz w:val="20"/>
              </w:rPr>
            </w:pPr>
            <w:hyperlink w:anchor="_bookmark24" w:history="1">
              <w:r>
                <w:rPr>
                  <w:color w:val="0000FF"/>
                  <w:sz w:val="20"/>
                  <w:u w:val="single" w:color="0000FF"/>
                </w:rPr>
                <w:t>Directors,</w:t>
              </w:r>
              <w:r>
                <w:rPr>
                  <w:color w:val="0000FF"/>
                  <w:spacing w:val="-4"/>
                  <w:sz w:val="20"/>
                  <w:u w:val="single" w:color="0000FF"/>
                </w:rPr>
                <w:t xml:space="preserve"> </w:t>
              </w:r>
              <w:r>
                <w:rPr>
                  <w:color w:val="0000FF"/>
                  <w:sz w:val="20"/>
                  <w:u w:val="single" w:color="0000FF"/>
                </w:rPr>
                <w:t>Executive</w:t>
              </w:r>
              <w:r>
                <w:rPr>
                  <w:color w:val="0000FF"/>
                  <w:spacing w:val="-5"/>
                  <w:sz w:val="20"/>
                  <w:u w:val="single" w:color="0000FF"/>
                </w:rPr>
                <w:t xml:space="preserve"> </w:t>
              </w:r>
              <w:proofErr w:type="gramStart"/>
              <w:r>
                <w:rPr>
                  <w:color w:val="0000FF"/>
                  <w:sz w:val="20"/>
                  <w:u w:val="single" w:color="0000FF"/>
                </w:rPr>
                <w:t>Officers</w:t>
              </w:r>
              <w:proofErr w:type="gramEnd"/>
              <w:r>
                <w:rPr>
                  <w:color w:val="0000FF"/>
                  <w:spacing w:val="-5"/>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Corporate</w:t>
              </w:r>
              <w:r>
                <w:rPr>
                  <w:color w:val="0000FF"/>
                  <w:spacing w:val="-4"/>
                  <w:sz w:val="20"/>
                  <w:u w:val="single" w:color="0000FF"/>
                </w:rPr>
                <w:t xml:space="preserve"> </w:t>
              </w:r>
              <w:r>
                <w:rPr>
                  <w:color w:val="0000FF"/>
                  <w:spacing w:val="-2"/>
                  <w:sz w:val="20"/>
                  <w:u w:val="single" w:color="0000FF"/>
                </w:rPr>
                <w:t>Governance</w:t>
              </w:r>
            </w:hyperlink>
            <w:r>
              <w:rPr>
                <w:color w:val="B3B3B3"/>
                <w:spacing w:val="-2"/>
                <w:sz w:val="20"/>
              </w:rPr>
              <w:t>.....................................................................</w:t>
            </w:r>
          </w:p>
        </w:tc>
        <w:tc>
          <w:tcPr>
            <w:tcW w:w="499" w:type="dxa"/>
          </w:tcPr>
          <w:p w14:paraId="2D9B1AD8" w14:textId="77777777" w:rsidR="00AE2255" w:rsidRDefault="00000000">
            <w:pPr>
              <w:pStyle w:val="TableParagraph"/>
              <w:spacing w:before="5"/>
              <w:ind w:right="46"/>
              <w:rPr>
                <w:sz w:val="20"/>
              </w:rPr>
            </w:pPr>
            <w:hyperlink w:anchor="_bookmark24" w:history="1">
              <w:r>
                <w:rPr>
                  <w:color w:val="0000FF"/>
                  <w:spacing w:val="-5"/>
                  <w:sz w:val="20"/>
                </w:rPr>
                <w:t>105</w:t>
              </w:r>
            </w:hyperlink>
          </w:p>
        </w:tc>
      </w:tr>
      <w:tr w:rsidR="00AE2255" w14:paraId="73563A47" w14:textId="77777777">
        <w:trPr>
          <w:trHeight w:val="300"/>
        </w:trPr>
        <w:tc>
          <w:tcPr>
            <w:tcW w:w="1089" w:type="dxa"/>
          </w:tcPr>
          <w:p w14:paraId="6687B91D" w14:textId="77777777" w:rsidR="00AE2255" w:rsidRDefault="00000000">
            <w:pPr>
              <w:pStyle w:val="TableParagraph"/>
              <w:spacing w:before="24"/>
              <w:ind w:left="50"/>
              <w:jc w:val="left"/>
              <w:rPr>
                <w:sz w:val="20"/>
              </w:rPr>
            </w:pPr>
            <w:r>
              <w:rPr>
                <w:sz w:val="20"/>
              </w:rPr>
              <w:t>ITEM</w:t>
            </w:r>
            <w:r>
              <w:rPr>
                <w:spacing w:val="-5"/>
                <w:sz w:val="20"/>
              </w:rPr>
              <w:t xml:space="preserve"> 11.</w:t>
            </w:r>
          </w:p>
        </w:tc>
        <w:tc>
          <w:tcPr>
            <w:tcW w:w="8410" w:type="dxa"/>
          </w:tcPr>
          <w:p w14:paraId="7FD5705D" w14:textId="77777777" w:rsidR="00AE2255" w:rsidRDefault="00000000">
            <w:pPr>
              <w:pStyle w:val="TableParagraph"/>
              <w:spacing w:before="37"/>
              <w:ind w:right="147"/>
              <w:rPr>
                <w:sz w:val="20"/>
              </w:rPr>
            </w:pPr>
            <w:hyperlink w:anchor="_bookmark25" w:history="1">
              <w:r>
                <w:rPr>
                  <w:color w:val="0000FF"/>
                  <w:sz w:val="20"/>
                  <w:u w:val="single" w:color="0000FF"/>
                </w:rPr>
                <w:t>Executive</w:t>
              </w:r>
              <w:r>
                <w:rPr>
                  <w:color w:val="0000FF"/>
                  <w:spacing w:val="55"/>
                  <w:sz w:val="20"/>
                  <w:u w:val="single" w:color="0000FF"/>
                </w:rPr>
                <w:t xml:space="preserve"> </w:t>
              </w:r>
              <w:r>
                <w:rPr>
                  <w:color w:val="0000FF"/>
                  <w:spacing w:val="-2"/>
                  <w:sz w:val="20"/>
                  <w:u w:val="single" w:color="0000FF"/>
                </w:rPr>
                <w:t>Compensation</w:t>
              </w:r>
            </w:hyperlink>
            <w:r>
              <w:rPr>
                <w:color w:val="B3B3B3"/>
                <w:spacing w:val="-2"/>
                <w:sz w:val="20"/>
              </w:rPr>
              <w:t>........................................................................................................................</w:t>
            </w:r>
          </w:p>
        </w:tc>
        <w:tc>
          <w:tcPr>
            <w:tcW w:w="499" w:type="dxa"/>
          </w:tcPr>
          <w:p w14:paraId="3A449007" w14:textId="77777777" w:rsidR="00AE2255" w:rsidRDefault="00000000">
            <w:pPr>
              <w:pStyle w:val="TableParagraph"/>
              <w:spacing w:before="37"/>
              <w:ind w:right="46"/>
              <w:rPr>
                <w:sz w:val="20"/>
              </w:rPr>
            </w:pPr>
            <w:hyperlink w:anchor="_bookmark25" w:history="1">
              <w:r>
                <w:rPr>
                  <w:color w:val="0000FF"/>
                  <w:spacing w:val="-5"/>
                  <w:sz w:val="20"/>
                </w:rPr>
                <w:t>105</w:t>
              </w:r>
            </w:hyperlink>
          </w:p>
        </w:tc>
      </w:tr>
      <w:tr w:rsidR="00AE2255" w14:paraId="081C3D04" w14:textId="77777777">
        <w:trPr>
          <w:trHeight w:val="495"/>
        </w:trPr>
        <w:tc>
          <w:tcPr>
            <w:tcW w:w="1089" w:type="dxa"/>
          </w:tcPr>
          <w:p w14:paraId="4E06988C" w14:textId="77777777" w:rsidR="00AE2255" w:rsidRDefault="00000000">
            <w:pPr>
              <w:pStyle w:val="TableParagraph"/>
              <w:spacing w:before="24"/>
              <w:ind w:left="50"/>
              <w:jc w:val="left"/>
              <w:rPr>
                <w:sz w:val="20"/>
              </w:rPr>
            </w:pPr>
            <w:r>
              <w:rPr>
                <w:sz w:val="20"/>
              </w:rPr>
              <w:t>ITEM</w:t>
            </w:r>
            <w:r>
              <w:rPr>
                <w:spacing w:val="-5"/>
                <w:sz w:val="20"/>
              </w:rPr>
              <w:t xml:space="preserve"> 12.</w:t>
            </w:r>
          </w:p>
        </w:tc>
        <w:tc>
          <w:tcPr>
            <w:tcW w:w="8410" w:type="dxa"/>
          </w:tcPr>
          <w:p w14:paraId="6E171C48" w14:textId="77777777" w:rsidR="00AE2255" w:rsidRDefault="00000000">
            <w:pPr>
              <w:pStyle w:val="TableParagraph"/>
              <w:spacing w:before="56" w:line="208" w:lineRule="auto"/>
              <w:ind w:left="250" w:right="142"/>
              <w:jc w:val="left"/>
              <w:rPr>
                <w:sz w:val="20"/>
              </w:rPr>
            </w:pPr>
            <w:hyperlink w:anchor="_bookmark26" w:history="1">
              <w:r>
                <w:rPr>
                  <w:color w:val="0000FF"/>
                  <w:sz w:val="20"/>
                  <w:u w:val="single" w:color="0000FF"/>
                </w:rPr>
                <w:t>Security Ownership of Certain Beneficial Owners and Management and Related Stockholder</w:t>
              </w:r>
            </w:hyperlink>
            <w:r>
              <w:rPr>
                <w:color w:val="0000FF"/>
                <w:sz w:val="20"/>
              </w:rPr>
              <w:t xml:space="preserve"> </w:t>
            </w:r>
            <w:hyperlink w:anchor="_bookmark26" w:history="1">
              <w:r>
                <w:rPr>
                  <w:color w:val="0000FF"/>
                  <w:sz w:val="20"/>
                  <w:u w:val="single" w:color="0000FF"/>
                </w:rPr>
                <w:t>Matters</w:t>
              </w:r>
            </w:hyperlink>
            <w:r>
              <w:rPr>
                <w:color w:val="0000FF"/>
                <w:spacing w:val="-13"/>
                <w:sz w:val="20"/>
              </w:rPr>
              <w:t xml:space="preserve"> </w:t>
            </w:r>
            <w:r>
              <w:rPr>
                <w:color w:val="B3B3B3"/>
                <w:sz w:val="20"/>
              </w:rPr>
              <w:t>...................................................................................................................................................</w:t>
            </w:r>
          </w:p>
        </w:tc>
        <w:tc>
          <w:tcPr>
            <w:tcW w:w="499" w:type="dxa"/>
          </w:tcPr>
          <w:p w14:paraId="07A4E5CE" w14:textId="77777777" w:rsidR="00AE2255" w:rsidRDefault="00AE2255">
            <w:pPr>
              <w:pStyle w:val="TableParagraph"/>
              <w:spacing w:before="2"/>
              <w:jc w:val="left"/>
              <w:rPr>
                <w:b/>
                <w:sz w:val="20"/>
              </w:rPr>
            </w:pPr>
          </w:p>
          <w:p w14:paraId="5C10B5D3" w14:textId="77777777" w:rsidR="00AE2255" w:rsidRDefault="00000000">
            <w:pPr>
              <w:pStyle w:val="TableParagraph"/>
              <w:spacing w:before="0"/>
              <w:ind w:right="46"/>
              <w:rPr>
                <w:sz w:val="20"/>
              </w:rPr>
            </w:pPr>
            <w:hyperlink w:anchor="_bookmark26" w:history="1">
              <w:r>
                <w:rPr>
                  <w:color w:val="0000FF"/>
                  <w:spacing w:val="-5"/>
                  <w:sz w:val="20"/>
                </w:rPr>
                <w:t>106</w:t>
              </w:r>
            </w:hyperlink>
          </w:p>
        </w:tc>
      </w:tr>
      <w:tr w:rsidR="00AE2255" w14:paraId="10C87AE9" w14:textId="77777777">
        <w:trPr>
          <w:trHeight w:val="300"/>
        </w:trPr>
        <w:tc>
          <w:tcPr>
            <w:tcW w:w="1089" w:type="dxa"/>
          </w:tcPr>
          <w:p w14:paraId="3E5D825E" w14:textId="77777777" w:rsidR="00AE2255" w:rsidRDefault="00000000">
            <w:pPr>
              <w:pStyle w:val="TableParagraph"/>
              <w:spacing w:before="24"/>
              <w:ind w:left="50"/>
              <w:jc w:val="left"/>
              <w:rPr>
                <w:sz w:val="20"/>
              </w:rPr>
            </w:pPr>
            <w:r>
              <w:rPr>
                <w:sz w:val="20"/>
              </w:rPr>
              <w:t>ITEM</w:t>
            </w:r>
            <w:r>
              <w:rPr>
                <w:spacing w:val="-5"/>
                <w:sz w:val="20"/>
              </w:rPr>
              <w:t xml:space="preserve"> 13.</w:t>
            </w:r>
          </w:p>
        </w:tc>
        <w:tc>
          <w:tcPr>
            <w:tcW w:w="8410" w:type="dxa"/>
          </w:tcPr>
          <w:p w14:paraId="245F27AB" w14:textId="77777777" w:rsidR="00AE2255" w:rsidRDefault="00000000">
            <w:pPr>
              <w:pStyle w:val="TableParagraph"/>
              <w:spacing w:before="37"/>
              <w:ind w:right="147"/>
              <w:rPr>
                <w:sz w:val="20"/>
              </w:rPr>
            </w:pPr>
            <w:hyperlink w:anchor="_bookmark27" w:history="1">
              <w:r>
                <w:rPr>
                  <w:color w:val="0000FF"/>
                  <w:sz w:val="20"/>
                  <w:u w:val="single" w:color="0000FF"/>
                </w:rPr>
                <w:t>Certain</w:t>
              </w:r>
              <w:r>
                <w:rPr>
                  <w:color w:val="0000FF"/>
                  <w:spacing w:val="-7"/>
                  <w:sz w:val="20"/>
                  <w:u w:val="single" w:color="0000FF"/>
                </w:rPr>
                <w:t xml:space="preserve"> </w:t>
              </w:r>
              <w:r>
                <w:rPr>
                  <w:color w:val="0000FF"/>
                  <w:sz w:val="20"/>
                  <w:u w:val="single" w:color="0000FF"/>
                </w:rPr>
                <w:t>Relationships</w:t>
              </w:r>
              <w:r>
                <w:rPr>
                  <w:color w:val="0000FF"/>
                  <w:spacing w:val="-6"/>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Related</w:t>
              </w:r>
              <w:r>
                <w:rPr>
                  <w:color w:val="0000FF"/>
                  <w:spacing w:val="-5"/>
                  <w:sz w:val="20"/>
                  <w:u w:val="single" w:color="0000FF"/>
                </w:rPr>
                <w:t xml:space="preserve"> </w:t>
              </w:r>
              <w:r>
                <w:rPr>
                  <w:color w:val="0000FF"/>
                  <w:sz w:val="20"/>
                  <w:u w:val="single" w:color="0000FF"/>
                </w:rPr>
                <w:t>Transactions,</w:t>
              </w:r>
              <w:r>
                <w:rPr>
                  <w:color w:val="0000FF"/>
                  <w:spacing w:val="-5"/>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Director</w:t>
              </w:r>
              <w:r>
                <w:rPr>
                  <w:color w:val="0000FF"/>
                  <w:spacing w:val="-4"/>
                  <w:sz w:val="20"/>
                  <w:u w:val="single" w:color="0000FF"/>
                </w:rPr>
                <w:t xml:space="preserve"> </w:t>
              </w:r>
              <w:r>
                <w:rPr>
                  <w:color w:val="0000FF"/>
                  <w:spacing w:val="-2"/>
                  <w:sz w:val="20"/>
                  <w:u w:val="single" w:color="0000FF"/>
                </w:rPr>
                <w:t>Independence</w:t>
              </w:r>
            </w:hyperlink>
            <w:r>
              <w:rPr>
                <w:color w:val="B3B3B3"/>
                <w:spacing w:val="-2"/>
                <w:sz w:val="20"/>
              </w:rPr>
              <w:t>.......................................</w:t>
            </w:r>
          </w:p>
        </w:tc>
        <w:tc>
          <w:tcPr>
            <w:tcW w:w="499" w:type="dxa"/>
          </w:tcPr>
          <w:p w14:paraId="71818497" w14:textId="77777777" w:rsidR="00AE2255" w:rsidRDefault="00000000">
            <w:pPr>
              <w:pStyle w:val="TableParagraph"/>
              <w:spacing w:before="37"/>
              <w:ind w:right="46"/>
              <w:rPr>
                <w:sz w:val="20"/>
              </w:rPr>
            </w:pPr>
            <w:hyperlink w:anchor="_bookmark27" w:history="1">
              <w:r>
                <w:rPr>
                  <w:color w:val="0000FF"/>
                  <w:spacing w:val="-5"/>
                  <w:sz w:val="20"/>
                </w:rPr>
                <w:t>106</w:t>
              </w:r>
            </w:hyperlink>
          </w:p>
        </w:tc>
      </w:tr>
      <w:tr w:rsidR="00AE2255" w14:paraId="16C7CD50" w14:textId="77777777">
        <w:trPr>
          <w:trHeight w:val="267"/>
        </w:trPr>
        <w:tc>
          <w:tcPr>
            <w:tcW w:w="1089" w:type="dxa"/>
          </w:tcPr>
          <w:p w14:paraId="761FFF67" w14:textId="77777777" w:rsidR="00AE2255" w:rsidRDefault="00000000">
            <w:pPr>
              <w:pStyle w:val="TableParagraph"/>
              <w:spacing w:before="24" w:line="223" w:lineRule="exact"/>
              <w:ind w:left="50"/>
              <w:jc w:val="left"/>
              <w:rPr>
                <w:sz w:val="20"/>
              </w:rPr>
            </w:pPr>
            <w:r>
              <w:rPr>
                <w:sz w:val="20"/>
              </w:rPr>
              <w:t>ITEM</w:t>
            </w:r>
            <w:r>
              <w:rPr>
                <w:spacing w:val="-5"/>
                <w:sz w:val="20"/>
              </w:rPr>
              <w:t xml:space="preserve"> 14.</w:t>
            </w:r>
          </w:p>
        </w:tc>
        <w:tc>
          <w:tcPr>
            <w:tcW w:w="8410" w:type="dxa"/>
          </w:tcPr>
          <w:p w14:paraId="44960C8D" w14:textId="77777777" w:rsidR="00AE2255" w:rsidRDefault="00000000">
            <w:pPr>
              <w:pStyle w:val="TableParagraph"/>
              <w:spacing w:before="37" w:line="210" w:lineRule="exact"/>
              <w:ind w:right="149"/>
              <w:rPr>
                <w:sz w:val="20"/>
              </w:rPr>
            </w:pPr>
            <w:hyperlink w:anchor="_bookmark28" w:history="1">
              <w:r>
                <w:rPr>
                  <w:color w:val="0000FF"/>
                  <w:sz w:val="20"/>
                  <w:u w:val="single" w:color="0000FF"/>
                </w:rPr>
                <w:t>Principal</w:t>
              </w:r>
              <w:r>
                <w:rPr>
                  <w:color w:val="0000FF"/>
                  <w:spacing w:val="-8"/>
                  <w:sz w:val="20"/>
                  <w:u w:val="single" w:color="0000FF"/>
                </w:rPr>
                <w:t xml:space="preserve"> </w:t>
              </w:r>
              <w:r>
                <w:rPr>
                  <w:color w:val="0000FF"/>
                  <w:sz w:val="20"/>
                  <w:u w:val="single" w:color="0000FF"/>
                </w:rPr>
                <w:t>Accounting</w:t>
              </w:r>
              <w:r>
                <w:rPr>
                  <w:color w:val="0000FF"/>
                  <w:spacing w:val="-4"/>
                  <w:sz w:val="20"/>
                  <w:u w:val="single" w:color="0000FF"/>
                </w:rPr>
                <w:t xml:space="preserve"> </w:t>
              </w:r>
              <w:r>
                <w:rPr>
                  <w:color w:val="0000FF"/>
                  <w:sz w:val="20"/>
                  <w:u w:val="single" w:color="0000FF"/>
                </w:rPr>
                <w:t>Fees</w:t>
              </w:r>
              <w:r>
                <w:rPr>
                  <w:color w:val="0000FF"/>
                  <w:spacing w:val="-5"/>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z w:val="20"/>
                  <w:u w:val="single" w:color="0000FF"/>
                </w:rPr>
                <w:t>Services</w:t>
              </w:r>
              <w:r>
                <w:rPr>
                  <w:color w:val="0000FF"/>
                  <w:spacing w:val="-28"/>
                  <w:sz w:val="20"/>
                </w:rPr>
                <w:t xml:space="preserve"> </w:t>
              </w:r>
            </w:hyperlink>
            <w:r>
              <w:rPr>
                <w:color w:val="B3B3B3"/>
                <w:spacing w:val="-2"/>
                <w:sz w:val="20"/>
              </w:rPr>
              <w:t>................................................................................................</w:t>
            </w:r>
          </w:p>
        </w:tc>
        <w:tc>
          <w:tcPr>
            <w:tcW w:w="499" w:type="dxa"/>
          </w:tcPr>
          <w:p w14:paraId="4B6C5A0F" w14:textId="77777777" w:rsidR="00AE2255" w:rsidRDefault="00000000">
            <w:pPr>
              <w:pStyle w:val="TableParagraph"/>
              <w:spacing w:before="37" w:line="210" w:lineRule="exact"/>
              <w:ind w:right="46"/>
              <w:rPr>
                <w:sz w:val="20"/>
              </w:rPr>
            </w:pPr>
            <w:hyperlink w:anchor="_bookmark28" w:history="1">
              <w:r>
                <w:rPr>
                  <w:color w:val="0000FF"/>
                  <w:spacing w:val="-5"/>
                  <w:sz w:val="20"/>
                </w:rPr>
                <w:t>106</w:t>
              </w:r>
            </w:hyperlink>
          </w:p>
        </w:tc>
      </w:tr>
    </w:tbl>
    <w:p w14:paraId="0A1C4411" w14:textId="77777777" w:rsidR="00AE2255" w:rsidRDefault="00AE2255">
      <w:pPr>
        <w:pStyle w:val="BodyText"/>
        <w:spacing w:before="9"/>
        <w:rPr>
          <w:b/>
          <w:sz w:val="30"/>
        </w:rPr>
      </w:pPr>
    </w:p>
    <w:p w14:paraId="796BF705" w14:textId="77777777" w:rsidR="00AE2255" w:rsidRDefault="00000000">
      <w:pPr>
        <w:ind w:left="662"/>
        <w:rPr>
          <w:b/>
          <w:sz w:val="20"/>
        </w:rPr>
      </w:pPr>
      <w:r>
        <w:rPr>
          <w:b/>
          <w:sz w:val="20"/>
        </w:rPr>
        <w:t>PART</w:t>
      </w:r>
      <w:r>
        <w:rPr>
          <w:b/>
          <w:spacing w:val="-4"/>
          <w:sz w:val="20"/>
        </w:rPr>
        <w:t xml:space="preserve"> </w:t>
      </w:r>
      <w:r>
        <w:rPr>
          <w:b/>
          <w:spacing w:val="-5"/>
          <w:sz w:val="20"/>
        </w:rPr>
        <w:t>IV</w:t>
      </w:r>
    </w:p>
    <w:p w14:paraId="3DF07985" w14:textId="77777777" w:rsidR="00AE2255" w:rsidRDefault="00AE2255">
      <w:pPr>
        <w:pStyle w:val="BodyText"/>
        <w:rPr>
          <w:b/>
        </w:rPr>
      </w:pPr>
    </w:p>
    <w:p w14:paraId="4D72C326" w14:textId="77777777" w:rsidR="00AE2255" w:rsidRDefault="00AE2255">
      <w:pPr>
        <w:pStyle w:val="BodyText"/>
        <w:spacing w:before="10"/>
        <w:rPr>
          <w:b/>
          <w:sz w:val="11"/>
        </w:rPr>
      </w:pPr>
    </w:p>
    <w:tbl>
      <w:tblPr>
        <w:tblW w:w="0" w:type="auto"/>
        <w:tblInd w:w="845" w:type="dxa"/>
        <w:tblLayout w:type="fixed"/>
        <w:tblCellMar>
          <w:left w:w="0" w:type="dxa"/>
          <w:right w:w="0" w:type="dxa"/>
        </w:tblCellMar>
        <w:tblLook w:val="01E0" w:firstRow="1" w:lastRow="1" w:firstColumn="1" w:lastColumn="1" w:noHBand="0" w:noVBand="0"/>
      </w:tblPr>
      <w:tblGrid>
        <w:gridCol w:w="1089"/>
        <w:gridCol w:w="8410"/>
        <w:gridCol w:w="500"/>
      </w:tblGrid>
      <w:tr w:rsidR="00AE2255" w14:paraId="105F21E1" w14:textId="77777777">
        <w:trPr>
          <w:trHeight w:val="267"/>
        </w:trPr>
        <w:tc>
          <w:tcPr>
            <w:tcW w:w="1089" w:type="dxa"/>
          </w:tcPr>
          <w:p w14:paraId="46B56EDB" w14:textId="77777777" w:rsidR="00AE2255" w:rsidRDefault="00000000">
            <w:pPr>
              <w:pStyle w:val="TableParagraph"/>
              <w:spacing w:before="0" w:line="221" w:lineRule="exact"/>
              <w:ind w:left="50"/>
              <w:jc w:val="left"/>
              <w:rPr>
                <w:sz w:val="20"/>
              </w:rPr>
            </w:pPr>
            <w:r>
              <w:rPr>
                <w:sz w:val="20"/>
              </w:rPr>
              <w:t>ITEM</w:t>
            </w:r>
            <w:r>
              <w:rPr>
                <w:spacing w:val="-5"/>
                <w:sz w:val="20"/>
              </w:rPr>
              <w:t xml:space="preserve"> 15.</w:t>
            </w:r>
          </w:p>
        </w:tc>
        <w:tc>
          <w:tcPr>
            <w:tcW w:w="8410" w:type="dxa"/>
          </w:tcPr>
          <w:p w14:paraId="396AB089" w14:textId="77777777" w:rsidR="00AE2255" w:rsidRDefault="00000000">
            <w:pPr>
              <w:pStyle w:val="TableParagraph"/>
              <w:spacing w:before="5"/>
              <w:ind w:right="147"/>
              <w:rPr>
                <w:sz w:val="20"/>
              </w:rPr>
            </w:pPr>
            <w:hyperlink w:anchor="_bookmark29" w:history="1">
              <w:r>
                <w:rPr>
                  <w:color w:val="0000FF"/>
                  <w:sz w:val="20"/>
                  <w:u w:val="single" w:color="0000FF"/>
                </w:rPr>
                <w:t>Exhibits</w:t>
              </w:r>
              <w:r>
                <w:rPr>
                  <w:color w:val="0000FF"/>
                  <w:spacing w:val="-6"/>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Financial</w:t>
              </w:r>
              <w:r>
                <w:rPr>
                  <w:color w:val="0000FF"/>
                  <w:spacing w:val="-5"/>
                  <w:sz w:val="20"/>
                  <w:u w:val="single" w:color="0000FF"/>
                </w:rPr>
                <w:t xml:space="preserve"> </w:t>
              </w:r>
              <w:r>
                <w:rPr>
                  <w:color w:val="0000FF"/>
                  <w:sz w:val="20"/>
                  <w:u w:val="single" w:color="0000FF"/>
                </w:rPr>
                <w:t>Statement</w:t>
              </w:r>
              <w:r>
                <w:rPr>
                  <w:color w:val="0000FF"/>
                  <w:spacing w:val="-5"/>
                  <w:sz w:val="20"/>
                  <w:u w:val="single" w:color="0000FF"/>
                </w:rPr>
                <w:t xml:space="preserve"> </w:t>
              </w:r>
              <w:r>
                <w:rPr>
                  <w:color w:val="0000FF"/>
                  <w:spacing w:val="-2"/>
                  <w:sz w:val="20"/>
                  <w:u w:val="single" w:color="0000FF"/>
                </w:rPr>
                <w:t>Schedules</w:t>
              </w:r>
            </w:hyperlink>
            <w:r>
              <w:rPr>
                <w:color w:val="B3B3B3"/>
                <w:spacing w:val="-2"/>
                <w:sz w:val="20"/>
              </w:rPr>
              <w:t>..........................................................................................</w:t>
            </w:r>
          </w:p>
        </w:tc>
        <w:tc>
          <w:tcPr>
            <w:tcW w:w="500" w:type="dxa"/>
          </w:tcPr>
          <w:p w14:paraId="4D033D9A" w14:textId="77777777" w:rsidR="00AE2255" w:rsidRDefault="00000000">
            <w:pPr>
              <w:pStyle w:val="TableParagraph"/>
              <w:spacing w:before="5"/>
              <w:ind w:right="47"/>
              <w:rPr>
                <w:sz w:val="20"/>
              </w:rPr>
            </w:pPr>
            <w:hyperlink w:anchor="_bookmark29" w:history="1">
              <w:r>
                <w:rPr>
                  <w:color w:val="0000FF"/>
                  <w:spacing w:val="-5"/>
                  <w:sz w:val="20"/>
                </w:rPr>
                <w:t>107</w:t>
              </w:r>
            </w:hyperlink>
          </w:p>
        </w:tc>
      </w:tr>
      <w:tr w:rsidR="00AE2255" w14:paraId="2ABD4A69" w14:textId="77777777">
        <w:trPr>
          <w:trHeight w:val="267"/>
        </w:trPr>
        <w:tc>
          <w:tcPr>
            <w:tcW w:w="1089" w:type="dxa"/>
          </w:tcPr>
          <w:p w14:paraId="2CA35B8D" w14:textId="77777777" w:rsidR="00AE2255" w:rsidRDefault="00000000">
            <w:pPr>
              <w:pStyle w:val="TableParagraph"/>
              <w:spacing w:before="24" w:line="223" w:lineRule="exact"/>
              <w:ind w:left="50"/>
              <w:jc w:val="left"/>
              <w:rPr>
                <w:sz w:val="20"/>
              </w:rPr>
            </w:pPr>
            <w:r>
              <w:rPr>
                <w:sz w:val="20"/>
              </w:rPr>
              <w:t>ITEM</w:t>
            </w:r>
            <w:r>
              <w:rPr>
                <w:spacing w:val="-5"/>
                <w:sz w:val="20"/>
              </w:rPr>
              <w:t xml:space="preserve"> 16.</w:t>
            </w:r>
          </w:p>
        </w:tc>
        <w:tc>
          <w:tcPr>
            <w:tcW w:w="8410" w:type="dxa"/>
          </w:tcPr>
          <w:p w14:paraId="11FC0D83" w14:textId="77777777" w:rsidR="00AE2255" w:rsidRDefault="00000000">
            <w:pPr>
              <w:pStyle w:val="TableParagraph"/>
              <w:spacing w:before="37" w:line="210" w:lineRule="exact"/>
              <w:ind w:right="150"/>
              <w:rPr>
                <w:sz w:val="20"/>
              </w:rPr>
            </w:pPr>
            <w:hyperlink w:anchor="_bookmark30" w:history="1">
              <w:r>
                <w:rPr>
                  <w:color w:val="0000FF"/>
                  <w:sz w:val="20"/>
                  <w:u w:val="single" w:color="0000FF"/>
                </w:rPr>
                <w:t>Form</w:t>
              </w:r>
              <w:r>
                <w:rPr>
                  <w:color w:val="0000FF"/>
                  <w:spacing w:val="15"/>
                  <w:sz w:val="20"/>
                  <w:u w:val="single" w:color="0000FF"/>
                </w:rPr>
                <w:t xml:space="preserve"> </w:t>
              </w:r>
              <w:r>
                <w:rPr>
                  <w:color w:val="0000FF"/>
                  <w:sz w:val="20"/>
                  <w:u w:val="single" w:color="0000FF"/>
                </w:rPr>
                <w:t>10-K</w:t>
              </w:r>
              <w:r>
                <w:rPr>
                  <w:color w:val="0000FF"/>
                  <w:spacing w:val="16"/>
                  <w:sz w:val="20"/>
                  <w:u w:val="single" w:color="0000FF"/>
                </w:rPr>
                <w:t xml:space="preserve"> </w:t>
              </w:r>
              <w:r>
                <w:rPr>
                  <w:color w:val="0000FF"/>
                  <w:sz w:val="20"/>
                  <w:u w:val="single" w:color="0000FF"/>
                </w:rPr>
                <w:t>Summary</w:t>
              </w:r>
            </w:hyperlink>
            <w:r>
              <w:rPr>
                <w:color w:val="0000FF"/>
                <w:spacing w:val="-4"/>
                <w:sz w:val="20"/>
              </w:rPr>
              <w:t xml:space="preserve"> </w:t>
            </w:r>
            <w:r>
              <w:rPr>
                <w:color w:val="B3B3B3"/>
                <w:spacing w:val="-2"/>
                <w:sz w:val="20"/>
              </w:rPr>
              <w:t>.............................................................................................................................</w:t>
            </w:r>
          </w:p>
        </w:tc>
        <w:tc>
          <w:tcPr>
            <w:tcW w:w="500" w:type="dxa"/>
          </w:tcPr>
          <w:p w14:paraId="0D9F138A" w14:textId="77777777" w:rsidR="00AE2255" w:rsidRDefault="00000000">
            <w:pPr>
              <w:pStyle w:val="TableParagraph"/>
              <w:spacing w:before="37" w:line="210" w:lineRule="exact"/>
              <w:ind w:right="47"/>
              <w:rPr>
                <w:sz w:val="20"/>
              </w:rPr>
            </w:pPr>
            <w:hyperlink w:anchor="_bookmark30" w:history="1">
              <w:r>
                <w:rPr>
                  <w:color w:val="0000FF"/>
                  <w:spacing w:val="-5"/>
                  <w:sz w:val="20"/>
                </w:rPr>
                <w:t>110</w:t>
              </w:r>
            </w:hyperlink>
          </w:p>
        </w:tc>
      </w:tr>
    </w:tbl>
    <w:p w14:paraId="3ADC573E" w14:textId="77777777" w:rsidR="00AE2255" w:rsidRDefault="00AE2255">
      <w:pPr>
        <w:pStyle w:val="BodyText"/>
        <w:spacing w:before="5"/>
        <w:rPr>
          <w:b/>
          <w:sz w:val="30"/>
        </w:rPr>
      </w:pPr>
    </w:p>
    <w:p w14:paraId="320BA8BC" w14:textId="77777777" w:rsidR="00AE2255" w:rsidRDefault="00000000">
      <w:pPr>
        <w:tabs>
          <w:tab w:val="right" w:leader="dot" w:pos="10787"/>
        </w:tabs>
        <w:spacing w:before="1"/>
        <w:ind w:left="662"/>
        <w:rPr>
          <w:sz w:val="20"/>
        </w:rPr>
      </w:pPr>
      <w:hyperlink w:anchor="_bookmark31" w:history="1">
        <w:r>
          <w:rPr>
            <w:b/>
            <w:color w:val="0000FF"/>
            <w:spacing w:val="-2"/>
            <w:position w:val="2"/>
            <w:sz w:val="20"/>
            <w:u w:val="single" w:color="0000FF"/>
          </w:rPr>
          <w:t>SIGNATURES</w:t>
        </w:r>
      </w:hyperlink>
      <w:r>
        <w:rPr>
          <w:color w:val="0000FF"/>
          <w:position w:val="2"/>
          <w:sz w:val="20"/>
        </w:rPr>
        <w:tab/>
      </w:r>
      <w:hyperlink w:anchor="_bookmark31" w:history="1">
        <w:r>
          <w:rPr>
            <w:color w:val="0000FF"/>
            <w:spacing w:val="-5"/>
            <w:sz w:val="20"/>
          </w:rPr>
          <w:t>111</w:t>
        </w:r>
      </w:hyperlink>
    </w:p>
    <w:p w14:paraId="04550B84" w14:textId="77777777" w:rsidR="00AE2255" w:rsidRDefault="00AE2255">
      <w:pPr>
        <w:pStyle w:val="BodyText"/>
      </w:pPr>
    </w:p>
    <w:p w14:paraId="4DA78AEA" w14:textId="77777777" w:rsidR="00AE2255" w:rsidRDefault="00000000">
      <w:pPr>
        <w:pStyle w:val="BodyText"/>
        <w:spacing w:before="1"/>
        <w:rPr>
          <w:sz w:val="16"/>
        </w:rPr>
      </w:pPr>
      <w:r>
        <w:pict w14:anchorId="6B8D5A67">
          <v:group id="docshapegroup12" o:spid="_x0000_s2236" style="position:absolute;margin-left:49.5pt;margin-top:10.45pt;width:511.5pt;height:1pt;z-index:-15726080;mso-wrap-distance-left:0;mso-wrap-distance-right:0;mso-position-horizontal-relative:page" coordorigin="990,209" coordsize="10230,20">
            <v:shape id="docshape13" o:spid="_x0000_s2238" style="position:absolute;left:990;top:218;width:10230;height:2" coordorigin="990,219" coordsize="10230,0" path="m11220,219l990,219e" fillcolor="black" stroked="f">
              <v:fill opacity="0"/>
              <v:path arrowok="t"/>
            </v:shape>
            <v:line id="_x0000_s2237" style="position:absolute" from="990,219" to="11220,219" strokeweight="1pt"/>
            <w10:wrap type="topAndBottom" anchorx="page"/>
          </v:group>
        </w:pict>
      </w:r>
    </w:p>
    <w:p w14:paraId="2F89032F" w14:textId="77777777" w:rsidR="00AE2255" w:rsidRDefault="00AE2255">
      <w:pPr>
        <w:rPr>
          <w:sz w:val="16"/>
        </w:rPr>
        <w:sectPr w:rsidR="00AE2255">
          <w:pgSz w:w="12240" w:h="15840"/>
          <w:pgMar w:top="440" w:right="560" w:bottom="280" w:left="380" w:header="230" w:footer="0" w:gutter="0"/>
          <w:cols w:space="720"/>
        </w:sectPr>
      </w:pPr>
    </w:p>
    <w:p w14:paraId="364BE330" w14:textId="77777777" w:rsidR="00AE2255" w:rsidRDefault="00AE2255">
      <w:pPr>
        <w:pStyle w:val="BodyText"/>
        <w:spacing w:before="7"/>
        <w:rPr>
          <w:sz w:val="22"/>
        </w:rPr>
      </w:pPr>
    </w:p>
    <w:p w14:paraId="18577C5C" w14:textId="77777777" w:rsidR="00AE2255" w:rsidRDefault="00000000">
      <w:pPr>
        <w:pStyle w:val="Heading1"/>
        <w:spacing w:before="92"/>
        <w:ind w:left="5404"/>
      </w:pPr>
      <w:bookmarkStart w:id="3" w:name="PART_I"/>
      <w:bookmarkEnd w:id="3"/>
      <w:r>
        <w:t>PART</w:t>
      </w:r>
      <w:r>
        <w:rPr>
          <w:spacing w:val="-4"/>
        </w:rPr>
        <w:t xml:space="preserve"> </w:t>
      </w:r>
      <w:r>
        <w:rPr>
          <w:spacing w:val="-10"/>
        </w:rPr>
        <w:t>I</w:t>
      </w:r>
    </w:p>
    <w:p w14:paraId="6F4A99AE" w14:textId="77777777" w:rsidR="00AE2255" w:rsidRDefault="00000000">
      <w:pPr>
        <w:pStyle w:val="Heading2"/>
        <w:tabs>
          <w:tab w:val="left" w:pos="1869"/>
        </w:tabs>
        <w:spacing w:before="13" w:line="456" w:lineRule="auto"/>
        <w:ind w:right="8694"/>
      </w:pPr>
      <w:bookmarkStart w:id="4" w:name="Item_1._Business"/>
      <w:bookmarkStart w:id="5" w:name="_bookmark1"/>
      <w:bookmarkEnd w:id="4"/>
      <w:bookmarkEnd w:id="5"/>
      <w:r>
        <w:t>ITEM</w:t>
      </w:r>
      <w:r>
        <w:rPr>
          <w:spacing w:val="40"/>
        </w:rPr>
        <w:t xml:space="preserve"> </w:t>
      </w:r>
      <w:r>
        <w:t>1.</w:t>
      </w:r>
      <w:r>
        <w:tab/>
      </w:r>
      <w:r>
        <w:rPr>
          <w:spacing w:val="-2"/>
        </w:rPr>
        <w:t>Business General</w:t>
      </w:r>
    </w:p>
    <w:p w14:paraId="1BF69443" w14:textId="77777777" w:rsidR="00AE2255" w:rsidRDefault="00000000">
      <w:pPr>
        <w:pStyle w:val="BodyText"/>
        <w:spacing w:before="6" w:line="249" w:lineRule="auto"/>
        <w:ind w:left="610" w:right="429" w:firstLine="360"/>
        <w:jc w:val="both"/>
      </w:pPr>
      <w:r>
        <w:t xml:space="preserve">We are a global security and aerospace company principally engaged in the research, design, development, manufacture, integration and sustainment of advanced technology systems, </w:t>
      </w:r>
      <w:proofErr w:type="gramStart"/>
      <w:r>
        <w:t>products</w:t>
      </w:r>
      <w:proofErr w:type="gramEnd"/>
      <w:r>
        <w:t xml:space="preserve"> and services. We also provide a broad range of management,</w:t>
      </w:r>
      <w:r>
        <w:rPr>
          <w:spacing w:val="-2"/>
        </w:rPr>
        <w:t xml:space="preserve"> </w:t>
      </w:r>
      <w:r>
        <w:t>engineering,</w:t>
      </w:r>
      <w:r>
        <w:rPr>
          <w:spacing w:val="-2"/>
        </w:rPr>
        <w:t xml:space="preserve"> </w:t>
      </w:r>
      <w:r>
        <w:t>technical,</w:t>
      </w:r>
      <w:r>
        <w:rPr>
          <w:spacing w:val="-2"/>
        </w:rPr>
        <w:t xml:space="preserve"> </w:t>
      </w:r>
      <w:r>
        <w:t>scientific,</w:t>
      </w:r>
      <w:r>
        <w:rPr>
          <w:spacing w:val="-2"/>
        </w:rPr>
        <w:t xml:space="preserve"> </w:t>
      </w:r>
      <w:r>
        <w:t>logistics,</w:t>
      </w:r>
      <w:r>
        <w:rPr>
          <w:spacing w:val="-2"/>
        </w:rPr>
        <w:t xml:space="preserve"> </w:t>
      </w:r>
      <w:r>
        <w:t>system</w:t>
      </w:r>
      <w:r>
        <w:rPr>
          <w:spacing w:val="-3"/>
        </w:rPr>
        <w:t xml:space="preserve"> </w:t>
      </w:r>
      <w:r>
        <w:t>integration</w:t>
      </w:r>
      <w:r>
        <w:rPr>
          <w:spacing w:val="-2"/>
        </w:rPr>
        <w:t xml:space="preserve"> </w:t>
      </w:r>
      <w:r>
        <w:t>and</w:t>
      </w:r>
      <w:r>
        <w:rPr>
          <w:spacing w:val="-2"/>
        </w:rPr>
        <w:t xml:space="preserve"> </w:t>
      </w:r>
      <w:r>
        <w:t>cybersecurity</w:t>
      </w:r>
      <w:r>
        <w:rPr>
          <w:spacing w:val="-2"/>
        </w:rPr>
        <w:t xml:space="preserve"> </w:t>
      </w:r>
      <w:r>
        <w:t>services.</w:t>
      </w:r>
      <w:r>
        <w:rPr>
          <w:spacing w:val="-2"/>
        </w:rPr>
        <w:t xml:space="preserve"> </w:t>
      </w:r>
      <w:r>
        <w:t>Our</w:t>
      </w:r>
      <w:r>
        <w:rPr>
          <w:spacing w:val="-2"/>
        </w:rPr>
        <w:t xml:space="preserve"> </w:t>
      </w:r>
      <w:r>
        <w:t>main</w:t>
      </w:r>
      <w:r>
        <w:rPr>
          <w:spacing w:val="-2"/>
        </w:rPr>
        <w:t xml:space="preserve"> </w:t>
      </w:r>
      <w:r>
        <w:t>areas</w:t>
      </w:r>
      <w:r>
        <w:rPr>
          <w:spacing w:val="-3"/>
        </w:rPr>
        <w:t xml:space="preserve"> </w:t>
      </w:r>
      <w:r>
        <w:t>of</w:t>
      </w:r>
      <w:r>
        <w:rPr>
          <w:spacing w:val="-2"/>
        </w:rPr>
        <w:t xml:space="preserve"> </w:t>
      </w:r>
      <w:r>
        <w:t xml:space="preserve">focus are </w:t>
      </w:r>
      <w:proofErr w:type="gramStart"/>
      <w:r>
        <w:t>in</w:t>
      </w:r>
      <w:proofErr w:type="gramEnd"/>
      <w:r>
        <w:t xml:space="preserve"> defense, space, intelligence, homeland security and information technology, including cybersecurity. We serve both U.S. and international customers with products and services that have defense, civil and commercial applications, with our principal customers being agencies of the U.S. Government.</w:t>
      </w:r>
    </w:p>
    <w:p w14:paraId="5DA27F1E" w14:textId="77777777" w:rsidR="00AE2255" w:rsidRDefault="00AE2255">
      <w:pPr>
        <w:pStyle w:val="BodyText"/>
        <w:spacing w:before="9"/>
        <w:rPr>
          <w:sz w:val="17"/>
        </w:rPr>
      </w:pPr>
    </w:p>
    <w:p w14:paraId="3DF38541" w14:textId="77777777" w:rsidR="00AE2255" w:rsidRDefault="00000000">
      <w:pPr>
        <w:pStyle w:val="BodyText"/>
        <w:spacing w:line="249" w:lineRule="auto"/>
        <w:ind w:left="610" w:right="429" w:firstLine="360"/>
        <w:jc w:val="both"/>
      </w:pPr>
      <w:r>
        <w:t>We</w:t>
      </w:r>
      <w:r>
        <w:rPr>
          <w:spacing w:val="-2"/>
        </w:rPr>
        <w:t xml:space="preserve"> </w:t>
      </w:r>
      <w:r>
        <w:t>operate</w:t>
      </w:r>
      <w:r>
        <w:rPr>
          <w:spacing w:val="-2"/>
        </w:rPr>
        <w:t xml:space="preserve"> </w:t>
      </w:r>
      <w:r>
        <w:t>in</w:t>
      </w:r>
      <w:r>
        <w:rPr>
          <w:spacing w:val="-2"/>
        </w:rPr>
        <w:t xml:space="preserve"> </w:t>
      </w:r>
      <w:r>
        <w:t>a</w:t>
      </w:r>
      <w:r>
        <w:rPr>
          <w:spacing w:val="-2"/>
        </w:rPr>
        <w:t xml:space="preserve"> </w:t>
      </w:r>
      <w:r>
        <w:t>complex</w:t>
      </w:r>
      <w:r>
        <w:rPr>
          <w:spacing w:val="-2"/>
        </w:rPr>
        <w:t xml:space="preserve"> </w:t>
      </w:r>
      <w:r>
        <w:t>and</w:t>
      </w:r>
      <w:r>
        <w:rPr>
          <w:spacing w:val="-2"/>
        </w:rPr>
        <w:t xml:space="preserve"> </w:t>
      </w:r>
      <w:r>
        <w:t>evolving</w:t>
      </w:r>
      <w:r>
        <w:rPr>
          <w:spacing w:val="-2"/>
        </w:rPr>
        <w:t xml:space="preserve"> </w:t>
      </w:r>
      <w:r>
        <w:t>global</w:t>
      </w:r>
      <w:r>
        <w:rPr>
          <w:spacing w:val="-2"/>
        </w:rPr>
        <w:t xml:space="preserve"> </w:t>
      </w:r>
      <w:r>
        <w:t>security</w:t>
      </w:r>
      <w:r>
        <w:rPr>
          <w:spacing w:val="-2"/>
        </w:rPr>
        <w:t xml:space="preserve"> </w:t>
      </w:r>
      <w:r>
        <w:t>environment.</w:t>
      </w:r>
      <w:r>
        <w:rPr>
          <w:spacing w:val="-2"/>
        </w:rPr>
        <w:t xml:space="preserve"> </w:t>
      </w:r>
      <w:r>
        <w:t>Our</w:t>
      </w:r>
      <w:r>
        <w:rPr>
          <w:spacing w:val="-2"/>
        </w:rPr>
        <w:t xml:space="preserve"> </w:t>
      </w:r>
      <w:r>
        <w:t>strategy</w:t>
      </w:r>
      <w:r>
        <w:rPr>
          <w:spacing w:val="-2"/>
        </w:rPr>
        <w:t xml:space="preserve"> </w:t>
      </w:r>
      <w:r>
        <w:t>consists</w:t>
      </w:r>
      <w:r>
        <w:rPr>
          <w:spacing w:val="-2"/>
        </w:rPr>
        <w:t xml:space="preserve"> </w:t>
      </w:r>
      <w:r>
        <w:t>of</w:t>
      </w:r>
      <w:r>
        <w:rPr>
          <w:spacing w:val="-2"/>
        </w:rPr>
        <w:t xml:space="preserve"> </w:t>
      </w:r>
      <w:r>
        <w:t>the</w:t>
      </w:r>
      <w:r>
        <w:rPr>
          <w:spacing w:val="-2"/>
        </w:rPr>
        <w:t xml:space="preserve"> </w:t>
      </w:r>
      <w:r>
        <w:t>design</w:t>
      </w:r>
      <w:r>
        <w:rPr>
          <w:spacing w:val="-2"/>
        </w:rPr>
        <w:t xml:space="preserve"> </w:t>
      </w:r>
      <w:r>
        <w:t>and</w:t>
      </w:r>
      <w:r>
        <w:rPr>
          <w:spacing w:val="-2"/>
        </w:rPr>
        <w:t xml:space="preserve"> </w:t>
      </w:r>
      <w:r>
        <w:t>development</w:t>
      </w:r>
      <w:r>
        <w:rPr>
          <w:spacing w:val="-2"/>
        </w:rPr>
        <w:t xml:space="preserve"> </w:t>
      </w:r>
      <w:r>
        <w:t xml:space="preserve">of platforms and systems that meet the future requirements of 21st Century Security. Our vision for 21st Century Security is to accelerate the adoption of advanced networking and leading-edge technologies into our national defense enterprise, while enhancing the performance and value of our platforms and products for our customers. The aim of 21st Century Security is to integrate new and existing systems across all domains with advanced, open-architecture networking and operational technologies to make forces more agile, </w:t>
      </w:r>
      <w:proofErr w:type="gramStart"/>
      <w:r>
        <w:t>adaptive</w:t>
      </w:r>
      <w:proofErr w:type="gramEnd"/>
      <w:r>
        <w:t xml:space="preserve"> and unpredictable.</w:t>
      </w:r>
    </w:p>
    <w:p w14:paraId="424BE2E8" w14:textId="77777777" w:rsidR="00AE2255" w:rsidRDefault="00AE2255">
      <w:pPr>
        <w:pStyle w:val="BodyText"/>
        <w:spacing w:before="10"/>
        <w:rPr>
          <w:sz w:val="17"/>
        </w:rPr>
      </w:pPr>
    </w:p>
    <w:p w14:paraId="744CC561" w14:textId="77777777" w:rsidR="00AE2255" w:rsidRDefault="00000000">
      <w:pPr>
        <w:pStyle w:val="BodyText"/>
        <w:spacing w:line="249" w:lineRule="auto"/>
        <w:ind w:left="610" w:right="428" w:firstLine="360"/>
        <w:jc w:val="both"/>
      </w:pPr>
      <w:r>
        <w:t xml:space="preserve">21st Century Security is an overarching vision that will guide our investment and strategy and we are also focused on four elements for potential growth in the near to mid-term: current programs of record, classified programs, </w:t>
      </w:r>
      <w:proofErr w:type="spellStart"/>
      <w:r>
        <w:t>hypersonics</w:t>
      </w:r>
      <w:proofErr w:type="spellEnd"/>
      <w:r>
        <w:t xml:space="preserve"> and new awards. We have multiple programs of record from each business segment that are entering growth stages, including the F-35 sustainment</w:t>
      </w:r>
      <w:r>
        <w:rPr>
          <w:spacing w:val="-1"/>
        </w:rPr>
        <w:t xml:space="preserve"> </w:t>
      </w:r>
      <w:r>
        <w:t>activity</w:t>
      </w:r>
      <w:r>
        <w:rPr>
          <w:spacing w:val="-1"/>
        </w:rPr>
        <w:t xml:space="preserve"> </w:t>
      </w:r>
      <w:r>
        <w:t>(Aeronautics),</w:t>
      </w:r>
      <w:r>
        <w:rPr>
          <w:spacing w:val="-1"/>
        </w:rPr>
        <w:t xml:space="preserve"> </w:t>
      </w:r>
      <w:r>
        <w:t>increased</w:t>
      </w:r>
      <w:r>
        <w:rPr>
          <w:spacing w:val="-1"/>
        </w:rPr>
        <w:t xml:space="preserve"> </w:t>
      </w:r>
      <w:r>
        <w:t>PAC-3</w:t>
      </w:r>
      <w:r>
        <w:rPr>
          <w:spacing w:val="-1"/>
        </w:rPr>
        <w:t xml:space="preserve"> </w:t>
      </w:r>
      <w:r>
        <w:t>production</w:t>
      </w:r>
      <w:r>
        <w:rPr>
          <w:spacing w:val="-1"/>
        </w:rPr>
        <w:t xml:space="preserve"> </w:t>
      </w:r>
      <w:r>
        <w:t>rates</w:t>
      </w:r>
      <w:r>
        <w:rPr>
          <w:spacing w:val="-1"/>
        </w:rPr>
        <w:t xml:space="preserve"> </w:t>
      </w:r>
      <w:r>
        <w:t>(Missiles</w:t>
      </w:r>
      <w:r>
        <w:rPr>
          <w:spacing w:val="-1"/>
        </w:rPr>
        <w:t xml:space="preserve"> </w:t>
      </w:r>
      <w:r>
        <w:t>and</w:t>
      </w:r>
      <w:r>
        <w:rPr>
          <w:spacing w:val="-1"/>
        </w:rPr>
        <w:t xml:space="preserve"> </w:t>
      </w:r>
      <w:r>
        <w:t>Fire</w:t>
      </w:r>
      <w:r>
        <w:rPr>
          <w:spacing w:val="-1"/>
        </w:rPr>
        <w:t xml:space="preserve"> </w:t>
      </w:r>
      <w:r>
        <w:t>Control),</w:t>
      </w:r>
      <w:r>
        <w:rPr>
          <w:spacing w:val="-1"/>
        </w:rPr>
        <w:t xml:space="preserve"> </w:t>
      </w:r>
      <w:r>
        <w:t>CH-53K</w:t>
      </w:r>
      <w:r>
        <w:rPr>
          <w:spacing w:val="-1"/>
        </w:rPr>
        <w:t xml:space="preserve"> </w:t>
      </w:r>
      <w:r>
        <w:t>heavy</w:t>
      </w:r>
      <w:r>
        <w:rPr>
          <w:spacing w:val="-1"/>
        </w:rPr>
        <w:t xml:space="preserve"> </w:t>
      </w:r>
      <w:r>
        <w:t>lift</w:t>
      </w:r>
      <w:r>
        <w:rPr>
          <w:spacing w:val="-1"/>
        </w:rPr>
        <w:t xml:space="preserve"> </w:t>
      </w:r>
      <w:r>
        <w:t>helicopter (Rotary and Mission Systems), and the modernization and enhancements to the Trident II D5 Fleet Ballistic Missile (Space).</w:t>
      </w:r>
      <w:r>
        <w:rPr>
          <w:spacing w:val="40"/>
        </w:rPr>
        <w:t xml:space="preserve"> </w:t>
      </w:r>
      <w:r>
        <w:t>We are engaged in significant classified development programs and pending successful achievement of the objectives within those programs, we expect to begin the transition from development to production over the next few years. We are currently performing on multiple hypersonic programs and following the successful completion of ongoing testing and evaluation activity, multiple programs are expected to enter early production phases between 2023 and 2026. Finally, we are always in pursuit of new program awards to develop future platforms that enable us to continue to place security capability into the</w:t>
      </w:r>
      <w:r>
        <w:rPr>
          <w:spacing w:val="40"/>
        </w:rPr>
        <w:t xml:space="preserve"> </w:t>
      </w:r>
      <w:r>
        <w:t>market and expand our global reach.</w:t>
      </w:r>
    </w:p>
    <w:p w14:paraId="403D180B" w14:textId="77777777" w:rsidR="00AE2255" w:rsidRDefault="00AE2255">
      <w:pPr>
        <w:pStyle w:val="BodyText"/>
        <w:spacing w:before="2"/>
        <w:rPr>
          <w:sz w:val="18"/>
        </w:rPr>
      </w:pPr>
    </w:p>
    <w:p w14:paraId="02D036F1" w14:textId="77777777" w:rsidR="00AE2255" w:rsidRDefault="00000000">
      <w:pPr>
        <w:pStyle w:val="BodyText"/>
        <w:spacing w:line="249" w:lineRule="auto"/>
        <w:ind w:left="610" w:right="427" w:firstLine="360"/>
        <w:jc w:val="both"/>
      </w:pPr>
      <w:r>
        <w:t>Key to enabling success of our strategy is developing differentiating technologies, forging strategic partnerships, including with commercial companies, executing on our multi-year business transformation initiative to enhance our digital infrastructure and increase efficiencies and collaboration throughout our business and maintaining fiscal discipline. Underpinning our ability to execute our strategy is our talent and culture. We invest substantially in our people to ensure that our workforce has the technical skills necessary to succeed, and we expect to continue to invest internally in innovative technologies that address rapidly evolving mission requirements for our customers. We also will continue to evaluate our portfolio and will make</w:t>
      </w:r>
      <w:r>
        <w:rPr>
          <w:spacing w:val="40"/>
        </w:rPr>
        <w:t xml:space="preserve"> </w:t>
      </w:r>
      <w:r>
        <w:t>strategic acquisitions or divestitures, as appropriate, while deepening our connection to commercial industry through cooperative partnerships, joint ventures, and equity investments.</w:t>
      </w:r>
    </w:p>
    <w:p w14:paraId="08D85FF8" w14:textId="77777777" w:rsidR="00AE2255" w:rsidRDefault="00AE2255">
      <w:pPr>
        <w:pStyle w:val="BodyText"/>
        <w:spacing w:before="11"/>
        <w:rPr>
          <w:sz w:val="17"/>
        </w:rPr>
      </w:pPr>
    </w:p>
    <w:p w14:paraId="6FE66B36" w14:textId="77777777" w:rsidR="00AE2255" w:rsidRDefault="00000000">
      <w:pPr>
        <w:pStyle w:val="BodyText"/>
        <w:spacing w:line="249" w:lineRule="auto"/>
        <w:ind w:left="610" w:right="429" w:firstLine="360"/>
        <w:jc w:val="both"/>
      </w:pPr>
      <w:r>
        <w:t>We operate in four business segments: Aeronautics, Missiles and Fire Control (MFC), Rotary and Mission Systems (RMS) and Space. We organize our business segments based on the nature of the products and services offered.</w:t>
      </w:r>
    </w:p>
    <w:p w14:paraId="75ABD756" w14:textId="77777777" w:rsidR="00AE2255" w:rsidRDefault="00AE2255">
      <w:pPr>
        <w:pStyle w:val="BodyText"/>
        <w:spacing w:before="3"/>
        <w:rPr>
          <w:sz w:val="17"/>
        </w:rPr>
      </w:pPr>
    </w:p>
    <w:p w14:paraId="5C710257" w14:textId="77777777" w:rsidR="00AE2255" w:rsidRDefault="00000000">
      <w:pPr>
        <w:pStyle w:val="Heading2"/>
      </w:pPr>
      <w:r>
        <w:t>Business</w:t>
      </w:r>
      <w:r>
        <w:rPr>
          <w:spacing w:val="-10"/>
        </w:rPr>
        <w:t xml:space="preserve"> </w:t>
      </w:r>
      <w:r>
        <w:rPr>
          <w:spacing w:val="-2"/>
        </w:rPr>
        <w:t>Segments</w:t>
      </w:r>
    </w:p>
    <w:p w14:paraId="7673A66F" w14:textId="77777777" w:rsidR="00AE2255" w:rsidRDefault="00AE2255">
      <w:pPr>
        <w:pStyle w:val="BodyText"/>
        <w:spacing w:before="3"/>
        <w:rPr>
          <w:b/>
          <w:sz w:val="18"/>
        </w:rPr>
      </w:pPr>
    </w:p>
    <w:p w14:paraId="4DC4E091" w14:textId="77777777" w:rsidR="00AE2255" w:rsidRDefault="00000000">
      <w:pPr>
        <w:pStyle w:val="Heading3"/>
      </w:pPr>
      <w:r>
        <w:rPr>
          <w:spacing w:val="-2"/>
        </w:rPr>
        <w:t>Aeronautics</w:t>
      </w:r>
    </w:p>
    <w:p w14:paraId="14E7F86A" w14:textId="77777777" w:rsidR="00AE2255" w:rsidRDefault="00AE2255">
      <w:pPr>
        <w:pStyle w:val="BodyText"/>
        <w:spacing w:before="6"/>
        <w:rPr>
          <w:b/>
          <w:i/>
          <w:sz w:val="18"/>
        </w:rPr>
      </w:pPr>
    </w:p>
    <w:p w14:paraId="2231B6E7" w14:textId="77777777" w:rsidR="00AE2255" w:rsidRDefault="00000000">
      <w:pPr>
        <w:pStyle w:val="BodyText"/>
        <w:spacing w:line="249" w:lineRule="auto"/>
        <w:ind w:left="610" w:right="428" w:firstLine="360"/>
        <w:jc w:val="both"/>
      </w:pPr>
      <w:r>
        <w:t xml:space="preserve">Aeronautics is engaged in the research, design, development, manufacture, integration, sustainment, </w:t>
      </w:r>
      <w:proofErr w:type="gramStart"/>
      <w:r>
        <w:t>support</w:t>
      </w:r>
      <w:proofErr w:type="gramEnd"/>
      <w:r>
        <w:t xml:space="preserve"> and upgrade</w:t>
      </w:r>
      <w:r>
        <w:rPr>
          <w:spacing w:val="40"/>
        </w:rPr>
        <w:t xml:space="preserve"> </w:t>
      </w:r>
      <w:r>
        <w:t>of advanced military aircraft, including combat and air mobility aircraft, unmanned air vehicles and related technologies. Aeronautics</w:t>
      </w:r>
      <w:r>
        <w:rPr>
          <w:spacing w:val="-4"/>
        </w:rPr>
        <w:t xml:space="preserve"> </w:t>
      </w:r>
      <w:r>
        <w:t>also</w:t>
      </w:r>
      <w:r>
        <w:rPr>
          <w:spacing w:val="-3"/>
        </w:rPr>
        <w:t xml:space="preserve"> </w:t>
      </w:r>
      <w:r>
        <w:t>has</w:t>
      </w:r>
      <w:r>
        <w:rPr>
          <w:spacing w:val="-4"/>
        </w:rPr>
        <w:t xml:space="preserve"> </w:t>
      </w:r>
      <w:r>
        <w:t>contracts</w:t>
      </w:r>
      <w:r>
        <w:rPr>
          <w:spacing w:val="-4"/>
        </w:rPr>
        <w:t xml:space="preserve"> </w:t>
      </w:r>
      <w:r>
        <w:t>with</w:t>
      </w:r>
      <w:r>
        <w:rPr>
          <w:spacing w:val="-3"/>
        </w:rPr>
        <w:t xml:space="preserve"> </w:t>
      </w:r>
      <w:r>
        <w:t>the</w:t>
      </w:r>
      <w:r>
        <w:rPr>
          <w:spacing w:val="-4"/>
        </w:rPr>
        <w:t xml:space="preserve"> </w:t>
      </w:r>
      <w:r>
        <w:t>U.S.</w:t>
      </w:r>
      <w:r>
        <w:rPr>
          <w:spacing w:val="-3"/>
        </w:rPr>
        <w:t xml:space="preserve"> </w:t>
      </w:r>
      <w:r>
        <w:t>Government</w:t>
      </w:r>
      <w:r>
        <w:rPr>
          <w:spacing w:val="-4"/>
        </w:rPr>
        <w:t xml:space="preserve"> </w:t>
      </w:r>
      <w:r>
        <w:t>for</w:t>
      </w:r>
      <w:r>
        <w:rPr>
          <w:spacing w:val="-3"/>
        </w:rPr>
        <w:t xml:space="preserve"> </w:t>
      </w:r>
      <w:r>
        <w:t>various</w:t>
      </w:r>
      <w:r>
        <w:rPr>
          <w:spacing w:val="-4"/>
        </w:rPr>
        <w:t xml:space="preserve"> </w:t>
      </w:r>
      <w:r>
        <w:t>classified</w:t>
      </w:r>
      <w:r>
        <w:rPr>
          <w:spacing w:val="-3"/>
        </w:rPr>
        <w:t xml:space="preserve"> </w:t>
      </w:r>
      <w:r>
        <w:t>programs.</w:t>
      </w:r>
      <w:r>
        <w:rPr>
          <w:spacing w:val="-3"/>
        </w:rPr>
        <w:t xml:space="preserve"> </w:t>
      </w:r>
      <w:r>
        <w:t>Aeronautics’</w:t>
      </w:r>
      <w:r>
        <w:rPr>
          <w:spacing w:val="-3"/>
        </w:rPr>
        <w:t xml:space="preserve"> </w:t>
      </w:r>
      <w:r>
        <w:t>major</w:t>
      </w:r>
      <w:r>
        <w:rPr>
          <w:spacing w:val="-3"/>
        </w:rPr>
        <w:t xml:space="preserve"> </w:t>
      </w:r>
      <w:r>
        <w:t>programs</w:t>
      </w:r>
      <w:r>
        <w:rPr>
          <w:spacing w:val="-4"/>
        </w:rPr>
        <w:t xml:space="preserve"> </w:t>
      </w:r>
      <w:r>
        <w:t>include:</w:t>
      </w:r>
    </w:p>
    <w:p w14:paraId="68427ED4" w14:textId="77777777" w:rsidR="00AE2255" w:rsidRDefault="00AE2255">
      <w:pPr>
        <w:pStyle w:val="BodyText"/>
        <w:spacing w:before="7"/>
        <w:rPr>
          <w:sz w:val="17"/>
        </w:rPr>
      </w:pPr>
    </w:p>
    <w:p w14:paraId="5A086CB9" w14:textId="77777777" w:rsidR="00AE2255" w:rsidRDefault="00000000">
      <w:pPr>
        <w:pStyle w:val="ListParagraph"/>
        <w:numPr>
          <w:ilvl w:val="1"/>
          <w:numId w:val="15"/>
        </w:numPr>
        <w:tabs>
          <w:tab w:val="left" w:pos="969"/>
          <w:tab w:val="left" w:pos="970"/>
        </w:tabs>
        <w:rPr>
          <w:sz w:val="20"/>
        </w:rPr>
      </w:pPr>
      <w:r>
        <w:rPr>
          <w:sz w:val="20"/>
        </w:rPr>
        <w:t>F-35</w:t>
      </w:r>
      <w:r>
        <w:rPr>
          <w:spacing w:val="-6"/>
          <w:sz w:val="20"/>
        </w:rPr>
        <w:t xml:space="preserve"> </w:t>
      </w:r>
      <w:r>
        <w:rPr>
          <w:sz w:val="20"/>
        </w:rPr>
        <w:t>Lightning</w:t>
      </w:r>
      <w:r>
        <w:rPr>
          <w:spacing w:val="-4"/>
          <w:sz w:val="20"/>
        </w:rPr>
        <w:t xml:space="preserve"> </w:t>
      </w:r>
      <w:r>
        <w:rPr>
          <w:sz w:val="20"/>
        </w:rPr>
        <w:t>II</w:t>
      </w:r>
      <w:r>
        <w:rPr>
          <w:spacing w:val="-4"/>
          <w:sz w:val="20"/>
        </w:rPr>
        <w:t xml:space="preserve"> </w:t>
      </w:r>
      <w:r>
        <w:rPr>
          <w:sz w:val="20"/>
        </w:rPr>
        <w:t>-</w:t>
      </w:r>
      <w:r>
        <w:rPr>
          <w:spacing w:val="-4"/>
          <w:sz w:val="20"/>
        </w:rPr>
        <w:t xml:space="preserve"> </w:t>
      </w:r>
      <w:r>
        <w:rPr>
          <w:sz w:val="20"/>
        </w:rPr>
        <w:t>international</w:t>
      </w:r>
      <w:r>
        <w:rPr>
          <w:spacing w:val="-5"/>
          <w:sz w:val="20"/>
        </w:rPr>
        <w:t xml:space="preserve"> </w:t>
      </w:r>
      <w:r>
        <w:rPr>
          <w:sz w:val="20"/>
        </w:rPr>
        <w:t>multi-role,</w:t>
      </w:r>
      <w:r>
        <w:rPr>
          <w:spacing w:val="-4"/>
          <w:sz w:val="20"/>
        </w:rPr>
        <w:t xml:space="preserve"> </w:t>
      </w:r>
      <w:r>
        <w:rPr>
          <w:sz w:val="20"/>
        </w:rPr>
        <w:t>multi-variant,</w:t>
      </w:r>
      <w:r>
        <w:rPr>
          <w:spacing w:val="-4"/>
          <w:sz w:val="20"/>
        </w:rPr>
        <w:t xml:space="preserve"> </w:t>
      </w:r>
      <w:r>
        <w:rPr>
          <w:sz w:val="20"/>
        </w:rPr>
        <w:t>fifth</w:t>
      </w:r>
      <w:r>
        <w:rPr>
          <w:spacing w:val="-4"/>
          <w:sz w:val="20"/>
        </w:rPr>
        <w:t xml:space="preserve"> </w:t>
      </w:r>
      <w:r>
        <w:rPr>
          <w:sz w:val="20"/>
        </w:rPr>
        <w:t>generation</w:t>
      </w:r>
      <w:r>
        <w:rPr>
          <w:spacing w:val="-4"/>
          <w:sz w:val="20"/>
        </w:rPr>
        <w:t xml:space="preserve"> </w:t>
      </w:r>
      <w:r>
        <w:rPr>
          <w:sz w:val="20"/>
        </w:rPr>
        <w:t>stealth</w:t>
      </w:r>
      <w:r>
        <w:rPr>
          <w:spacing w:val="-3"/>
          <w:sz w:val="20"/>
        </w:rPr>
        <w:t xml:space="preserve"> </w:t>
      </w:r>
      <w:proofErr w:type="gramStart"/>
      <w:r>
        <w:rPr>
          <w:spacing w:val="-2"/>
          <w:sz w:val="20"/>
        </w:rPr>
        <w:t>fighter;</w:t>
      </w:r>
      <w:proofErr w:type="gramEnd"/>
    </w:p>
    <w:p w14:paraId="103FC9A8" w14:textId="77777777" w:rsidR="00AE2255" w:rsidRDefault="00000000">
      <w:pPr>
        <w:pStyle w:val="ListParagraph"/>
        <w:numPr>
          <w:ilvl w:val="1"/>
          <w:numId w:val="15"/>
        </w:numPr>
        <w:tabs>
          <w:tab w:val="left" w:pos="969"/>
          <w:tab w:val="left" w:pos="970"/>
        </w:tabs>
        <w:spacing w:before="10"/>
        <w:rPr>
          <w:sz w:val="20"/>
        </w:rPr>
      </w:pPr>
      <w:r>
        <w:rPr>
          <w:sz w:val="20"/>
        </w:rPr>
        <w:t>C-130</w:t>
      </w:r>
      <w:r>
        <w:rPr>
          <w:spacing w:val="-5"/>
          <w:sz w:val="20"/>
        </w:rPr>
        <w:t xml:space="preserve"> </w:t>
      </w:r>
      <w:r>
        <w:rPr>
          <w:sz w:val="20"/>
        </w:rPr>
        <w:t>Hercules</w:t>
      </w:r>
      <w:r>
        <w:rPr>
          <w:spacing w:val="-5"/>
          <w:sz w:val="20"/>
        </w:rPr>
        <w:t xml:space="preserve"> </w:t>
      </w:r>
      <w:r>
        <w:rPr>
          <w:sz w:val="20"/>
        </w:rPr>
        <w:t>-</w:t>
      </w:r>
      <w:r>
        <w:rPr>
          <w:spacing w:val="-4"/>
          <w:sz w:val="20"/>
        </w:rPr>
        <w:t xml:space="preserve"> </w:t>
      </w:r>
      <w:r>
        <w:rPr>
          <w:sz w:val="20"/>
        </w:rPr>
        <w:t>international</w:t>
      </w:r>
      <w:r>
        <w:rPr>
          <w:spacing w:val="-5"/>
          <w:sz w:val="20"/>
        </w:rPr>
        <w:t xml:space="preserve"> </w:t>
      </w:r>
      <w:r>
        <w:rPr>
          <w:sz w:val="20"/>
        </w:rPr>
        <w:t>tactical</w:t>
      </w:r>
      <w:r>
        <w:rPr>
          <w:spacing w:val="-4"/>
          <w:sz w:val="20"/>
        </w:rPr>
        <w:t xml:space="preserve"> </w:t>
      </w:r>
      <w:proofErr w:type="gramStart"/>
      <w:r>
        <w:rPr>
          <w:spacing w:val="-2"/>
          <w:sz w:val="20"/>
        </w:rPr>
        <w:t>airlifter;</w:t>
      </w:r>
      <w:proofErr w:type="gramEnd"/>
    </w:p>
    <w:p w14:paraId="7A27DA57" w14:textId="77777777" w:rsidR="00AE2255" w:rsidRDefault="00000000">
      <w:pPr>
        <w:pStyle w:val="ListParagraph"/>
        <w:numPr>
          <w:ilvl w:val="1"/>
          <w:numId w:val="15"/>
        </w:numPr>
        <w:tabs>
          <w:tab w:val="left" w:pos="969"/>
          <w:tab w:val="left" w:pos="970"/>
        </w:tabs>
        <w:spacing w:before="10"/>
        <w:rPr>
          <w:sz w:val="20"/>
        </w:rPr>
      </w:pPr>
      <w:r>
        <w:rPr>
          <w:sz w:val="20"/>
        </w:rPr>
        <w:t>F-16</w:t>
      </w:r>
      <w:r>
        <w:rPr>
          <w:spacing w:val="-6"/>
          <w:sz w:val="20"/>
        </w:rPr>
        <w:t xml:space="preserve"> </w:t>
      </w:r>
      <w:r>
        <w:rPr>
          <w:sz w:val="20"/>
        </w:rPr>
        <w:t>Fighting</w:t>
      </w:r>
      <w:r>
        <w:rPr>
          <w:spacing w:val="-4"/>
          <w:sz w:val="20"/>
        </w:rPr>
        <w:t xml:space="preserve"> </w:t>
      </w:r>
      <w:r>
        <w:rPr>
          <w:sz w:val="20"/>
        </w:rPr>
        <w:t>Falcon</w:t>
      </w:r>
      <w:r>
        <w:rPr>
          <w:spacing w:val="-3"/>
          <w:sz w:val="20"/>
        </w:rPr>
        <w:t xml:space="preserve"> </w:t>
      </w:r>
      <w:r>
        <w:rPr>
          <w:sz w:val="20"/>
        </w:rPr>
        <w:t>-</w:t>
      </w:r>
      <w:r>
        <w:rPr>
          <w:spacing w:val="-4"/>
          <w:sz w:val="20"/>
        </w:rPr>
        <w:t xml:space="preserve"> </w:t>
      </w:r>
      <w:r>
        <w:rPr>
          <w:sz w:val="20"/>
        </w:rPr>
        <w:t>combat-proven,</w:t>
      </w:r>
      <w:r>
        <w:rPr>
          <w:spacing w:val="-4"/>
          <w:sz w:val="20"/>
        </w:rPr>
        <w:t xml:space="preserve"> </w:t>
      </w:r>
      <w:r>
        <w:rPr>
          <w:sz w:val="20"/>
        </w:rPr>
        <w:t>international</w:t>
      </w:r>
      <w:r>
        <w:rPr>
          <w:spacing w:val="-4"/>
          <w:sz w:val="20"/>
        </w:rPr>
        <w:t xml:space="preserve"> </w:t>
      </w:r>
      <w:r>
        <w:rPr>
          <w:sz w:val="20"/>
        </w:rPr>
        <w:t>multi-role</w:t>
      </w:r>
      <w:r>
        <w:rPr>
          <w:spacing w:val="-5"/>
          <w:sz w:val="20"/>
        </w:rPr>
        <w:t xml:space="preserve"> </w:t>
      </w:r>
      <w:r>
        <w:rPr>
          <w:sz w:val="20"/>
        </w:rPr>
        <w:t>fighter;</w:t>
      </w:r>
      <w:r>
        <w:rPr>
          <w:spacing w:val="-4"/>
          <w:sz w:val="20"/>
        </w:rPr>
        <w:t xml:space="preserve"> </w:t>
      </w:r>
      <w:r>
        <w:rPr>
          <w:spacing w:val="-5"/>
          <w:sz w:val="20"/>
        </w:rPr>
        <w:t>and</w:t>
      </w:r>
    </w:p>
    <w:p w14:paraId="65F0312A" w14:textId="77777777" w:rsidR="00AE2255" w:rsidRDefault="00000000">
      <w:pPr>
        <w:pStyle w:val="ListParagraph"/>
        <w:numPr>
          <w:ilvl w:val="1"/>
          <w:numId w:val="15"/>
        </w:numPr>
        <w:tabs>
          <w:tab w:val="left" w:pos="969"/>
          <w:tab w:val="left" w:pos="970"/>
        </w:tabs>
        <w:spacing w:before="10"/>
        <w:rPr>
          <w:sz w:val="20"/>
        </w:rPr>
      </w:pPr>
      <w:r>
        <w:rPr>
          <w:sz w:val="20"/>
        </w:rPr>
        <w:t>F-22</w:t>
      </w:r>
      <w:r>
        <w:rPr>
          <w:spacing w:val="-5"/>
          <w:sz w:val="20"/>
        </w:rPr>
        <w:t xml:space="preserve"> </w:t>
      </w:r>
      <w:r>
        <w:rPr>
          <w:sz w:val="20"/>
        </w:rPr>
        <w:t>Raptor</w:t>
      </w:r>
      <w:r>
        <w:rPr>
          <w:spacing w:val="-3"/>
          <w:sz w:val="20"/>
        </w:rPr>
        <w:t xml:space="preserve"> </w:t>
      </w:r>
      <w:r>
        <w:rPr>
          <w:sz w:val="20"/>
        </w:rPr>
        <w:t>-</w:t>
      </w:r>
      <w:r>
        <w:rPr>
          <w:spacing w:val="-3"/>
          <w:sz w:val="20"/>
        </w:rPr>
        <w:t xml:space="preserve"> </w:t>
      </w:r>
      <w:r>
        <w:rPr>
          <w:sz w:val="20"/>
        </w:rPr>
        <w:t>air</w:t>
      </w:r>
      <w:r>
        <w:rPr>
          <w:spacing w:val="-3"/>
          <w:sz w:val="20"/>
        </w:rPr>
        <w:t xml:space="preserve"> </w:t>
      </w:r>
      <w:r>
        <w:rPr>
          <w:sz w:val="20"/>
        </w:rPr>
        <w:t>dominance</w:t>
      </w:r>
      <w:r>
        <w:rPr>
          <w:spacing w:val="-4"/>
          <w:sz w:val="20"/>
        </w:rPr>
        <w:t xml:space="preserve"> </w:t>
      </w:r>
      <w:r>
        <w:rPr>
          <w:sz w:val="20"/>
        </w:rPr>
        <w:t>and</w:t>
      </w:r>
      <w:r>
        <w:rPr>
          <w:spacing w:val="-3"/>
          <w:sz w:val="20"/>
        </w:rPr>
        <w:t xml:space="preserve"> </w:t>
      </w:r>
      <w:r>
        <w:rPr>
          <w:sz w:val="20"/>
        </w:rPr>
        <w:t>multi-role</w:t>
      </w:r>
      <w:r>
        <w:rPr>
          <w:spacing w:val="-4"/>
          <w:sz w:val="20"/>
        </w:rPr>
        <w:t xml:space="preserve"> </w:t>
      </w:r>
      <w:r>
        <w:rPr>
          <w:sz w:val="20"/>
        </w:rPr>
        <w:t>fifth</w:t>
      </w:r>
      <w:r>
        <w:rPr>
          <w:spacing w:val="-3"/>
          <w:sz w:val="20"/>
        </w:rPr>
        <w:t xml:space="preserve"> </w:t>
      </w:r>
      <w:r>
        <w:rPr>
          <w:sz w:val="20"/>
        </w:rPr>
        <w:t>generation</w:t>
      </w:r>
      <w:r>
        <w:rPr>
          <w:spacing w:val="-3"/>
          <w:sz w:val="20"/>
        </w:rPr>
        <w:t xml:space="preserve"> </w:t>
      </w:r>
      <w:r>
        <w:rPr>
          <w:sz w:val="20"/>
        </w:rPr>
        <w:t>stealth</w:t>
      </w:r>
      <w:r>
        <w:rPr>
          <w:spacing w:val="-2"/>
          <w:sz w:val="20"/>
        </w:rPr>
        <w:t xml:space="preserve"> fighter.</w:t>
      </w:r>
    </w:p>
    <w:p w14:paraId="4A9B184F" w14:textId="77777777" w:rsidR="00AE2255" w:rsidRDefault="00AE2255">
      <w:pPr>
        <w:pStyle w:val="BodyText"/>
        <w:spacing w:before="3"/>
        <w:rPr>
          <w:sz w:val="18"/>
        </w:rPr>
      </w:pPr>
    </w:p>
    <w:p w14:paraId="3B0078CC" w14:textId="77777777" w:rsidR="00AE2255" w:rsidRDefault="00000000">
      <w:pPr>
        <w:pStyle w:val="BodyText"/>
        <w:spacing w:line="249" w:lineRule="auto"/>
        <w:ind w:left="610" w:right="428" w:firstLine="360"/>
        <w:jc w:val="both"/>
      </w:pPr>
      <w:r>
        <w:t xml:space="preserve">The F-35 program is our largest program, generating 27% of our total consolidated net sales, as well as 66% of Aeronautics’ net sales in 2022. The F-35 program consists of multiple development, </w:t>
      </w:r>
      <w:proofErr w:type="gramStart"/>
      <w:r>
        <w:t>production</w:t>
      </w:r>
      <w:proofErr w:type="gramEnd"/>
      <w:r>
        <w:t xml:space="preserve"> and sustainment contracts. Development is focused on modernization of F-35’s capability and addressing emerging threats. Sustainment provides logistics and</w:t>
      </w:r>
      <w:r>
        <w:rPr>
          <w:spacing w:val="-1"/>
        </w:rPr>
        <w:t xml:space="preserve"> </w:t>
      </w:r>
      <w:r>
        <w:t>training</w:t>
      </w:r>
      <w:r>
        <w:rPr>
          <w:spacing w:val="-1"/>
        </w:rPr>
        <w:t xml:space="preserve"> </w:t>
      </w:r>
      <w:r>
        <w:t>support</w:t>
      </w:r>
      <w:r>
        <w:rPr>
          <w:spacing w:val="-1"/>
        </w:rPr>
        <w:t xml:space="preserve"> </w:t>
      </w:r>
      <w:r>
        <w:t>for</w:t>
      </w:r>
      <w:r>
        <w:rPr>
          <w:spacing w:val="-1"/>
        </w:rPr>
        <w:t xml:space="preserve"> </w:t>
      </w:r>
      <w:r>
        <w:t>the</w:t>
      </w:r>
      <w:r>
        <w:rPr>
          <w:spacing w:val="-1"/>
        </w:rPr>
        <w:t xml:space="preserve"> </w:t>
      </w:r>
      <w:r>
        <w:t>aircraft</w:t>
      </w:r>
      <w:r>
        <w:rPr>
          <w:spacing w:val="-1"/>
        </w:rPr>
        <w:t xml:space="preserve"> </w:t>
      </w:r>
      <w:r>
        <w:t>delivered</w:t>
      </w:r>
      <w:r>
        <w:rPr>
          <w:spacing w:val="-1"/>
        </w:rPr>
        <w:t xml:space="preserve"> </w:t>
      </w:r>
      <w:r>
        <w:t>to</w:t>
      </w:r>
      <w:r>
        <w:rPr>
          <w:spacing w:val="-1"/>
        </w:rPr>
        <w:t xml:space="preserve"> </w:t>
      </w:r>
      <w:r>
        <w:t>F-35</w:t>
      </w:r>
      <w:r>
        <w:rPr>
          <w:spacing w:val="-1"/>
        </w:rPr>
        <w:t xml:space="preserve"> </w:t>
      </w:r>
      <w:r>
        <w:t>customers.</w:t>
      </w:r>
      <w:r>
        <w:rPr>
          <w:spacing w:val="-1"/>
        </w:rPr>
        <w:t xml:space="preserve"> </w:t>
      </w:r>
      <w:r>
        <w:t>For</w:t>
      </w:r>
      <w:r>
        <w:rPr>
          <w:spacing w:val="-1"/>
        </w:rPr>
        <w:t xml:space="preserve"> </w:t>
      </w:r>
      <w:r>
        <w:t>additional</w:t>
      </w:r>
      <w:r>
        <w:rPr>
          <w:spacing w:val="-1"/>
        </w:rPr>
        <w:t xml:space="preserve"> </w:t>
      </w:r>
      <w:r>
        <w:t>information</w:t>
      </w:r>
      <w:r>
        <w:rPr>
          <w:spacing w:val="-1"/>
        </w:rPr>
        <w:t xml:space="preserve"> </w:t>
      </w:r>
      <w:r>
        <w:t>on</w:t>
      </w:r>
      <w:r>
        <w:rPr>
          <w:spacing w:val="-1"/>
        </w:rPr>
        <w:t xml:space="preserve"> </w:t>
      </w:r>
      <w:r>
        <w:t>the</w:t>
      </w:r>
      <w:r>
        <w:rPr>
          <w:spacing w:val="-1"/>
        </w:rPr>
        <w:t xml:space="preserve"> </w:t>
      </w:r>
      <w:r>
        <w:t>F-35</w:t>
      </w:r>
      <w:r>
        <w:rPr>
          <w:spacing w:val="-1"/>
        </w:rPr>
        <w:t xml:space="preserve"> </w:t>
      </w:r>
      <w:r>
        <w:t>program,</w:t>
      </w:r>
      <w:r>
        <w:rPr>
          <w:spacing w:val="-1"/>
        </w:rPr>
        <w:t xml:space="preserve"> </w:t>
      </w:r>
      <w:r>
        <w:t>see</w:t>
      </w:r>
      <w:r>
        <w:rPr>
          <w:spacing w:val="-1"/>
        </w:rPr>
        <w:t xml:space="preserve"> </w:t>
      </w:r>
      <w:r>
        <w:t>“Status</w:t>
      </w:r>
      <w:r>
        <w:rPr>
          <w:spacing w:val="-1"/>
        </w:rPr>
        <w:t xml:space="preserve"> </w:t>
      </w:r>
      <w:r>
        <w:t>of</w:t>
      </w:r>
    </w:p>
    <w:p w14:paraId="1C270BBE" w14:textId="77777777" w:rsidR="00AE2255" w:rsidRDefault="00AE2255">
      <w:pPr>
        <w:spacing w:line="249" w:lineRule="auto"/>
        <w:jc w:val="both"/>
        <w:sectPr w:rsidR="00AE2255">
          <w:headerReference w:type="default" r:id="rId8"/>
          <w:footerReference w:type="default" r:id="rId9"/>
          <w:pgSz w:w="12240" w:h="15840"/>
          <w:pgMar w:top="440" w:right="560" w:bottom="720" w:left="380" w:header="230" w:footer="531" w:gutter="0"/>
          <w:pgNumType w:start="3"/>
          <w:cols w:space="720"/>
        </w:sectPr>
      </w:pPr>
    </w:p>
    <w:p w14:paraId="20FA4580" w14:textId="77777777" w:rsidR="00AE2255" w:rsidRDefault="00AE2255">
      <w:pPr>
        <w:pStyle w:val="BodyText"/>
        <w:spacing w:before="4"/>
        <w:rPr>
          <w:sz w:val="21"/>
        </w:rPr>
      </w:pPr>
    </w:p>
    <w:p w14:paraId="3C49124C" w14:textId="77777777" w:rsidR="00AE2255" w:rsidRDefault="00000000">
      <w:pPr>
        <w:pStyle w:val="BodyText"/>
        <w:spacing w:before="102" w:line="194" w:lineRule="auto"/>
        <w:ind w:left="610" w:right="430"/>
      </w:pPr>
      <w:r>
        <w:t>the F</w:t>
      </w:r>
      <w:r>
        <w:rPr>
          <w:rFonts w:ascii="Arial Unicode MS" w:hAnsi="Arial Unicode MS"/>
        </w:rPr>
        <w:t>-</w:t>
      </w:r>
      <w:r>
        <w:t>35 Program” in Management’s Discussion and Analysis of Financial Condition and Results of Operations. See also Item 1A - Risk Factors for a discussion of risks related to the F-35 program.</w:t>
      </w:r>
    </w:p>
    <w:p w14:paraId="5A4FBC6F" w14:textId="77777777" w:rsidR="00AE2255" w:rsidRDefault="00AE2255">
      <w:pPr>
        <w:pStyle w:val="BodyText"/>
        <w:rPr>
          <w:sz w:val="19"/>
        </w:rPr>
      </w:pPr>
    </w:p>
    <w:p w14:paraId="3FFCCB76" w14:textId="77777777" w:rsidR="00AE2255" w:rsidRDefault="00000000">
      <w:pPr>
        <w:pStyle w:val="BodyText"/>
        <w:spacing w:line="249" w:lineRule="auto"/>
        <w:ind w:left="610" w:right="428" w:firstLine="360"/>
        <w:jc w:val="both"/>
      </w:pPr>
      <w:r>
        <w:t xml:space="preserve">In addition to the aircraft programs above, Aeronautics is involved in advanced development programs incorporating innovative design and rapid prototype applications. Our Advanced Development Programs (ADP) organization, also known as Skunk Works®, is focused on future systems, including unmanned and manned aerial systems and next generation capabilities for air dominance, </w:t>
      </w:r>
      <w:proofErr w:type="spellStart"/>
      <w:r>
        <w:t>hypersonics</w:t>
      </w:r>
      <w:proofErr w:type="spellEnd"/>
      <w:r>
        <w:t xml:space="preserve">, intelligence, surveillance, reconnaissance, situational </w:t>
      </w:r>
      <w:proofErr w:type="gramStart"/>
      <w:r>
        <w:t>awareness</w:t>
      </w:r>
      <w:proofErr w:type="gramEnd"/>
      <w:r>
        <w:t xml:space="preserve"> and air mobility. We continue to explore technology advancement and insertion into our existing aircraft. We also are involved in numerous network-enabled activities that allow separate systems to work together to increase effectiveness and we continue to invest in new technologies</w:t>
      </w:r>
      <w:r>
        <w:rPr>
          <w:spacing w:val="40"/>
        </w:rPr>
        <w:t xml:space="preserve"> </w:t>
      </w:r>
      <w:r>
        <w:t xml:space="preserve">to maintain and enhance competitiveness in military aircraft design, </w:t>
      </w:r>
      <w:proofErr w:type="gramStart"/>
      <w:r>
        <w:t>development</w:t>
      </w:r>
      <w:proofErr w:type="gramEnd"/>
      <w:r>
        <w:t xml:space="preserve"> and production.</w:t>
      </w:r>
    </w:p>
    <w:p w14:paraId="60163F3D" w14:textId="77777777" w:rsidR="00AE2255" w:rsidRDefault="00AE2255">
      <w:pPr>
        <w:pStyle w:val="BodyText"/>
        <w:spacing w:before="7"/>
        <w:rPr>
          <w:sz w:val="17"/>
        </w:rPr>
      </w:pPr>
    </w:p>
    <w:p w14:paraId="5084EB0A" w14:textId="77777777" w:rsidR="00AE2255" w:rsidRDefault="00000000">
      <w:pPr>
        <w:pStyle w:val="Heading3"/>
        <w:spacing w:before="1"/>
      </w:pPr>
      <w:r>
        <w:t>Missiles</w:t>
      </w:r>
      <w:r>
        <w:rPr>
          <w:spacing w:val="-5"/>
        </w:rPr>
        <w:t xml:space="preserve"> </w:t>
      </w:r>
      <w:r>
        <w:t>and</w:t>
      </w:r>
      <w:r>
        <w:rPr>
          <w:spacing w:val="-4"/>
        </w:rPr>
        <w:t xml:space="preserve"> </w:t>
      </w:r>
      <w:r>
        <w:t>Fire</w:t>
      </w:r>
      <w:r>
        <w:rPr>
          <w:spacing w:val="-4"/>
        </w:rPr>
        <w:t xml:space="preserve"> </w:t>
      </w:r>
      <w:r>
        <w:rPr>
          <w:spacing w:val="-2"/>
        </w:rPr>
        <w:t>Control</w:t>
      </w:r>
    </w:p>
    <w:p w14:paraId="1639BD58" w14:textId="77777777" w:rsidR="00AE2255" w:rsidRDefault="00AE2255">
      <w:pPr>
        <w:pStyle w:val="BodyText"/>
        <w:spacing w:before="6"/>
        <w:rPr>
          <w:b/>
          <w:i/>
          <w:sz w:val="18"/>
        </w:rPr>
      </w:pPr>
    </w:p>
    <w:p w14:paraId="4021A339" w14:textId="77777777" w:rsidR="00AE2255" w:rsidRDefault="00000000">
      <w:pPr>
        <w:pStyle w:val="BodyText"/>
        <w:spacing w:line="249" w:lineRule="auto"/>
        <w:ind w:left="610" w:right="428" w:firstLine="360"/>
        <w:jc w:val="both"/>
      </w:pPr>
      <w:r>
        <w:t>MFC provides air and missile defense systems; tactical missiles and air-to-ground precision strike weapon systems; logistics; fire control systems; mission operations support, readiness, engineering support and integration services; manned and unmanned ground vehicles; and energy management solutions. MFC also has contracts with the U.S. Government for various classified programs. MFC’s major programs include:</w:t>
      </w:r>
    </w:p>
    <w:p w14:paraId="657F9BC5" w14:textId="77777777" w:rsidR="00AE2255" w:rsidRDefault="00AE2255">
      <w:pPr>
        <w:pStyle w:val="BodyText"/>
        <w:spacing w:before="7"/>
        <w:rPr>
          <w:sz w:val="17"/>
        </w:rPr>
      </w:pPr>
    </w:p>
    <w:p w14:paraId="6B87BB24" w14:textId="77777777" w:rsidR="00AE2255" w:rsidRDefault="00000000">
      <w:pPr>
        <w:pStyle w:val="ListParagraph"/>
        <w:numPr>
          <w:ilvl w:val="1"/>
          <w:numId w:val="15"/>
        </w:numPr>
        <w:tabs>
          <w:tab w:val="left" w:pos="970"/>
        </w:tabs>
        <w:spacing w:before="1" w:line="249" w:lineRule="auto"/>
        <w:ind w:right="428"/>
        <w:jc w:val="both"/>
        <w:rPr>
          <w:sz w:val="20"/>
        </w:rPr>
      </w:pPr>
      <w:r>
        <w:rPr>
          <w:sz w:val="20"/>
        </w:rPr>
        <w:t>The Patriot Advanced Capability-3 (PAC-3) and Terminal High Altitude Area Defense (THAAD) air and missile defense programs.</w:t>
      </w:r>
      <w:r>
        <w:rPr>
          <w:spacing w:val="-2"/>
          <w:sz w:val="20"/>
        </w:rPr>
        <w:t xml:space="preserve"> </w:t>
      </w:r>
      <w:r>
        <w:rPr>
          <w:sz w:val="20"/>
        </w:rPr>
        <w:t>PAC-3</w:t>
      </w:r>
      <w:r>
        <w:rPr>
          <w:spacing w:val="-2"/>
          <w:sz w:val="20"/>
        </w:rPr>
        <w:t xml:space="preserve"> </w:t>
      </w:r>
      <w:r>
        <w:rPr>
          <w:sz w:val="20"/>
        </w:rPr>
        <w:t>is</w:t>
      </w:r>
      <w:r>
        <w:rPr>
          <w:spacing w:val="-2"/>
          <w:sz w:val="20"/>
        </w:rPr>
        <w:t xml:space="preserve"> </w:t>
      </w:r>
      <w:r>
        <w:rPr>
          <w:sz w:val="20"/>
        </w:rPr>
        <w:t>an</w:t>
      </w:r>
      <w:r>
        <w:rPr>
          <w:spacing w:val="-2"/>
          <w:sz w:val="20"/>
        </w:rPr>
        <w:t xml:space="preserve"> </w:t>
      </w:r>
      <w:r>
        <w:rPr>
          <w:sz w:val="20"/>
        </w:rPr>
        <w:t>advanced</w:t>
      </w:r>
      <w:r>
        <w:rPr>
          <w:spacing w:val="-2"/>
          <w:sz w:val="20"/>
        </w:rPr>
        <w:t xml:space="preserve"> </w:t>
      </w:r>
      <w:r>
        <w:rPr>
          <w:sz w:val="20"/>
        </w:rPr>
        <w:t>defensive</w:t>
      </w:r>
      <w:r>
        <w:rPr>
          <w:spacing w:val="-2"/>
          <w:sz w:val="20"/>
        </w:rPr>
        <w:t xml:space="preserve"> </w:t>
      </w:r>
      <w:r>
        <w:rPr>
          <w:sz w:val="20"/>
        </w:rPr>
        <w:t>missile</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U.S.</w:t>
      </w:r>
      <w:r>
        <w:rPr>
          <w:spacing w:val="-2"/>
          <w:sz w:val="20"/>
        </w:rPr>
        <w:t xml:space="preserve"> </w:t>
      </w:r>
      <w:r>
        <w:rPr>
          <w:sz w:val="20"/>
        </w:rPr>
        <w:t>Army</w:t>
      </w:r>
      <w:r>
        <w:rPr>
          <w:spacing w:val="-2"/>
          <w:sz w:val="20"/>
        </w:rPr>
        <w:t xml:space="preserve"> </w:t>
      </w:r>
      <w:r>
        <w:rPr>
          <w:sz w:val="20"/>
        </w:rPr>
        <w:t>and</w:t>
      </w:r>
      <w:r>
        <w:rPr>
          <w:spacing w:val="-2"/>
          <w:sz w:val="20"/>
        </w:rPr>
        <w:t xml:space="preserve"> </w:t>
      </w:r>
      <w:r>
        <w:rPr>
          <w:sz w:val="20"/>
        </w:rPr>
        <w:t>international</w:t>
      </w:r>
      <w:r>
        <w:rPr>
          <w:spacing w:val="-2"/>
          <w:sz w:val="20"/>
        </w:rPr>
        <w:t xml:space="preserve"> </w:t>
      </w:r>
      <w:r>
        <w:rPr>
          <w:sz w:val="20"/>
        </w:rPr>
        <w:t>customers</w:t>
      </w:r>
      <w:r>
        <w:rPr>
          <w:spacing w:val="-2"/>
          <w:sz w:val="20"/>
        </w:rPr>
        <w:t xml:space="preserve"> </w:t>
      </w:r>
      <w:r>
        <w:rPr>
          <w:sz w:val="20"/>
        </w:rPr>
        <w:t>designed</w:t>
      </w:r>
      <w:r>
        <w:rPr>
          <w:spacing w:val="-2"/>
          <w:sz w:val="20"/>
        </w:rPr>
        <w:t xml:space="preserve"> </w:t>
      </w:r>
      <w:r>
        <w:rPr>
          <w:sz w:val="20"/>
        </w:rPr>
        <w:t>to</w:t>
      </w:r>
      <w:r>
        <w:rPr>
          <w:spacing w:val="-2"/>
          <w:sz w:val="20"/>
        </w:rPr>
        <w:t xml:space="preserve"> </w:t>
      </w:r>
      <w:r>
        <w:rPr>
          <w:sz w:val="20"/>
        </w:rPr>
        <w:t>intercept</w:t>
      </w:r>
      <w:r>
        <w:rPr>
          <w:spacing w:val="-2"/>
          <w:sz w:val="20"/>
        </w:rPr>
        <w:t xml:space="preserve"> </w:t>
      </w:r>
      <w:r>
        <w:rPr>
          <w:sz w:val="20"/>
        </w:rPr>
        <w:t>and eliminate incoming airborne threats using kinetic energy. THAAD is a transportable defensive missile system for the U.S. Government and international customers designed to engage targets both within and outside of the Earth’s atmosphere.</w:t>
      </w:r>
    </w:p>
    <w:p w14:paraId="51234778" w14:textId="77777777" w:rsidR="00AE2255" w:rsidRDefault="00000000">
      <w:pPr>
        <w:pStyle w:val="ListParagraph"/>
        <w:numPr>
          <w:ilvl w:val="1"/>
          <w:numId w:val="15"/>
        </w:numPr>
        <w:tabs>
          <w:tab w:val="left" w:pos="970"/>
        </w:tabs>
        <w:spacing w:before="3" w:line="249" w:lineRule="auto"/>
        <w:ind w:right="429"/>
        <w:jc w:val="both"/>
        <w:rPr>
          <w:sz w:val="20"/>
        </w:rPr>
      </w:pPr>
      <w:r>
        <w:rPr>
          <w:sz w:val="20"/>
        </w:rPr>
        <w:t>The Multiple Launch Rocket System (MLRS), Joint Air-to-Surface Standoff Missile (JASSM), and Hellfire tactical and strike missile programs. MLRS is a highly mobile, automatic system that fires surface-to-surface rockets and missiles from the</w:t>
      </w:r>
      <w:r>
        <w:rPr>
          <w:spacing w:val="-2"/>
          <w:sz w:val="20"/>
        </w:rPr>
        <w:t xml:space="preserve"> </w:t>
      </w:r>
      <w:proofErr w:type="gramStart"/>
      <w:r>
        <w:rPr>
          <w:sz w:val="20"/>
        </w:rPr>
        <w:t>M270</w:t>
      </w:r>
      <w:proofErr w:type="gramEnd"/>
      <w:r>
        <w:rPr>
          <w:spacing w:val="-1"/>
          <w:sz w:val="20"/>
        </w:rPr>
        <w:t xml:space="preserve"> </w:t>
      </w:r>
      <w:r>
        <w:rPr>
          <w:sz w:val="20"/>
        </w:rPr>
        <w:t>and</w:t>
      </w:r>
      <w:r>
        <w:rPr>
          <w:spacing w:val="-1"/>
          <w:sz w:val="20"/>
        </w:rPr>
        <w:t xml:space="preserve"> </w:t>
      </w:r>
      <w:r>
        <w:rPr>
          <w:sz w:val="20"/>
        </w:rPr>
        <w:t>High</w:t>
      </w:r>
      <w:r>
        <w:rPr>
          <w:spacing w:val="-1"/>
          <w:sz w:val="20"/>
        </w:rPr>
        <w:t xml:space="preserve"> </w:t>
      </w:r>
      <w:r>
        <w:rPr>
          <w:sz w:val="20"/>
        </w:rPr>
        <w:t>Mobility</w:t>
      </w:r>
      <w:r>
        <w:rPr>
          <w:spacing w:val="-1"/>
          <w:sz w:val="20"/>
        </w:rPr>
        <w:t xml:space="preserve"> </w:t>
      </w:r>
      <w:r>
        <w:rPr>
          <w:sz w:val="20"/>
        </w:rPr>
        <w:t>Artillery</w:t>
      </w:r>
      <w:r>
        <w:rPr>
          <w:spacing w:val="-1"/>
          <w:sz w:val="20"/>
        </w:rPr>
        <w:t xml:space="preserve"> </w:t>
      </w:r>
      <w:r>
        <w:rPr>
          <w:sz w:val="20"/>
        </w:rPr>
        <w:t>Rocket</w:t>
      </w:r>
      <w:r>
        <w:rPr>
          <w:spacing w:val="-2"/>
          <w:sz w:val="20"/>
        </w:rPr>
        <w:t xml:space="preserve"> </w:t>
      </w:r>
      <w:r>
        <w:rPr>
          <w:sz w:val="20"/>
        </w:rPr>
        <w:t>System</w:t>
      </w:r>
      <w:r>
        <w:rPr>
          <w:spacing w:val="-2"/>
          <w:sz w:val="20"/>
        </w:rPr>
        <w:t xml:space="preserve"> </w:t>
      </w:r>
      <w:r>
        <w:rPr>
          <w:sz w:val="20"/>
        </w:rPr>
        <w:t>(HIMARS</w:t>
      </w:r>
      <w:r>
        <w:rPr>
          <w:sz w:val="20"/>
          <w:vertAlign w:val="superscript"/>
        </w:rPr>
        <w:t>®</w:t>
      </w:r>
      <w:r>
        <w:rPr>
          <w:sz w:val="20"/>
        </w:rPr>
        <w:t>)</w:t>
      </w:r>
      <w:r>
        <w:rPr>
          <w:spacing w:val="-1"/>
          <w:sz w:val="20"/>
        </w:rPr>
        <w:t xml:space="preserve"> </w:t>
      </w:r>
      <w:r>
        <w:rPr>
          <w:sz w:val="20"/>
        </w:rPr>
        <w:t>platforms</w:t>
      </w:r>
      <w:r>
        <w:rPr>
          <w:spacing w:val="-2"/>
          <w:sz w:val="20"/>
        </w:rPr>
        <w:t xml:space="preserve"> </w:t>
      </w:r>
      <w:r>
        <w:rPr>
          <w:sz w:val="20"/>
        </w:rPr>
        <w:t>produced</w:t>
      </w:r>
      <w:r>
        <w:rPr>
          <w:spacing w:val="-1"/>
          <w:sz w:val="20"/>
        </w:rPr>
        <w:t xml:space="preserve"> </w:t>
      </w:r>
      <w:r>
        <w:rPr>
          <w:sz w:val="20"/>
        </w:rPr>
        <w:t>for</w:t>
      </w:r>
      <w:r>
        <w:rPr>
          <w:spacing w:val="-1"/>
          <w:sz w:val="20"/>
        </w:rPr>
        <w:t xml:space="preserve"> </w:t>
      </w:r>
      <w:r>
        <w:rPr>
          <w:sz w:val="20"/>
        </w:rPr>
        <w:t>the</w:t>
      </w:r>
      <w:r>
        <w:rPr>
          <w:spacing w:val="-2"/>
          <w:sz w:val="20"/>
        </w:rPr>
        <w:t xml:space="preserve"> </w:t>
      </w:r>
      <w:r>
        <w:rPr>
          <w:sz w:val="20"/>
        </w:rPr>
        <w:t>U.S.</w:t>
      </w:r>
      <w:r>
        <w:rPr>
          <w:spacing w:val="-1"/>
          <w:sz w:val="20"/>
        </w:rPr>
        <w:t xml:space="preserve"> </w:t>
      </w:r>
      <w:r>
        <w:rPr>
          <w:sz w:val="20"/>
        </w:rPr>
        <w:t>Army</w:t>
      </w:r>
      <w:r>
        <w:rPr>
          <w:spacing w:val="-1"/>
          <w:sz w:val="20"/>
        </w:rPr>
        <w:t xml:space="preserve"> </w:t>
      </w:r>
      <w:r>
        <w:rPr>
          <w:sz w:val="20"/>
        </w:rPr>
        <w:t>and</w:t>
      </w:r>
      <w:r>
        <w:rPr>
          <w:spacing w:val="-1"/>
          <w:sz w:val="20"/>
        </w:rPr>
        <w:t xml:space="preserve"> </w:t>
      </w:r>
      <w:r>
        <w:rPr>
          <w:sz w:val="20"/>
        </w:rPr>
        <w:t xml:space="preserve">international customers. JASSM is an air-to-ground missile launched from fixed-wing aircraft, which is produced for the U.S. Air Force and international customers. Hellfire is an air-to-ground missile used on rotary and fixed-wing aircraft, which is produced for the U.S. Army, Navy, Marine </w:t>
      </w:r>
      <w:proofErr w:type="gramStart"/>
      <w:r>
        <w:rPr>
          <w:sz w:val="20"/>
        </w:rPr>
        <w:t>Corps</w:t>
      </w:r>
      <w:proofErr w:type="gramEnd"/>
      <w:r>
        <w:rPr>
          <w:sz w:val="20"/>
        </w:rPr>
        <w:t xml:space="preserve"> and international customers.</w:t>
      </w:r>
    </w:p>
    <w:p w14:paraId="517995F1" w14:textId="77777777" w:rsidR="00AE2255" w:rsidRDefault="00000000">
      <w:pPr>
        <w:pStyle w:val="ListParagraph"/>
        <w:numPr>
          <w:ilvl w:val="1"/>
          <w:numId w:val="15"/>
        </w:numPr>
        <w:tabs>
          <w:tab w:val="left" w:pos="970"/>
        </w:tabs>
        <w:spacing w:before="5" w:line="249" w:lineRule="auto"/>
        <w:ind w:right="428"/>
        <w:jc w:val="both"/>
        <w:rPr>
          <w:sz w:val="20"/>
        </w:rPr>
      </w:pPr>
      <w:r>
        <w:rPr>
          <w:sz w:val="20"/>
        </w:rPr>
        <w:t>The Apache, Sniper Advanced Targeting Pod (SNIPER</w:t>
      </w:r>
      <w:r>
        <w:rPr>
          <w:sz w:val="20"/>
          <w:vertAlign w:val="superscript"/>
        </w:rPr>
        <w:t>®</w:t>
      </w:r>
      <w:r>
        <w:rPr>
          <w:sz w:val="20"/>
        </w:rPr>
        <w:t>) and Infrared Search and Track (IRST21</w:t>
      </w:r>
      <w:r>
        <w:rPr>
          <w:sz w:val="20"/>
          <w:vertAlign w:val="superscript"/>
        </w:rPr>
        <w:t>®</w:t>
      </w:r>
      <w:r>
        <w:rPr>
          <w:sz w:val="20"/>
        </w:rPr>
        <w:t>) fire control systems programs. The Apache fire control system provides weapons-targeting capability for the Apache helicopter for the U.S. Army</w:t>
      </w:r>
      <w:r>
        <w:rPr>
          <w:spacing w:val="18"/>
          <w:sz w:val="20"/>
        </w:rPr>
        <w:t xml:space="preserve"> </w:t>
      </w:r>
      <w:r>
        <w:rPr>
          <w:sz w:val="20"/>
        </w:rPr>
        <w:t>and</w:t>
      </w:r>
      <w:r>
        <w:rPr>
          <w:spacing w:val="18"/>
          <w:sz w:val="20"/>
        </w:rPr>
        <w:t xml:space="preserve"> </w:t>
      </w:r>
      <w:r>
        <w:rPr>
          <w:sz w:val="20"/>
        </w:rPr>
        <w:t>international</w:t>
      </w:r>
      <w:r>
        <w:rPr>
          <w:spacing w:val="18"/>
          <w:sz w:val="20"/>
        </w:rPr>
        <w:t xml:space="preserve"> </w:t>
      </w:r>
      <w:r>
        <w:rPr>
          <w:sz w:val="20"/>
        </w:rPr>
        <w:t>customers.</w:t>
      </w:r>
      <w:r>
        <w:rPr>
          <w:spacing w:val="18"/>
          <w:sz w:val="20"/>
        </w:rPr>
        <w:t xml:space="preserve"> </w:t>
      </w:r>
      <w:r>
        <w:rPr>
          <w:sz w:val="20"/>
        </w:rPr>
        <w:t>SNIPER</w:t>
      </w:r>
      <w:r>
        <w:rPr>
          <w:spacing w:val="18"/>
          <w:sz w:val="20"/>
        </w:rPr>
        <w:t xml:space="preserve"> </w:t>
      </w:r>
      <w:r>
        <w:rPr>
          <w:sz w:val="20"/>
        </w:rPr>
        <w:t>is</w:t>
      </w:r>
      <w:r>
        <w:rPr>
          <w:spacing w:val="18"/>
          <w:sz w:val="20"/>
        </w:rPr>
        <w:t xml:space="preserve"> </w:t>
      </w:r>
      <w:r>
        <w:rPr>
          <w:sz w:val="20"/>
        </w:rPr>
        <w:t>a</w:t>
      </w:r>
      <w:r>
        <w:rPr>
          <w:spacing w:val="18"/>
          <w:sz w:val="20"/>
        </w:rPr>
        <w:t xml:space="preserve"> </w:t>
      </w:r>
      <w:r>
        <w:rPr>
          <w:sz w:val="20"/>
        </w:rPr>
        <w:t>targeting</w:t>
      </w:r>
      <w:r>
        <w:rPr>
          <w:spacing w:val="18"/>
          <w:sz w:val="20"/>
        </w:rPr>
        <w:t xml:space="preserve"> </w:t>
      </w:r>
      <w:r>
        <w:rPr>
          <w:sz w:val="20"/>
        </w:rPr>
        <w:t>system</w:t>
      </w:r>
      <w:r>
        <w:rPr>
          <w:spacing w:val="18"/>
          <w:sz w:val="20"/>
        </w:rPr>
        <w:t xml:space="preserve"> </w:t>
      </w:r>
      <w:r>
        <w:rPr>
          <w:sz w:val="20"/>
        </w:rPr>
        <w:t>for</w:t>
      </w:r>
      <w:r>
        <w:rPr>
          <w:spacing w:val="18"/>
          <w:sz w:val="20"/>
        </w:rPr>
        <w:t xml:space="preserve"> </w:t>
      </w:r>
      <w:r>
        <w:rPr>
          <w:sz w:val="20"/>
        </w:rPr>
        <w:t>several</w:t>
      </w:r>
      <w:r>
        <w:rPr>
          <w:spacing w:val="18"/>
          <w:sz w:val="20"/>
        </w:rPr>
        <w:t xml:space="preserve"> </w:t>
      </w:r>
      <w:r>
        <w:rPr>
          <w:sz w:val="20"/>
        </w:rPr>
        <w:t>fixed-wing</w:t>
      </w:r>
      <w:r>
        <w:rPr>
          <w:spacing w:val="18"/>
          <w:sz w:val="20"/>
        </w:rPr>
        <w:t xml:space="preserve"> </w:t>
      </w:r>
      <w:r>
        <w:rPr>
          <w:sz w:val="20"/>
        </w:rPr>
        <w:t>aircraft</w:t>
      </w:r>
      <w:r>
        <w:rPr>
          <w:spacing w:val="18"/>
          <w:sz w:val="20"/>
        </w:rPr>
        <w:t xml:space="preserve"> </w:t>
      </w:r>
      <w:r>
        <w:rPr>
          <w:sz w:val="20"/>
        </w:rPr>
        <w:t>and</w:t>
      </w:r>
      <w:r>
        <w:rPr>
          <w:spacing w:val="18"/>
          <w:sz w:val="20"/>
        </w:rPr>
        <w:t xml:space="preserve"> </w:t>
      </w:r>
      <w:r>
        <w:rPr>
          <w:sz w:val="20"/>
        </w:rPr>
        <w:t>is</w:t>
      </w:r>
      <w:r>
        <w:rPr>
          <w:spacing w:val="18"/>
          <w:sz w:val="20"/>
        </w:rPr>
        <w:t xml:space="preserve"> </w:t>
      </w:r>
      <w:r>
        <w:rPr>
          <w:sz w:val="20"/>
        </w:rPr>
        <w:t>produced</w:t>
      </w:r>
      <w:r>
        <w:rPr>
          <w:spacing w:val="18"/>
          <w:sz w:val="20"/>
        </w:rPr>
        <w:t xml:space="preserve"> </w:t>
      </w:r>
      <w:r>
        <w:rPr>
          <w:sz w:val="20"/>
        </w:rPr>
        <w:t>for</w:t>
      </w:r>
      <w:r>
        <w:rPr>
          <w:spacing w:val="18"/>
          <w:sz w:val="20"/>
        </w:rPr>
        <w:t xml:space="preserve"> </w:t>
      </w:r>
      <w:r>
        <w:rPr>
          <w:sz w:val="20"/>
        </w:rPr>
        <w:t>the</w:t>
      </w:r>
    </w:p>
    <w:p w14:paraId="407A261A" w14:textId="77777777" w:rsidR="00AE2255" w:rsidRDefault="00000000">
      <w:pPr>
        <w:pStyle w:val="BodyText"/>
        <w:spacing w:before="2" w:line="249" w:lineRule="auto"/>
        <w:ind w:left="970" w:right="428"/>
        <w:jc w:val="both"/>
      </w:pPr>
      <w:r>
        <w:t>U.S.</w:t>
      </w:r>
      <w:r>
        <w:rPr>
          <w:spacing w:val="-1"/>
        </w:rPr>
        <w:t xml:space="preserve"> </w:t>
      </w:r>
      <w:r>
        <w:t>Air Force and international customers. IRST21</w:t>
      </w:r>
      <w:r>
        <w:rPr>
          <w:spacing w:val="-13"/>
        </w:rPr>
        <w:t xml:space="preserve"> </w:t>
      </w:r>
      <w:r>
        <w:t xml:space="preserve">provides long-range infrared detection and tracking of airborne threats and is used on several fixed-wing aircraft. IRST21 is produced for the U.S. Air Force, the U.S. Navy, the National </w:t>
      </w:r>
      <w:proofErr w:type="gramStart"/>
      <w:r>
        <w:t>Guard</w:t>
      </w:r>
      <w:proofErr w:type="gramEnd"/>
      <w:r>
        <w:t xml:space="preserve"> and international customers.</w:t>
      </w:r>
    </w:p>
    <w:p w14:paraId="29148E56" w14:textId="77777777" w:rsidR="00AE2255" w:rsidRDefault="00000000">
      <w:pPr>
        <w:pStyle w:val="ListParagraph"/>
        <w:numPr>
          <w:ilvl w:val="1"/>
          <w:numId w:val="15"/>
        </w:numPr>
        <w:tabs>
          <w:tab w:val="left" w:pos="969"/>
          <w:tab w:val="left" w:pos="970"/>
        </w:tabs>
        <w:spacing w:before="3" w:line="249" w:lineRule="auto"/>
        <w:ind w:right="575"/>
        <w:rPr>
          <w:sz w:val="20"/>
        </w:rPr>
      </w:pPr>
      <w:r>
        <w:rPr>
          <w:sz w:val="20"/>
        </w:rPr>
        <w:t>The</w:t>
      </w:r>
      <w:r>
        <w:rPr>
          <w:spacing w:val="-4"/>
          <w:sz w:val="20"/>
        </w:rPr>
        <w:t xml:space="preserve"> </w:t>
      </w:r>
      <w:r>
        <w:rPr>
          <w:sz w:val="20"/>
        </w:rPr>
        <w:t>Special</w:t>
      </w:r>
      <w:r>
        <w:rPr>
          <w:spacing w:val="-4"/>
          <w:sz w:val="20"/>
        </w:rPr>
        <w:t xml:space="preserve"> </w:t>
      </w:r>
      <w:r>
        <w:rPr>
          <w:sz w:val="20"/>
        </w:rPr>
        <w:t>Operations</w:t>
      </w:r>
      <w:r>
        <w:rPr>
          <w:spacing w:val="-4"/>
          <w:sz w:val="20"/>
        </w:rPr>
        <w:t xml:space="preserve"> </w:t>
      </w:r>
      <w:r>
        <w:rPr>
          <w:sz w:val="20"/>
        </w:rPr>
        <w:t>Forces</w:t>
      </w:r>
      <w:r>
        <w:rPr>
          <w:spacing w:val="-4"/>
          <w:sz w:val="20"/>
        </w:rPr>
        <w:t xml:space="preserve"> </w:t>
      </w:r>
      <w:r>
        <w:rPr>
          <w:sz w:val="20"/>
        </w:rPr>
        <w:t>Global</w:t>
      </w:r>
      <w:r>
        <w:rPr>
          <w:spacing w:val="-4"/>
          <w:sz w:val="20"/>
        </w:rPr>
        <w:t xml:space="preserve"> </w:t>
      </w:r>
      <w:r>
        <w:rPr>
          <w:sz w:val="20"/>
        </w:rPr>
        <w:t>Logistics</w:t>
      </w:r>
      <w:r>
        <w:rPr>
          <w:spacing w:val="-4"/>
          <w:sz w:val="20"/>
        </w:rPr>
        <w:t xml:space="preserve"> </w:t>
      </w:r>
      <w:r>
        <w:rPr>
          <w:sz w:val="20"/>
        </w:rPr>
        <w:t>Support</w:t>
      </w:r>
      <w:r>
        <w:rPr>
          <w:spacing w:val="-4"/>
          <w:sz w:val="20"/>
        </w:rPr>
        <w:t xml:space="preserve"> </w:t>
      </w:r>
      <w:r>
        <w:rPr>
          <w:sz w:val="20"/>
        </w:rPr>
        <w:t>Services</w:t>
      </w:r>
      <w:r>
        <w:rPr>
          <w:spacing w:val="-4"/>
          <w:sz w:val="20"/>
        </w:rPr>
        <w:t xml:space="preserve"> </w:t>
      </w:r>
      <w:r>
        <w:rPr>
          <w:sz w:val="20"/>
        </w:rPr>
        <w:t>(SOF</w:t>
      </w:r>
      <w:r>
        <w:rPr>
          <w:spacing w:val="-4"/>
          <w:sz w:val="20"/>
        </w:rPr>
        <w:t xml:space="preserve"> </w:t>
      </w:r>
      <w:r>
        <w:rPr>
          <w:sz w:val="20"/>
        </w:rPr>
        <w:t>GLSS)</w:t>
      </w:r>
      <w:r>
        <w:rPr>
          <w:spacing w:val="-3"/>
          <w:sz w:val="20"/>
        </w:rPr>
        <w:t xml:space="preserve"> </w:t>
      </w:r>
      <w:r>
        <w:rPr>
          <w:sz w:val="20"/>
        </w:rPr>
        <w:t>program,</w:t>
      </w:r>
      <w:r>
        <w:rPr>
          <w:spacing w:val="-3"/>
          <w:sz w:val="20"/>
        </w:rPr>
        <w:t xml:space="preserve"> </w:t>
      </w:r>
      <w:r>
        <w:rPr>
          <w:sz w:val="20"/>
        </w:rPr>
        <w:t>which</w:t>
      </w:r>
      <w:r>
        <w:rPr>
          <w:spacing w:val="-3"/>
          <w:sz w:val="20"/>
        </w:rPr>
        <w:t xml:space="preserve"> </w:t>
      </w:r>
      <w:r>
        <w:rPr>
          <w:sz w:val="20"/>
        </w:rPr>
        <w:t>provides</w:t>
      </w:r>
      <w:r>
        <w:rPr>
          <w:spacing w:val="-4"/>
          <w:sz w:val="20"/>
        </w:rPr>
        <w:t xml:space="preserve"> </w:t>
      </w:r>
      <w:r>
        <w:rPr>
          <w:sz w:val="20"/>
        </w:rPr>
        <w:t>logistics</w:t>
      </w:r>
      <w:r>
        <w:rPr>
          <w:spacing w:val="-4"/>
          <w:sz w:val="20"/>
        </w:rPr>
        <w:t xml:space="preserve"> </w:t>
      </w:r>
      <w:r>
        <w:rPr>
          <w:sz w:val="20"/>
        </w:rPr>
        <w:t>support services to the special operations forces of the U.S. military.</w:t>
      </w:r>
    </w:p>
    <w:p w14:paraId="14A53962" w14:textId="77777777" w:rsidR="00AE2255" w:rsidRDefault="00000000">
      <w:pPr>
        <w:pStyle w:val="ListParagraph"/>
        <w:numPr>
          <w:ilvl w:val="1"/>
          <w:numId w:val="15"/>
        </w:numPr>
        <w:tabs>
          <w:tab w:val="left" w:pos="969"/>
          <w:tab w:val="left" w:pos="970"/>
        </w:tabs>
        <w:spacing w:before="1" w:line="249" w:lineRule="auto"/>
        <w:ind w:right="430"/>
        <w:rPr>
          <w:sz w:val="20"/>
        </w:rPr>
      </w:pPr>
      <w:proofErr w:type="spellStart"/>
      <w:r>
        <w:rPr>
          <w:sz w:val="20"/>
        </w:rPr>
        <w:t>Hypersonics</w:t>
      </w:r>
      <w:proofErr w:type="spellEnd"/>
      <w:r>
        <w:rPr>
          <w:spacing w:val="21"/>
          <w:sz w:val="20"/>
        </w:rPr>
        <w:t xml:space="preserve"> </w:t>
      </w:r>
      <w:r>
        <w:rPr>
          <w:sz w:val="20"/>
        </w:rPr>
        <w:t>programs,</w:t>
      </w:r>
      <w:r>
        <w:rPr>
          <w:spacing w:val="21"/>
          <w:sz w:val="20"/>
        </w:rPr>
        <w:t xml:space="preserve"> </w:t>
      </w:r>
      <w:r>
        <w:rPr>
          <w:sz w:val="20"/>
        </w:rPr>
        <w:t>which</w:t>
      </w:r>
      <w:r>
        <w:rPr>
          <w:spacing w:val="21"/>
          <w:sz w:val="20"/>
        </w:rPr>
        <w:t xml:space="preserve"> </w:t>
      </w:r>
      <w:r>
        <w:rPr>
          <w:sz w:val="20"/>
        </w:rPr>
        <w:t>include</w:t>
      </w:r>
      <w:r>
        <w:rPr>
          <w:spacing w:val="21"/>
          <w:sz w:val="20"/>
        </w:rPr>
        <w:t xml:space="preserve"> </w:t>
      </w:r>
      <w:r>
        <w:rPr>
          <w:sz w:val="20"/>
        </w:rPr>
        <w:t>several</w:t>
      </w:r>
      <w:r>
        <w:rPr>
          <w:spacing w:val="21"/>
          <w:sz w:val="20"/>
        </w:rPr>
        <w:t xml:space="preserve"> </w:t>
      </w:r>
      <w:r>
        <w:rPr>
          <w:sz w:val="20"/>
        </w:rPr>
        <w:t>programs</w:t>
      </w:r>
      <w:r>
        <w:rPr>
          <w:spacing w:val="21"/>
          <w:sz w:val="20"/>
        </w:rPr>
        <w:t xml:space="preserve"> </w:t>
      </w:r>
      <w:r>
        <w:rPr>
          <w:sz w:val="20"/>
        </w:rPr>
        <w:t>with</w:t>
      </w:r>
      <w:r>
        <w:rPr>
          <w:spacing w:val="21"/>
          <w:sz w:val="20"/>
        </w:rPr>
        <w:t xml:space="preserve"> </w:t>
      </w:r>
      <w:r>
        <w:rPr>
          <w:sz w:val="20"/>
        </w:rPr>
        <w:t>the</w:t>
      </w:r>
      <w:r>
        <w:rPr>
          <w:spacing w:val="21"/>
          <w:sz w:val="20"/>
        </w:rPr>
        <w:t xml:space="preserve"> </w:t>
      </w:r>
      <w:r>
        <w:rPr>
          <w:sz w:val="20"/>
        </w:rPr>
        <w:t>U.S.</w:t>
      </w:r>
      <w:r>
        <w:rPr>
          <w:spacing w:val="21"/>
          <w:sz w:val="20"/>
        </w:rPr>
        <w:t xml:space="preserve"> </w:t>
      </w:r>
      <w:r>
        <w:rPr>
          <w:sz w:val="20"/>
        </w:rPr>
        <w:t>Air</w:t>
      </w:r>
      <w:r>
        <w:rPr>
          <w:spacing w:val="21"/>
          <w:sz w:val="20"/>
        </w:rPr>
        <w:t xml:space="preserve"> </w:t>
      </w:r>
      <w:r>
        <w:rPr>
          <w:sz w:val="20"/>
        </w:rPr>
        <w:t>Force</w:t>
      </w:r>
      <w:r>
        <w:rPr>
          <w:spacing w:val="21"/>
          <w:sz w:val="20"/>
        </w:rPr>
        <w:t xml:space="preserve"> </w:t>
      </w:r>
      <w:r>
        <w:rPr>
          <w:sz w:val="20"/>
        </w:rPr>
        <w:t>and</w:t>
      </w:r>
      <w:r>
        <w:rPr>
          <w:spacing w:val="21"/>
          <w:sz w:val="20"/>
        </w:rPr>
        <w:t xml:space="preserve"> </w:t>
      </w:r>
      <w:r>
        <w:rPr>
          <w:sz w:val="20"/>
        </w:rPr>
        <w:t>U.S.</w:t>
      </w:r>
      <w:r>
        <w:rPr>
          <w:spacing w:val="21"/>
          <w:sz w:val="20"/>
        </w:rPr>
        <w:t xml:space="preserve"> </w:t>
      </w:r>
      <w:r>
        <w:rPr>
          <w:sz w:val="20"/>
        </w:rPr>
        <w:t>Army</w:t>
      </w:r>
      <w:r>
        <w:rPr>
          <w:spacing w:val="21"/>
          <w:sz w:val="20"/>
        </w:rPr>
        <w:t xml:space="preserve"> </w:t>
      </w:r>
      <w:r>
        <w:rPr>
          <w:sz w:val="20"/>
        </w:rPr>
        <w:t>to</w:t>
      </w:r>
      <w:r>
        <w:rPr>
          <w:spacing w:val="21"/>
          <w:sz w:val="20"/>
        </w:rPr>
        <w:t xml:space="preserve"> </w:t>
      </w:r>
      <w:r>
        <w:rPr>
          <w:sz w:val="20"/>
        </w:rPr>
        <w:t>design,</w:t>
      </w:r>
      <w:r>
        <w:rPr>
          <w:spacing w:val="21"/>
          <w:sz w:val="20"/>
        </w:rPr>
        <w:t xml:space="preserve"> </w:t>
      </w:r>
      <w:r>
        <w:rPr>
          <w:sz w:val="20"/>
        </w:rPr>
        <w:t>develop</w:t>
      </w:r>
      <w:r>
        <w:rPr>
          <w:spacing w:val="21"/>
          <w:sz w:val="20"/>
        </w:rPr>
        <w:t xml:space="preserve"> </w:t>
      </w:r>
      <w:r>
        <w:rPr>
          <w:sz w:val="20"/>
        </w:rPr>
        <w:t>and build hypersonic strike weapons.</w:t>
      </w:r>
    </w:p>
    <w:p w14:paraId="21972AA9" w14:textId="77777777" w:rsidR="00AE2255" w:rsidRDefault="00000000">
      <w:pPr>
        <w:pStyle w:val="ListParagraph"/>
        <w:numPr>
          <w:ilvl w:val="1"/>
          <w:numId w:val="15"/>
        </w:numPr>
        <w:tabs>
          <w:tab w:val="left" w:pos="970"/>
        </w:tabs>
        <w:spacing w:before="2" w:line="249" w:lineRule="auto"/>
        <w:ind w:right="429"/>
        <w:jc w:val="both"/>
        <w:rPr>
          <w:sz w:val="20"/>
        </w:rPr>
      </w:pPr>
      <w:r>
        <w:rPr>
          <w:sz w:val="20"/>
        </w:rPr>
        <w:t>The Javelin program, which is a one-man portable and platform-employable anti-tank and multi-target precision weapon system. Javelin was developed and is currently produced for the U.S. Army and U.S. Marine Corps by a joint venture between Lockheed Martin and Raytheon Technologies.</w:t>
      </w:r>
    </w:p>
    <w:p w14:paraId="3F4C68DD" w14:textId="77777777" w:rsidR="00AE2255" w:rsidRDefault="00AE2255">
      <w:pPr>
        <w:pStyle w:val="BodyText"/>
        <w:spacing w:before="9"/>
      </w:pPr>
    </w:p>
    <w:p w14:paraId="715FCD75" w14:textId="77777777" w:rsidR="00AE2255" w:rsidRDefault="00000000">
      <w:pPr>
        <w:pStyle w:val="Heading3"/>
      </w:pPr>
      <w:r>
        <w:t>Rotary</w:t>
      </w:r>
      <w:r>
        <w:rPr>
          <w:spacing w:val="-4"/>
        </w:rPr>
        <w:t xml:space="preserve"> </w:t>
      </w:r>
      <w:r>
        <w:t>and</w:t>
      </w:r>
      <w:r>
        <w:rPr>
          <w:spacing w:val="-4"/>
        </w:rPr>
        <w:t xml:space="preserve"> </w:t>
      </w:r>
      <w:r>
        <w:t>Mission</w:t>
      </w:r>
      <w:r>
        <w:rPr>
          <w:spacing w:val="-3"/>
        </w:rPr>
        <w:t xml:space="preserve"> </w:t>
      </w:r>
      <w:r>
        <w:rPr>
          <w:spacing w:val="-2"/>
        </w:rPr>
        <w:t>Systems</w:t>
      </w:r>
    </w:p>
    <w:p w14:paraId="035A0648" w14:textId="77777777" w:rsidR="00AE2255" w:rsidRDefault="00AE2255">
      <w:pPr>
        <w:pStyle w:val="BodyText"/>
        <w:spacing w:before="6"/>
        <w:rPr>
          <w:b/>
          <w:i/>
          <w:sz w:val="18"/>
        </w:rPr>
      </w:pPr>
    </w:p>
    <w:p w14:paraId="2FAFA68A" w14:textId="77777777" w:rsidR="00AE2255" w:rsidRDefault="00000000">
      <w:pPr>
        <w:pStyle w:val="BodyText"/>
        <w:spacing w:line="249" w:lineRule="auto"/>
        <w:ind w:left="610" w:right="428" w:firstLine="360"/>
        <w:jc w:val="both"/>
      </w:pPr>
      <w:r>
        <w:t xml:space="preserve">RMS designs, manufactures, </w:t>
      </w:r>
      <w:proofErr w:type="gramStart"/>
      <w:r>
        <w:t>services</w:t>
      </w:r>
      <w:proofErr w:type="gramEnd"/>
      <w:r>
        <w:t xml:space="preserve"> and supports various military and commercial helicopters, surface ships, sea and</w:t>
      </w:r>
      <w:r>
        <w:rPr>
          <w:spacing w:val="40"/>
        </w:rPr>
        <w:t xml:space="preserve"> </w:t>
      </w:r>
      <w:r>
        <w:t>land-based missile defense systems, radar systems, sea and air-based mission and combat systems, command and control mission solutions, cyber solutions, and simulation and training solutions. RMS also has contracts with the U.S. Government for various classified programs. RMS’ major programs include:</w:t>
      </w:r>
    </w:p>
    <w:p w14:paraId="0094C052" w14:textId="77777777" w:rsidR="00AE2255" w:rsidRDefault="00AE2255">
      <w:pPr>
        <w:pStyle w:val="BodyText"/>
        <w:spacing w:before="8"/>
        <w:rPr>
          <w:sz w:val="17"/>
        </w:rPr>
      </w:pPr>
    </w:p>
    <w:p w14:paraId="65A2C881" w14:textId="77777777" w:rsidR="00AE2255" w:rsidRDefault="00000000">
      <w:pPr>
        <w:pStyle w:val="ListParagraph"/>
        <w:numPr>
          <w:ilvl w:val="1"/>
          <w:numId w:val="15"/>
        </w:numPr>
        <w:tabs>
          <w:tab w:val="left" w:pos="970"/>
        </w:tabs>
        <w:spacing w:line="249" w:lineRule="auto"/>
        <w:ind w:right="430"/>
        <w:jc w:val="both"/>
        <w:rPr>
          <w:sz w:val="20"/>
        </w:rPr>
      </w:pPr>
      <w:r>
        <w:rPr>
          <w:sz w:val="20"/>
        </w:rPr>
        <w:t>Sikorsky helicopter programs such as those related to the BLACK HAWK</w:t>
      </w:r>
      <w:r>
        <w:rPr>
          <w:sz w:val="20"/>
          <w:vertAlign w:val="superscript"/>
        </w:rPr>
        <w:t>®</w:t>
      </w:r>
      <w:r>
        <w:rPr>
          <w:sz w:val="20"/>
        </w:rPr>
        <w:t>, Seahawk</w:t>
      </w:r>
      <w:r>
        <w:rPr>
          <w:sz w:val="20"/>
          <w:vertAlign w:val="superscript"/>
        </w:rPr>
        <w:t>®</w:t>
      </w:r>
      <w:r>
        <w:rPr>
          <w:sz w:val="20"/>
        </w:rPr>
        <w:t xml:space="preserve"> and CH-53K King Stallion heavy lift helicopters which are in service with U.S. and foreign governments, the Combat Rescue Helicopter (CRH) utilized by the U.S. Air Force, and the VH-92A helicopter for the U.S. Marine One transport mission.</w:t>
      </w:r>
    </w:p>
    <w:p w14:paraId="30F2D7FA" w14:textId="77777777" w:rsidR="00AE2255" w:rsidRDefault="00000000">
      <w:pPr>
        <w:pStyle w:val="ListParagraph"/>
        <w:numPr>
          <w:ilvl w:val="1"/>
          <w:numId w:val="15"/>
        </w:numPr>
        <w:tabs>
          <w:tab w:val="left" w:pos="970"/>
        </w:tabs>
        <w:spacing w:before="3" w:line="249" w:lineRule="auto"/>
        <w:ind w:right="429"/>
        <w:jc w:val="both"/>
        <w:rPr>
          <w:sz w:val="20"/>
        </w:rPr>
      </w:pPr>
      <w:r>
        <w:rPr>
          <w:sz w:val="20"/>
        </w:rPr>
        <w:t>Integrated warfare systems and sensors (IWSS) programs such as Aegis Combat System (Aegis) programs that serve as an air and missile defense system for the U.S. Navy and international customers and is also a sea and land-based element of the U.S. missile defense system, and the Littoral Combat Ship (LCS) and Multi-Mission Surface Combatant (MMSC) programs to provide surface combatant ships for the U.S. Navy and international customers that are designed to operate in shallow waters and the open ocean.</w:t>
      </w:r>
    </w:p>
    <w:p w14:paraId="6F547253" w14:textId="77777777" w:rsidR="00AE2255" w:rsidRDefault="00000000">
      <w:pPr>
        <w:pStyle w:val="ListParagraph"/>
        <w:numPr>
          <w:ilvl w:val="1"/>
          <w:numId w:val="15"/>
        </w:numPr>
        <w:tabs>
          <w:tab w:val="left" w:pos="970"/>
        </w:tabs>
        <w:spacing w:before="4" w:line="249" w:lineRule="auto"/>
        <w:ind w:right="428"/>
        <w:jc w:val="both"/>
        <w:rPr>
          <w:sz w:val="20"/>
        </w:rPr>
      </w:pPr>
      <w:r>
        <w:rPr>
          <w:sz w:val="20"/>
        </w:rPr>
        <w:t>Command, control, communications, computers, cyber, combat systems, intelligence, surveillance, and reconnaissance (C6ISR)</w:t>
      </w:r>
      <w:r>
        <w:rPr>
          <w:spacing w:val="-2"/>
          <w:sz w:val="20"/>
        </w:rPr>
        <w:t xml:space="preserve"> </w:t>
      </w:r>
      <w:r>
        <w:rPr>
          <w:sz w:val="20"/>
        </w:rPr>
        <w:t>programs</w:t>
      </w:r>
      <w:r>
        <w:rPr>
          <w:spacing w:val="-2"/>
          <w:sz w:val="20"/>
        </w:rPr>
        <w:t xml:space="preserve"> </w:t>
      </w:r>
      <w:r>
        <w:rPr>
          <w:sz w:val="20"/>
        </w:rPr>
        <w:t>such</w:t>
      </w:r>
      <w:r>
        <w:rPr>
          <w:spacing w:val="-2"/>
          <w:sz w:val="20"/>
        </w:rPr>
        <w:t xml:space="preserve"> </w:t>
      </w:r>
      <w:r>
        <w:rPr>
          <w:sz w:val="20"/>
        </w:rPr>
        <w:t>as</w:t>
      </w:r>
      <w:r>
        <w:rPr>
          <w:spacing w:val="-2"/>
          <w:sz w:val="20"/>
        </w:rPr>
        <w:t xml:space="preserve"> </w:t>
      </w:r>
      <w:r>
        <w:rPr>
          <w:sz w:val="20"/>
        </w:rPr>
        <w:t>the</w:t>
      </w:r>
      <w:r>
        <w:rPr>
          <w:spacing w:val="-2"/>
          <w:sz w:val="20"/>
        </w:rPr>
        <w:t xml:space="preserve"> </w:t>
      </w:r>
      <w:r>
        <w:rPr>
          <w:sz w:val="20"/>
        </w:rPr>
        <w:t>Command,</w:t>
      </w:r>
      <w:r>
        <w:rPr>
          <w:spacing w:val="-2"/>
          <w:sz w:val="20"/>
        </w:rPr>
        <w:t xml:space="preserve"> </w:t>
      </w:r>
      <w:r>
        <w:rPr>
          <w:sz w:val="20"/>
        </w:rPr>
        <w:t>Control,</w:t>
      </w:r>
      <w:r>
        <w:rPr>
          <w:spacing w:val="-2"/>
          <w:sz w:val="20"/>
        </w:rPr>
        <w:t xml:space="preserve"> </w:t>
      </w:r>
      <w:r>
        <w:rPr>
          <w:sz w:val="20"/>
        </w:rPr>
        <w:t>Battle</w:t>
      </w:r>
      <w:r>
        <w:rPr>
          <w:spacing w:val="-2"/>
          <w:sz w:val="20"/>
        </w:rPr>
        <w:t xml:space="preserve"> </w:t>
      </w:r>
      <w:r>
        <w:rPr>
          <w:sz w:val="20"/>
        </w:rPr>
        <w:t>Management</w:t>
      </w:r>
      <w:r>
        <w:rPr>
          <w:spacing w:val="-2"/>
          <w:sz w:val="20"/>
        </w:rPr>
        <w:t xml:space="preserve"> </w:t>
      </w:r>
      <w:r>
        <w:rPr>
          <w:sz w:val="20"/>
        </w:rPr>
        <w:t>and</w:t>
      </w:r>
      <w:r>
        <w:rPr>
          <w:spacing w:val="-2"/>
          <w:sz w:val="20"/>
        </w:rPr>
        <w:t xml:space="preserve"> </w:t>
      </w:r>
      <w:r>
        <w:rPr>
          <w:sz w:val="20"/>
        </w:rPr>
        <w:t>Communications</w:t>
      </w:r>
      <w:r>
        <w:rPr>
          <w:spacing w:val="-2"/>
          <w:sz w:val="20"/>
        </w:rPr>
        <w:t xml:space="preserve"> </w:t>
      </w:r>
      <w:r>
        <w:rPr>
          <w:sz w:val="20"/>
        </w:rPr>
        <w:t>(C2BMC)</w:t>
      </w:r>
      <w:r>
        <w:rPr>
          <w:spacing w:val="-2"/>
          <w:sz w:val="20"/>
        </w:rPr>
        <w:t xml:space="preserve"> </w:t>
      </w:r>
      <w:r>
        <w:rPr>
          <w:sz w:val="20"/>
        </w:rPr>
        <w:t>program</w:t>
      </w:r>
      <w:r>
        <w:rPr>
          <w:spacing w:val="-2"/>
          <w:sz w:val="20"/>
        </w:rPr>
        <w:t xml:space="preserve"> </w:t>
      </w:r>
      <w:r>
        <w:rPr>
          <w:sz w:val="20"/>
        </w:rPr>
        <w:t>to</w:t>
      </w:r>
      <w:r>
        <w:rPr>
          <w:spacing w:val="-2"/>
          <w:sz w:val="20"/>
        </w:rPr>
        <w:t xml:space="preserve"> </w:t>
      </w:r>
      <w:r>
        <w:rPr>
          <w:sz w:val="20"/>
        </w:rPr>
        <w:t>provide</w:t>
      </w:r>
    </w:p>
    <w:p w14:paraId="15B2D88F" w14:textId="77777777" w:rsidR="00AE2255" w:rsidRDefault="00AE2255">
      <w:pPr>
        <w:spacing w:line="249" w:lineRule="auto"/>
        <w:jc w:val="both"/>
        <w:rPr>
          <w:sz w:val="20"/>
        </w:rPr>
        <w:sectPr w:rsidR="00AE2255">
          <w:pgSz w:w="12240" w:h="15840"/>
          <w:pgMar w:top="440" w:right="560" w:bottom="720" w:left="380" w:header="230" w:footer="531" w:gutter="0"/>
          <w:cols w:space="720"/>
        </w:sectPr>
      </w:pPr>
    </w:p>
    <w:p w14:paraId="092AA9EA" w14:textId="77777777" w:rsidR="00AE2255" w:rsidRDefault="00AE2255">
      <w:pPr>
        <w:pStyle w:val="BodyText"/>
        <w:spacing w:before="10"/>
        <w:rPr>
          <w:sz w:val="22"/>
        </w:rPr>
      </w:pPr>
    </w:p>
    <w:p w14:paraId="44C51FD1" w14:textId="77777777" w:rsidR="00AE2255" w:rsidRDefault="00000000">
      <w:pPr>
        <w:pStyle w:val="BodyText"/>
        <w:spacing w:before="92" w:line="249" w:lineRule="auto"/>
        <w:ind w:left="970"/>
      </w:pPr>
      <w:r>
        <w:t>an air operations center for the Ballistic Missile Defense System for the U.S. Government, and undersea combat systems programs largely serving the U.S. Navy.</w:t>
      </w:r>
    </w:p>
    <w:p w14:paraId="59627C67" w14:textId="77777777" w:rsidR="00AE2255" w:rsidRDefault="00000000">
      <w:pPr>
        <w:pStyle w:val="ListParagraph"/>
        <w:numPr>
          <w:ilvl w:val="1"/>
          <w:numId w:val="15"/>
        </w:numPr>
        <w:tabs>
          <w:tab w:val="left" w:pos="969"/>
          <w:tab w:val="left" w:pos="970"/>
        </w:tabs>
        <w:spacing w:before="1" w:line="249" w:lineRule="auto"/>
        <w:ind w:right="428"/>
        <w:rPr>
          <w:sz w:val="20"/>
        </w:rPr>
      </w:pPr>
      <w:r>
        <w:rPr>
          <w:sz w:val="20"/>
        </w:rPr>
        <w:t>Training and logistics solutions (TLS) programs such as those providing sustainment services and programs that provide</w:t>
      </w:r>
      <w:r>
        <w:rPr>
          <w:spacing w:val="40"/>
          <w:sz w:val="20"/>
        </w:rPr>
        <w:t xml:space="preserve"> </w:t>
      </w:r>
      <w:r>
        <w:rPr>
          <w:sz w:val="20"/>
        </w:rPr>
        <w:t>simulators and associated training to U.S. military and foreign government customers.</w:t>
      </w:r>
    </w:p>
    <w:p w14:paraId="324B4F57" w14:textId="77777777" w:rsidR="00AE2255" w:rsidRDefault="00AE2255">
      <w:pPr>
        <w:pStyle w:val="BodyText"/>
        <w:spacing w:before="3"/>
        <w:rPr>
          <w:sz w:val="17"/>
        </w:rPr>
      </w:pPr>
    </w:p>
    <w:p w14:paraId="0E2F80DE" w14:textId="77777777" w:rsidR="00AE2255" w:rsidRDefault="00000000">
      <w:pPr>
        <w:pStyle w:val="Heading3"/>
      </w:pPr>
      <w:r>
        <w:rPr>
          <w:spacing w:val="-2"/>
        </w:rPr>
        <w:t>Space</w:t>
      </w:r>
    </w:p>
    <w:p w14:paraId="4F6F8A55" w14:textId="77777777" w:rsidR="00AE2255" w:rsidRDefault="00AE2255">
      <w:pPr>
        <w:pStyle w:val="BodyText"/>
        <w:spacing w:before="6"/>
        <w:rPr>
          <w:b/>
          <w:i/>
          <w:sz w:val="18"/>
        </w:rPr>
      </w:pPr>
    </w:p>
    <w:p w14:paraId="051AB5E0" w14:textId="77777777" w:rsidR="00AE2255" w:rsidRDefault="00000000">
      <w:pPr>
        <w:pStyle w:val="BodyText"/>
        <w:spacing w:before="1" w:line="249" w:lineRule="auto"/>
        <w:ind w:left="610" w:right="428" w:firstLine="360"/>
        <w:jc w:val="both"/>
      </w:pPr>
      <w:r>
        <w:t xml:space="preserve">Space is engaged in the research and design, development, engineering and production of satellites, space transportation systems, and strategic, advanced strike, and defensive systems. Space provides network-enabled situational awareness and integrates complex space and ground global systems to help our customers gather, </w:t>
      </w:r>
      <w:proofErr w:type="gramStart"/>
      <w:r>
        <w:t>analyze</w:t>
      </w:r>
      <w:proofErr w:type="gramEnd"/>
      <w:r>
        <w:t xml:space="preserve"> and securely distribute critical intelligence data. Space is also responsible for various classified systems and services in support of vital national security systems. Space’s major programs include:</w:t>
      </w:r>
    </w:p>
    <w:p w14:paraId="6CC0016D" w14:textId="77777777" w:rsidR="00AE2255" w:rsidRDefault="00AE2255">
      <w:pPr>
        <w:pStyle w:val="BodyText"/>
        <w:spacing w:before="8"/>
        <w:rPr>
          <w:sz w:val="17"/>
        </w:rPr>
      </w:pPr>
    </w:p>
    <w:p w14:paraId="1D03B580" w14:textId="77777777" w:rsidR="00AE2255" w:rsidRDefault="00000000">
      <w:pPr>
        <w:pStyle w:val="ListParagraph"/>
        <w:numPr>
          <w:ilvl w:val="1"/>
          <w:numId w:val="15"/>
        </w:numPr>
        <w:tabs>
          <w:tab w:val="left" w:pos="969"/>
          <w:tab w:val="left" w:pos="970"/>
        </w:tabs>
        <w:spacing w:line="249" w:lineRule="auto"/>
        <w:ind w:right="430" w:hanging="315"/>
        <w:rPr>
          <w:sz w:val="20"/>
        </w:rPr>
      </w:pPr>
      <w:r>
        <w:rPr>
          <w:sz w:val="20"/>
        </w:rPr>
        <w:t>The Space Based Infrared System (SBIRS) and Next Generation Overhead Persistent Infrared (Next Gen OPIR) system</w:t>
      </w:r>
      <w:r>
        <w:rPr>
          <w:spacing w:val="80"/>
          <w:sz w:val="20"/>
        </w:rPr>
        <w:t xml:space="preserve"> </w:t>
      </w:r>
      <w:r>
        <w:rPr>
          <w:sz w:val="20"/>
        </w:rPr>
        <w:t>programs, which provide the U.S. Space Force with enhanced worldwide missile warning capabilities.</w:t>
      </w:r>
    </w:p>
    <w:p w14:paraId="3256AF91" w14:textId="77777777" w:rsidR="00AE2255" w:rsidRDefault="00000000">
      <w:pPr>
        <w:pStyle w:val="ListParagraph"/>
        <w:numPr>
          <w:ilvl w:val="1"/>
          <w:numId w:val="15"/>
        </w:numPr>
        <w:tabs>
          <w:tab w:val="left" w:pos="969"/>
          <w:tab w:val="left" w:pos="970"/>
        </w:tabs>
        <w:spacing w:before="2" w:line="249" w:lineRule="auto"/>
        <w:ind w:right="429" w:hanging="315"/>
        <w:rPr>
          <w:sz w:val="20"/>
        </w:rPr>
      </w:pPr>
      <w:r>
        <w:rPr>
          <w:sz w:val="20"/>
        </w:rPr>
        <w:t>The</w:t>
      </w:r>
      <w:r>
        <w:rPr>
          <w:spacing w:val="40"/>
          <w:sz w:val="20"/>
        </w:rPr>
        <w:t xml:space="preserve"> </w:t>
      </w:r>
      <w:r>
        <w:rPr>
          <w:sz w:val="20"/>
        </w:rPr>
        <w:t>Trident</w:t>
      </w:r>
      <w:r>
        <w:rPr>
          <w:spacing w:val="40"/>
          <w:sz w:val="20"/>
        </w:rPr>
        <w:t xml:space="preserve"> </w:t>
      </w:r>
      <w:r>
        <w:rPr>
          <w:sz w:val="20"/>
        </w:rPr>
        <w:t>II</w:t>
      </w:r>
      <w:r>
        <w:rPr>
          <w:spacing w:val="40"/>
          <w:sz w:val="20"/>
        </w:rPr>
        <w:t xml:space="preserve"> </w:t>
      </w:r>
      <w:r>
        <w:rPr>
          <w:sz w:val="20"/>
        </w:rPr>
        <w:t>D5</w:t>
      </w:r>
      <w:r>
        <w:rPr>
          <w:spacing w:val="40"/>
          <w:sz w:val="20"/>
        </w:rPr>
        <w:t xml:space="preserve"> </w:t>
      </w:r>
      <w:r>
        <w:rPr>
          <w:sz w:val="20"/>
        </w:rPr>
        <w:t>Fleet</w:t>
      </w:r>
      <w:r>
        <w:rPr>
          <w:spacing w:val="40"/>
          <w:sz w:val="20"/>
        </w:rPr>
        <w:t xml:space="preserve"> </w:t>
      </w:r>
      <w:r>
        <w:rPr>
          <w:sz w:val="20"/>
        </w:rPr>
        <w:t>Ballistic</w:t>
      </w:r>
      <w:r>
        <w:rPr>
          <w:spacing w:val="40"/>
          <w:sz w:val="20"/>
        </w:rPr>
        <w:t xml:space="preserve"> </w:t>
      </w:r>
      <w:r>
        <w:rPr>
          <w:sz w:val="20"/>
        </w:rPr>
        <w:t>Missile</w:t>
      </w:r>
      <w:r>
        <w:rPr>
          <w:spacing w:val="40"/>
          <w:sz w:val="20"/>
        </w:rPr>
        <w:t xml:space="preserve"> </w:t>
      </w:r>
      <w:r>
        <w:rPr>
          <w:sz w:val="20"/>
        </w:rPr>
        <w:t>(FBM),</w:t>
      </w:r>
      <w:r>
        <w:rPr>
          <w:spacing w:val="40"/>
          <w:sz w:val="20"/>
        </w:rPr>
        <w:t xml:space="preserve"> </w:t>
      </w:r>
      <w:r>
        <w:rPr>
          <w:sz w:val="20"/>
        </w:rPr>
        <w:t>a</w:t>
      </w:r>
      <w:r>
        <w:rPr>
          <w:spacing w:val="40"/>
          <w:sz w:val="20"/>
        </w:rPr>
        <w:t xml:space="preserve"> </w:t>
      </w:r>
      <w:r>
        <w:rPr>
          <w:sz w:val="20"/>
        </w:rPr>
        <w:t>program</w:t>
      </w:r>
      <w:r>
        <w:rPr>
          <w:spacing w:val="40"/>
          <w:sz w:val="20"/>
        </w:rPr>
        <w:t xml:space="preserve"> </w:t>
      </w:r>
      <w:r>
        <w:rPr>
          <w:sz w:val="20"/>
        </w:rPr>
        <w:t>with</w:t>
      </w:r>
      <w:r>
        <w:rPr>
          <w:spacing w:val="40"/>
          <w:sz w:val="20"/>
        </w:rPr>
        <w:t xml:space="preserve"> </w:t>
      </w:r>
      <w:r>
        <w:rPr>
          <w:sz w:val="20"/>
        </w:rPr>
        <w:t>the</w:t>
      </w:r>
      <w:r>
        <w:rPr>
          <w:spacing w:val="40"/>
          <w:sz w:val="20"/>
        </w:rPr>
        <w:t xml:space="preserve"> </w:t>
      </w:r>
      <w:r>
        <w:rPr>
          <w:sz w:val="20"/>
        </w:rPr>
        <w:t>U.S.</w:t>
      </w:r>
      <w:r>
        <w:rPr>
          <w:spacing w:val="40"/>
          <w:sz w:val="20"/>
        </w:rPr>
        <w:t xml:space="preserve"> </w:t>
      </w:r>
      <w:r>
        <w:rPr>
          <w:sz w:val="20"/>
        </w:rPr>
        <w:t>Navy</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only</w:t>
      </w:r>
      <w:r>
        <w:rPr>
          <w:spacing w:val="40"/>
          <w:sz w:val="20"/>
        </w:rPr>
        <w:t xml:space="preserve"> </w:t>
      </w:r>
      <w:r>
        <w:rPr>
          <w:sz w:val="20"/>
        </w:rPr>
        <w:t>submarine-launched intercontinental ballistic missile currently in production in the U.S.</w:t>
      </w:r>
    </w:p>
    <w:p w14:paraId="429A0CC4" w14:textId="77777777" w:rsidR="00AE2255" w:rsidRDefault="00000000">
      <w:pPr>
        <w:pStyle w:val="ListParagraph"/>
        <w:numPr>
          <w:ilvl w:val="1"/>
          <w:numId w:val="15"/>
        </w:numPr>
        <w:tabs>
          <w:tab w:val="left" w:pos="969"/>
          <w:tab w:val="left" w:pos="970"/>
        </w:tabs>
        <w:spacing w:before="1" w:line="249" w:lineRule="auto"/>
        <w:ind w:right="429" w:hanging="315"/>
        <w:rPr>
          <w:sz w:val="20"/>
        </w:rPr>
      </w:pPr>
      <w:r>
        <w:rPr>
          <w:sz w:val="20"/>
        </w:rPr>
        <w:t>The Orion Multi-Purpose Crew Vehicle (Orion), a spacecraft for NASA utilizing new technology for human exploration</w:t>
      </w:r>
      <w:r>
        <w:rPr>
          <w:spacing w:val="40"/>
          <w:sz w:val="20"/>
        </w:rPr>
        <w:t xml:space="preserve"> </w:t>
      </w:r>
      <w:r>
        <w:rPr>
          <w:sz w:val="20"/>
        </w:rPr>
        <w:t>missions beyond low earth orbit.</w:t>
      </w:r>
    </w:p>
    <w:p w14:paraId="2AE892CC" w14:textId="77777777" w:rsidR="00AE2255" w:rsidRDefault="00000000">
      <w:pPr>
        <w:pStyle w:val="ListParagraph"/>
        <w:numPr>
          <w:ilvl w:val="1"/>
          <w:numId w:val="15"/>
        </w:numPr>
        <w:tabs>
          <w:tab w:val="left" w:pos="969"/>
          <w:tab w:val="left" w:pos="970"/>
        </w:tabs>
        <w:spacing w:before="2" w:line="249" w:lineRule="auto"/>
        <w:ind w:right="429" w:hanging="315"/>
        <w:rPr>
          <w:sz w:val="20"/>
        </w:rPr>
      </w:pPr>
      <w:r>
        <w:rPr>
          <w:sz w:val="20"/>
        </w:rPr>
        <w:t>Next</w:t>
      </w:r>
      <w:r>
        <w:rPr>
          <w:spacing w:val="40"/>
          <w:sz w:val="20"/>
        </w:rPr>
        <w:t xml:space="preserve"> </w:t>
      </w:r>
      <w:r>
        <w:rPr>
          <w:sz w:val="20"/>
        </w:rPr>
        <w:t>Generation</w:t>
      </w:r>
      <w:r>
        <w:rPr>
          <w:spacing w:val="40"/>
          <w:sz w:val="20"/>
        </w:rPr>
        <w:t xml:space="preserve"> </w:t>
      </w:r>
      <w:r>
        <w:rPr>
          <w:sz w:val="20"/>
        </w:rPr>
        <w:t>Interceptor</w:t>
      </w:r>
      <w:r>
        <w:rPr>
          <w:spacing w:val="40"/>
          <w:sz w:val="20"/>
        </w:rPr>
        <w:t xml:space="preserve"> </w:t>
      </w:r>
      <w:r>
        <w:rPr>
          <w:sz w:val="20"/>
        </w:rPr>
        <w:t>(NGI),</w:t>
      </w:r>
      <w:r>
        <w:rPr>
          <w:spacing w:val="40"/>
          <w:sz w:val="20"/>
        </w:rPr>
        <w:t xml:space="preserve"> </w:t>
      </w:r>
      <w:r>
        <w:rPr>
          <w:sz w:val="20"/>
        </w:rPr>
        <w:t>a</w:t>
      </w:r>
      <w:r>
        <w:rPr>
          <w:spacing w:val="40"/>
          <w:sz w:val="20"/>
        </w:rPr>
        <w:t xml:space="preserve"> </w:t>
      </w:r>
      <w:r>
        <w:rPr>
          <w:sz w:val="20"/>
        </w:rPr>
        <w:t>program</w:t>
      </w:r>
      <w:r>
        <w:rPr>
          <w:spacing w:val="40"/>
          <w:sz w:val="20"/>
        </w:rPr>
        <w:t xml:space="preserve"> </w:t>
      </w:r>
      <w:r>
        <w:rPr>
          <w:sz w:val="20"/>
        </w:rPr>
        <w:t>with</w:t>
      </w:r>
      <w:r>
        <w:rPr>
          <w:spacing w:val="40"/>
          <w:sz w:val="20"/>
        </w:rPr>
        <w:t xml:space="preserve"> </w:t>
      </w:r>
      <w:r>
        <w:rPr>
          <w:sz w:val="20"/>
        </w:rPr>
        <w:t>the</w:t>
      </w:r>
      <w:r>
        <w:rPr>
          <w:spacing w:val="40"/>
          <w:sz w:val="20"/>
        </w:rPr>
        <w:t xml:space="preserve"> </w:t>
      </w:r>
      <w:r>
        <w:rPr>
          <w:sz w:val="20"/>
        </w:rPr>
        <w:t>Missile</w:t>
      </w:r>
      <w:r>
        <w:rPr>
          <w:spacing w:val="40"/>
          <w:sz w:val="20"/>
        </w:rPr>
        <w:t xml:space="preserve"> </w:t>
      </w:r>
      <w:r>
        <w:rPr>
          <w:sz w:val="20"/>
        </w:rPr>
        <w:t>Defense</w:t>
      </w:r>
      <w:r>
        <w:rPr>
          <w:spacing w:val="40"/>
          <w:sz w:val="20"/>
        </w:rPr>
        <w:t xml:space="preserve"> </w:t>
      </w:r>
      <w:r>
        <w:rPr>
          <w:sz w:val="20"/>
        </w:rPr>
        <w:t>Agency</w:t>
      </w:r>
      <w:r>
        <w:rPr>
          <w:spacing w:val="40"/>
          <w:sz w:val="20"/>
        </w:rPr>
        <w:t xml:space="preserve"> </w:t>
      </w:r>
      <w:r>
        <w:rPr>
          <w:sz w:val="20"/>
        </w:rPr>
        <w:t>(MDA)</w:t>
      </w:r>
      <w:r>
        <w:rPr>
          <w:spacing w:val="40"/>
          <w:sz w:val="20"/>
        </w:rPr>
        <w:t xml:space="preserve"> </w:t>
      </w:r>
      <w:r>
        <w:rPr>
          <w:sz w:val="20"/>
        </w:rPr>
        <w:t>utilizing</w:t>
      </w:r>
      <w:r>
        <w:rPr>
          <w:spacing w:val="40"/>
          <w:sz w:val="20"/>
        </w:rPr>
        <w:t xml:space="preserve"> </w:t>
      </w:r>
      <w:r>
        <w:rPr>
          <w:sz w:val="20"/>
        </w:rPr>
        <w:t>next</w:t>
      </w:r>
      <w:r>
        <w:rPr>
          <w:spacing w:val="40"/>
          <w:sz w:val="20"/>
        </w:rPr>
        <w:t xml:space="preserve"> </w:t>
      </w:r>
      <w:r>
        <w:rPr>
          <w:sz w:val="20"/>
        </w:rPr>
        <w:t>generation</w:t>
      </w:r>
      <w:r>
        <w:rPr>
          <w:spacing w:val="40"/>
          <w:sz w:val="20"/>
        </w:rPr>
        <w:t xml:space="preserve"> </w:t>
      </w:r>
      <w:r>
        <w:rPr>
          <w:sz w:val="20"/>
        </w:rPr>
        <w:t>propulsion and sensors to provide homeland missile defense.</w:t>
      </w:r>
    </w:p>
    <w:p w14:paraId="37545C8C" w14:textId="77777777" w:rsidR="00AE2255" w:rsidRDefault="00000000">
      <w:pPr>
        <w:pStyle w:val="ListParagraph"/>
        <w:numPr>
          <w:ilvl w:val="1"/>
          <w:numId w:val="15"/>
        </w:numPr>
        <w:tabs>
          <w:tab w:val="left" w:pos="969"/>
          <w:tab w:val="left" w:pos="970"/>
        </w:tabs>
        <w:spacing w:before="2"/>
        <w:ind w:hanging="315"/>
        <w:rPr>
          <w:sz w:val="20"/>
        </w:rPr>
      </w:pPr>
      <w:r>
        <w:rPr>
          <w:sz w:val="20"/>
        </w:rPr>
        <w:t>Global</w:t>
      </w:r>
      <w:r>
        <w:rPr>
          <w:spacing w:val="-6"/>
          <w:sz w:val="20"/>
        </w:rPr>
        <w:t xml:space="preserve"> </w:t>
      </w:r>
      <w:r>
        <w:rPr>
          <w:sz w:val="20"/>
        </w:rPr>
        <w:t>Positioning</w:t>
      </w:r>
      <w:r>
        <w:rPr>
          <w:spacing w:val="-3"/>
          <w:sz w:val="20"/>
        </w:rPr>
        <w:t xml:space="preserve"> </w:t>
      </w:r>
      <w:r>
        <w:rPr>
          <w:sz w:val="20"/>
        </w:rPr>
        <w:t>System</w:t>
      </w:r>
      <w:r>
        <w:rPr>
          <w:spacing w:val="-3"/>
          <w:sz w:val="20"/>
        </w:rPr>
        <w:t xml:space="preserve"> </w:t>
      </w:r>
      <w:r>
        <w:rPr>
          <w:sz w:val="20"/>
        </w:rPr>
        <w:t>(GPS)</w:t>
      </w:r>
      <w:r>
        <w:rPr>
          <w:spacing w:val="-3"/>
          <w:sz w:val="20"/>
        </w:rPr>
        <w:t xml:space="preserve"> </w:t>
      </w:r>
      <w:r>
        <w:rPr>
          <w:sz w:val="20"/>
        </w:rPr>
        <w:t>III,</w:t>
      </w:r>
      <w:r>
        <w:rPr>
          <w:spacing w:val="-2"/>
          <w:sz w:val="20"/>
        </w:rPr>
        <w:t xml:space="preserve"> </w:t>
      </w:r>
      <w:r>
        <w:rPr>
          <w:sz w:val="20"/>
        </w:rPr>
        <w:t>a</w:t>
      </w:r>
      <w:r>
        <w:rPr>
          <w:spacing w:val="-4"/>
          <w:sz w:val="20"/>
        </w:rPr>
        <w:t xml:space="preserve"> </w:t>
      </w:r>
      <w:r>
        <w:rPr>
          <w:sz w:val="20"/>
        </w:rPr>
        <w:t>program</w:t>
      </w:r>
      <w:r>
        <w:rPr>
          <w:spacing w:val="-3"/>
          <w:sz w:val="20"/>
        </w:rPr>
        <w:t xml:space="preserve"> </w:t>
      </w:r>
      <w:r>
        <w:rPr>
          <w:sz w:val="20"/>
        </w:rPr>
        <w:t>to</w:t>
      </w:r>
      <w:r>
        <w:rPr>
          <w:spacing w:val="-3"/>
          <w:sz w:val="20"/>
        </w:rPr>
        <w:t xml:space="preserve"> </w:t>
      </w:r>
      <w:r>
        <w:rPr>
          <w:sz w:val="20"/>
        </w:rPr>
        <w:t>modernize</w:t>
      </w:r>
      <w:r>
        <w:rPr>
          <w:spacing w:val="-3"/>
          <w:sz w:val="20"/>
        </w:rPr>
        <w:t xml:space="preserve"> </w:t>
      </w:r>
      <w:r>
        <w:rPr>
          <w:sz w:val="20"/>
        </w:rPr>
        <w:t>the</w:t>
      </w:r>
      <w:r>
        <w:rPr>
          <w:spacing w:val="-4"/>
          <w:sz w:val="20"/>
        </w:rPr>
        <w:t xml:space="preserve"> </w:t>
      </w:r>
      <w:r>
        <w:rPr>
          <w:sz w:val="20"/>
        </w:rPr>
        <w:t>GPS</w:t>
      </w:r>
      <w:r>
        <w:rPr>
          <w:spacing w:val="-3"/>
          <w:sz w:val="20"/>
        </w:rPr>
        <w:t xml:space="preserve"> </w:t>
      </w:r>
      <w:r>
        <w:rPr>
          <w:sz w:val="20"/>
        </w:rPr>
        <w:t>satellite</w:t>
      </w:r>
      <w:r>
        <w:rPr>
          <w:spacing w:val="-4"/>
          <w:sz w:val="20"/>
        </w:rPr>
        <w:t xml:space="preserve"> </w:t>
      </w:r>
      <w:r>
        <w:rPr>
          <w:sz w:val="20"/>
        </w:rPr>
        <w:t>system</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U.S.</w:t>
      </w:r>
      <w:r>
        <w:rPr>
          <w:spacing w:val="-3"/>
          <w:sz w:val="20"/>
        </w:rPr>
        <w:t xml:space="preserve"> </w:t>
      </w:r>
      <w:r>
        <w:rPr>
          <w:sz w:val="20"/>
        </w:rPr>
        <w:t>Space</w:t>
      </w:r>
      <w:r>
        <w:rPr>
          <w:spacing w:val="-3"/>
          <w:sz w:val="20"/>
        </w:rPr>
        <w:t xml:space="preserve"> </w:t>
      </w:r>
      <w:r>
        <w:rPr>
          <w:spacing w:val="-2"/>
          <w:sz w:val="20"/>
        </w:rPr>
        <w:t>Force.</w:t>
      </w:r>
    </w:p>
    <w:p w14:paraId="3A6F48CB" w14:textId="77777777" w:rsidR="00AE2255" w:rsidRDefault="00000000">
      <w:pPr>
        <w:pStyle w:val="ListParagraph"/>
        <w:numPr>
          <w:ilvl w:val="1"/>
          <w:numId w:val="15"/>
        </w:numPr>
        <w:tabs>
          <w:tab w:val="left" w:pos="969"/>
          <w:tab w:val="left" w:pos="970"/>
        </w:tabs>
        <w:spacing w:before="10" w:line="249" w:lineRule="auto"/>
        <w:ind w:right="430" w:hanging="315"/>
        <w:rPr>
          <w:sz w:val="20"/>
        </w:rPr>
      </w:pPr>
      <w:proofErr w:type="spellStart"/>
      <w:r>
        <w:rPr>
          <w:sz w:val="20"/>
        </w:rPr>
        <w:t>Hypersonics</w:t>
      </w:r>
      <w:proofErr w:type="spellEnd"/>
      <w:r>
        <w:rPr>
          <w:sz w:val="20"/>
        </w:rPr>
        <w:t xml:space="preserve"> programs, which include several programs with the U.S. Army and U.S. Navy to design, develop and build</w:t>
      </w:r>
      <w:r>
        <w:rPr>
          <w:spacing w:val="40"/>
          <w:sz w:val="20"/>
        </w:rPr>
        <w:t xml:space="preserve"> </w:t>
      </w:r>
      <w:r>
        <w:rPr>
          <w:sz w:val="20"/>
        </w:rPr>
        <w:t>hypersonic strike weapons.</w:t>
      </w:r>
    </w:p>
    <w:p w14:paraId="5A4856BB" w14:textId="77777777" w:rsidR="00AE2255" w:rsidRDefault="00AE2255">
      <w:pPr>
        <w:pStyle w:val="BodyText"/>
        <w:spacing w:before="6"/>
        <w:rPr>
          <w:sz w:val="17"/>
        </w:rPr>
      </w:pPr>
    </w:p>
    <w:p w14:paraId="24342C9C" w14:textId="77777777" w:rsidR="00AE2255" w:rsidRDefault="00000000">
      <w:pPr>
        <w:pStyle w:val="BodyText"/>
        <w:spacing w:line="249" w:lineRule="auto"/>
        <w:ind w:left="610" w:right="428" w:firstLine="360"/>
        <w:jc w:val="both"/>
      </w:pPr>
      <w:r>
        <w:t xml:space="preserve">As previously announced, on June 30, 2021, the UK Ministry of </w:t>
      </w:r>
      <w:proofErr w:type="spellStart"/>
      <w:r>
        <w:t>Defence</w:t>
      </w:r>
      <w:proofErr w:type="spellEnd"/>
      <w:r>
        <w:t xml:space="preserve"> terminated the contract to operate the UK’s nuclear deterrent program and assumed control of the entity that manages the program (referred to as the renationalization of</w:t>
      </w:r>
      <w:r>
        <w:rPr>
          <w:spacing w:val="40"/>
        </w:rPr>
        <w:t xml:space="preserve"> </w:t>
      </w:r>
      <w:r>
        <w:t>the Atomic Weapons Establishment (AWE program)). Accordingly, the AWE program, including the entity that manages the program, was no longer included in our financial results as of that date.</w:t>
      </w:r>
    </w:p>
    <w:p w14:paraId="00A02D00" w14:textId="77777777" w:rsidR="00AE2255" w:rsidRDefault="00AE2255">
      <w:pPr>
        <w:pStyle w:val="BodyText"/>
        <w:spacing w:before="4"/>
        <w:rPr>
          <w:sz w:val="17"/>
        </w:rPr>
      </w:pPr>
    </w:p>
    <w:p w14:paraId="1BEB01B0" w14:textId="77777777" w:rsidR="00AE2255" w:rsidRDefault="00000000">
      <w:pPr>
        <w:pStyle w:val="Heading2"/>
        <w:spacing w:before="1"/>
      </w:pPr>
      <w:r>
        <w:t>Intellectual</w:t>
      </w:r>
      <w:r>
        <w:rPr>
          <w:spacing w:val="-9"/>
        </w:rPr>
        <w:t xml:space="preserve"> </w:t>
      </w:r>
      <w:r>
        <w:rPr>
          <w:spacing w:val="-2"/>
        </w:rPr>
        <w:t>Property</w:t>
      </w:r>
    </w:p>
    <w:p w14:paraId="21AC889E" w14:textId="77777777" w:rsidR="00AE2255" w:rsidRDefault="00AE2255">
      <w:pPr>
        <w:pStyle w:val="BodyText"/>
        <w:spacing w:before="6"/>
        <w:rPr>
          <w:b/>
          <w:sz w:val="18"/>
        </w:rPr>
      </w:pPr>
    </w:p>
    <w:p w14:paraId="7301E5E8" w14:textId="77777777" w:rsidR="00AE2255" w:rsidRDefault="00000000">
      <w:pPr>
        <w:pStyle w:val="BodyText"/>
        <w:spacing w:line="249" w:lineRule="auto"/>
        <w:ind w:left="610" w:right="428" w:firstLine="360"/>
        <w:jc w:val="both"/>
      </w:pPr>
      <w:r>
        <w:t>We routinely apply for and own a substantial number of U.S. and foreign patents and trademarks related to the products</w:t>
      </w:r>
      <w:r>
        <w:rPr>
          <w:spacing w:val="40"/>
        </w:rPr>
        <w:t xml:space="preserve"> </w:t>
      </w:r>
      <w:r>
        <w:t xml:space="preserve">and services we provide. We also develop and own other intellectual property, including copyrights, trade secrets and research, </w:t>
      </w:r>
      <w:proofErr w:type="gramStart"/>
      <w:r>
        <w:t>development</w:t>
      </w:r>
      <w:proofErr w:type="gramEnd"/>
      <w:r>
        <w:t xml:space="preserve"> and engineering know-how, that contributes significantly to our business. In addition, we license intellectual property to and from third parties. The Federal Acquisition Regulation (FAR) and Defense Federal Acquisition Regulation Supplement (DFARS) provide the U.S. Government certain rights in intellectual property, including patents, developed by us and our subcontractors and suppliers in performance of government contracts or with government funding. The U.S. Government may use or authorize others, including competitors, to use such intellectual property. See the discussion of matters related to our intellectual</w:t>
      </w:r>
      <w:r>
        <w:rPr>
          <w:spacing w:val="-1"/>
        </w:rPr>
        <w:t xml:space="preserve"> </w:t>
      </w:r>
      <w:r>
        <w:t>property in Item</w:t>
      </w:r>
      <w:r>
        <w:rPr>
          <w:spacing w:val="-1"/>
        </w:rPr>
        <w:t xml:space="preserve"> </w:t>
      </w:r>
      <w:r>
        <w:t>1A</w:t>
      </w:r>
      <w:r>
        <w:rPr>
          <w:spacing w:val="-1"/>
        </w:rPr>
        <w:t xml:space="preserve"> </w:t>
      </w:r>
      <w:r>
        <w:t>- Risk Factors. Non-U.S. governments</w:t>
      </w:r>
      <w:r>
        <w:rPr>
          <w:spacing w:val="-1"/>
        </w:rPr>
        <w:t xml:space="preserve"> </w:t>
      </w:r>
      <w:r>
        <w:t>also may have</w:t>
      </w:r>
      <w:r>
        <w:rPr>
          <w:spacing w:val="-1"/>
        </w:rPr>
        <w:t xml:space="preserve"> </w:t>
      </w:r>
      <w:r>
        <w:t>certain rights</w:t>
      </w:r>
      <w:r>
        <w:rPr>
          <w:spacing w:val="-1"/>
        </w:rPr>
        <w:t xml:space="preserve"> </w:t>
      </w:r>
      <w:r>
        <w:t>in patents</w:t>
      </w:r>
      <w:r>
        <w:rPr>
          <w:spacing w:val="-1"/>
        </w:rPr>
        <w:t xml:space="preserve"> </w:t>
      </w:r>
      <w:r>
        <w:t xml:space="preserve">and other intellectual property developed in performance of our contracts for them. Although our intellectual property rights in the aggregate are important to the operation of our business, we do not believe that any existing patent, </w:t>
      </w:r>
      <w:proofErr w:type="gramStart"/>
      <w:r>
        <w:t>license</w:t>
      </w:r>
      <w:proofErr w:type="gramEnd"/>
      <w:r>
        <w:t xml:space="preserve"> or other intellectual property right is of such importance that its loss or termination would have a material adverse effect on our business taken as a </w:t>
      </w:r>
      <w:r>
        <w:rPr>
          <w:spacing w:val="-2"/>
        </w:rPr>
        <w:t>whole.</w:t>
      </w:r>
    </w:p>
    <w:p w14:paraId="2ADDE8EF" w14:textId="77777777" w:rsidR="00AE2255" w:rsidRDefault="00AE2255">
      <w:pPr>
        <w:pStyle w:val="BodyText"/>
        <w:spacing w:before="11"/>
        <w:rPr>
          <w:sz w:val="17"/>
        </w:rPr>
      </w:pPr>
    </w:p>
    <w:p w14:paraId="1E3DED6C" w14:textId="77777777" w:rsidR="00AE2255" w:rsidRDefault="00000000">
      <w:pPr>
        <w:pStyle w:val="Heading2"/>
      </w:pPr>
      <w:r>
        <w:t>Research</w:t>
      </w:r>
      <w:r>
        <w:rPr>
          <w:spacing w:val="-5"/>
        </w:rPr>
        <w:t xml:space="preserve"> </w:t>
      </w:r>
      <w:r>
        <w:t>and</w:t>
      </w:r>
      <w:r>
        <w:rPr>
          <w:spacing w:val="-4"/>
        </w:rPr>
        <w:t xml:space="preserve"> </w:t>
      </w:r>
      <w:r>
        <w:rPr>
          <w:spacing w:val="-2"/>
        </w:rPr>
        <w:t>Development</w:t>
      </w:r>
    </w:p>
    <w:p w14:paraId="48C9FE7B" w14:textId="77777777" w:rsidR="00AE2255" w:rsidRDefault="00AE2255">
      <w:pPr>
        <w:pStyle w:val="BodyText"/>
        <w:spacing w:before="6"/>
        <w:rPr>
          <w:b/>
          <w:sz w:val="18"/>
        </w:rPr>
      </w:pPr>
    </w:p>
    <w:p w14:paraId="0834A202" w14:textId="77777777" w:rsidR="00AE2255" w:rsidRDefault="00000000">
      <w:pPr>
        <w:pStyle w:val="BodyText"/>
        <w:spacing w:line="249" w:lineRule="auto"/>
        <w:ind w:left="610" w:right="428" w:firstLine="360"/>
        <w:jc w:val="both"/>
      </w:pPr>
      <w:r>
        <w:t>We conduct research and development (R&amp;D) activities using our own funds (referred to as company-funded R&amp;D or independent research and development (IR&amp;D)) and under contractual arrangements with our customers (referred to as customer-funded R&amp;D) to enhance existing products and services and to develop future technologies. R&amp;D costs include basic research, applied research, concept formulation studies, design, development, and related test activities. See “Note 1 – Organization and Significant Accounting Policies” (under the caption “Research and development and similar costs”) included in our Notes to Consolidated Financial Statements.</w:t>
      </w:r>
    </w:p>
    <w:p w14:paraId="6637DABA" w14:textId="77777777" w:rsidR="00AE2255" w:rsidRDefault="00AE2255">
      <w:pPr>
        <w:pStyle w:val="BodyText"/>
        <w:spacing w:before="6"/>
        <w:rPr>
          <w:sz w:val="17"/>
        </w:rPr>
      </w:pPr>
    </w:p>
    <w:p w14:paraId="07CEEDA9" w14:textId="77777777" w:rsidR="00AE2255" w:rsidRDefault="00000000">
      <w:pPr>
        <w:pStyle w:val="Heading2"/>
      </w:pPr>
      <w:r>
        <w:t>Raw</w:t>
      </w:r>
      <w:r>
        <w:rPr>
          <w:spacing w:val="-5"/>
        </w:rPr>
        <w:t xml:space="preserve"> </w:t>
      </w:r>
      <w:r>
        <w:t>Materials,</w:t>
      </w:r>
      <w:r>
        <w:rPr>
          <w:spacing w:val="-5"/>
        </w:rPr>
        <w:t xml:space="preserve"> </w:t>
      </w:r>
      <w:r>
        <w:t>Suppliers</w:t>
      </w:r>
      <w:r>
        <w:rPr>
          <w:spacing w:val="-5"/>
        </w:rPr>
        <w:t xml:space="preserve"> </w:t>
      </w:r>
      <w:r>
        <w:t>and</w:t>
      </w:r>
      <w:r>
        <w:rPr>
          <w:spacing w:val="-4"/>
        </w:rPr>
        <w:t xml:space="preserve"> </w:t>
      </w:r>
      <w:r>
        <w:rPr>
          <w:spacing w:val="-2"/>
        </w:rPr>
        <w:t>Seasonality</w:t>
      </w:r>
    </w:p>
    <w:p w14:paraId="288028F0" w14:textId="77777777" w:rsidR="00AE2255" w:rsidRDefault="00AE2255">
      <w:pPr>
        <w:pStyle w:val="BodyText"/>
        <w:spacing w:before="6"/>
        <w:rPr>
          <w:b/>
          <w:sz w:val="18"/>
        </w:rPr>
      </w:pPr>
    </w:p>
    <w:p w14:paraId="57AF5009" w14:textId="77777777" w:rsidR="00AE2255" w:rsidRDefault="00000000">
      <w:pPr>
        <w:pStyle w:val="BodyText"/>
        <w:spacing w:before="1" w:line="249" w:lineRule="auto"/>
        <w:ind w:left="610" w:right="428" w:firstLine="360"/>
        <w:jc w:val="both"/>
      </w:pPr>
      <w:r>
        <w:t>Some of our products require relatively scarce raw materials. Historically, we have been successful in obtaining the raw materials and other supplies needed in our manufacturing processes. For example, aluminum and titanium are important raw materials</w:t>
      </w:r>
      <w:r>
        <w:rPr>
          <w:spacing w:val="-1"/>
        </w:rPr>
        <w:t xml:space="preserve"> </w:t>
      </w:r>
      <w:r>
        <w:t>used</w:t>
      </w:r>
      <w:r>
        <w:rPr>
          <w:spacing w:val="-1"/>
        </w:rPr>
        <w:t xml:space="preserve"> </w:t>
      </w:r>
      <w:r>
        <w:t>in</w:t>
      </w:r>
      <w:r>
        <w:rPr>
          <w:spacing w:val="-1"/>
        </w:rPr>
        <w:t xml:space="preserve"> </w:t>
      </w:r>
      <w:r>
        <w:t>certain</w:t>
      </w:r>
      <w:r>
        <w:rPr>
          <w:spacing w:val="-1"/>
        </w:rPr>
        <w:t xml:space="preserve"> </w:t>
      </w:r>
      <w:r>
        <w:t>of</w:t>
      </w:r>
      <w:r>
        <w:rPr>
          <w:spacing w:val="-1"/>
        </w:rPr>
        <w:t xml:space="preserve"> </w:t>
      </w:r>
      <w:r>
        <w:t>our</w:t>
      </w:r>
      <w:r>
        <w:rPr>
          <w:spacing w:val="-1"/>
        </w:rPr>
        <w:t xml:space="preserve"> </w:t>
      </w:r>
      <w:r>
        <w:t>Aeronautics</w:t>
      </w:r>
      <w:r>
        <w:rPr>
          <w:spacing w:val="-1"/>
        </w:rPr>
        <w:t xml:space="preserve"> </w:t>
      </w:r>
      <w:r>
        <w:t>and</w:t>
      </w:r>
      <w:r>
        <w:rPr>
          <w:spacing w:val="-1"/>
        </w:rPr>
        <w:t xml:space="preserve"> </w:t>
      </w:r>
      <w:r>
        <w:t>Space</w:t>
      </w:r>
      <w:r>
        <w:rPr>
          <w:spacing w:val="-1"/>
        </w:rPr>
        <w:t xml:space="preserve"> </w:t>
      </w:r>
      <w:r>
        <w:t>programs.</w:t>
      </w:r>
      <w:r>
        <w:rPr>
          <w:spacing w:val="-1"/>
        </w:rPr>
        <w:t xml:space="preserve"> </w:t>
      </w:r>
      <w:r>
        <w:t>Long-term</w:t>
      </w:r>
      <w:r>
        <w:rPr>
          <w:spacing w:val="-1"/>
        </w:rPr>
        <w:t xml:space="preserve"> </w:t>
      </w:r>
      <w:r>
        <w:t>agreements</w:t>
      </w:r>
      <w:r>
        <w:rPr>
          <w:spacing w:val="-1"/>
        </w:rPr>
        <w:t xml:space="preserve"> </w:t>
      </w:r>
      <w:r>
        <w:t>have</w:t>
      </w:r>
      <w:r>
        <w:rPr>
          <w:spacing w:val="-1"/>
        </w:rPr>
        <w:t xml:space="preserve"> </w:t>
      </w:r>
      <w:r>
        <w:t>helped</w:t>
      </w:r>
      <w:r>
        <w:rPr>
          <w:spacing w:val="-1"/>
        </w:rPr>
        <w:t xml:space="preserve"> </w:t>
      </w:r>
      <w:r>
        <w:t>enable</w:t>
      </w:r>
      <w:r>
        <w:rPr>
          <w:spacing w:val="-1"/>
        </w:rPr>
        <w:t xml:space="preserve"> </w:t>
      </w:r>
      <w:r>
        <w:t>a</w:t>
      </w:r>
      <w:r>
        <w:rPr>
          <w:spacing w:val="-1"/>
        </w:rPr>
        <w:t xml:space="preserve"> </w:t>
      </w:r>
      <w:r>
        <w:t>continued</w:t>
      </w:r>
      <w:r>
        <w:rPr>
          <w:spacing w:val="-1"/>
        </w:rPr>
        <w:t xml:space="preserve"> </w:t>
      </w:r>
      <w:r>
        <w:t>supply of</w:t>
      </w:r>
      <w:r>
        <w:rPr>
          <w:spacing w:val="-1"/>
        </w:rPr>
        <w:t xml:space="preserve"> </w:t>
      </w:r>
      <w:r>
        <w:t>these</w:t>
      </w:r>
      <w:r>
        <w:rPr>
          <w:spacing w:val="-1"/>
        </w:rPr>
        <w:t xml:space="preserve"> </w:t>
      </w:r>
      <w:r>
        <w:t>materials.</w:t>
      </w:r>
      <w:r>
        <w:rPr>
          <w:spacing w:val="-1"/>
        </w:rPr>
        <w:t xml:space="preserve"> </w:t>
      </w:r>
      <w:r>
        <w:t>In</w:t>
      </w:r>
      <w:r>
        <w:rPr>
          <w:spacing w:val="-1"/>
        </w:rPr>
        <w:t xml:space="preserve"> </w:t>
      </w:r>
      <w:r>
        <w:t>addition,</w:t>
      </w:r>
      <w:r>
        <w:rPr>
          <w:spacing w:val="-1"/>
        </w:rPr>
        <w:t xml:space="preserve"> </w:t>
      </w:r>
      <w:r>
        <w:t>carbon</w:t>
      </w:r>
      <w:r>
        <w:rPr>
          <w:spacing w:val="-1"/>
        </w:rPr>
        <w:t xml:space="preserve"> </w:t>
      </w:r>
      <w:r>
        <w:t>fiber</w:t>
      </w:r>
      <w:r>
        <w:rPr>
          <w:spacing w:val="-1"/>
        </w:rPr>
        <w:t xml:space="preserve"> </w:t>
      </w:r>
      <w:r>
        <w:t>is</w:t>
      </w:r>
      <w:r>
        <w:rPr>
          <w:spacing w:val="-1"/>
        </w:rPr>
        <w:t xml:space="preserve"> </w:t>
      </w:r>
      <w:r>
        <w:t>an</w:t>
      </w:r>
      <w:r>
        <w:rPr>
          <w:spacing w:val="-1"/>
        </w:rPr>
        <w:t xml:space="preserve"> </w:t>
      </w:r>
      <w:r>
        <w:t>important</w:t>
      </w:r>
      <w:r>
        <w:rPr>
          <w:spacing w:val="-1"/>
        </w:rPr>
        <w:t xml:space="preserve"> </w:t>
      </w:r>
      <w:r>
        <w:t>ingredient</w:t>
      </w:r>
      <w:r>
        <w:rPr>
          <w:spacing w:val="-1"/>
        </w:rPr>
        <w:t xml:space="preserve"> </w:t>
      </w:r>
      <w:r>
        <w:t>in</w:t>
      </w:r>
      <w:r>
        <w:rPr>
          <w:spacing w:val="-1"/>
        </w:rPr>
        <w:t xml:space="preserve"> </w:t>
      </w:r>
      <w:r>
        <w:t>composite</w:t>
      </w:r>
      <w:r>
        <w:rPr>
          <w:spacing w:val="-1"/>
        </w:rPr>
        <w:t xml:space="preserve"> </w:t>
      </w:r>
      <w:r>
        <w:t>materials</w:t>
      </w:r>
      <w:r>
        <w:rPr>
          <w:spacing w:val="-1"/>
        </w:rPr>
        <w:t xml:space="preserve"> </w:t>
      </w:r>
      <w:r>
        <w:t>used</w:t>
      </w:r>
      <w:r>
        <w:rPr>
          <w:spacing w:val="-1"/>
        </w:rPr>
        <w:t xml:space="preserve"> </w:t>
      </w:r>
      <w:r>
        <w:t>in</w:t>
      </w:r>
      <w:r>
        <w:rPr>
          <w:spacing w:val="-1"/>
        </w:rPr>
        <w:t xml:space="preserve"> </w:t>
      </w:r>
      <w:r>
        <w:t>our</w:t>
      </w:r>
      <w:r>
        <w:rPr>
          <w:spacing w:val="-1"/>
        </w:rPr>
        <w:t xml:space="preserve"> </w:t>
      </w:r>
      <w:r>
        <w:t>Aeronautics</w:t>
      </w:r>
      <w:r>
        <w:rPr>
          <w:spacing w:val="-1"/>
        </w:rPr>
        <w:t xml:space="preserve"> </w:t>
      </w:r>
      <w:r>
        <w:t>programs,</w:t>
      </w:r>
    </w:p>
    <w:p w14:paraId="7B9E42BB" w14:textId="77777777" w:rsidR="00AE2255" w:rsidRDefault="00AE2255">
      <w:pPr>
        <w:spacing w:line="249" w:lineRule="auto"/>
        <w:jc w:val="both"/>
        <w:sectPr w:rsidR="00AE2255">
          <w:pgSz w:w="12240" w:h="15840"/>
          <w:pgMar w:top="440" w:right="560" w:bottom="720" w:left="380" w:header="230" w:footer="531" w:gutter="0"/>
          <w:cols w:space="720"/>
        </w:sectPr>
      </w:pPr>
    </w:p>
    <w:p w14:paraId="0172FB7F" w14:textId="77777777" w:rsidR="00AE2255" w:rsidRDefault="00AE2255">
      <w:pPr>
        <w:pStyle w:val="BodyText"/>
        <w:spacing w:before="10"/>
        <w:rPr>
          <w:sz w:val="22"/>
        </w:rPr>
      </w:pPr>
    </w:p>
    <w:p w14:paraId="3326D87B" w14:textId="77777777" w:rsidR="00AE2255" w:rsidRDefault="00000000">
      <w:pPr>
        <w:pStyle w:val="BodyText"/>
        <w:spacing w:before="92" w:line="249" w:lineRule="auto"/>
        <w:ind w:left="610" w:right="428"/>
        <w:jc w:val="both"/>
      </w:pPr>
      <w:r>
        <w:t xml:space="preserve">such as the F-35 aircraft. We rely on other companies to provide materials, </w:t>
      </w:r>
      <w:proofErr w:type="gramStart"/>
      <w:r>
        <w:t>components</w:t>
      </w:r>
      <w:proofErr w:type="gramEnd"/>
      <w:r>
        <w:t xml:space="preserve"> and products, including advanced microelectronics such as semiconductors, and to perform a portion of the services that are provided to our customers under the terms of most of our contracts. During 2022, the COVID-19 pandemic, supply chain challenges, and increased demand caused global semiconductor chip shortages, extended lead times and pricing escalations and these are expected to continue in 2023. These supplier disruptions have resulted in delays and increased costs and have adversely affected our program performance</w:t>
      </w:r>
      <w:r>
        <w:rPr>
          <w:spacing w:val="40"/>
        </w:rPr>
        <w:t xml:space="preserve"> </w:t>
      </w:r>
      <w:r>
        <w:t>and operating results. For more information on the risks related to our suppliers and raw materials, see Item 1A - Risk Factors.</w:t>
      </w:r>
    </w:p>
    <w:p w14:paraId="744BBA01" w14:textId="77777777" w:rsidR="00AE2255" w:rsidRDefault="00AE2255">
      <w:pPr>
        <w:pStyle w:val="BodyText"/>
        <w:spacing w:before="9"/>
        <w:rPr>
          <w:sz w:val="17"/>
        </w:rPr>
      </w:pPr>
    </w:p>
    <w:p w14:paraId="182B9D1B" w14:textId="77777777" w:rsidR="00AE2255" w:rsidRDefault="00000000">
      <w:pPr>
        <w:pStyle w:val="BodyText"/>
        <w:spacing w:line="249" w:lineRule="auto"/>
        <w:ind w:left="610" w:right="429" w:firstLine="360"/>
        <w:jc w:val="both"/>
      </w:pPr>
      <w:r>
        <w:t xml:space="preserve">No material portion of our business </w:t>
      </w:r>
      <w:proofErr w:type="gramStart"/>
      <w:r>
        <w:t>is considered to be</w:t>
      </w:r>
      <w:proofErr w:type="gramEnd"/>
      <w:r>
        <w:t xml:space="preserve"> seasonal. Various factors, however, can affect the distribution of</w:t>
      </w:r>
      <w:r>
        <w:rPr>
          <w:spacing w:val="40"/>
        </w:rPr>
        <w:t xml:space="preserve"> </w:t>
      </w:r>
      <w:r>
        <w:t>our sales between accounting periods, including the timing of government awards, the availability of government funding, product deliveries and customer acceptance.</w:t>
      </w:r>
    </w:p>
    <w:p w14:paraId="5C36E3DB" w14:textId="77777777" w:rsidR="00AE2255" w:rsidRDefault="00AE2255">
      <w:pPr>
        <w:pStyle w:val="BodyText"/>
        <w:spacing w:before="4"/>
        <w:rPr>
          <w:sz w:val="17"/>
        </w:rPr>
      </w:pPr>
    </w:p>
    <w:p w14:paraId="40D03A9A" w14:textId="77777777" w:rsidR="00AE2255" w:rsidRDefault="00000000">
      <w:pPr>
        <w:pStyle w:val="Heading2"/>
      </w:pPr>
      <w:r>
        <w:t>Human</w:t>
      </w:r>
      <w:r>
        <w:rPr>
          <w:spacing w:val="-4"/>
        </w:rPr>
        <w:t xml:space="preserve"> </w:t>
      </w:r>
      <w:r>
        <w:t>Capital</w:t>
      </w:r>
      <w:r>
        <w:rPr>
          <w:spacing w:val="-3"/>
        </w:rPr>
        <w:t xml:space="preserve"> </w:t>
      </w:r>
      <w:r>
        <w:rPr>
          <w:spacing w:val="-2"/>
        </w:rPr>
        <w:t>Resources</w:t>
      </w:r>
    </w:p>
    <w:p w14:paraId="0F64EAF5" w14:textId="77777777" w:rsidR="00AE2255" w:rsidRDefault="00AE2255">
      <w:pPr>
        <w:pStyle w:val="BodyText"/>
        <w:spacing w:before="6"/>
        <w:rPr>
          <w:b/>
          <w:sz w:val="18"/>
        </w:rPr>
      </w:pPr>
    </w:p>
    <w:p w14:paraId="2D9677A5" w14:textId="77777777" w:rsidR="00AE2255" w:rsidRDefault="00000000">
      <w:pPr>
        <w:pStyle w:val="BodyText"/>
        <w:spacing w:line="249" w:lineRule="auto"/>
        <w:ind w:left="610" w:right="428" w:firstLine="360"/>
        <w:jc w:val="both"/>
      </w:pPr>
      <w:r>
        <w:t xml:space="preserve">Due to the specialized nature of our business, our performance depends on identifying, attracting, developing, </w:t>
      </w:r>
      <w:proofErr w:type="gramStart"/>
      <w:r>
        <w:t>motivating</w:t>
      </w:r>
      <w:proofErr w:type="gramEnd"/>
      <w:r>
        <w:t xml:space="preserve"> and retaining a highly skilled workforce in multiple areas, including engineering, science, manufacturing, information technology, cybersecurity, business development and strategy and management. Our human capital management strategy,</w:t>
      </w:r>
      <w:r>
        <w:rPr>
          <w:spacing w:val="40"/>
        </w:rPr>
        <w:t xml:space="preserve"> </w:t>
      </w:r>
      <w:r>
        <w:t>which we refer to as our people strategy, is tightly aligned with our business needs and technology strategy. During 2022, our human</w:t>
      </w:r>
      <w:r>
        <w:rPr>
          <w:spacing w:val="-2"/>
        </w:rPr>
        <w:t xml:space="preserve"> </w:t>
      </w:r>
      <w:r>
        <w:t>capital</w:t>
      </w:r>
      <w:r>
        <w:rPr>
          <w:spacing w:val="-2"/>
        </w:rPr>
        <w:t xml:space="preserve"> </w:t>
      </w:r>
      <w:r>
        <w:t>efforts</w:t>
      </w:r>
      <w:r>
        <w:rPr>
          <w:spacing w:val="-2"/>
        </w:rPr>
        <w:t xml:space="preserve"> </w:t>
      </w:r>
      <w:r>
        <w:t>were</w:t>
      </w:r>
      <w:r>
        <w:rPr>
          <w:spacing w:val="-2"/>
        </w:rPr>
        <w:t xml:space="preserve"> </w:t>
      </w:r>
      <w:r>
        <w:t>focused</w:t>
      </w:r>
      <w:r>
        <w:rPr>
          <w:spacing w:val="-2"/>
        </w:rPr>
        <w:t xml:space="preserve"> </w:t>
      </w:r>
      <w:r>
        <w:t>on</w:t>
      </w:r>
      <w:r>
        <w:rPr>
          <w:spacing w:val="-2"/>
        </w:rPr>
        <w:t xml:space="preserve"> </w:t>
      </w:r>
      <w:r>
        <w:t>continuing</w:t>
      </w:r>
      <w:r>
        <w:rPr>
          <w:spacing w:val="-2"/>
        </w:rPr>
        <w:t xml:space="preserve"> </w:t>
      </w:r>
      <w:r>
        <w:t>to</w:t>
      </w:r>
      <w:r>
        <w:rPr>
          <w:spacing w:val="-2"/>
        </w:rPr>
        <w:t xml:space="preserve"> </w:t>
      </w:r>
      <w:r>
        <w:t>accelerate</w:t>
      </w:r>
      <w:r>
        <w:rPr>
          <w:spacing w:val="-2"/>
        </w:rPr>
        <w:t xml:space="preserve"> </w:t>
      </w:r>
      <w:r>
        <w:t>the</w:t>
      </w:r>
      <w:r>
        <w:rPr>
          <w:spacing w:val="-2"/>
        </w:rPr>
        <w:t xml:space="preserve"> </w:t>
      </w:r>
      <w:r>
        <w:t>transformation</w:t>
      </w:r>
      <w:r>
        <w:rPr>
          <w:spacing w:val="-2"/>
        </w:rPr>
        <w:t xml:space="preserve"> </w:t>
      </w:r>
      <w:r>
        <w:t>of</w:t>
      </w:r>
      <w:r>
        <w:rPr>
          <w:spacing w:val="-2"/>
        </w:rPr>
        <w:t xml:space="preserve"> </w:t>
      </w:r>
      <w:r>
        <w:t>our</w:t>
      </w:r>
      <w:r>
        <w:rPr>
          <w:spacing w:val="-2"/>
        </w:rPr>
        <w:t xml:space="preserve"> </w:t>
      </w:r>
      <w:r>
        <w:t>technology</w:t>
      </w:r>
      <w:r>
        <w:rPr>
          <w:spacing w:val="-2"/>
        </w:rPr>
        <w:t xml:space="preserve"> </w:t>
      </w:r>
      <w:r>
        <w:t>for</w:t>
      </w:r>
      <w:r>
        <w:rPr>
          <w:spacing w:val="-2"/>
        </w:rPr>
        <w:t xml:space="preserve"> </w:t>
      </w:r>
      <w:r>
        <w:t>workforce</w:t>
      </w:r>
      <w:r>
        <w:rPr>
          <w:spacing w:val="-2"/>
        </w:rPr>
        <w:t xml:space="preserve"> </w:t>
      </w:r>
      <w:r>
        <w:t xml:space="preserve">management through investments in upgraded systems and </w:t>
      </w:r>
      <w:proofErr w:type="gramStart"/>
      <w:r>
        <w:t>processes, and</w:t>
      </w:r>
      <w:proofErr w:type="gramEnd"/>
      <w:r>
        <w:t xml:space="preserve"> continuing to increase our agility to meet the quickly changing needs of the business, all while maintaining a respectful, challenging, supportive and inclusive working environment. We use a variety of human capital measures in managing our business, </w:t>
      </w:r>
      <w:proofErr w:type="gramStart"/>
      <w:r>
        <w:t>including:</w:t>
      </w:r>
      <w:proofErr w:type="gramEnd"/>
      <w:r>
        <w:t xml:space="preserve"> workforce demographics; hiring metrics; talent management metrics, including retention rates of top talent; and diversity metrics with respect to representation, attrition,</w:t>
      </w:r>
      <w:r>
        <w:rPr>
          <w:spacing w:val="40"/>
        </w:rPr>
        <w:t xml:space="preserve"> </w:t>
      </w:r>
      <w:r>
        <w:t>hiring, promotions and leadership.</w:t>
      </w:r>
    </w:p>
    <w:p w14:paraId="0078C917" w14:textId="77777777" w:rsidR="00AE2255" w:rsidRDefault="00AE2255">
      <w:pPr>
        <w:pStyle w:val="BodyText"/>
        <w:spacing w:before="10"/>
        <w:rPr>
          <w:sz w:val="17"/>
        </w:rPr>
      </w:pPr>
    </w:p>
    <w:p w14:paraId="34C72A28" w14:textId="77777777" w:rsidR="00AE2255" w:rsidRDefault="00000000">
      <w:pPr>
        <w:pStyle w:val="Heading3"/>
      </w:pPr>
      <w:r>
        <w:t>Workforce</w:t>
      </w:r>
      <w:r>
        <w:rPr>
          <w:spacing w:val="-5"/>
        </w:rPr>
        <w:t xml:space="preserve"> </w:t>
      </w:r>
      <w:r>
        <w:rPr>
          <w:spacing w:val="-2"/>
        </w:rPr>
        <w:t>Demographics</w:t>
      </w:r>
    </w:p>
    <w:p w14:paraId="57A92037" w14:textId="77777777" w:rsidR="00AE2255" w:rsidRDefault="00AE2255">
      <w:pPr>
        <w:pStyle w:val="BodyText"/>
        <w:spacing w:before="6"/>
        <w:rPr>
          <w:b/>
          <w:i/>
          <w:sz w:val="18"/>
        </w:rPr>
      </w:pPr>
    </w:p>
    <w:p w14:paraId="0E45C19A" w14:textId="77777777" w:rsidR="00AE2255" w:rsidRDefault="00000000">
      <w:pPr>
        <w:pStyle w:val="BodyText"/>
        <w:spacing w:line="249" w:lineRule="auto"/>
        <w:ind w:left="610" w:right="429" w:firstLine="360"/>
        <w:jc w:val="both"/>
      </w:pPr>
      <w:r>
        <w:t xml:space="preserve">As of December 31, 2022, we had a highly skilled workforce made up of approximately 116,000 employees, including approximately 60,000 engineers, </w:t>
      </w:r>
      <w:proofErr w:type="gramStart"/>
      <w:r>
        <w:t>scientists</w:t>
      </w:r>
      <w:proofErr w:type="gramEnd"/>
      <w:r>
        <w:t xml:space="preserve"> and information technology professionals. As of December 31, 2022, approximately 93% of our workforce </w:t>
      </w:r>
      <w:proofErr w:type="gramStart"/>
      <w:r>
        <w:t>was located in</w:t>
      </w:r>
      <w:proofErr w:type="gramEnd"/>
      <w:r>
        <w:t xml:space="preserve"> the U.S. and approximately 19% of our employees were covered by collective bargaining agreements with various unions. </w:t>
      </w:r>
      <w:proofErr w:type="gramStart"/>
      <w:r>
        <w:t>A number of</w:t>
      </w:r>
      <w:proofErr w:type="gramEnd"/>
      <w:r>
        <w:t xml:space="preserve"> our existing collective bargaining agreements expire in any given year. Historically, we have been successful in negotiating renewals to expiring agreements without any material disruption of operating activities, and management considers employee and union relations to be good.</w:t>
      </w:r>
    </w:p>
    <w:p w14:paraId="2520E40C" w14:textId="77777777" w:rsidR="00AE2255" w:rsidRDefault="00AE2255">
      <w:pPr>
        <w:pStyle w:val="BodyText"/>
        <w:spacing w:before="6"/>
        <w:rPr>
          <w:sz w:val="17"/>
        </w:rPr>
      </w:pPr>
    </w:p>
    <w:p w14:paraId="79D9758D" w14:textId="77777777" w:rsidR="00AE2255" w:rsidRDefault="00000000">
      <w:pPr>
        <w:pStyle w:val="Heading3"/>
      </w:pPr>
      <w:r>
        <w:t>Diversity</w:t>
      </w:r>
      <w:r>
        <w:rPr>
          <w:spacing w:val="-6"/>
        </w:rPr>
        <w:t xml:space="preserve"> </w:t>
      </w:r>
      <w:r>
        <w:t>and</w:t>
      </w:r>
      <w:r>
        <w:rPr>
          <w:spacing w:val="-4"/>
        </w:rPr>
        <w:t xml:space="preserve"> </w:t>
      </w:r>
      <w:r>
        <w:rPr>
          <w:spacing w:val="-2"/>
        </w:rPr>
        <w:t>Inclusion</w:t>
      </w:r>
    </w:p>
    <w:p w14:paraId="267F9038" w14:textId="77777777" w:rsidR="00AE2255" w:rsidRDefault="00AE2255">
      <w:pPr>
        <w:pStyle w:val="BodyText"/>
        <w:spacing w:before="6"/>
        <w:rPr>
          <w:b/>
          <w:i/>
          <w:sz w:val="18"/>
        </w:rPr>
      </w:pPr>
    </w:p>
    <w:p w14:paraId="06CC80B3" w14:textId="77777777" w:rsidR="00AE2255" w:rsidRDefault="00000000">
      <w:pPr>
        <w:pStyle w:val="BodyText"/>
        <w:spacing w:line="249" w:lineRule="auto"/>
        <w:ind w:left="610" w:right="429" w:firstLine="360"/>
        <w:jc w:val="both"/>
      </w:pPr>
      <w:r>
        <w:t xml:space="preserve">Diversity and inclusion </w:t>
      </w:r>
      <w:proofErr w:type="gramStart"/>
      <w:r>
        <w:t>is</w:t>
      </w:r>
      <w:proofErr w:type="gramEnd"/>
      <w:r>
        <w:t xml:space="preserve"> a business imperative for us, as we believe that it is key to our future success. We have focused our diversity and inclusion initiatives on employee recruitment, including investments in minority-serving institutions and outreach, employee training and development, such as efforts focused on expanding the diverse talent pipeline, and employee engagement, including through participation in our employee Business Resource Groups. Our Business Resource Groups are voluntary, employee-led groups that are open to all employees while focusing on workplace issues specific to racial/ethnic, gender, sexual orientation/gender identity, </w:t>
      </w:r>
      <w:proofErr w:type="gramStart"/>
      <w:r>
        <w:t>disability</w:t>
      </w:r>
      <w:proofErr w:type="gramEnd"/>
      <w:r>
        <w:t xml:space="preserve"> or veteran status. The Business Resource Groups foster a diverse and inclusive workplace aligned with our organizational mission, values, goals and business practices and drive awareness and change within our organization. Through these and other focused efforts, we have improved the diversity of our overall U.S. workforce and within leadership positions, specifically in the representation of women, people of color and people with disabilities. Additionally, our representation of veterans remains outstanding, at almost four times the current annual national percentage of veterans in the civilian workforce.</w:t>
      </w:r>
    </w:p>
    <w:p w14:paraId="6E720A06" w14:textId="77777777" w:rsidR="00AE2255" w:rsidRDefault="00AE2255">
      <w:pPr>
        <w:pStyle w:val="BodyText"/>
        <w:spacing w:before="2"/>
        <w:rPr>
          <w:sz w:val="18"/>
        </w:rPr>
      </w:pPr>
    </w:p>
    <w:p w14:paraId="27F76E75" w14:textId="77777777" w:rsidR="00AE2255" w:rsidRDefault="00000000">
      <w:pPr>
        <w:pStyle w:val="BodyText"/>
        <w:ind w:left="610"/>
      </w:pPr>
      <w:r>
        <w:t>Employee</w:t>
      </w:r>
      <w:r>
        <w:rPr>
          <w:spacing w:val="-4"/>
        </w:rPr>
        <w:t xml:space="preserve"> </w:t>
      </w:r>
      <w:r>
        <w:t>Profile</w:t>
      </w:r>
      <w:r>
        <w:rPr>
          <w:spacing w:val="-3"/>
        </w:rPr>
        <w:t xml:space="preserve"> </w:t>
      </w:r>
      <w:r>
        <w:t>(as</w:t>
      </w:r>
      <w:r>
        <w:rPr>
          <w:spacing w:val="-3"/>
        </w:rPr>
        <w:t xml:space="preserve"> </w:t>
      </w:r>
      <w:r>
        <w:t>of</w:t>
      </w:r>
      <w:r>
        <w:rPr>
          <w:spacing w:val="-3"/>
        </w:rPr>
        <w:t xml:space="preserve"> </w:t>
      </w:r>
      <w:r>
        <w:t>December</w:t>
      </w:r>
      <w:r>
        <w:rPr>
          <w:spacing w:val="-2"/>
        </w:rPr>
        <w:t xml:space="preserve"> </w:t>
      </w:r>
      <w:r>
        <w:t>31,</w:t>
      </w:r>
      <w:r>
        <w:rPr>
          <w:spacing w:val="-2"/>
        </w:rPr>
        <w:t xml:space="preserve"> 2022):</w:t>
      </w:r>
    </w:p>
    <w:p w14:paraId="5A555618" w14:textId="77777777" w:rsidR="00AE2255" w:rsidRDefault="00AE2255">
      <w:pPr>
        <w:pStyle w:val="BodyText"/>
        <w:spacing w:before="3"/>
        <w:rPr>
          <w:sz w:val="8"/>
        </w:rPr>
      </w:pPr>
    </w:p>
    <w:tbl>
      <w:tblPr>
        <w:tblW w:w="0" w:type="auto"/>
        <w:tblInd w:w="617" w:type="dxa"/>
        <w:tblLayout w:type="fixed"/>
        <w:tblCellMar>
          <w:left w:w="0" w:type="dxa"/>
          <w:right w:w="0" w:type="dxa"/>
        </w:tblCellMar>
        <w:tblLook w:val="01E0" w:firstRow="1" w:lastRow="1" w:firstColumn="1" w:lastColumn="1" w:noHBand="0" w:noVBand="0"/>
      </w:tblPr>
      <w:tblGrid>
        <w:gridCol w:w="1787"/>
        <w:gridCol w:w="1957"/>
        <w:gridCol w:w="2327"/>
        <w:gridCol w:w="1923"/>
        <w:gridCol w:w="2264"/>
      </w:tblGrid>
      <w:tr w:rsidR="00AE2255" w14:paraId="4BC677FD" w14:textId="77777777">
        <w:trPr>
          <w:trHeight w:val="267"/>
        </w:trPr>
        <w:tc>
          <w:tcPr>
            <w:tcW w:w="1787" w:type="dxa"/>
            <w:tcBorders>
              <w:bottom w:val="single" w:sz="8" w:space="0" w:color="000000"/>
            </w:tcBorders>
          </w:tcPr>
          <w:p w14:paraId="16D4BD86" w14:textId="77777777" w:rsidR="00AE2255" w:rsidRDefault="00AE2255">
            <w:pPr>
              <w:pStyle w:val="TableParagraph"/>
              <w:spacing w:before="0"/>
              <w:jc w:val="left"/>
              <w:rPr>
                <w:sz w:val="18"/>
              </w:rPr>
            </w:pPr>
          </w:p>
        </w:tc>
        <w:tc>
          <w:tcPr>
            <w:tcW w:w="1957" w:type="dxa"/>
            <w:tcBorders>
              <w:bottom w:val="single" w:sz="8" w:space="0" w:color="000000"/>
            </w:tcBorders>
          </w:tcPr>
          <w:p w14:paraId="7A77793F" w14:textId="77777777" w:rsidR="00AE2255" w:rsidRDefault="00000000">
            <w:pPr>
              <w:pStyle w:val="TableParagraph"/>
              <w:spacing w:before="18" w:line="230" w:lineRule="exact"/>
              <w:ind w:left="694" w:right="420"/>
              <w:jc w:val="center"/>
              <w:rPr>
                <w:b/>
                <w:sz w:val="20"/>
              </w:rPr>
            </w:pPr>
            <w:r>
              <w:rPr>
                <w:b/>
                <w:spacing w:val="-2"/>
                <w:sz w:val="20"/>
              </w:rPr>
              <w:t>Women</w:t>
            </w:r>
            <w:r>
              <w:rPr>
                <w:b/>
                <w:spacing w:val="-2"/>
                <w:sz w:val="20"/>
                <w:vertAlign w:val="superscript"/>
              </w:rPr>
              <w:t>(a)</w:t>
            </w:r>
          </w:p>
        </w:tc>
        <w:tc>
          <w:tcPr>
            <w:tcW w:w="2327" w:type="dxa"/>
            <w:tcBorders>
              <w:bottom w:val="single" w:sz="8" w:space="0" w:color="000000"/>
            </w:tcBorders>
          </w:tcPr>
          <w:p w14:paraId="54734F3C" w14:textId="77777777" w:rsidR="00AE2255" w:rsidRDefault="00000000">
            <w:pPr>
              <w:pStyle w:val="TableParagraph"/>
              <w:spacing w:before="18" w:line="230" w:lineRule="exact"/>
              <w:ind w:left="422" w:right="412"/>
              <w:jc w:val="center"/>
              <w:rPr>
                <w:b/>
                <w:sz w:val="20"/>
              </w:rPr>
            </w:pPr>
            <w:r>
              <w:rPr>
                <w:b/>
                <w:sz w:val="20"/>
              </w:rPr>
              <w:t>People</w:t>
            </w:r>
            <w:r>
              <w:rPr>
                <w:b/>
                <w:spacing w:val="-3"/>
                <w:sz w:val="20"/>
              </w:rPr>
              <w:t xml:space="preserve"> </w:t>
            </w:r>
            <w:r>
              <w:rPr>
                <w:b/>
                <w:sz w:val="20"/>
              </w:rPr>
              <w:t>of</w:t>
            </w:r>
            <w:r>
              <w:rPr>
                <w:b/>
                <w:spacing w:val="-2"/>
                <w:sz w:val="20"/>
              </w:rPr>
              <w:t xml:space="preserve"> Color</w:t>
            </w:r>
            <w:r>
              <w:rPr>
                <w:b/>
                <w:spacing w:val="-2"/>
                <w:sz w:val="20"/>
                <w:vertAlign w:val="superscript"/>
              </w:rPr>
              <w:t>(a)</w:t>
            </w:r>
          </w:p>
        </w:tc>
        <w:tc>
          <w:tcPr>
            <w:tcW w:w="1923" w:type="dxa"/>
            <w:tcBorders>
              <w:bottom w:val="single" w:sz="8" w:space="0" w:color="000000"/>
            </w:tcBorders>
          </w:tcPr>
          <w:p w14:paraId="66B3999F" w14:textId="77777777" w:rsidR="00AE2255" w:rsidRDefault="00000000">
            <w:pPr>
              <w:pStyle w:val="TableParagraph"/>
              <w:spacing w:before="18" w:line="230" w:lineRule="exact"/>
              <w:ind w:left="414" w:right="572"/>
              <w:jc w:val="center"/>
              <w:rPr>
                <w:b/>
                <w:sz w:val="20"/>
              </w:rPr>
            </w:pPr>
            <w:r>
              <w:rPr>
                <w:b/>
                <w:spacing w:val="-2"/>
                <w:sz w:val="20"/>
              </w:rPr>
              <w:t>Veterans</w:t>
            </w:r>
            <w:r>
              <w:rPr>
                <w:b/>
                <w:spacing w:val="-2"/>
                <w:sz w:val="20"/>
                <w:vertAlign w:val="superscript"/>
              </w:rPr>
              <w:t>(a)</w:t>
            </w:r>
          </w:p>
        </w:tc>
        <w:tc>
          <w:tcPr>
            <w:tcW w:w="2264" w:type="dxa"/>
            <w:tcBorders>
              <w:bottom w:val="single" w:sz="8" w:space="0" w:color="000000"/>
            </w:tcBorders>
          </w:tcPr>
          <w:p w14:paraId="13194706" w14:textId="77777777" w:rsidR="00AE2255" w:rsidRDefault="00000000">
            <w:pPr>
              <w:pStyle w:val="TableParagraph"/>
              <w:spacing w:before="18" w:line="230" w:lineRule="exact"/>
              <w:ind w:left="62" w:right="59"/>
              <w:jc w:val="center"/>
              <w:rPr>
                <w:b/>
                <w:sz w:val="20"/>
              </w:rPr>
            </w:pPr>
            <w:r>
              <w:rPr>
                <w:b/>
                <w:sz w:val="20"/>
              </w:rPr>
              <w:t>People</w:t>
            </w:r>
            <w:r>
              <w:rPr>
                <w:b/>
                <w:spacing w:val="-4"/>
                <w:sz w:val="20"/>
              </w:rPr>
              <w:t xml:space="preserve"> </w:t>
            </w:r>
            <w:r>
              <w:rPr>
                <w:b/>
                <w:sz w:val="20"/>
              </w:rPr>
              <w:t>with</w:t>
            </w:r>
            <w:r>
              <w:rPr>
                <w:b/>
                <w:spacing w:val="-4"/>
                <w:sz w:val="20"/>
              </w:rPr>
              <w:t xml:space="preserve"> </w:t>
            </w:r>
            <w:r>
              <w:rPr>
                <w:b/>
                <w:spacing w:val="-2"/>
                <w:sz w:val="20"/>
              </w:rPr>
              <w:t>Disabilities</w:t>
            </w:r>
            <w:r>
              <w:rPr>
                <w:b/>
                <w:spacing w:val="-2"/>
                <w:sz w:val="20"/>
                <w:vertAlign w:val="superscript"/>
              </w:rPr>
              <w:t>(a)</w:t>
            </w:r>
          </w:p>
        </w:tc>
      </w:tr>
      <w:tr w:rsidR="00AE2255" w14:paraId="7A2FE45F" w14:textId="77777777">
        <w:trPr>
          <w:trHeight w:val="305"/>
        </w:trPr>
        <w:tc>
          <w:tcPr>
            <w:tcW w:w="1787" w:type="dxa"/>
            <w:tcBorders>
              <w:top w:val="single" w:sz="8" w:space="0" w:color="000000"/>
            </w:tcBorders>
            <w:shd w:val="clear" w:color="auto" w:fill="CCEDFF"/>
          </w:tcPr>
          <w:p w14:paraId="17F5F157" w14:textId="77777777" w:rsidR="00AE2255" w:rsidRDefault="00000000">
            <w:pPr>
              <w:pStyle w:val="TableParagraph"/>
              <w:spacing w:before="45"/>
              <w:ind w:left="52"/>
              <w:jc w:val="left"/>
              <w:rPr>
                <w:sz w:val="20"/>
              </w:rPr>
            </w:pPr>
            <w:r>
              <w:rPr>
                <w:spacing w:val="-2"/>
                <w:sz w:val="20"/>
              </w:rPr>
              <w:t>Overall</w:t>
            </w:r>
          </w:p>
        </w:tc>
        <w:tc>
          <w:tcPr>
            <w:tcW w:w="1957" w:type="dxa"/>
            <w:tcBorders>
              <w:top w:val="single" w:sz="8" w:space="0" w:color="000000"/>
            </w:tcBorders>
            <w:shd w:val="clear" w:color="auto" w:fill="CCEDFF"/>
          </w:tcPr>
          <w:p w14:paraId="51385492" w14:textId="77777777" w:rsidR="00AE2255" w:rsidRDefault="00000000">
            <w:pPr>
              <w:pStyle w:val="TableParagraph"/>
              <w:spacing w:before="45"/>
              <w:ind w:left="694" w:right="383"/>
              <w:jc w:val="center"/>
              <w:rPr>
                <w:sz w:val="20"/>
              </w:rPr>
            </w:pPr>
            <w:r>
              <w:rPr>
                <w:spacing w:val="-5"/>
                <w:sz w:val="20"/>
              </w:rPr>
              <w:t>23%</w:t>
            </w:r>
          </w:p>
        </w:tc>
        <w:tc>
          <w:tcPr>
            <w:tcW w:w="2327" w:type="dxa"/>
            <w:tcBorders>
              <w:top w:val="single" w:sz="8" w:space="0" w:color="000000"/>
            </w:tcBorders>
            <w:shd w:val="clear" w:color="auto" w:fill="CCEDFF"/>
          </w:tcPr>
          <w:p w14:paraId="79114731" w14:textId="77777777" w:rsidR="00AE2255" w:rsidRDefault="00000000">
            <w:pPr>
              <w:pStyle w:val="TableParagraph"/>
              <w:spacing w:before="45"/>
              <w:ind w:left="422" w:right="375"/>
              <w:jc w:val="center"/>
              <w:rPr>
                <w:sz w:val="20"/>
              </w:rPr>
            </w:pPr>
            <w:r>
              <w:rPr>
                <w:spacing w:val="-5"/>
                <w:sz w:val="20"/>
              </w:rPr>
              <w:t>30%</w:t>
            </w:r>
          </w:p>
        </w:tc>
        <w:tc>
          <w:tcPr>
            <w:tcW w:w="1923" w:type="dxa"/>
            <w:tcBorders>
              <w:top w:val="single" w:sz="8" w:space="0" w:color="000000"/>
              <w:right w:val="single" w:sz="2" w:space="0" w:color="CCEDFF"/>
            </w:tcBorders>
            <w:shd w:val="clear" w:color="auto" w:fill="CCEDFF"/>
          </w:tcPr>
          <w:p w14:paraId="26E5210F" w14:textId="77777777" w:rsidR="00AE2255" w:rsidRDefault="00000000">
            <w:pPr>
              <w:pStyle w:val="TableParagraph"/>
              <w:spacing w:before="45"/>
              <w:ind w:left="705" w:right="822"/>
              <w:jc w:val="center"/>
              <w:rPr>
                <w:sz w:val="20"/>
              </w:rPr>
            </w:pPr>
            <w:r>
              <w:rPr>
                <w:spacing w:val="-5"/>
                <w:sz w:val="20"/>
              </w:rPr>
              <w:t>21%</w:t>
            </w:r>
          </w:p>
        </w:tc>
        <w:tc>
          <w:tcPr>
            <w:tcW w:w="2264" w:type="dxa"/>
            <w:tcBorders>
              <w:top w:val="single" w:sz="8" w:space="0" w:color="000000"/>
              <w:left w:val="single" w:sz="2" w:space="0" w:color="CCEDFF"/>
              <w:right w:val="single" w:sz="2" w:space="0" w:color="CCEDFF"/>
            </w:tcBorders>
            <w:shd w:val="clear" w:color="auto" w:fill="CCEDFF"/>
          </w:tcPr>
          <w:p w14:paraId="3F31F279" w14:textId="77777777" w:rsidR="00AE2255" w:rsidRDefault="00000000">
            <w:pPr>
              <w:pStyle w:val="TableParagraph"/>
              <w:spacing w:before="45"/>
              <w:ind w:left="953" w:right="913"/>
              <w:jc w:val="center"/>
              <w:rPr>
                <w:sz w:val="20"/>
              </w:rPr>
            </w:pPr>
            <w:r>
              <w:rPr>
                <w:spacing w:val="-5"/>
                <w:sz w:val="20"/>
              </w:rPr>
              <w:t>11%</w:t>
            </w:r>
          </w:p>
        </w:tc>
      </w:tr>
      <w:tr w:rsidR="00AE2255" w14:paraId="5C48CD9A" w14:textId="77777777">
        <w:trPr>
          <w:trHeight w:val="292"/>
        </w:trPr>
        <w:tc>
          <w:tcPr>
            <w:tcW w:w="1787" w:type="dxa"/>
            <w:tcBorders>
              <w:bottom w:val="single" w:sz="18" w:space="0" w:color="000000"/>
            </w:tcBorders>
          </w:tcPr>
          <w:p w14:paraId="1A58F73E" w14:textId="77777777" w:rsidR="00AE2255" w:rsidRDefault="00000000">
            <w:pPr>
              <w:pStyle w:val="TableParagraph"/>
              <w:spacing w:before="55" w:line="217" w:lineRule="exact"/>
              <w:ind w:left="52"/>
              <w:jc w:val="left"/>
              <w:rPr>
                <w:sz w:val="20"/>
              </w:rPr>
            </w:pPr>
            <w:r>
              <w:rPr>
                <w:spacing w:val="-2"/>
                <w:sz w:val="20"/>
              </w:rPr>
              <w:t>Executives</w:t>
            </w:r>
            <w:r>
              <w:rPr>
                <w:spacing w:val="-2"/>
                <w:sz w:val="20"/>
                <w:vertAlign w:val="superscript"/>
              </w:rPr>
              <w:t>(b)</w:t>
            </w:r>
          </w:p>
        </w:tc>
        <w:tc>
          <w:tcPr>
            <w:tcW w:w="1957" w:type="dxa"/>
            <w:tcBorders>
              <w:bottom w:val="single" w:sz="18" w:space="0" w:color="000000"/>
            </w:tcBorders>
          </w:tcPr>
          <w:p w14:paraId="6211BA32" w14:textId="77777777" w:rsidR="00AE2255" w:rsidRDefault="00000000">
            <w:pPr>
              <w:pStyle w:val="TableParagraph"/>
              <w:spacing w:before="55" w:line="217" w:lineRule="exact"/>
              <w:ind w:left="694" w:right="383"/>
              <w:jc w:val="center"/>
              <w:rPr>
                <w:sz w:val="20"/>
              </w:rPr>
            </w:pPr>
            <w:r>
              <w:rPr>
                <w:spacing w:val="-5"/>
                <w:sz w:val="20"/>
              </w:rPr>
              <w:t>25%</w:t>
            </w:r>
          </w:p>
        </w:tc>
        <w:tc>
          <w:tcPr>
            <w:tcW w:w="2327" w:type="dxa"/>
            <w:tcBorders>
              <w:bottom w:val="single" w:sz="18" w:space="0" w:color="000000"/>
            </w:tcBorders>
          </w:tcPr>
          <w:p w14:paraId="5D21049A" w14:textId="77777777" w:rsidR="00AE2255" w:rsidRDefault="00000000">
            <w:pPr>
              <w:pStyle w:val="TableParagraph"/>
              <w:spacing w:before="55" w:line="217" w:lineRule="exact"/>
              <w:ind w:left="422" w:right="375"/>
              <w:jc w:val="center"/>
              <w:rPr>
                <w:sz w:val="20"/>
              </w:rPr>
            </w:pPr>
            <w:r>
              <w:rPr>
                <w:spacing w:val="-5"/>
                <w:sz w:val="20"/>
              </w:rPr>
              <w:t>16%</w:t>
            </w:r>
          </w:p>
        </w:tc>
        <w:tc>
          <w:tcPr>
            <w:tcW w:w="1923" w:type="dxa"/>
            <w:tcBorders>
              <w:bottom w:val="single" w:sz="18" w:space="0" w:color="000000"/>
            </w:tcBorders>
          </w:tcPr>
          <w:p w14:paraId="56BA6C20" w14:textId="77777777" w:rsidR="00AE2255" w:rsidRDefault="00000000">
            <w:pPr>
              <w:pStyle w:val="TableParagraph"/>
              <w:spacing w:before="55" w:line="217" w:lineRule="exact"/>
              <w:ind w:left="414" w:right="534"/>
              <w:jc w:val="center"/>
              <w:rPr>
                <w:sz w:val="20"/>
              </w:rPr>
            </w:pPr>
            <w:r>
              <w:rPr>
                <w:spacing w:val="-5"/>
                <w:sz w:val="20"/>
              </w:rPr>
              <w:t>21%</w:t>
            </w:r>
          </w:p>
        </w:tc>
        <w:tc>
          <w:tcPr>
            <w:tcW w:w="2264" w:type="dxa"/>
            <w:tcBorders>
              <w:bottom w:val="single" w:sz="18" w:space="0" w:color="000000"/>
            </w:tcBorders>
          </w:tcPr>
          <w:p w14:paraId="48D2DBD8" w14:textId="77777777" w:rsidR="00AE2255" w:rsidRDefault="00000000">
            <w:pPr>
              <w:pStyle w:val="TableParagraph"/>
              <w:spacing w:before="55" w:line="217" w:lineRule="exact"/>
              <w:ind w:left="62" w:right="22"/>
              <w:jc w:val="center"/>
              <w:rPr>
                <w:sz w:val="20"/>
              </w:rPr>
            </w:pPr>
            <w:r>
              <w:rPr>
                <w:spacing w:val="-5"/>
                <w:sz w:val="20"/>
              </w:rPr>
              <w:t>11%</w:t>
            </w:r>
          </w:p>
        </w:tc>
      </w:tr>
    </w:tbl>
    <w:p w14:paraId="70046881" w14:textId="77777777" w:rsidR="00AE2255" w:rsidRDefault="00AE2255">
      <w:pPr>
        <w:pStyle w:val="BodyText"/>
        <w:spacing w:before="6"/>
      </w:pPr>
    </w:p>
    <w:p w14:paraId="742A1BB7" w14:textId="77777777" w:rsidR="00AE2255" w:rsidRDefault="00000000">
      <w:pPr>
        <w:tabs>
          <w:tab w:val="left" w:pos="969"/>
        </w:tabs>
        <w:spacing w:line="249" w:lineRule="auto"/>
        <w:ind w:left="970" w:right="430" w:hanging="360"/>
        <w:rPr>
          <w:sz w:val="18"/>
        </w:rPr>
      </w:pPr>
      <w:r>
        <w:rPr>
          <w:spacing w:val="-4"/>
          <w:sz w:val="18"/>
          <w:vertAlign w:val="superscript"/>
        </w:rPr>
        <w:t>(a)</w:t>
      </w:r>
      <w:r>
        <w:rPr>
          <w:sz w:val="18"/>
        </w:rPr>
        <w:tab/>
        <w:t>Based</w:t>
      </w:r>
      <w:r>
        <w:rPr>
          <w:spacing w:val="28"/>
          <w:sz w:val="18"/>
        </w:rPr>
        <w:t xml:space="preserve"> </w:t>
      </w:r>
      <w:r>
        <w:rPr>
          <w:sz w:val="18"/>
        </w:rPr>
        <w:t>on</w:t>
      </w:r>
      <w:r>
        <w:rPr>
          <w:spacing w:val="28"/>
          <w:sz w:val="18"/>
        </w:rPr>
        <w:t xml:space="preserve"> </w:t>
      </w:r>
      <w:r>
        <w:rPr>
          <w:sz w:val="18"/>
        </w:rPr>
        <w:t>employees</w:t>
      </w:r>
      <w:r>
        <w:rPr>
          <w:spacing w:val="28"/>
          <w:sz w:val="18"/>
        </w:rPr>
        <w:t xml:space="preserve"> </w:t>
      </w:r>
      <w:r>
        <w:rPr>
          <w:sz w:val="18"/>
        </w:rPr>
        <w:t>who</w:t>
      </w:r>
      <w:r>
        <w:rPr>
          <w:spacing w:val="28"/>
          <w:sz w:val="18"/>
        </w:rPr>
        <w:t xml:space="preserve"> </w:t>
      </w:r>
      <w:r>
        <w:rPr>
          <w:sz w:val="18"/>
        </w:rPr>
        <w:t>self-identify.</w:t>
      </w:r>
      <w:r>
        <w:rPr>
          <w:spacing w:val="28"/>
          <w:sz w:val="18"/>
        </w:rPr>
        <w:t xml:space="preserve"> </w:t>
      </w:r>
      <w:r>
        <w:rPr>
          <w:sz w:val="18"/>
        </w:rPr>
        <w:t>Includes</w:t>
      </w:r>
      <w:r>
        <w:rPr>
          <w:spacing w:val="28"/>
          <w:sz w:val="18"/>
        </w:rPr>
        <w:t xml:space="preserve"> </w:t>
      </w:r>
      <w:r>
        <w:rPr>
          <w:sz w:val="18"/>
        </w:rPr>
        <w:t>only</w:t>
      </w:r>
      <w:r>
        <w:rPr>
          <w:spacing w:val="28"/>
          <w:sz w:val="18"/>
        </w:rPr>
        <w:t xml:space="preserve"> </w:t>
      </w:r>
      <w:r>
        <w:rPr>
          <w:sz w:val="18"/>
        </w:rPr>
        <w:t>U.S.</w:t>
      </w:r>
      <w:r>
        <w:rPr>
          <w:spacing w:val="28"/>
          <w:sz w:val="18"/>
        </w:rPr>
        <w:t xml:space="preserve"> </w:t>
      </w:r>
      <w:r>
        <w:rPr>
          <w:sz w:val="18"/>
        </w:rPr>
        <w:t>employees</w:t>
      </w:r>
      <w:r>
        <w:rPr>
          <w:spacing w:val="28"/>
          <w:sz w:val="18"/>
        </w:rPr>
        <w:t xml:space="preserve"> </w:t>
      </w:r>
      <w:r>
        <w:rPr>
          <w:sz w:val="18"/>
        </w:rPr>
        <w:t>and</w:t>
      </w:r>
      <w:r>
        <w:rPr>
          <w:spacing w:val="28"/>
          <w:sz w:val="18"/>
        </w:rPr>
        <w:t xml:space="preserve"> </w:t>
      </w:r>
      <w:r>
        <w:rPr>
          <w:sz w:val="18"/>
        </w:rPr>
        <w:t>expatriates</w:t>
      </w:r>
      <w:r>
        <w:rPr>
          <w:spacing w:val="24"/>
          <w:sz w:val="18"/>
        </w:rPr>
        <w:t xml:space="preserve"> </w:t>
      </w:r>
      <w:r>
        <w:rPr>
          <w:sz w:val="18"/>
        </w:rPr>
        <w:t>except</w:t>
      </w:r>
      <w:r>
        <w:rPr>
          <w:spacing w:val="28"/>
          <w:sz w:val="18"/>
        </w:rPr>
        <w:t xml:space="preserve"> </w:t>
      </w:r>
      <w:r>
        <w:rPr>
          <w:sz w:val="18"/>
        </w:rPr>
        <w:t>for</w:t>
      </w:r>
      <w:r>
        <w:rPr>
          <w:spacing w:val="27"/>
          <w:sz w:val="18"/>
        </w:rPr>
        <w:t xml:space="preserve"> </w:t>
      </w:r>
      <w:r>
        <w:rPr>
          <w:sz w:val="18"/>
        </w:rPr>
        <w:t>women,</w:t>
      </w:r>
      <w:r>
        <w:rPr>
          <w:spacing w:val="28"/>
          <w:sz w:val="18"/>
        </w:rPr>
        <w:t xml:space="preserve"> </w:t>
      </w:r>
      <w:r>
        <w:rPr>
          <w:sz w:val="18"/>
        </w:rPr>
        <w:t>which</w:t>
      </w:r>
      <w:r>
        <w:rPr>
          <w:spacing w:val="28"/>
          <w:sz w:val="18"/>
        </w:rPr>
        <w:t xml:space="preserve"> </w:t>
      </w:r>
      <w:r>
        <w:rPr>
          <w:sz w:val="18"/>
        </w:rPr>
        <w:t>also</w:t>
      </w:r>
      <w:r>
        <w:rPr>
          <w:spacing w:val="28"/>
          <w:sz w:val="18"/>
        </w:rPr>
        <w:t xml:space="preserve"> </w:t>
      </w:r>
      <w:r>
        <w:rPr>
          <w:sz w:val="18"/>
        </w:rPr>
        <w:t>includes</w:t>
      </w:r>
      <w:r>
        <w:rPr>
          <w:spacing w:val="28"/>
          <w:sz w:val="18"/>
        </w:rPr>
        <w:t xml:space="preserve"> </w:t>
      </w:r>
      <w:r>
        <w:rPr>
          <w:sz w:val="18"/>
        </w:rPr>
        <w:t>local country nationals. Excludes casual workers, interns/co-ops and employees of certain subsidiaries and joint ventures.</w:t>
      </w:r>
    </w:p>
    <w:p w14:paraId="0E762941" w14:textId="77777777" w:rsidR="00AE2255" w:rsidRDefault="00000000">
      <w:pPr>
        <w:tabs>
          <w:tab w:val="left" w:pos="969"/>
        </w:tabs>
        <w:spacing w:before="82"/>
        <w:ind w:left="610"/>
        <w:rPr>
          <w:sz w:val="18"/>
        </w:rPr>
      </w:pPr>
      <w:r>
        <w:rPr>
          <w:spacing w:val="-5"/>
          <w:sz w:val="12"/>
        </w:rPr>
        <w:t>(b)</w:t>
      </w:r>
      <w:r>
        <w:rPr>
          <w:sz w:val="12"/>
        </w:rPr>
        <w:tab/>
      </w:r>
      <w:r>
        <w:rPr>
          <w:sz w:val="18"/>
        </w:rPr>
        <w:t>Executive</w:t>
      </w:r>
      <w:r>
        <w:rPr>
          <w:spacing w:val="-1"/>
          <w:sz w:val="18"/>
        </w:rPr>
        <w:t xml:space="preserve"> </w:t>
      </w:r>
      <w:r>
        <w:rPr>
          <w:sz w:val="18"/>
        </w:rPr>
        <w:t>is</w:t>
      </w:r>
      <w:r>
        <w:rPr>
          <w:spacing w:val="-1"/>
          <w:sz w:val="18"/>
        </w:rPr>
        <w:t xml:space="preserve"> </w:t>
      </w:r>
      <w:r>
        <w:rPr>
          <w:sz w:val="18"/>
        </w:rPr>
        <w:t>defined as</w:t>
      </w:r>
      <w:r>
        <w:rPr>
          <w:spacing w:val="-1"/>
          <w:sz w:val="18"/>
        </w:rPr>
        <w:t xml:space="preserve"> </w:t>
      </w:r>
      <w:r>
        <w:rPr>
          <w:sz w:val="18"/>
        </w:rPr>
        <w:t>director-level (one level below</w:t>
      </w:r>
      <w:r>
        <w:rPr>
          <w:spacing w:val="-1"/>
          <w:sz w:val="18"/>
        </w:rPr>
        <w:t xml:space="preserve"> </w:t>
      </w:r>
      <w:r>
        <w:rPr>
          <w:sz w:val="18"/>
        </w:rPr>
        <w:t xml:space="preserve">vice president) or </w:t>
      </w:r>
      <w:r>
        <w:rPr>
          <w:spacing w:val="-2"/>
          <w:sz w:val="18"/>
        </w:rPr>
        <w:t>higher.</w:t>
      </w:r>
    </w:p>
    <w:p w14:paraId="66195A22" w14:textId="77777777" w:rsidR="00AE2255" w:rsidRDefault="00AE2255">
      <w:pPr>
        <w:rPr>
          <w:sz w:val="18"/>
        </w:rPr>
        <w:sectPr w:rsidR="00AE2255">
          <w:pgSz w:w="12240" w:h="15840"/>
          <w:pgMar w:top="440" w:right="560" w:bottom="720" w:left="380" w:header="230" w:footer="531" w:gutter="0"/>
          <w:cols w:space="720"/>
        </w:sectPr>
      </w:pPr>
    </w:p>
    <w:p w14:paraId="75A3BB0A" w14:textId="77777777" w:rsidR="00AE2255" w:rsidRDefault="00AE2255">
      <w:pPr>
        <w:pStyle w:val="BodyText"/>
        <w:spacing w:before="7"/>
        <w:rPr>
          <w:sz w:val="22"/>
        </w:rPr>
      </w:pPr>
    </w:p>
    <w:p w14:paraId="254B7608" w14:textId="77777777" w:rsidR="00AE2255" w:rsidRDefault="00000000">
      <w:pPr>
        <w:pStyle w:val="Heading3"/>
        <w:spacing w:before="92"/>
      </w:pPr>
      <w:r>
        <w:t>Talent</w:t>
      </w:r>
      <w:r>
        <w:rPr>
          <w:spacing w:val="-9"/>
        </w:rPr>
        <w:t xml:space="preserve"> </w:t>
      </w:r>
      <w:r>
        <w:t>Acquisition,</w:t>
      </w:r>
      <w:r>
        <w:rPr>
          <w:spacing w:val="-5"/>
        </w:rPr>
        <w:t xml:space="preserve"> </w:t>
      </w:r>
      <w:r>
        <w:t>Retention</w:t>
      </w:r>
      <w:r>
        <w:rPr>
          <w:spacing w:val="-6"/>
        </w:rPr>
        <w:t xml:space="preserve"> </w:t>
      </w:r>
      <w:r>
        <w:t>and</w:t>
      </w:r>
      <w:r>
        <w:rPr>
          <w:spacing w:val="-5"/>
        </w:rPr>
        <w:t xml:space="preserve"> </w:t>
      </w:r>
      <w:r>
        <w:rPr>
          <w:spacing w:val="-2"/>
        </w:rPr>
        <w:t>Development</w:t>
      </w:r>
    </w:p>
    <w:p w14:paraId="5AFBCD13" w14:textId="77777777" w:rsidR="00AE2255" w:rsidRDefault="00AE2255">
      <w:pPr>
        <w:pStyle w:val="BodyText"/>
        <w:spacing w:before="6"/>
        <w:rPr>
          <w:b/>
          <w:i/>
          <w:sz w:val="18"/>
        </w:rPr>
      </w:pPr>
    </w:p>
    <w:p w14:paraId="08F72646" w14:textId="77777777" w:rsidR="00AE2255" w:rsidRDefault="00000000">
      <w:pPr>
        <w:pStyle w:val="BodyText"/>
        <w:spacing w:line="249" w:lineRule="auto"/>
        <w:ind w:left="610" w:right="429" w:firstLine="360"/>
        <w:jc w:val="both"/>
      </w:pPr>
      <w:r>
        <w:t xml:space="preserve">We strive to hire, </w:t>
      </w:r>
      <w:proofErr w:type="gramStart"/>
      <w:r>
        <w:t>develop</w:t>
      </w:r>
      <w:proofErr w:type="gramEnd"/>
      <w:r>
        <w:t xml:space="preserve"> and retain the top talent in the industry. During 2022, we hired more than 14,000 employees, despite the continuing challenges presented by the COVID-19 pandemic. An integral part of our people strategy is early career hiring</w:t>
      </w:r>
      <w:r>
        <w:rPr>
          <w:spacing w:val="-2"/>
        </w:rPr>
        <w:t xml:space="preserve"> </w:t>
      </w:r>
      <w:r>
        <w:t>through</w:t>
      </w:r>
      <w:r>
        <w:rPr>
          <w:spacing w:val="-2"/>
        </w:rPr>
        <w:t xml:space="preserve"> </w:t>
      </w:r>
      <w:r>
        <w:t>college</w:t>
      </w:r>
      <w:r>
        <w:rPr>
          <w:spacing w:val="-2"/>
        </w:rPr>
        <w:t xml:space="preserve"> </w:t>
      </w:r>
      <w:r>
        <w:t>and</w:t>
      </w:r>
      <w:r>
        <w:rPr>
          <w:spacing w:val="-2"/>
        </w:rPr>
        <w:t xml:space="preserve"> </w:t>
      </w:r>
      <w:r>
        <w:t>intern</w:t>
      </w:r>
      <w:r>
        <w:rPr>
          <w:spacing w:val="-2"/>
        </w:rPr>
        <w:t xml:space="preserve"> </w:t>
      </w:r>
      <w:r>
        <w:t>pipelines,</w:t>
      </w:r>
      <w:r>
        <w:rPr>
          <w:spacing w:val="-2"/>
        </w:rPr>
        <w:t xml:space="preserve"> </w:t>
      </w:r>
      <w:r>
        <w:t>particularly</w:t>
      </w:r>
      <w:r>
        <w:rPr>
          <w:spacing w:val="-2"/>
        </w:rPr>
        <w:t xml:space="preserve"> </w:t>
      </w:r>
      <w:r>
        <w:t>in</w:t>
      </w:r>
      <w:r>
        <w:rPr>
          <w:spacing w:val="-2"/>
        </w:rPr>
        <w:t xml:space="preserve"> </w:t>
      </w:r>
      <w:r>
        <w:t>technical</w:t>
      </w:r>
      <w:r>
        <w:rPr>
          <w:spacing w:val="-2"/>
        </w:rPr>
        <w:t xml:space="preserve"> </w:t>
      </w:r>
      <w:r>
        <w:t>fields.</w:t>
      </w:r>
      <w:r>
        <w:rPr>
          <w:spacing w:val="-2"/>
        </w:rPr>
        <w:t xml:space="preserve"> </w:t>
      </w:r>
      <w:r>
        <w:t>In</w:t>
      </w:r>
      <w:r>
        <w:rPr>
          <w:spacing w:val="-2"/>
        </w:rPr>
        <w:t xml:space="preserve"> </w:t>
      </w:r>
      <w:r>
        <w:t>addition</w:t>
      </w:r>
      <w:r>
        <w:rPr>
          <w:spacing w:val="-2"/>
        </w:rPr>
        <w:t xml:space="preserve"> </w:t>
      </w:r>
      <w:r>
        <w:t>to</w:t>
      </w:r>
      <w:r>
        <w:rPr>
          <w:spacing w:val="-2"/>
        </w:rPr>
        <w:t xml:space="preserve"> </w:t>
      </w:r>
      <w:r>
        <w:t>efforts</w:t>
      </w:r>
      <w:r>
        <w:rPr>
          <w:spacing w:val="-2"/>
        </w:rPr>
        <w:t xml:space="preserve"> </w:t>
      </w:r>
      <w:r>
        <w:t>focused</w:t>
      </w:r>
      <w:r>
        <w:rPr>
          <w:spacing w:val="-2"/>
        </w:rPr>
        <w:t xml:space="preserve"> </w:t>
      </w:r>
      <w:r>
        <w:t>on</w:t>
      </w:r>
      <w:r>
        <w:rPr>
          <w:spacing w:val="-2"/>
        </w:rPr>
        <w:t xml:space="preserve"> </w:t>
      </w:r>
      <w:r>
        <w:t>recruitment,</w:t>
      </w:r>
      <w:r>
        <w:rPr>
          <w:spacing w:val="-2"/>
        </w:rPr>
        <w:t xml:space="preserve"> </w:t>
      </w:r>
      <w:r>
        <w:t>we</w:t>
      </w:r>
      <w:r>
        <w:rPr>
          <w:spacing w:val="-2"/>
        </w:rPr>
        <w:t xml:space="preserve"> </w:t>
      </w:r>
      <w:r>
        <w:t>also monitor</w:t>
      </w:r>
      <w:r>
        <w:rPr>
          <w:spacing w:val="-3"/>
        </w:rPr>
        <w:t xml:space="preserve"> </w:t>
      </w:r>
      <w:r>
        <w:t>employee</w:t>
      </w:r>
      <w:r>
        <w:rPr>
          <w:spacing w:val="-3"/>
        </w:rPr>
        <w:t xml:space="preserve"> </w:t>
      </w:r>
      <w:r>
        <w:t>attrition</w:t>
      </w:r>
      <w:r>
        <w:rPr>
          <w:spacing w:val="-3"/>
        </w:rPr>
        <w:t xml:space="preserve"> </w:t>
      </w:r>
      <w:r>
        <w:t>across</w:t>
      </w:r>
      <w:r>
        <w:rPr>
          <w:spacing w:val="-3"/>
        </w:rPr>
        <w:t xml:space="preserve"> </w:t>
      </w:r>
      <w:r>
        <w:t>a</w:t>
      </w:r>
      <w:r>
        <w:rPr>
          <w:spacing w:val="-3"/>
        </w:rPr>
        <w:t xml:space="preserve"> </w:t>
      </w:r>
      <w:r>
        <w:t>broad</w:t>
      </w:r>
      <w:r>
        <w:rPr>
          <w:spacing w:val="-3"/>
        </w:rPr>
        <w:t xml:space="preserve"> </w:t>
      </w:r>
      <w:r>
        <w:t>array</w:t>
      </w:r>
      <w:r>
        <w:rPr>
          <w:spacing w:val="-3"/>
        </w:rPr>
        <w:t xml:space="preserve"> </w:t>
      </w:r>
      <w:r>
        <w:t>of</w:t>
      </w:r>
      <w:r>
        <w:rPr>
          <w:spacing w:val="-3"/>
        </w:rPr>
        <w:t xml:space="preserve"> </w:t>
      </w:r>
      <w:r>
        <w:t>categories</w:t>
      </w:r>
      <w:r>
        <w:rPr>
          <w:spacing w:val="-3"/>
        </w:rPr>
        <w:t xml:space="preserve"> </w:t>
      </w:r>
      <w:r>
        <w:t>and</w:t>
      </w:r>
      <w:r>
        <w:rPr>
          <w:spacing w:val="-3"/>
        </w:rPr>
        <w:t xml:space="preserve"> </w:t>
      </w:r>
      <w:r>
        <w:t>segments</w:t>
      </w:r>
      <w:r>
        <w:rPr>
          <w:spacing w:val="-3"/>
        </w:rPr>
        <w:t xml:space="preserve"> </w:t>
      </w:r>
      <w:r>
        <w:t>of</w:t>
      </w:r>
      <w:r>
        <w:rPr>
          <w:spacing w:val="-3"/>
        </w:rPr>
        <w:t xml:space="preserve"> </w:t>
      </w:r>
      <w:r>
        <w:t>the</w:t>
      </w:r>
      <w:r>
        <w:rPr>
          <w:spacing w:val="-3"/>
        </w:rPr>
        <w:t xml:space="preserve"> </w:t>
      </w:r>
      <w:r>
        <w:t>population,</w:t>
      </w:r>
      <w:r>
        <w:rPr>
          <w:spacing w:val="-3"/>
        </w:rPr>
        <w:t xml:space="preserve"> </w:t>
      </w:r>
      <w:r>
        <w:t>including</w:t>
      </w:r>
      <w:r>
        <w:rPr>
          <w:spacing w:val="-3"/>
        </w:rPr>
        <w:t xml:space="preserve"> </w:t>
      </w:r>
      <w:r>
        <w:t>with</w:t>
      </w:r>
      <w:r>
        <w:rPr>
          <w:spacing w:val="-3"/>
        </w:rPr>
        <w:t xml:space="preserve"> </w:t>
      </w:r>
      <w:r>
        <w:t>respect</w:t>
      </w:r>
      <w:r>
        <w:rPr>
          <w:spacing w:val="-3"/>
        </w:rPr>
        <w:t xml:space="preserve"> </w:t>
      </w:r>
      <w:r>
        <w:t>to</w:t>
      </w:r>
      <w:r>
        <w:rPr>
          <w:spacing w:val="-3"/>
        </w:rPr>
        <w:t xml:space="preserve"> </w:t>
      </w:r>
      <w:r>
        <w:t xml:space="preserve">diversity and top talent. Critical to attracting and retaining top talent is employee satisfaction, and we regularly conduct employee engagement surveys to gauge employee satisfaction and to understand the effectiveness of our people strategy. We attract and reward our employees by providing market competitive compensation and benefits, including incentives and recognition plans that extend to </w:t>
      </w:r>
      <w:proofErr w:type="spellStart"/>
      <w:r>
        <w:t>nonrepresented</w:t>
      </w:r>
      <w:proofErr w:type="spellEnd"/>
      <w:r>
        <w:t xml:space="preserve"> employees of all levels in our organization and encourage excellence through our pay-for- performance philosophy. We also have continued a teleworking policy that encourages flexible working arrangements for employees who can meet our customer commitments remotely, which we believe helps recruit and retain talent. In addition, we invest in the development of our employees through training, apprenticeship programs, leadership development plans and offering tuition assistance programs for continuing education or industry certifications. This employee development helps to make us more competitive </w:t>
      </w:r>
      <w:proofErr w:type="gramStart"/>
      <w:r>
        <w:t>and also</w:t>
      </w:r>
      <w:proofErr w:type="gramEnd"/>
      <w:r>
        <w:t xml:space="preserve"> assists with leadership succession planning throughout the corporation.</w:t>
      </w:r>
    </w:p>
    <w:p w14:paraId="0C841324" w14:textId="77777777" w:rsidR="00AE2255" w:rsidRDefault="00AE2255">
      <w:pPr>
        <w:pStyle w:val="BodyText"/>
        <w:spacing w:before="6"/>
        <w:rPr>
          <w:sz w:val="21"/>
        </w:rPr>
      </w:pPr>
    </w:p>
    <w:p w14:paraId="41DEF909" w14:textId="77777777" w:rsidR="00AE2255" w:rsidRDefault="00000000">
      <w:pPr>
        <w:pStyle w:val="Heading3"/>
      </w:pPr>
      <w:r>
        <w:t>Employee</w:t>
      </w:r>
      <w:r>
        <w:rPr>
          <w:spacing w:val="-4"/>
        </w:rPr>
        <w:t xml:space="preserve"> </w:t>
      </w:r>
      <w:r>
        <w:t>Safety</w:t>
      </w:r>
      <w:r>
        <w:rPr>
          <w:spacing w:val="-4"/>
        </w:rPr>
        <w:t xml:space="preserve"> </w:t>
      </w:r>
      <w:r>
        <w:t>and</w:t>
      </w:r>
      <w:r>
        <w:rPr>
          <w:spacing w:val="-3"/>
        </w:rPr>
        <w:t xml:space="preserve"> </w:t>
      </w:r>
      <w:r>
        <w:rPr>
          <w:spacing w:val="-2"/>
        </w:rPr>
        <w:t>Health</w:t>
      </w:r>
    </w:p>
    <w:p w14:paraId="2204A783" w14:textId="77777777" w:rsidR="00AE2255" w:rsidRDefault="00AE2255">
      <w:pPr>
        <w:pStyle w:val="BodyText"/>
        <w:spacing w:before="6"/>
        <w:rPr>
          <w:b/>
          <w:i/>
          <w:sz w:val="18"/>
        </w:rPr>
      </w:pPr>
    </w:p>
    <w:p w14:paraId="279B0CE1" w14:textId="77777777" w:rsidR="00AE2255" w:rsidRDefault="00000000">
      <w:pPr>
        <w:pStyle w:val="BodyText"/>
        <w:spacing w:line="249" w:lineRule="auto"/>
        <w:ind w:left="610" w:right="429" w:firstLine="360"/>
        <w:jc w:val="both"/>
      </w:pPr>
      <w:r>
        <w:t>Our safety and health program seeks to optimize our operations through targeted safety, health and wellness opportunities designed to ensure safe work conditions, a healthy work environment, promote workforce resiliency and enhance business value. As part of this program, we track employee health and safety measures, including quarterly and yearly targets related to the</w:t>
      </w:r>
      <w:r>
        <w:rPr>
          <w:spacing w:val="-1"/>
        </w:rPr>
        <w:t xml:space="preserve"> </w:t>
      </w:r>
      <w:r>
        <w:t>number</w:t>
      </w:r>
      <w:r>
        <w:rPr>
          <w:spacing w:val="-1"/>
        </w:rPr>
        <w:t xml:space="preserve"> </w:t>
      </w:r>
      <w:r>
        <w:t>of</w:t>
      </w:r>
      <w:r>
        <w:rPr>
          <w:spacing w:val="-1"/>
        </w:rPr>
        <w:t xml:space="preserve"> </w:t>
      </w:r>
      <w:r>
        <w:t>injury</w:t>
      </w:r>
      <w:r>
        <w:rPr>
          <w:spacing w:val="-1"/>
        </w:rPr>
        <w:t xml:space="preserve"> </w:t>
      </w:r>
      <w:r>
        <w:t>and</w:t>
      </w:r>
      <w:r>
        <w:rPr>
          <w:spacing w:val="-1"/>
        </w:rPr>
        <w:t xml:space="preserve"> </w:t>
      </w:r>
      <w:r>
        <w:t>illness</w:t>
      </w:r>
      <w:r>
        <w:rPr>
          <w:spacing w:val="-1"/>
        </w:rPr>
        <w:t xml:space="preserve"> </w:t>
      </w:r>
      <w:r>
        <w:t>incidents</w:t>
      </w:r>
      <w:r>
        <w:rPr>
          <w:spacing w:val="-1"/>
        </w:rPr>
        <w:t xml:space="preserve"> </w:t>
      </w:r>
      <w:r>
        <w:t>that</w:t>
      </w:r>
      <w:r>
        <w:rPr>
          <w:spacing w:val="-1"/>
        </w:rPr>
        <w:t xml:space="preserve"> </w:t>
      </w:r>
      <w:r>
        <w:t>occur</w:t>
      </w:r>
      <w:r>
        <w:rPr>
          <w:spacing w:val="-1"/>
        </w:rPr>
        <w:t xml:space="preserve"> </w:t>
      </w:r>
      <w:r>
        <w:t>at</w:t>
      </w:r>
      <w:r>
        <w:rPr>
          <w:spacing w:val="-1"/>
        </w:rPr>
        <w:t xml:space="preserve"> </w:t>
      </w:r>
      <w:r>
        <w:t>work,</w:t>
      </w:r>
      <w:r>
        <w:rPr>
          <w:spacing w:val="-1"/>
        </w:rPr>
        <w:t xml:space="preserve"> </w:t>
      </w:r>
      <w:r>
        <w:t>those</w:t>
      </w:r>
      <w:r>
        <w:rPr>
          <w:spacing w:val="-1"/>
        </w:rPr>
        <w:t xml:space="preserve"> </w:t>
      </w:r>
      <w:r>
        <w:t>incidents</w:t>
      </w:r>
      <w:r>
        <w:rPr>
          <w:spacing w:val="-1"/>
        </w:rPr>
        <w:t xml:space="preserve"> </w:t>
      </w:r>
      <w:r>
        <w:t>that</w:t>
      </w:r>
      <w:r>
        <w:rPr>
          <w:spacing w:val="-1"/>
        </w:rPr>
        <w:t xml:space="preserve"> </w:t>
      </w:r>
      <w:r>
        <w:t>result</w:t>
      </w:r>
      <w:r>
        <w:rPr>
          <w:spacing w:val="-1"/>
        </w:rPr>
        <w:t xml:space="preserve"> </w:t>
      </w:r>
      <w:r>
        <w:t>in</w:t>
      </w:r>
      <w:r>
        <w:rPr>
          <w:spacing w:val="-1"/>
        </w:rPr>
        <w:t xml:space="preserve"> </w:t>
      </w:r>
      <w:r>
        <w:t>days</w:t>
      </w:r>
      <w:r>
        <w:rPr>
          <w:spacing w:val="-1"/>
        </w:rPr>
        <w:t xml:space="preserve"> </w:t>
      </w:r>
      <w:r>
        <w:t>lost,</w:t>
      </w:r>
      <w:r>
        <w:rPr>
          <w:spacing w:val="-1"/>
        </w:rPr>
        <w:t xml:space="preserve"> </w:t>
      </w:r>
      <w:r>
        <w:t>and</w:t>
      </w:r>
      <w:r>
        <w:rPr>
          <w:spacing w:val="-1"/>
        </w:rPr>
        <w:t xml:space="preserve"> </w:t>
      </w:r>
      <w:r>
        <w:t>the</w:t>
      </w:r>
      <w:r>
        <w:rPr>
          <w:spacing w:val="-1"/>
        </w:rPr>
        <w:t xml:space="preserve"> </w:t>
      </w:r>
      <w:r>
        <w:t>number</w:t>
      </w:r>
      <w:r>
        <w:rPr>
          <w:spacing w:val="-1"/>
        </w:rPr>
        <w:t xml:space="preserve"> </w:t>
      </w:r>
      <w:r>
        <w:t>of</w:t>
      </w:r>
      <w:r>
        <w:rPr>
          <w:spacing w:val="-1"/>
        </w:rPr>
        <w:t xml:space="preserve"> </w:t>
      </w:r>
      <w:r>
        <w:t>days</w:t>
      </w:r>
      <w:r>
        <w:rPr>
          <w:spacing w:val="-1"/>
        </w:rPr>
        <w:t xml:space="preserve"> </w:t>
      </w:r>
      <w:r>
        <w:t>lost due to workplace injuries and illness. During 2022, these metrics continued to be negatively impacted by the absence from</w:t>
      </w:r>
      <w:r>
        <w:rPr>
          <w:spacing w:val="40"/>
        </w:rPr>
        <w:t xml:space="preserve"> </w:t>
      </w:r>
      <w:r>
        <w:t>work</w:t>
      </w:r>
      <w:r>
        <w:rPr>
          <w:spacing w:val="40"/>
        </w:rPr>
        <w:t xml:space="preserve"> </w:t>
      </w:r>
      <w:r>
        <w:t>and</w:t>
      </w:r>
      <w:r>
        <w:rPr>
          <w:spacing w:val="40"/>
        </w:rPr>
        <w:t xml:space="preserve"> </w:t>
      </w:r>
      <w:r>
        <w:t>delays</w:t>
      </w:r>
      <w:r>
        <w:rPr>
          <w:spacing w:val="40"/>
        </w:rPr>
        <w:t xml:space="preserve"> </w:t>
      </w:r>
      <w:r>
        <w:t>in</w:t>
      </w:r>
      <w:r>
        <w:rPr>
          <w:spacing w:val="40"/>
        </w:rPr>
        <w:t xml:space="preserve"> </w:t>
      </w:r>
      <w:r>
        <w:t>the</w:t>
      </w:r>
      <w:r>
        <w:rPr>
          <w:spacing w:val="40"/>
        </w:rPr>
        <w:t xml:space="preserve"> </w:t>
      </w:r>
      <w:r>
        <w:t>return</w:t>
      </w:r>
      <w:r>
        <w:rPr>
          <w:spacing w:val="40"/>
        </w:rPr>
        <w:t xml:space="preserve"> </w:t>
      </w:r>
      <w:r>
        <w:t>to</w:t>
      </w:r>
      <w:r>
        <w:rPr>
          <w:spacing w:val="40"/>
        </w:rPr>
        <w:t xml:space="preserve"> </w:t>
      </w:r>
      <w:r>
        <w:t>work</w:t>
      </w:r>
      <w:r>
        <w:rPr>
          <w:spacing w:val="40"/>
        </w:rPr>
        <w:t xml:space="preserve"> </w:t>
      </w:r>
      <w:r>
        <w:t>related</w:t>
      </w:r>
      <w:r>
        <w:rPr>
          <w:spacing w:val="40"/>
        </w:rPr>
        <w:t xml:space="preserve"> </w:t>
      </w:r>
      <w:r>
        <w:t>to</w:t>
      </w:r>
      <w:r>
        <w:rPr>
          <w:spacing w:val="40"/>
        </w:rPr>
        <w:t xml:space="preserve"> </w:t>
      </w:r>
      <w:r>
        <w:t>COVID-19.</w:t>
      </w:r>
      <w:r>
        <w:rPr>
          <w:spacing w:val="40"/>
        </w:rPr>
        <w:t xml:space="preserve"> </w:t>
      </w:r>
      <w:r>
        <w:t>We</w:t>
      </w:r>
      <w:r>
        <w:rPr>
          <w:spacing w:val="40"/>
        </w:rPr>
        <w:t xml:space="preserve"> </w:t>
      </w:r>
      <w:r>
        <w:t>continue</w:t>
      </w:r>
      <w:r>
        <w:rPr>
          <w:spacing w:val="40"/>
        </w:rPr>
        <w:t xml:space="preserve"> </w:t>
      </w:r>
      <w:r>
        <w:t>to</w:t>
      </w:r>
      <w:r>
        <w:rPr>
          <w:spacing w:val="40"/>
        </w:rPr>
        <w:t xml:space="preserve"> </w:t>
      </w:r>
      <w:r>
        <w:t>take</w:t>
      </w:r>
      <w:r>
        <w:rPr>
          <w:spacing w:val="40"/>
        </w:rPr>
        <w:t xml:space="preserve"> </w:t>
      </w:r>
      <w:r>
        <w:t>steps</w:t>
      </w:r>
      <w:r>
        <w:rPr>
          <w:spacing w:val="40"/>
        </w:rPr>
        <w:t xml:space="preserve"> </w:t>
      </w:r>
      <w:r>
        <w:t>to</w:t>
      </w:r>
      <w:r>
        <w:rPr>
          <w:spacing w:val="40"/>
        </w:rPr>
        <w:t xml:space="preserve"> </w:t>
      </w:r>
      <w:r>
        <w:t>protect</w:t>
      </w:r>
      <w:r>
        <w:rPr>
          <w:spacing w:val="40"/>
        </w:rPr>
        <w:t xml:space="preserve"> </w:t>
      </w:r>
      <w:r>
        <w:t>our</w:t>
      </w:r>
      <w:r>
        <w:rPr>
          <w:spacing w:val="40"/>
        </w:rPr>
        <w:t xml:space="preserve"> </w:t>
      </w:r>
      <w:r>
        <w:t>employees</w:t>
      </w:r>
      <w:r>
        <w:rPr>
          <w:spacing w:val="40"/>
        </w:rPr>
        <w:t xml:space="preserve"> </w:t>
      </w:r>
      <w:r>
        <w:t>from COVID-19 while sustaining production and related services, including by establishing minimum staffing and social distancing and mask wearing policies consistent with current governmental guidance, cleaning common areas more frequently, implementing</w:t>
      </w:r>
      <w:r>
        <w:rPr>
          <w:spacing w:val="-1"/>
        </w:rPr>
        <w:t xml:space="preserve"> </w:t>
      </w:r>
      <w:r>
        <w:t>a</w:t>
      </w:r>
      <w:r>
        <w:rPr>
          <w:spacing w:val="-1"/>
        </w:rPr>
        <w:t xml:space="preserve"> </w:t>
      </w:r>
      <w:r>
        <w:t>flexible</w:t>
      </w:r>
      <w:r>
        <w:rPr>
          <w:spacing w:val="-1"/>
        </w:rPr>
        <w:t xml:space="preserve"> </w:t>
      </w:r>
      <w:r>
        <w:t>teleworking</w:t>
      </w:r>
      <w:r>
        <w:rPr>
          <w:spacing w:val="-1"/>
        </w:rPr>
        <w:t xml:space="preserve"> </w:t>
      </w:r>
      <w:r>
        <w:t>policy</w:t>
      </w:r>
      <w:r>
        <w:rPr>
          <w:spacing w:val="-1"/>
        </w:rPr>
        <w:t xml:space="preserve"> </w:t>
      </w:r>
      <w:r>
        <w:t>for</w:t>
      </w:r>
      <w:r>
        <w:rPr>
          <w:spacing w:val="-1"/>
        </w:rPr>
        <w:t xml:space="preserve"> </w:t>
      </w:r>
      <w:r>
        <w:t>employees</w:t>
      </w:r>
      <w:r>
        <w:rPr>
          <w:spacing w:val="-1"/>
        </w:rPr>
        <w:t xml:space="preserve"> </w:t>
      </w:r>
      <w:r>
        <w:t>who</w:t>
      </w:r>
      <w:r>
        <w:rPr>
          <w:spacing w:val="-1"/>
        </w:rPr>
        <w:t xml:space="preserve"> </w:t>
      </w:r>
      <w:r>
        <w:t>can</w:t>
      </w:r>
      <w:r>
        <w:rPr>
          <w:spacing w:val="-1"/>
        </w:rPr>
        <w:t xml:space="preserve"> </w:t>
      </w:r>
      <w:r>
        <w:t>work</w:t>
      </w:r>
      <w:r>
        <w:rPr>
          <w:spacing w:val="-1"/>
        </w:rPr>
        <w:t xml:space="preserve"> </w:t>
      </w:r>
      <w:r>
        <w:t>from</w:t>
      </w:r>
      <w:r>
        <w:rPr>
          <w:spacing w:val="-1"/>
        </w:rPr>
        <w:t xml:space="preserve"> </w:t>
      </w:r>
      <w:r>
        <w:t>home,</w:t>
      </w:r>
      <w:r>
        <w:rPr>
          <w:spacing w:val="-1"/>
        </w:rPr>
        <w:t xml:space="preserve"> </w:t>
      </w:r>
      <w:r>
        <w:t>encouraging</w:t>
      </w:r>
      <w:r>
        <w:rPr>
          <w:spacing w:val="-1"/>
        </w:rPr>
        <w:t xml:space="preserve"> </w:t>
      </w:r>
      <w:r>
        <w:t>employee</w:t>
      </w:r>
      <w:r>
        <w:rPr>
          <w:spacing w:val="-1"/>
        </w:rPr>
        <w:t xml:space="preserve"> </w:t>
      </w:r>
      <w:r>
        <w:t>vaccinations</w:t>
      </w:r>
      <w:r>
        <w:rPr>
          <w:spacing w:val="-1"/>
        </w:rPr>
        <w:t xml:space="preserve"> </w:t>
      </w:r>
      <w:r>
        <w:t>while monitoring</w:t>
      </w:r>
      <w:r>
        <w:rPr>
          <w:spacing w:val="40"/>
        </w:rPr>
        <w:t xml:space="preserve"> </w:t>
      </w:r>
      <w:r>
        <w:t>potential</w:t>
      </w:r>
      <w:r>
        <w:rPr>
          <w:spacing w:val="40"/>
        </w:rPr>
        <w:t xml:space="preserve"> </w:t>
      </w:r>
      <w:r>
        <w:t>vaccine</w:t>
      </w:r>
      <w:r>
        <w:rPr>
          <w:spacing w:val="40"/>
        </w:rPr>
        <w:t xml:space="preserve"> </w:t>
      </w:r>
      <w:r>
        <w:t>mandates,</w:t>
      </w:r>
      <w:r>
        <w:rPr>
          <w:spacing w:val="40"/>
        </w:rPr>
        <w:t xml:space="preserve"> </w:t>
      </w:r>
      <w:r>
        <w:t>and</w:t>
      </w:r>
      <w:r>
        <w:rPr>
          <w:spacing w:val="40"/>
        </w:rPr>
        <w:t xml:space="preserve"> </w:t>
      </w:r>
      <w:r>
        <w:t>instituting</w:t>
      </w:r>
      <w:r>
        <w:rPr>
          <w:spacing w:val="40"/>
        </w:rPr>
        <w:t xml:space="preserve"> </w:t>
      </w:r>
      <w:r>
        <w:t>other</w:t>
      </w:r>
      <w:r>
        <w:rPr>
          <w:spacing w:val="40"/>
        </w:rPr>
        <w:t xml:space="preserve"> </w:t>
      </w:r>
      <w:r>
        <w:t>measures</w:t>
      </w:r>
      <w:r>
        <w:rPr>
          <w:spacing w:val="40"/>
        </w:rPr>
        <w:t xml:space="preserve"> </w:t>
      </w:r>
      <w:r>
        <w:t>designed</w:t>
      </w:r>
      <w:r>
        <w:rPr>
          <w:spacing w:val="40"/>
        </w:rPr>
        <w:t xml:space="preserve"> </w:t>
      </w:r>
      <w:r>
        <w:t>to</w:t>
      </w:r>
      <w:r>
        <w:rPr>
          <w:spacing w:val="40"/>
        </w:rPr>
        <w:t xml:space="preserve"> </w:t>
      </w:r>
      <w:r>
        <w:t>mitigate</w:t>
      </w:r>
      <w:r>
        <w:rPr>
          <w:spacing w:val="40"/>
        </w:rPr>
        <w:t xml:space="preserve"> </w:t>
      </w:r>
      <w:r>
        <w:t>and</w:t>
      </w:r>
      <w:r>
        <w:rPr>
          <w:spacing w:val="40"/>
        </w:rPr>
        <w:t xml:space="preserve"> </w:t>
      </w:r>
      <w:r>
        <w:t>prevent</w:t>
      </w:r>
      <w:r>
        <w:rPr>
          <w:spacing w:val="40"/>
        </w:rPr>
        <w:t xml:space="preserve"> </w:t>
      </w:r>
      <w:r>
        <w:t>the</w:t>
      </w:r>
      <w:r>
        <w:rPr>
          <w:spacing w:val="40"/>
        </w:rPr>
        <w:t xml:space="preserve"> </w:t>
      </w:r>
      <w:r>
        <w:t>spread</w:t>
      </w:r>
      <w:r>
        <w:rPr>
          <w:spacing w:val="40"/>
        </w:rPr>
        <w:t xml:space="preserve"> </w:t>
      </w:r>
      <w:r>
        <w:t xml:space="preserve">of </w:t>
      </w:r>
      <w:r>
        <w:rPr>
          <w:spacing w:val="-2"/>
        </w:rPr>
        <w:t>COVID-19.</w:t>
      </w:r>
    </w:p>
    <w:p w14:paraId="0249E7BD" w14:textId="77777777" w:rsidR="00AE2255" w:rsidRDefault="00AE2255">
      <w:pPr>
        <w:pStyle w:val="BodyText"/>
        <w:spacing w:before="7"/>
        <w:rPr>
          <w:sz w:val="21"/>
        </w:rPr>
      </w:pPr>
    </w:p>
    <w:p w14:paraId="684BE286" w14:textId="77777777" w:rsidR="00AE2255" w:rsidRDefault="00000000">
      <w:pPr>
        <w:pStyle w:val="BodyText"/>
        <w:spacing w:before="1"/>
        <w:ind w:left="970"/>
      </w:pPr>
      <w:r>
        <w:t>For</w:t>
      </w:r>
      <w:r>
        <w:rPr>
          <w:spacing w:val="-5"/>
        </w:rPr>
        <w:t xml:space="preserve"> </w:t>
      </w:r>
      <w:r>
        <w:t>information</w:t>
      </w:r>
      <w:r>
        <w:rPr>
          <w:spacing w:val="-2"/>
        </w:rPr>
        <w:t xml:space="preserve"> </w:t>
      </w:r>
      <w:r>
        <w:t>on</w:t>
      </w:r>
      <w:r>
        <w:rPr>
          <w:spacing w:val="-2"/>
        </w:rPr>
        <w:t xml:space="preserve"> </w:t>
      </w:r>
      <w:r>
        <w:t>the</w:t>
      </w:r>
      <w:r>
        <w:rPr>
          <w:spacing w:val="-3"/>
        </w:rPr>
        <w:t xml:space="preserve"> </w:t>
      </w:r>
      <w:r>
        <w:t>risks</w:t>
      </w:r>
      <w:r>
        <w:rPr>
          <w:spacing w:val="-3"/>
        </w:rPr>
        <w:t xml:space="preserve"> </w:t>
      </w:r>
      <w:r>
        <w:t>related</w:t>
      </w:r>
      <w:r>
        <w:rPr>
          <w:spacing w:val="-2"/>
        </w:rPr>
        <w:t xml:space="preserve"> </w:t>
      </w:r>
      <w:r>
        <w:t>to</w:t>
      </w:r>
      <w:r>
        <w:rPr>
          <w:spacing w:val="-2"/>
        </w:rPr>
        <w:t xml:space="preserve"> </w:t>
      </w:r>
      <w:r>
        <w:t>our</w:t>
      </w:r>
      <w:r>
        <w:rPr>
          <w:spacing w:val="-3"/>
        </w:rPr>
        <w:t xml:space="preserve"> </w:t>
      </w:r>
      <w:r>
        <w:t>human</w:t>
      </w:r>
      <w:r>
        <w:rPr>
          <w:spacing w:val="-2"/>
        </w:rPr>
        <w:t xml:space="preserve"> </w:t>
      </w:r>
      <w:r>
        <w:t>capital</w:t>
      </w:r>
      <w:r>
        <w:rPr>
          <w:spacing w:val="-3"/>
        </w:rPr>
        <w:t xml:space="preserve"> </w:t>
      </w:r>
      <w:r>
        <w:t>resources,</w:t>
      </w:r>
      <w:r>
        <w:rPr>
          <w:spacing w:val="-2"/>
        </w:rPr>
        <w:t xml:space="preserve"> </w:t>
      </w:r>
      <w:r>
        <w:t>see</w:t>
      </w:r>
      <w:r>
        <w:rPr>
          <w:spacing w:val="-3"/>
        </w:rPr>
        <w:t xml:space="preserve"> </w:t>
      </w:r>
      <w:r>
        <w:t>Item</w:t>
      </w:r>
      <w:r>
        <w:rPr>
          <w:spacing w:val="-3"/>
        </w:rPr>
        <w:t xml:space="preserve"> </w:t>
      </w:r>
      <w:r>
        <w:t>1A</w:t>
      </w:r>
      <w:r>
        <w:rPr>
          <w:spacing w:val="-3"/>
        </w:rPr>
        <w:t xml:space="preserve"> </w:t>
      </w:r>
      <w:r>
        <w:t>-</w:t>
      </w:r>
      <w:r>
        <w:rPr>
          <w:spacing w:val="-2"/>
        </w:rPr>
        <w:t xml:space="preserve"> </w:t>
      </w:r>
      <w:r>
        <w:t>Risk</w:t>
      </w:r>
      <w:r>
        <w:rPr>
          <w:spacing w:val="-2"/>
        </w:rPr>
        <w:t xml:space="preserve"> Factors.</w:t>
      </w:r>
    </w:p>
    <w:p w14:paraId="423E169C" w14:textId="77777777" w:rsidR="00AE2255" w:rsidRDefault="00AE2255">
      <w:pPr>
        <w:pStyle w:val="BodyText"/>
        <w:spacing w:before="11"/>
        <w:rPr>
          <w:sz w:val="17"/>
        </w:rPr>
      </w:pPr>
    </w:p>
    <w:p w14:paraId="62F626AD" w14:textId="77777777" w:rsidR="00AE2255" w:rsidRDefault="00000000">
      <w:pPr>
        <w:pStyle w:val="Heading2"/>
      </w:pPr>
      <w:r>
        <w:rPr>
          <w:spacing w:val="-2"/>
        </w:rPr>
        <w:t>Competition</w:t>
      </w:r>
    </w:p>
    <w:p w14:paraId="1836AA0B" w14:textId="77777777" w:rsidR="00AE2255" w:rsidRDefault="00AE2255">
      <w:pPr>
        <w:pStyle w:val="BodyText"/>
        <w:spacing w:before="6"/>
        <w:rPr>
          <w:b/>
          <w:sz w:val="18"/>
        </w:rPr>
      </w:pPr>
    </w:p>
    <w:p w14:paraId="042630C1" w14:textId="77777777" w:rsidR="00AE2255" w:rsidRDefault="00000000">
      <w:pPr>
        <w:pStyle w:val="BodyText"/>
        <w:spacing w:line="249" w:lineRule="auto"/>
        <w:ind w:left="610" w:right="428" w:firstLine="360"/>
        <w:jc w:val="both"/>
      </w:pPr>
      <w:r>
        <w:t>We compete with many different companies in the defense and aerospace industry. The Boeing Company, General Dynamics, L3Harris Technologies, Northrop Grumman, and Raytheon Technologies are some of our primary competitors. Key characteristics of our industry include long operating cycles and intense competition, which is evident through the number of competitors bidding on program opportunities and the number of bid protests (competitor protests of U.S. Government procurement awards).</w:t>
      </w:r>
    </w:p>
    <w:p w14:paraId="48291DE6" w14:textId="77777777" w:rsidR="00AE2255" w:rsidRDefault="00AE2255">
      <w:pPr>
        <w:pStyle w:val="BodyText"/>
        <w:spacing w:before="9"/>
        <w:rPr>
          <w:sz w:val="17"/>
        </w:rPr>
      </w:pPr>
    </w:p>
    <w:p w14:paraId="6C6CECD3" w14:textId="77777777" w:rsidR="00AE2255" w:rsidRDefault="00000000">
      <w:pPr>
        <w:pStyle w:val="BodyText"/>
        <w:spacing w:line="249" w:lineRule="auto"/>
        <w:ind w:left="610" w:right="428" w:firstLine="360"/>
        <w:jc w:val="both"/>
      </w:pPr>
      <w:r>
        <w:t>We often collaborate with our competitors through teaming arrangements in efforts to provide our customers with the best mix of capabilities to address specific requirements. Additionally, a company competing to be a prime contractor may, upon ultimate award of the contract to another competitor, serve as a subcontractor to the ultimate prime contracting company. It is not</w:t>
      </w:r>
      <w:r>
        <w:rPr>
          <w:spacing w:val="-1"/>
        </w:rPr>
        <w:t xml:space="preserve"> </w:t>
      </w:r>
      <w:r>
        <w:t>unusual</w:t>
      </w:r>
      <w:r>
        <w:rPr>
          <w:spacing w:val="-1"/>
        </w:rPr>
        <w:t xml:space="preserve"> </w:t>
      </w:r>
      <w:r>
        <w:t>to</w:t>
      </w:r>
      <w:r>
        <w:rPr>
          <w:spacing w:val="-1"/>
        </w:rPr>
        <w:t xml:space="preserve"> </w:t>
      </w:r>
      <w:r>
        <w:t>compete</w:t>
      </w:r>
      <w:r>
        <w:rPr>
          <w:spacing w:val="-1"/>
        </w:rPr>
        <w:t xml:space="preserve"> </w:t>
      </w:r>
      <w:r>
        <w:t>for</w:t>
      </w:r>
      <w:r>
        <w:rPr>
          <w:spacing w:val="-1"/>
        </w:rPr>
        <w:t xml:space="preserve"> </w:t>
      </w:r>
      <w:r>
        <w:t>a</w:t>
      </w:r>
      <w:r>
        <w:rPr>
          <w:spacing w:val="-1"/>
        </w:rPr>
        <w:t xml:space="preserve"> </w:t>
      </w:r>
      <w:r>
        <w:t>contract</w:t>
      </w:r>
      <w:r>
        <w:rPr>
          <w:spacing w:val="-1"/>
        </w:rPr>
        <w:t xml:space="preserve"> </w:t>
      </w:r>
      <w:r>
        <w:t>award</w:t>
      </w:r>
      <w:r>
        <w:rPr>
          <w:spacing w:val="-1"/>
        </w:rPr>
        <w:t xml:space="preserve"> </w:t>
      </w:r>
      <w:r>
        <w:t>with</w:t>
      </w:r>
      <w:r>
        <w:rPr>
          <w:spacing w:val="-1"/>
        </w:rPr>
        <w:t xml:space="preserve"> </w:t>
      </w:r>
      <w:r>
        <w:t>a</w:t>
      </w:r>
      <w:r>
        <w:rPr>
          <w:spacing w:val="-1"/>
        </w:rPr>
        <w:t xml:space="preserve"> </w:t>
      </w:r>
      <w:r>
        <w:t>peer</w:t>
      </w:r>
      <w:r>
        <w:rPr>
          <w:spacing w:val="-1"/>
        </w:rPr>
        <w:t xml:space="preserve"> </w:t>
      </w:r>
      <w:r>
        <w:t>company</w:t>
      </w:r>
      <w:r>
        <w:rPr>
          <w:spacing w:val="-1"/>
        </w:rPr>
        <w:t xml:space="preserve"> </w:t>
      </w:r>
      <w:r>
        <w:t>and,</w:t>
      </w:r>
      <w:r>
        <w:rPr>
          <w:spacing w:val="-1"/>
        </w:rPr>
        <w:t xml:space="preserve"> </w:t>
      </w:r>
      <w:r>
        <w:t>simultaneously,</w:t>
      </w:r>
      <w:r>
        <w:rPr>
          <w:spacing w:val="-1"/>
        </w:rPr>
        <w:t xml:space="preserve"> </w:t>
      </w:r>
      <w:r>
        <w:t>perform</w:t>
      </w:r>
      <w:r>
        <w:rPr>
          <w:spacing w:val="-1"/>
        </w:rPr>
        <w:t xml:space="preserve"> </w:t>
      </w:r>
      <w:r>
        <w:t>as</w:t>
      </w:r>
      <w:r>
        <w:rPr>
          <w:spacing w:val="-1"/>
        </w:rPr>
        <w:t xml:space="preserve"> </w:t>
      </w:r>
      <w:r>
        <w:t>a</w:t>
      </w:r>
      <w:r>
        <w:rPr>
          <w:spacing w:val="-1"/>
        </w:rPr>
        <w:t xml:space="preserve"> </w:t>
      </w:r>
      <w:r>
        <w:t>supplier</w:t>
      </w:r>
      <w:r>
        <w:rPr>
          <w:spacing w:val="-1"/>
        </w:rPr>
        <w:t xml:space="preserve"> </w:t>
      </w:r>
      <w:r>
        <w:t>to</w:t>
      </w:r>
      <w:r>
        <w:rPr>
          <w:spacing w:val="-1"/>
        </w:rPr>
        <w:t xml:space="preserve"> </w:t>
      </w:r>
      <w:r>
        <w:t>or</w:t>
      </w:r>
      <w:r>
        <w:rPr>
          <w:spacing w:val="-1"/>
        </w:rPr>
        <w:t xml:space="preserve"> </w:t>
      </w:r>
      <w:r>
        <w:t>a</w:t>
      </w:r>
      <w:r>
        <w:rPr>
          <w:spacing w:val="-1"/>
        </w:rPr>
        <w:t xml:space="preserve"> </w:t>
      </w:r>
      <w:r>
        <w:t>customer</w:t>
      </w:r>
      <w:r>
        <w:rPr>
          <w:spacing w:val="-1"/>
        </w:rPr>
        <w:t xml:space="preserve"> </w:t>
      </w:r>
      <w:r>
        <w:t>of that same competitor on other contracts.</w:t>
      </w:r>
    </w:p>
    <w:p w14:paraId="29C6468D" w14:textId="77777777" w:rsidR="00AE2255" w:rsidRDefault="00AE2255">
      <w:pPr>
        <w:pStyle w:val="BodyText"/>
        <w:spacing w:before="8"/>
        <w:rPr>
          <w:sz w:val="17"/>
        </w:rPr>
      </w:pPr>
    </w:p>
    <w:p w14:paraId="368D5847" w14:textId="77777777" w:rsidR="00AE2255" w:rsidRDefault="00000000">
      <w:pPr>
        <w:pStyle w:val="BodyText"/>
        <w:spacing w:line="249" w:lineRule="auto"/>
        <w:ind w:left="610" w:right="428" w:firstLine="360"/>
        <w:jc w:val="both"/>
      </w:pPr>
      <w:r>
        <w:t>Our</w:t>
      </w:r>
      <w:r>
        <w:rPr>
          <w:spacing w:val="-2"/>
        </w:rPr>
        <w:t xml:space="preserve"> </w:t>
      </w:r>
      <w:r>
        <w:t>broad</w:t>
      </w:r>
      <w:r>
        <w:rPr>
          <w:spacing w:val="-2"/>
        </w:rPr>
        <w:t xml:space="preserve"> </w:t>
      </w:r>
      <w:r>
        <w:t>portfolio</w:t>
      </w:r>
      <w:r>
        <w:rPr>
          <w:spacing w:val="-2"/>
        </w:rPr>
        <w:t xml:space="preserve"> </w:t>
      </w:r>
      <w:r>
        <w:t>of</w:t>
      </w:r>
      <w:r>
        <w:rPr>
          <w:spacing w:val="-2"/>
        </w:rPr>
        <w:t xml:space="preserve"> </w:t>
      </w:r>
      <w:r>
        <w:t>products</w:t>
      </w:r>
      <w:r>
        <w:rPr>
          <w:spacing w:val="-2"/>
        </w:rPr>
        <w:t xml:space="preserve"> </w:t>
      </w:r>
      <w:r>
        <w:t>and</w:t>
      </w:r>
      <w:r>
        <w:rPr>
          <w:spacing w:val="-2"/>
        </w:rPr>
        <w:t xml:space="preserve"> </w:t>
      </w:r>
      <w:r>
        <w:t>services</w:t>
      </w:r>
      <w:r>
        <w:rPr>
          <w:spacing w:val="-2"/>
        </w:rPr>
        <w:t xml:space="preserve"> </w:t>
      </w:r>
      <w:r>
        <w:t>competes</w:t>
      </w:r>
      <w:r>
        <w:rPr>
          <w:spacing w:val="-2"/>
        </w:rPr>
        <w:t xml:space="preserve"> </w:t>
      </w:r>
      <w:r>
        <w:t>domestically</w:t>
      </w:r>
      <w:r>
        <w:rPr>
          <w:spacing w:val="-2"/>
        </w:rPr>
        <w:t xml:space="preserve"> </w:t>
      </w:r>
      <w:r>
        <w:t>and</w:t>
      </w:r>
      <w:r>
        <w:rPr>
          <w:spacing w:val="-2"/>
        </w:rPr>
        <w:t xml:space="preserve"> </w:t>
      </w:r>
      <w:r>
        <w:t>internationally</w:t>
      </w:r>
      <w:r>
        <w:rPr>
          <w:spacing w:val="-2"/>
        </w:rPr>
        <w:t xml:space="preserve"> </w:t>
      </w:r>
      <w:r>
        <w:t>against</w:t>
      </w:r>
      <w:r>
        <w:rPr>
          <w:spacing w:val="-2"/>
        </w:rPr>
        <w:t xml:space="preserve"> </w:t>
      </w:r>
      <w:r>
        <w:t>products</w:t>
      </w:r>
      <w:r>
        <w:rPr>
          <w:spacing w:val="-2"/>
        </w:rPr>
        <w:t xml:space="preserve"> </w:t>
      </w:r>
      <w:r>
        <w:t>and</w:t>
      </w:r>
      <w:r>
        <w:rPr>
          <w:spacing w:val="-2"/>
        </w:rPr>
        <w:t xml:space="preserve"> </w:t>
      </w:r>
      <w:r>
        <w:t>services</w:t>
      </w:r>
      <w:r>
        <w:rPr>
          <w:spacing w:val="-2"/>
        </w:rPr>
        <w:t xml:space="preserve"> </w:t>
      </w:r>
      <w:r>
        <w:t>of</w:t>
      </w:r>
      <w:r>
        <w:rPr>
          <w:spacing w:val="-2"/>
        </w:rPr>
        <w:t xml:space="preserve"> </w:t>
      </w:r>
      <w:r>
        <w:t>the companies listed above, numerous smaller competitors and startups, and increasingly, non-traditional defense contractors. In some areas of our business, customer requirements are changing to encourage or facilitate expanded competition. Principal factors</w:t>
      </w:r>
      <w:r>
        <w:rPr>
          <w:spacing w:val="-1"/>
        </w:rPr>
        <w:t xml:space="preserve"> </w:t>
      </w:r>
      <w:r>
        <w:t>of</w:t>
      </w:r>
      <w:r>
        <w:rPr>
          <w:spacing w:val="-1"/>
        </w:rPr>
        <w:t xml:space="preserve"> </w:t>
      </w:r>
      <w:r>
        <w:t>competition</w:t>
      </w:r>
      <w:r>
        <w:rPr>
          <w:spacing w:val="-1"/>
        </w:rPr>
        <w:t xml:space="preserve"> </w:t>
      </w:r>
      <w:r>
        <w:t>include:</w:t>
      </w:r>
      <w:r>
        <w:rPr>
          <w:spacing w:val="-1"/>
        </w:rPr>
        <w:t xml:space="preserve"> </w:t>
      </w:r>
      <w:r>
        <w:t>the</w:t>
      </w:r>
      <w:r>
        <w:rPr>
          <w:spacing w:val="-1"/>
        </w:rPr>
        <w:t xml:space="preserve"> </w:t>
      </w:r>
      <w:r>
        <w:t>technical</w:t>
      </w:r>
      <w:r>
        <w:rPr>
          <w:spacing w:val="-1"/>
        </w:rPr>
        <w:t xml:space="preserve"> </w:t>
      </w:r>
      <w:r>
        <w:t>excellence,</w:t>
      </w:r>
      <w:r>
        <w:rPr>
          <w:spacing w:val="-1"/>
        </w:rPr>
        <w:t xml:space="preserve"> </w:t>
      </w:r>
      <w:r>
        <w:t>reliability,</w:t>
      </w:r>
      <w:r>
        <w:rPr>
          <w:spacing w:val="-1"/>
        </w:rPr>
        <w:t xml:space="preserve"> </w:t>
      </w:r>
      <w:r>
        <w:t>safety</w:t>
      </w:r>
      <w:r>
        <w:rPr>
          <w:spacing w:val="-1"/>
        </w:rPr>
        <w:t xml:space="preserve"> </w:t>
      </w:r>
      <w:r>
        <w:t>and</w:t>
      </w:r>
      <w:r>
        <w:rPr>
          <w:spacing w:val="-1"/>
        </w:rPr>
        <w:t xml:space="preserve"> </w:t>
      </w:r>
      <w:r>
        <w:t>cost</w:t>
      </w:r>
      <w:r>
        <w:rPr>
          <w:spacing w:val="-1"/>
        </w:rPr>
        <w:t xml:space="preserve"> </w:t>
      </w:r>
      <w:r>
        <w:t>competitiveness</w:t>
      </w:r>
      <w:r>
        <w:rPr>
          <w:spacing w:val="-1"/>
        </w:rPr>
        <w:t xml:space="preserve"> </w:t>
      </w:r>
      <w:r>
        <w:t>of</w:t>
      </w:r>
      <w:r>
        <w:rPr>
          <w:spacing w:val="-1"/>
        </w:rPr>
        <w:t xml:space="preserve"> </w:t>
      </w:r>
      <w:r>
        <w:t>our</w:t>
      </w:r>
      <w:r>
        <w:rPr>
          <w:spacing w:val="-1"/>
        </w:rPr>
        <w:t xml:space="preserve"> </w:t>
      </w:r>
      <w:r>
        <w:t>products</w:t>
      </w:r>
      <w:r>
        <w:rPr>
          <w:spacing w:val="-1"/>
        </w:rPr>
        <w:t xml:space="preserve"> </w:t>
      </w:r>
      <w:r>
        <w:t>and</w:t>
      </w:r>
      <w:r>
        <w:rPr>
          <w:spacing w:val="-1"/>
        </w:rPr>
        <w:t xml:space="preserve"> </w:t>
      </w:r>
      <w:r>
        <w:t>services to the customer; technical and management capability; the ability to innovate and develop new products and technologies that improve mission performance and adapt to dynamic threats; successful program execution and on-time delivery of complex, integrated systems; the reputation and customer confidence derived from past performance; our demonstrated ability to execute and perform against contract requirements and successfully manage customer relationships; and our global footprint and accessibility to customers.</w:t>
      </w:r>
    </w:p>
    <w:p w14:paraId="67807974" w14:textId="77777777" w:rsidR="00AE2255" w:rsidRDefault="00AE2255">
      <w:pPr>
        <w:pStyle w:val="BodyText"/>
        <w:spacing w:before="1"/>
        <w:rPr>
          <w:sz w:val="18"/>
        </w:rPr>
      </w:pPr>
    </w:p>
    <w:p w14:paraId="46C032ED" w14:textId="77777777" w:rsidR="00AE2255" w:rsidRDefault="00000000">
      <w:pPr>
        <w:pStyle w:val="BodyText"/>
        <w:spacing w:line="249" w:lineRule="auto"/>
        <w:ind w:left="610" w:right="429" w:firstLine="360"/>
        <w:jc w:val="both"/>
      </w:pPr>
      <w:r>
        <w:t xml:space="preserve">The competition for international sales for most of our products and services is subject to U.S. Government stipulations (e.g., export restrictions, market access, technology transfer, industrial </w:t>
      </w:r>
      <w:proofErr w:type="gramStart"/>
      <w:r>
        <w:t>cooperation</w:t>
      </w:r>
      <w:proofErr w:type="gramEnd"/>
      <w:r>
        <w:t xml:space="preserve"> and contracting practices). We compete against U.S. and non-U.S. companies (or teams) for contract awards by international governments. International competitions are also subject to different laws or contracting practices of international governments, which affects how we structure our bid</w:t>
      </w:r>
    </w:p>
    <w:p w14:paraId="566E9B7E" w14:textId="77777777" w:rsidR="00AE2255" w:rsidRDefault="00AE2255">
      <w:pPr>
        <w:spacing w:line="249" w:lineRule="auto"/>
        <w:jc w:val="both"/>
        <w:sectPr w:rsidR="00AE2255">
          <w:pgSz w:w="12240" w:h="15840"/>
          <w:pgMar w:top="440" w:right="560" w:bottom="720" w:left="380" w:header="230" w:footer="531" w:gutter="0"/>
          <w:cols w:space="720"/>
        </w:sectPr>
      </w:pPr>
    </w:p>
    <w:p w14:paraId="6C50121A" w14:textId="77777777" w:rsidR="00AE2255" w:rsidRDefault="00AE2255">
      <w:pPr>
        <w:pStyle w:val="BodyText"/>
        <w:spacing w:before="10"/>
        <w:rPr>
          <w:sz w:val="22"/>
        </w:rPr>
      </w:pPr>
    </w:p>
    <w:p w14:paraId="56D36DC6" w14:textId="77777777" w:rsidR="00AE2255" w:rsidRDefault="00000000">
      <w:pPr>
        <w:pStyle w:val="BodyText"/>
        <w:spacing w:before="92" w:line="249" w:lineRule="auto"/>
        <w:ind w:left="610" w:right="429"/>
        <w:jc w:val="both"/>
      </w:pPr>
      <w:r>
        <w:t>for the procurement. In many international procurements, the purchasing government’s relationship with the U.S. and its industrial cooperation programs designed to enhance local industry are important factors in determining the outcome of a competition. It is common for international customers to require contractors to comply with their industrial cooperation regulations,</w:t>
      </w:r>
      <w:r>
        <w:rPr>
          <w:spacing w:val="-3"/>
        </w:rPr>
        <w:t xml:space="preserve"> </w:t>
      </w:r>
      <w:r>
        <w:t>sometimes</w:t>
      </w:r>
      <w:r>
        <w:rPr>
          <w:spacing w:val="-3"/>
        </w:rPr>
        <w:t xml:space="preserve"> </w:t>
      </w:r>
      <w:r>
        <w:t>referred</w:t>
      </w:r>
      <w:r>
        <w:rPr>
          <w:spacing w:val="-3"/>
        </w:rPr>
        <w:t xml:space="preserve"> </w:t>
      </w:r>
      <w:r>
        <w:t>to</w:t>
      </w:r>
      <w:r>
        <w:rPr>
          <w:spacing w:val="-3"/>
        </w:rPr>
        <w:t xml:space="preserve"> </w:t>
      </w:r>
      <w:r>
        <w:t>as</w:t>
      </w:r>
      <w:r>
        <w:rPr>
          <w:spacing w:val="-3"/>
        </w:rPr>
        <w:t xml:space="preserve"> </w:t>
      </w:r>
      <w:r>
        <w:t>offset</w:t>
      </w:r>
      <w:r>
        <w:rPr>
          <w:spacing w:val="-3"/>
        </w:rPr>
        <w:t xml:space="preserve"> </w:t>
      </w:r>
      <w:r>
        <w:t>requirements,</w:t>
      </w:r>
      <w:r>
        <w:rPr>
          <w:spacing w:val="-3"/>
        </w:rPr>
        <w:t xml:space="preserve"> </w:t>
      </w:r>
      <w:r>
        <w:t>and</w:t>
      </w:r>
      <w:r>
        <w:rPr>
          <w:spacing w:val="-3"/>
        </w:rPr>
        <w:t xml:space="preserve"> </w:t>
      </w:r>
      <w:r>
        <w:t>we</w:t>
      </w:r>
      <w:r>
        <w:rPr>
          <w:spacing w:val="-3"/>
        </w:rPr>
        <w:t xml:space="preserve"> </w:t>
      </w:r>
      <w:r>
        <w:t>have</w:t>
      </w:r>
      <w:r>
        <w:rPr>
          <w:spacing w:val="-3"/>
        </w:rPr>
        <w:t xml:space="preserve"> </w:t>
      </w:r>
      <w:r>
        <w:t>entered</w:t>
      </w:r>
      <w:r>
        <w:rPr>
          <w:spacing w:val="-3"/>
        </w:rPr>
        <w:t xml:space="preserve"> </w:t>
      </w:r>
      <w:r>
        <w:t>into</w:t>
      </w:r>
      <w:r>
        <w:rPr>
          <w:spacing w:val="-3"/>
        </w:rPr>
        <w:t xml:space="preserve"> </w:t>
      </w:r>
      <w:r>
        <w:t>foreign</w:t>
      </w:r>
      <w:r>
        <w:rPr>
          <w:spacing w:val="-3"/>
        </w:rPr>
        <w:t xml:space="preserve"> </w:t>
      </w:r>
      <w:r>
        <w:t>offset</w:t>
      </w:r>
      <w:r>
        <w:rPr>
          <w:spacing w:val="-3"/>
        </w:rPr>
        <w:t xml:space="preserve"> </w:t>
      </w:r>
      <w:r>
        <w:t>agreements</w:t>
      </w:r>
      <w:r>
        <w:rPr>
          <w:spacing w:val="-3"/>
        </w:rPr>
        <w:t xml:space="preserve"> </w:t>
      </w:r>
      <w:r>
        <w:t>as</w:t>
      </w:r>
      <w:r>
        <w:rPr>
          <w:spacing w:val="-3"/>
        </w:rPr>
        <w:t xml:space="preserve"> </w:t>
      </w:r>
      <w:r>
        <w:t>part</w:t>
      </w:r>
      <w:r>
        <w:rPr>
          <w:spacing w:val="-3"/>
        </w:rPr>
        <w:t xml:space="preserve"> </w:t>
      </w:r>
      <w:r>
        <w:t>of</w:t>
      </w:r>
      <w:r>
        <w:rPr>
          <w:spacing w:val="-3"/>
        </w:rPr>
        <w:t xml:space="preserve"> </w:t>
      </w:r>
      <w:r>
        <w:t>securing some international business. For more information concerning our international business, see Item 1A - Risk Factors.</w:t>
      </w:r>
    </w:p>
    <w:p w14:paraId="0827285D" w14:textId="77777777" w:rsidR="00AE2255" w:rsidRDefault="00AE2255">
      <w:pPr>
        <w:pStyle w:val="BodyText"/>
        <w:spacing w:before="8"/>
        <w:rPr>
          <w:sz w:val="17"/>
        </w:rPr>
      </w:pPr>
    </w:p>
    <w:p w14:paraId="61442CAF" w14:textId="77777777" w:rsidR="00AE2255" w:rsidRDefault="00000000">
      <w:pPr>
        <w:pStyle w:val="BodyText"/>
        <w:spacing w:line="249" w:lineRule="auto"/>
        <w:ind w:left="610" w:right="428" w:firstLine="360"/>
        <w:jc w:val="both"/>
      </w:pPr>
      <w:r>
        <w:t>Technological advances in such areas as additive manufacturing, data analytics, digital engineering, artificial intelligence, advanced materials, autonomy and robotics, and new business models such as commercial access to space, are enabling new factors of competition for both traditional and non-traditional competitors.</w:t>
      </w:r>
    </w:p>
    <w:p w14:paraId="0F73188F" w14:textId="77777777" w:rsidR="00AE2255" w:rsidRDefault="00AE2255">
      <w:pPr>
        <w:pStyle w:val="BodyText"/>
        <w:spacing w:before="4"/>
        <w:rPr>
          <w:sz w:val="17"/>
        </w:rPr>
      </w:pPr>
    </w:p>
    <w:p w14:paraId="4D81D767" w14:textId="77777777" w:rsidR="00AE2255" w:rsidRDefault="00000000">
      <w:pPr>
        <w:pStyle w:val="Heading2"/>
        <w:jc w:val="both"/>
      </w:pPr>
      <w:r>
        <w:t>Government</w:t>
      </w:r>
      <w:r>
        <w:rPr>
          <w:spacing w:val="-4"/>
        </w:rPr>
        <w:t xml:space="preserve"> </w:t>
      </w:r>
      <w:r>
        <w:t>Contracts</w:t>
      </w:r>
      <w:r>
        <w:rPr>
          <w:spacing w:val="-5"/>
        </w:rPr>
        <w:t xml:space="preserve"> </w:t>
      </w:r>
      <w:r>
        <w:t>and</w:t>
      </w:r>
      <w:r>
        <w:rPr>
          <w:spacing w:val="-4"/>
        </w:rPr>
        <w:t xml:space="preserve"> </w:t>
      </w:r>
      <w:r>
        <w:rPr>
          <w:spacing w:val="-2"/>
        </w:rPr>
        <w:t>Regulations</w:t>
      </w:r>
    </w:p>
    <w:p w14:paraId="09315FC4" w14:textId="77777777" w:rsidR="00AE2255" w:rsidRDefault="00AE2255">
      <w:pPr>
        <w:pStyle w:val="BodyText"/>
        <w:spacing w:before="6"/>
        <w:rPr>
          <w:b/>
          <w:sz w:val="18"/>
        </w:rPr>
      </w:pPr>
    </w:p>
    <w:p w14:paraId="46339168" w14:textId="77777777" w:rsidR="00AE2255" w:rsidRDefault="00000000">
      <w:pPr>
        <w:pStyle w:val="BodyText"/>
        <w:spacing w:line="249" w:lineRule="auto"/>
        <w:ind w:left="610" w:right="427" w:firstLine="360"/>
        <w:jc w:val="both"/>
      </w:pPr>
      <w:r>
        <w:t>Our business is heavily regulated. We contract with numerous U.S. Government agencies and entities, principally all branches of the U.S. military and NASA. We also contract with similar government authorities in other countries, and they regulate international sales that are not foreign military sales (FMS) contracted through the U.S. Government. Additionally, our commercial aircraft products are required to comply with U.S. and international regulations governing production and quality systems, airworthiness and installation approvals, repair procedures and continuing operational safety.</w:t>
      </w:r>
    </w:p>
    <w:p w14:paraId="435E2D41" w14:textId="77777777" w:rsidR="00AE2255" w:rsidRDefault="00AE2255">
      <w:pPr>
        <w:pStyle w:val="BodyText"/>
        <w:spacing w:before="9"/>
        <w:rPr>
          <w:sz w:val="17"/>
        </w:rPr>
      </w:pPr>
    </w:p>
    <w:p w14:paraId="0EFAF4BA" w14:textId="77777777" w:rsidR="00AE2255" w:rsidRDefault="00000000">
      <w:pPr>
        <w:pStyle w:val="BodyText"/>
        <w:spacing w:line="249" w:lineRule="auto"/>
        <w:ind w:left="610" w:right="431" w:firstLine="360"/>
        <w:jc w:val="both"/>
      </w:pPr>
      <w:r>
        <w:t>We must comply with, and are affected by, laws and regulations relating to the formation, administration and performance of U.S. Government and other governments’ contracts, including foreign governments. These laws and regulations, among</w:t>
      </w:r>
      <w:r>
        <w:rPr>
          <w:spacing w:val="40"/>
        </w:rPr>
        <w:t xml:space="preserve"> </w:t>
      </w:r>
      <w:r>
        <w:t>other things:</w:t>
      </w:r>
    </w:p>
    <w:p w14:paraId="4C8B3C71" w14:textId="77777777" w:rsidR="00AE2255" w:rsidRDefault="00000000">
      <w:pPr>
        <w:pStyle w:val="ListParagraph"/>
        <w:numPr>
          <w:ilvl w:val="0"/>
          <w:numId w:val="14"/>
        </w:numPr>
        <w:tabs>
          <w:tab w:val="left" w:pos="970"/>
        </w:tabs>
        <w:spacing w:before="92"/>
        <w:jc w:val="both"/>
        <w:rPr>
          <w:sz w:val="20"/>
        </w:rPr>
      </w:pPr>
      <w:r>
        <w:rPr>
          <w:sz w:val="20"/>
        </w:rPr>
        <w:t>require</w:t>
      </w:r>
      <w:r>
        <w:rPr>
          <w:spacing w:val="-6"/>
          <w:sz w:val="20"/>
        </w:rPr>
        <w:t xml:space="preserve"> </w:t>
      </w:r>
      <w:r>
        <w:rPr>
          <w:sz w:val="20"/>
        </w:rPr>
        <w:t>certification</w:t>
      </w:r>
      <w:r>
        <w:rPr>
          <w:spacing w:val="-3"/>
          <w:sz w:val="20"/>
        </w:rPr>
        <w:t xml:space="preserve"> </w:t>
      </w:r>
      <w:r>
        <w:rPr>
          <w:sz w:val="20"/>
        </w:rPr>
        <w:t>and</w:t>
      </w:r>
      <w:r>
        <w:rPr>
          <w:spacing w:val="-3"/>
          <w:sz w:val="20"/>
        </w:rPr>
        <w:t xml:space="preserve"> </w:t>
      </w:r>
      <w:r>
        <w:rPr>
          <w:sz w:val="20"/>
        </w:rPr>
        <w:t>disclosure</w:t>
      </w:r>
      <w:r>
        <w:rPr>
          <w:spacing w:val="-3"/>
          <w:sz w:val="20"/>
        </w:rPr>
        <w:t xml:space="preserve"> </w:t>
      </w:r>
      <w:r>
        <w:rPr>
          <w:sz w:val="20"/>
        </w:rPr>
        <w:t>of</w:t>
      </w:r>
      <w:r>
        <w:rPr>
          <w:spacing w:val="-3"/>
          <w:sz w:val="20"/>
        </w:rPr>
        <w:t xml:space="preserve"> </w:t>
      </w:r>
      <w:r>
        <w:rPr>
          <w:sz w:val="20"/>
        </w:rPr>
        <w:t>all</w:t>
      </w:r>
      <w:r>
        <w:rPr>
          <w:spacing w:val="-4"/>
          <w:sz w:val="20"/>
        </w:rPr>
        <w:t xml:space="preserve"> </w:t>
      </w:r>
      <w:r>
        <w:rPr>
          <w:sz w:val="20"/>
        </w:rPr>
        <w:t>cost</w:t>
      </w:r>
      <w:r>
        <w:rPr>
          <w:spacing w:val="-3"/>
          <w:sz w:val="20"/>
        </w:rPr>
        <w:t xml:space="preserve"> </w:t>
      </w:r>
      <w:r>
        <w:rPr>
          <w:sz w:val="20"/>
        </w:rPr>
        <w:t>or</w:t>
      </w:r>
      <w:r>
        <w:rPr>
          <w:spacing w:val="-3"/>
          <w:sz w:val="20"/>
        </w:rPr>
        <w:t xml:space="preserve"> </w:t>
      </w:r>
      <w:r>
        <w:rPr>
          <w:sz w:val="20"/>
        </w:rPr>
        <w:t>pricing</w:t>
      </w:r>
      <w:r>
        <w:rPr>
          <w:spacing w:val="-3"/>
          <w:sz w:val="20"/>
        </w:rPr>
        <w:t xml:space="preserve"> </w:t>
      </w:r>
      <w:r>
        <w:rPr>
          <w:sz w:val="20"/>
        </w:rPr>
        <w:t>data</w:t>
      </w:r>
      <w:r>
        <w:rPr>
          <w:spacing w:val="-4"/>
          <w:sz w:val="20"/>
        </w:rPr>
        <w:t xml:space="preserve"> </w:t>
      </w:r>
      <w:r>
        <w:rPr>
          <w:sz w:val="20"/>
        </w:rPr>
        <w:t>in</w:t>
      </w:r>
      <w:r>
        <w:rPr>
          <w:spacing w:val="-2"/>
          <w:sz w:val="20"/>
        </w:rPr>
        <w:t xml:space="preserve"> </w:t>
      </w:r>
      <w:r>
        <w:rPr>
          <w:sz w:val="20"/>
        </w:rPr>
        <w:t>connection</w:t>
      </w:r>
      <w:r>
        <w:rPr>
          <w:spacing w:val="-3"/>
          <w:sz w:val="20"/>
        </w:rPr>
        <w:t xml:space="preserve"> </w:t>
      </w:r>
      <w:r>
        <w:rPr>
          <w:sz w:val="20"/>
        </w:rPr>
        <w:t>with</w:t>
      </w:r>
      <w:r>
        <w:rPr>
          <w:spacing w:val="-3"/>
          <w:sz w:val="20"/>
        </w:rPr>
        <w:t xml:space="preserve"> </w:t>
      </w:r>
      <w:r>
        <w:rPr>
          <w:sz w:val="20"/>
        </w:rPr>
        <w:t>certain</w:t>
      </w:r>
      <w:r>
        <w:rPr>
          <w:spacing w:val="-2"/>
          <w:sz w:val="20"/>
        </w:rPr>
        <w:t xml:space="preserve"> </w:t>
      </w:r>
      <w:r>
        <w:rPr>
          <w:sz w:val="20"/>
        </w:rPr>
        <w:t>types</w:t>
      </w:r>
      <w:r>
        <w:rPr>
          <w:spacing w:val="-4"/>
          <w:sz w:val="20"/>
        </w:rPr>
        <w:t xml:space="preserve"> </w:t>
      </w:r>
      <w:r>
        <w:rPr>
          <w:sz w:val="20"/>
        </w:rPr>
        <w:t>of</w:t>
      </w:r>
      <w:r>
        <w:rPr>
          <w:spacing w:val="-3"/>
          <w:sz w:val="20"/>
        </w:rPr>
        <w:t xml:space="preserve"> </w:t>
      </w:r>
      <w:proofErr w:type="gramStart"/>
      <w:r>
        <w:rPr>
          <w:sz w:val="20"/>
        </w:rPr>
        <w:t>contract</w:t>
      </w:r>
      <w:proofErr w:type="gramEnd"/>
      <w:r>
        <w:rPr>
          <w:spacing w:val="-3"/>
          <w:sz w:val="20"/>
        </w:rPr>
        <w:t xml:space="preserve"> </w:t>
      </w:r>
      <w:r>
        <w:rPr>
          <w:spacing w:val="-2"/>
          <w:sz w:val="20"/>
        </w:rPr>
        <w:t>negotiations;</w:t>
      </w:r>
    </w:p>
    <w:p w14:paraId="149A8FB9" w14:textId="77777777" w:rsidR="00AE2255" w:rsidRDefault="00000000">
      <w:pPr>
        <w:pStyle w:val="ListParagraph"/>
        <w:numPr>
          <w:ilvl w:val="0"/>
          <w:numId w:val="14"/>
        </w:numPr>
        <w:tabs>
          <w:tab w:val="left" w:pos="970"/>
        </w:tabs>
        <w:spacing w:before="100" w:line="249" w:lineRule="auto"/>
        <w:ind w:right="428"/>
        <w:jc w:val="both"/>
        <w:rPr>
          <w:sz w:val="20"/>
        </w:rPr>
      </w:pPr>
      <w:r>
        <w:rPr>
          <w:sz w:val="20"/>
        </w:rPr>
        <w:t xml:space="preserve">impose specific and unique cost accounting practices that may differ from U.S. generally accepted accounting principles </w:t>
      </w:r>
      <w:r>
        <w:rPr>
          <w:spacing w:val="-2"/>
          <w:sz w:val="20"/>
        </w:rPr>
        <w:t>(GAAP</w:t>
      </w:r>
      <w:proofErr w:type="gramStart"/>
      <w:r>
        <w:rPr>
          <w:spacing w:val="-2"/>
          <w:sz w:val="20"/>
        </w:rPr>
        <w:t>);</w:t>
      </w:r>
      <w:proofErr w:type="gramEnd"/>
    </w:p>
    <w:p w14:paraId="0888696D" w14:textId="77777777" w:rsidR="00AE2255" w:rsidRDefault="00000000">
      <w:pPr>
        <w:pStyle w:val="ListParagraph"/>
        <w:numPr>
          <w:ilvl w:val="0"/>
          <w:numId w:val="14"/>
        </w:numPr>
        <w:tabs>
          <w:tab w:val="left" w:pos="970"/>
        </w:tabs>
        <w:spacing w:before="92"/>
        <w:jc w:val="both"/>
        <w:rPr>
          <w:sz w:val="20"/>
        </w:rPr>
      </w:pPr>
      <w:r>
        <w:rPr>
          <w:sz w:val="20"/>
        </w:rPr>
        <w:t>impose</w:t>
      </w:r>
      <w:r>
        <w:rPr>
          <w:spacing w:val="4"/>
          <w:sz w:val="20"/>
        </w:rPr>
        <w:t xml:space="preserve"> </w:t>
      </w:r>
      <w:r>
        <w:rPr>
          <w:sz w:val="20"/>
        </w:rPr>
        <w:t>acquisition</w:t>
      </w:r>
      <w:r>
        <w:rPr>
          <w:spacing w:val="6"/>
          <w:sz w:val="20"/>
        </w:rPr>
        <w:t xml:space="preserve"> </w:t>
      </w:r>
      <w:r>
        <w:rPr>
          <w:sz w:val="20"/>
        </w:rPr>
        <w:t>regulations,</w:t>
      </w:r>
      <w:r>
        <w:rPr>
          <w:spacing w:val="7"/>
          <w:sz w:val="20"/>
        </w:rPr>
        <w:t xml:space="preserve"> </w:t>
      </w:r>
      <w:r>
        <w:rPr>
          <w:sz w:val="20"/>
        </w:rPr>
        <w:t>which</w:t>
      </w:r>
      <w:r>
        <w:rPr>
          <w:spacing w:val="6"/>
          <w:sz w:val="20"/>
        </w:rPr>
        <w:t xml:space="preserve"> </w:t>
      </w:r>
      <w:r>
        <w:rPr>
          <w:sz w:val="20"/>
        </w:rPr>
        <w:t>may</w:t>
      </w:r>
      <w:r>
        <w:rPr>
          <w:spacing w:val="7"/>
          <w:sz w:val="20"/>
        </w:rPr>
        <w:t xml:space="preserve"> </w:t>
      </w:r>
      <w:r>
        <w:rPr>
          <w:sz w:val="20"/>
        </w:rPr>
        <w:t>change</w:t>
      </w:r>
      <w:r>
        <w:rPr>
          <w:spacing w:val="6"/>
          <w:sz w:val="20"/>
        </w:rPr>
        <w:t xml:space="preserve"> </w:t>
      </w:r>
      <w:r>
        <w:rPr>
          <w:sz w:val="20"/>
        </w:rPr>
        <w:t>or</w:t>
      </w:r>
      <w:r>
        <w:rPr>
          <w:spacing w:val="6"/>
          <w:sz w:val="20"/>
        </w:rPr>
        <w:t xml:space="preserve"> </w:t>
      </w:r>
      <w:r>
        <w:rPr>
          <w:sz w:val="20"/>
        </w:rPr>
        <w:t>be</w:t>
      </w:r>
      <w:r>
        <w:rPr>
          <w:spacing w:val="7"/>
          <w:sz w:val="20"/>
        </w:rPr>
        <w:t xml:space="preserve"> </w:t>
      </w:r>
      <w:r>
        <w:rPr>
          <w:sz w:val="20"/>
        </w:rPr>
        <w:t>replaced</w:t>
      </w:r>
      <w:r>
        <w:rPr>
          <w:spacing w:val="6"/>
          <w:sz w:val="20"/>
        </w:rPr>
        <w:t xml:space="preserve"> </w:t>
      </w:r>
      <w:r>
        <w:rPr>
          <w:sz w:val="20"/>
        </w:rPr>
        <w:t>over</w:t>
      </w:r>
      <w:r>
        <w:rPr>
          <w:spacing w:val="7"/>
          <w:sz w:val="20"/>
        </w:rPr>
        <w:t xml:space="preserve"> </w:t>
      </w:r>
      <w:r>
        <w:rPr>
          <w:sz w:val="20"/>
        </w:rPr>
        <w:t>time,</w:t>
      </w:r>
      <w:r>
        <w:rPr>
          <w:spacing w:val="6"/>
          <w:sz w:val="20"/>
        </w:rPr>
        <w:t xml:space="preserve"> </w:t>
      </w:r>
      <w:r>
        <w:rPr>
          <w:sz w:val="20"/>
        </w:rPr>
        <w:t>that</w:t>
      </w:r>
      <w:r>
        <w:rPr>
          <w:spacing w:val="7"/>
          <w:sz w:val="20"/>
        </w:rPr>
        <w:t xml:space="preserve"> </w:t>
      </w:r>
      <w:r>
        <w:rPr>
          <w:sz w:val="20"/>
        </w:rPr>
        <w:t>define</w:t>
      </w:r>
      <w:r>
        <w:rPr>
          <w:spacing w:val="6"/>
          <w:sz w:val="20"/>
        </w:rPr>
        <w:t xml:space="preserve"> </w:t>
      </w:r>
      <w:r>
        <w:rPr>
          <w:sz w:val="20"/>
        </w:rPr>
        <w:t>which</w:t>
      </w:r>
      <w:r>
        <w:rPr>
          <w:spacing w:val="6"/>
          <w:sz w:val="20"/>
        </w:rPr>
        <w:t xml:space="preserve"> </w:t>
      </w:r>
      <w:r>
        <w:rPr>
          <w:sz w:val="20"/>
        </w:rPr>
        <w:t>costs</w:t>
      </w:r>
      <w:r>
        <w:rPr>
          <w:spacing w:val="7"/>
          <w:sz w:val="20"/>
        </w:rPr>
        <w:t xml:space="preserve"> </w:t>
      </w:r>
      <w:r>
        <w:rPr>
          <w:sz w:val="20"/>
        </w:rPr>
        <w:t>can</w:t>
      </w:r>
      <w:r>
        <w:rPr>
          <w:spacing w:val="6"/>
          <w:sz w:val="20"/>
        </w:rPr>
        <w:t xml:space="preserve"> </w:t>
      </w:r>
      <w:r>
        <w:rPr>
          <w:sz w:val="20"/>
        </w:rPr>
        <w:t>be</w:t>
      </w:r>
      <w:r>
        <w:rPr>
          <w:spacing w:val="7"/>
          <w:sz w:val="20"/>
        </w:rPr>
        <w:t xml:space="preserve"> </w:t>
      </w:r>
      <w:r>
        <w:rPr>
          <w:sz w:val="20"/>
        </w:rPr>
        <w:t>charged</w:t>
      </w:r>
      <w:r>
        <w:rPr>
          <w:spacing w:val="6"/>
          <w:sz w:val="20"/>
        </w:rPr>
        <w:t xml:space="preserve"> </w:t>
      </w:r>
      <w:proofErr w:type="gramStart"/>
      <w:r>
        <w:rPr>
          <w:sz w:val="20"/>
        </w:rPr>
        <w:t>to</w:t>
      </w:r>
      <w:proofErr w:type="gramEnd"/>
      <w:r>
        <w:rPr>
          <w:spacing w:val="7"/>
          <w:sz w:val="20"/>
        </w:rPr>
        <w:t xml:space="preserve"> </w:t>
      </w:r>
      <w:r>
        <w:rPr>
          <w:spacing w:val="-5"/>
          <w:sz w:val="20"/>
        </w:rPr>
        <w:t>the</w:t>
      </w:r>
    </w:p>
    <w:p w14:paraId="74413D6E" w14:textId="77777777" w:rsidR="00AE2255" w:rsidRDefault="00000000">
      <w:pPr>
        <w:pStyle w:val="BodyText"/>
        <w:spacing w:before="10" w:line="249" w:lineRule="auto"/>
        <w:ind w:left="970" w:right="431"/>
        <w:jc w:val="both"/>
      </w:pPr>
      <w:r>
        <w:t>U.S.</w:t>
      </w:r>
      <w:r>
        <w:rPr>
          <w:spacing w:val="-3"/>
        </w:rPr>
        <w:t xml:space="preserve"> </w:t>
      </w:r>
      <w:r>
        <w:t>Government,</w:t>
      </w:r>
      <w:r>
        <w:rPr>
          <w:spacing w:val="-3"/>
        </w:rPr>
        <w:t xml:space="preserve"> </w:t>
      </w:r>
      <w:r>
        <w:t>how</w:t>
      </w:r>
      <w:r>
        <w:rPr>
          <w:spacing w:val="-3"/>
        </w:rPr>
        <w:t xml:space="preserve"> </w:t>
      </w:r>
      <w:r>
        <w:t>and</w:t>
      </w:r>
      <w:r>
        <w:rPr>
          <w:spacing w:val="-3"/>
        </w:rPr>
        <w:t xml:space="preserve"> </w:t>
      </w:r>
      <w:r>
        <w:t>when</w:t>
      </w:r>
      <w:r>
        <w:rPr>
          <w:spacing w:val="-3"/>
        </w:rPr>
        <w:t xml:space="preserve"> </w:t>
      </w:r>
      <w:r>
        <w:t>costs</w:t>
      </w:r>
      <w:r>
        <w:rPr>
          <w:spacing w:val="-3"/>
        </w:rPr>
        <w:t xml:space="preserve"> </w:t>
      </w:r>
      <w:r>
        <w:t>can</w:t>
      </w:r>
      <w:r>
        <w:rPr>
          <w:spacing w:val="-3"/>
        </w:rPr>
        <w:t xml:space="preserve"> </w:t>
      </w:r>
      <w:r>
        <w:t>be</w:t>
      </w:r>
      <w:r>
        <w:rPr>
          <w:spacing w:val="-3"/>
        </w:rPr>
        <w:t xml:space="preserve"> </w:t>
      </w:r>
      <w:r>
        <w:t>charged,</w:t>
      </w:r>
      <w:r>
        <w:rPr>
          <w:spacing w:val="-3"/>
        </w:rPr>
        <w:t xml:space="preserve"> </w:t>
      </w:r>
      <w:r>
        <w:t>and</w:t>
      </w:r>
      <w:r>
        <w:rPr>
          <w:spacing w:val="-3"/>
        </w:rPr>
        <w:t xml:space="preserve"> </w:t>
      </w:r>
      <w:r>
        <w:t>otherwise</w:t>
      </w:r>
      <w:r>
        <w:rPr>
          <w:spacing w:val="-3"/>
        </w:rPr>
        <w:t xml:space="preserve"> </w:t>
      </w:r>
      <w:r>
        <w:t>govern</w:t>
      </w:r>
      <w:r>
        <w:rPr>
          <w:spacing w:val="-3"/>
        </w:rPr>
        <w:t xml:space="preserve"> </w:t>
      </w:r>
      <w:r>
        <w:t>our</w:t>
      </w:r>
      <w:r>
        <w:rPr>
          <w:spacing w:val="-3"/>
        </w:rPr>
        <w:t xml:space="preserve"> </w:t>
      </w:r>
      <w:r>
        <w:t>right</w:t>
      </w:r>
      <w:r>
        <w:rPr>
          <w:spacing w:val="-3"/>
        </w:rPr>
        <w:t xml:space="preserve"> </w:t>
      </w:r>
      <w:r>
        <w:t>to</w:t>
      </w:r>
      <w:r>
        <w:rPr>
          <w:spacing w:val="-3"/>
        </w:rPr>
        <w:t xml:space="preserve"> </w:t>
      </w:r>
      <w:r>
        <w:t>reimbursement</w:t>
      </w:r>
      <w:r>
        <w:rPr>
          <w:spacing w:val="-3"/>
        </w:rPr>
        <w:t xml:space="preserve"> </w:t>
      </w:r>
      <w:r>
        <w:t>under</w:t>
      </w:r>
      <w:r>
        <w:rPr>
          <w:spacing w:val="-3"/>
        </w:rPr>
        <w:t xml:space="preserve"> </w:t>
      </w:r>
      <w:r>
        <w:t>certain</w:t>
      </w:r>
      <w:r>
        <w:rPr>
          <w:spacing w:val="-3"/>
        </w:rPr>
        <w:t xml:space="preserve"> </w:t>
      </w:r>
      <w:r>
        <w:t xml:space="preserve">U.S. Government and foreign </w:t>
      </w:r>
      <w:proofErr w:type="gramStart"/>
      <w:r>
        <w:t>contracts;</w:t>
      </w:r>
      <w:proofErr w:type="gramEnd"/>
    </w:p>
    <w:p w14:paraId="05DEA611" w14:textId="77777777" w:rsidR="00AE2255" w:rsidRDefault="00000000">
      <w:pPr>
        <w:pStyle w:val="ListParagraph"/>
        <w:numPr>
          <w:ilvl w:val="0"/>
          <w:numId w:val="14"/>
        </w:numPr>
        <w:tabs>
          <w:tab w:val="left" w:pos="970"/>
        </w:tabs>
        <w:spacing w:before="92" w:line="249" w:lineRule="auto"/>
        <w:ind w:right="428"/>
        <w:jc w:val="both"/>
        <w:rPr>
          <w:sz w:val="20"/>
        </w:rPr>
      </w:pPr>
      <w:r>
        <w:rPr>
          <w:sz w:val="20"/>
        </w:rPr>
        <w:t>require</w:t>
      </w:r>
      <w:r>
        <w:rPr>
          <w:spacing w:val="-1"/>
          <w:sz w:val="20"/>
        </w:rPr>
        <w:t xml:space="preserve"> </w:t>
      </w:r>
      <w:r>
        <w:rPr>
          <w:sz w:val="20"/>
        </w:rPr>
        <w:t>specific</w:t>
      </w:r>
      <w:r>
        <w:rPr>
          <w:spacing w:val="-1"/>
          <w:sz w:val="20"/>
        </w:rPr>
        <w:t xml:space="preserve"> </w:t>
      </w:r>
      <w:r>
        <w:rPr>
          <w:sz w:val="20"/>
        </w:rPr>
        <w:t>security</w:t>
      </w:r>
      <w:r>
        <w:rPr>
          <w:spacing w:val="-1"/>
          <w:sz w:val="20"/>
        </w:rPr>
        <w:t xml:space="preserve"> </w:t>
      </w:r>
      <w:r>
        <w:rPr>
          <w:sz w:val="20"/>
        </w:rPr>
        <w:t>controls</w:t>
      </w:r>
      <w:r>
        <w:rPr>
          <w:spacing w:val="-1"/>
          <w:sz w:val="20"/>
        </w:rPr>
        <w:t xml:space="preserve"> </w:t>
      </w:r>
      <w:r>
        <w:rPr>
          <w:sz w:val="20"/>
        </w:rPr>
        <w:t>to</w:t>
      </w:r>
      <w:r>
        <w:rPr>
          <w:spacing w:val="-1"/>
          <w:sz w:val="20"/>
        </w:rPr>
        <w:t xml:space="preserve"> </w:t>
      </w:r>
      <w:r>
        <w:rPr>
          <w:sz w:val="20"/>
        </w:rPr>
        <w:t>protect</w:t>
      </w:r>
      <w:r>
        <w:rPr>
          <w:spacing w:val="-1"/>
          <w:sz w:val="20"/>
        </w:rPr>
        <w:t xml:space="preserve"> </w:t>
      </w:r>
      <w:r>
        <w:rPr>
          <w:sz w:val="20"/>
        </w:rPr>
        <w:t>U.S.</w:t>
      </w:r>
      <w:r>
        <w:rPr>
          <w:spacing w:val="-1"/>
          <w:sz w:val="20"/>
        </w:rPr>
        <w:t xml:space="preserve"> </w:t>
      </w:r>
      <w:r>
        <w:rPr>
          <w:sz w:val="20"/>
        </w:rPr>
        <w:t>Government</w:t>
      </w:r>
      <w:r>
        <w:rPr>
          <w:spacing w:val="-1"/>
          <w:sz w:val="20"/>
        </w:rPr>
        <w:t xml:space="preserve"> </w:t>
      </w:r>
      <w:r>
        <w:rPr>
          <w:sz w:val="20"/>
        </w:rPr>
        <w:t>controlled</w:t>
      </w:r>
      <w:r>
        <w:rPr>
          <w:spacing w:val="-1"/>
          <w:sz w:val="20"/>
        </w:rPr>
        <w:t xml:space="preserve"> </w:t>
      </w:r>
      <w:r>
        <w:rPr>
          <w:sz w:val="20"/>
        </w:rPr>
        <w:t>unclassified</w:t>
      </w:r>
      <w:r>
        <w:rPr>
          <w:spacing w:val="-1"/>
          <w:sz w:val="20"/>
        </w:rPr>
        <w:t xml:space="preserve"> </w:t>
      </w:r>
      <w:r>
        <w:rPr>
          <w:sz w:val="20"/>
        </w:rPr>
        <w:t>information</w:t>
      </w:r>
      <w:r>
        <w:rPr>
          <w:spacing w:val="-1"/>
          <w:sz w:val="20"/>
        </w:rPr>
        <w:t xml:space="preserve"> </w:t>
      </w:r>
      <w:r>
        <w:rPr>
          <w:sz w:val="20"/>
        </w:rPr>
        <w:t>and</w:t>
      </w:r>
      <w:r>
        <w:rPr>
          <w:spacing w:val="-1"/>
          <w:sz w:val="20"/>
        </w:rPr>
        <w:t xml:space="preserve"> </w:t>
      </w:r>
      <w:r>
        <w:rPr>
          <w:sz w:val="20"/>
        </w:rPr>
        <w:t>that</w:t>
      </w:r>
      <w:r>
        <w:rPr>
          <w:spacing w:val="-1"/>
          <w:sz w:val="20"/>
        </w:rPr>
        <w:t xml:space="preserve"> </w:t>
      </w:r>
      <w:r>
        <w:rPr>
          <w:sz w:val="20"/>
        </w:rPr>
        <w:t>our</w:t>
      </w:r>
      <w:r>
        <w:rPr>
          <w:spacing w:val="-1"/>
          <w:sz w:val="20"/>
        </w:rPr>
        <w:t xml:space="preserve"> </w:t>
      </w:r>
      <w:r>
        <w:rPr>
          <w:sz w:val="20"/>
        </w:rPr>
        <w:t>suppliers</w:t>
      </w:r>
      <w:r>
        <w:rPr>
          <w:spacing w:val="-1"/>
          <w:sz w:val="20"/>
        </w:rPr>
        <w:t xml:space="preserve"> </w:t>
      </w:r>
      <w:r>
        <w:rPr>
          <w:sz w:val="20"/>
        </w:rPr>
        <w:t xml:space="preserve">that have access to this type of information comply with cyber security </w:t>
      </w:r>
      <w:proofErr w:type="gramStart"/>
      <w:r>
        <w:rPr>
          <w:sz w:val="20"/>
        </w:rPr>
        <w:t>regulations;</w:t>
      </w:r>
      <w:proofErr w:type="gramEnd"/>
    </w:p>
    <w:p w14:paraId="49958C74" w14:textId="77777777" w:rsidR="00AE2255" w:rsidRDefault="00000000">
      <w:pPr>
        <w:pStyle w:val="ListParagraph"/>
        <w:numPr>
          <w:ilvl w:val="0"/>
          <w:numId w:val="14"/>
        </w:numPr>
        <w:tabs>
          <w:tab w:val="left" w:pos="970"/>
        </w:tabs>
        <w:spacing w:before="91" w:line="249" w:lineRule="auto"/>
        <w:ind w:right="429"/>
        <w:jc w:val="both"/>
        <w:rPr>
          <w:sz w:val="20"/>
        </w:rPr>
      </w:pPr>
      <w:r>
        <w:rPr>
          <w:sz w:val="20"/>
        </w:rPr>
        <w:t>restrict</w:t>
      </w:r>
      <w:r>
        <w:rPr>
          <w:spacing w:val="-3"/>
          <w:sz w:val="20"/>
        </w:rPr>
        <w:t xml:space="preserve"> </w:t>
      </w:r>
      <w:r>
        <w:rPr>
          <w:sz w:val="20"/>
        </w:rPr>
        <w:t>the</w:t>
      </w:r>
      <w:r>
        <w:rPr>
          <w:spacing w:val="-3"/>
          <w:sz w:val="20"/>
        </w:rPr>
        <w:t xml:space="preserve"> </w:t>
      </w:r>
      <w:r>
        <w:rPr>
          <w:sz w:val="20"/>
        </w:rPr>
        <w:t>use</w:t>
      </w:r>
      <w:r>
        <w:rPr>
          <w:spacing w:val="-3"/>
          <w:sz w:val="20"/>
        </w:rPr>
        <w:t xml:space="preserve"> </w:t>
      </w:r>
      <w:r>
        <w:rPr>
          <w:sz w:val="20"/>
        </w:rPr>
        <w:t>and</w:t>
      </w:r>
      <w:r>
        <w:rPr>
          <w:spacing w:val="-3"/>
          <w:sz w:val="20"/>
        </w:rPr>
        <w:t xml:space="preserve"> </w:t>
      </w:r>
      <w:r>
        <w:rPr>
          <w:sz w:val="20"/>
        </w:rPr>
        <w:t>dissemination</w:t>
      </w:r>
      <w:r>
        <w:rPr>
          <w:spacing w:val="-3"/>
          <w:sz w:val="20"/>
        </w:rPr>
        <w:t xml:space="preserve"> </w:t>
      </w:r>
      <w:r>
        <w:rPr>
          <w:sz w:val="20"/>
        </w:rPr>
        <w:t>of</w:t>
      </w:r>
      <w:r>
        <w:rPr>
          <w:spacing w:val="-3"/>
          <w:sz w:val="20"/>
        </w:rPr>
        <w:t xml:space="preserve"> </w:t>
      </w:r>
      <w:r>
        <w:rPr>
          <w:sz w:val="20"/>
        </w:rPr>
        <w:t>information</w:t>
      </w:r>
      <w:r>
        <w:rPr>
          <w:spacing w:val="-3"/>
          <w:sz w:val="20"/>
        </w:rPr>
        <w:t xml:space="preserve"> </w:t>
      </w:r>
      <w:r>
        <w:rPr>
          <w:sz w:val="20"/>
        </w:rPr>
        <w:t>classified</w:t>
      </w:r>
      <w:r>
        <w:rPr>
          <w:spacing w:val="-3"/>
          <w:sz w:val="20"/>
        </w:rPr>
        <w:t xml:space="preserve"> </w:t>
      </w:r>
      <w:r>
        <w:rPr>
          <w:sz w:val="20"/>
        </w:rPr>
        <w:t>for</w:t>
      </w:r>
      <w:r>
        <w:rPr>
          <w:spacing w:val="-3"/>
          <w:sz w:val="20"/>
        </w:rPr>
        <w:t xml:space="preserve"> </w:t>
      </w:r>
      <w:r>
        <w:rPr>
          <w:sz w:val="20"/>
        </w:rPr>
        <w:t>national</w:t>
      </w:r>
      <w:r>
        <w:rPr>
          <w:spacing w:val="-3"/>
          <w:sz w:val="20"/>
        </w:rPr>
        <w:t xml:space="preserve"> </w:t>
      </w:r>
      <w:r>
        <w:rPr>
          <w:sz w:val="20"/>
        </w:rPr>
        <w:t>security</w:t>
      </w:r>
      <w:r>
        <w:rPr>
          <w:spacing w:val="-3"/>
          <w:sz w:val="20"/>
        </w:rPr>
        <w:t xml:space="preserve"> </w:t>
      </w:r>
      <w:r>
        <w:rPr>
          <w:sz w:val="20"/>
        </w:rPr>
        <w:t>purposes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export</w:t>
      </w:r>
      <w:r>
        <w:rPr>
          <w:spacing w:val="-3"/>
          <w:sz w:val="20"/>
        </w:rPr>
        <w:t xml:space="preserve"> </w:t>
      </w:r>
      <w:r>
        <w:rPr>
          <w:sz w:val="20"/>
        </w:rPr>
        <w:t>of</w:t>
      </w:r>
      <w:r>
        <w:rPr>
          <w:spacing w:val="-3"/>
          <w:sz w:val="20"/>
        </w:rPr>
        <w:t xml:space="preserve"> </w:t>
      </w:r>
      <w:r>
        <w:rPr>
          <w:sz w:val="20"/>
        </w:rPr>
        <w:t>certain</w:t>
      </w:r>
      <w:r>
        <w:rPr>
          <w:spacing w:val="-3"/>
          <w:sz w:val="20"/>
        </w:rPr>
        <w:t xml:space="preserve"> </w:t>
      </w:r>
      <w:r>
        <w:rPr>
          <w:sz w:val="20"/>
        </w:rPr>
        <w:t xml:space="preserve">products, services and technical </w:t>
      </w:r>
      <w:proofErr w:type="gramStart"/>
      <w:r>
        <w:rPr>
          <w:sz w:val="20"/>
        </w:rPr>
        <w:t>data;</w:t>
      </w:r>
      <w:proofErr w:type="gramEnd"/>
    </w:p>
    <w:p w14:paraId="093A136A" w14:textId="77777777" w:rsidR="00AE2255" w:rsidRDefault="00000000">
      <w:pPr>
        <w:pStyle w:val="ListParagraph"/>
        <w:numPr>
          <w:ilvl w:val="0"/>
          <w:numId w:val="14"/>
        </w:numPr>
        <w:tabs>
          <w:tab w:val="left" w:pos="970"/>
        </w:tabs>
        <w:spacing w:before="92" w:line="249" w:lineRule="auto"/>
        <w:ind w:right="429"/>
        <w:jc w:val="both"/>
        <w:rPr>
          <w:sz w:val="20"/>
        </w:rPr>
      </w:pPr>
      <w:r>
        <w:rPr>
          <w:sz w:val="20"/>
        </w:rPr>
        <w:t>Prohibit the acquisition from or use by contractors of materials, products or services procured from certain countries or entities located outside the United States (e.g., the prohibition on the acquisition of sensitive materials from non-allied foreign nations and prohibition on the acquisition and use of certain telecommunications and video surveillance services or equipment); and</w:t>
      </w:r>
    </w:p>
    <w:p w14:paraId="140771BF" w14:textId="77777777" w:rsidR="00AE2255" w:rsidRDefault="00000000">
      <w:pPr>
        <w:pStyle w:val="ListParagraph"/>
        <w:numPr>
          <w:ilvl w:val="0"/>
          <w:numId w:val="14"/>
        </w:numPr>
        <w:tabs>
          <w:tab w:val="left" w:pos="970"/>
        </w:tabs>
        <w:spacing w:before="93" w:line="249" w:lineRule="auto"/>
        <w:ind w:right="428"/>
        <w:jc w:val="both"/>
        <w:rPr>
          <w:sz w:val="20"/>
        </w:rPr>
      </w:pPr>
      <w:r>
        <w:rPr>
          <w:sz w:val="20"/>
        </w:rPr>
        <w:t>require the review and approval of contractor business systems, including accounting systems, estimating systems, earned value management systems for managing cost and schedule performance on certain complex programs, purchasing</w:t>
      </w:r>
      <w:r>
        <w:rPr>
          <w:spacing w:val="40"/>
          <w:sz w:val="20"/>
        </w:rPr>
        <w:t xml:space="preserve"> </w:t>
      </w:r>
      <w:r>
        <w:rPr>
          <w:sz w:val="20"/>
        </w:rPr>
        <w:t xml:space="preserve">systems, material management and accounting systems for planning, </w:t>
      </w:r>
      <w:proofErr w:type="gramStart"/>
      <w:r>
        <w:rPr>
          <w:sz w:val="20"/>
        </w:rPr>
        <w:t>controlling</w:t>
      </w:r>
      <w:proofErr w:type="gramEnd"/>
      <w:r>
        <w:rPr>
          <w:sz w:val="20"/>
        </w:rPr>
        <w:t xml:space="preserve"> and accounting for the acquisition, use, issuing and disposition of material, and property management systems.</w:t>
      </w:r>
    </w:p>
    <w:p w14:paraId="7CA3749D" w14:textId="77777777" w:rsidR="00AE2255" w:rsidRDefault="00AE2255">
      <w:pPr>
        <w:pStyle w:val="BodyText"/>
        <w:spacing w:before="8"/>
        <w:rPr>
          <w:sz w:val="17"/>
        </w:rPr>
      </w:pPr>
    </w:p>
    <w:p w14:paraId="25BDAF23" w14:textId="77777777" w:rsidR="00AE2255" w:rsidRDefault="00000000">
      <w:pPr>
        <w:pStyle w:val="BodyText"/>
        <w:spacing w:line="249" w:lineRule="auto"/>
        <w:ind w:left="610" w:right="427" w:firstLine="360"/>
        <w:jc w:val="both"/>
      </w:pPr>
      <w:r>
        <w:t>The U.S. Government and in limited cases certain other governments may terminate any of our government contracts and subcontracts</w:t>
      </w:r>
      <w:r>
        <w:rPr>
          <w:spacing w:val="-1"/>
        </w:rPr>
        <w:t xml:space="preserve"> </w:t>
      </w:r>
      <w:r>
        <w:t>either</w:t>
      </w:r>
      <w:r>
        <w:rPr>
          <w:spacing w:val="-1"/>
        </w:rPr>
        <w:t xml:space="preserve"> </w:t>
      </w:r>
      <w:r>
        <w:t>at</w:t>
      </w:r>
      <w:r>
        <w:rPr>
          <w:spacing w:val="-1"/>
        </w:rPr>
        <w:t xml:space="preserve"> </w:t>
      </w:r>
      <w:r>
        <w:t>their</w:t>
      </w:r>
      <w:r>
        <w:rPr>
          <w:spacing w:val="-1"/>
        </w:rPr>
        <w:t xml:space="preserve"> </w:t>
      </w:r>
      <w:r>
        <w:t>convenience</w:t>
      </w:r>
      <w:r>
        <w:rPr>
          <w:spacing w:val="-1"/>
        </w:rPr>
        <w:t xml:space="preserve"> </w:t>
      </w:r>
      <w:r>
        <w:t>or</w:t>
      </w:r>
      <w:r>
        <w:rPr>
          <w:spacing w:val="-1"/>
        </w:rPr>
        <w:t xml:space="preserve"> </w:t>
      </w:r>
      <w:r>
        <w:t>for</w:t>
      </w:r>
      <w:r>
        <w:rPr>
          <w:spacing w:val="-1"/>
        </w:rPr>
        <w:t xml:space="preserve"> </w:t>
      </w:r>
      <w:r>
        <w:t>default</w:t>
      </w:r>
      <w:r>
        <w:rPr>
          <w:spacing w:val="-1"/>
        </w:rPr>
        <w:t xml:space="preserve"> </w:t>
      </w:r>
      <w:r>
        <w:t>based</w:t>
      </w:r>
      <w:r>
        <w:rPr>
          <w:spacing w:val="-1"/>
        </w:rPr>
        <w:t xml:space="preserve"> </w:t>
      </w:r>
      <w:r>
        <w:t>on</w:t>
      </w:r>
      <w:r>
        <w:rPr>
          <w:spacing w:val="-1"/>
        </w:rPr>
        <w:t xml:space="preserve"> </w:t>
      </w:r>
      <w:r>
        <w:t>our</w:t>
      </w:r>
      <w:r>
        <w:rPr>
          <w:spacing w:val="-1"/>
        </w:rPr>
        <w:t xml:space="preserve"> </w:t>
      </w:r>
      <w:r>
        <w:t>performance.</w:t>
      </w:r>
      <w:r>
        <w:rPr>
          <w:spacing w:val="-1"/>
        </w:rPr>
        <w:t xml:space="preserve"> </w:t>
      </w:r>
      <w:r>
        <w:t>If</w:t>
      </w:r>
      <w:r>
        <w:rPr>
          <w:spacing w:val="-1"/>
        </w:rPr>
        <w:t xml:space="preserve"> </w:t>
      </w:r>
      <w:r>
        <w:t>a</w:t>
      </w:r>
      <w:r>
        <w:rPr>
          <w:spacing w:val="-1"/>
        </w:rPr>
        <w:t xml:space="preserve"> </w:t>
      </w:r>
      <w:r>
        <w:t>contract</w:t>
      </w:r>
      <w:r>
        <w:rPr>
          <w:spacing w:val="-1"/>
        </w:rPr>
        <w:t xml:space="preserve"> </w:t>
      </w:r>
      <w:r>
        <w:t>is</w:t>
      </w:r>
      <w:r>
        <w:rPr>
          <w:spacing w:val="-1"/>
        </w:rPr>
        <w:t xml:space="preserve"> </w:t>
      </w:r>
      <w:r>
        <w:t>terminated</w:t>
      </w:r>
      <w:r>
        <w:rPr>
          <w:spacing w:val="-1"/>
        </w:rPr>
        <w:t xml:space="preserve"> </w:t>
      </w:r>
      <w:r>
        <w:t>for</w:t>
      </w:r>
      <w:r>
        <w:rPr>
          <w:spacing w:val="-1"/>
        </w:rPr>
        <w:t xml:space="preserve"> </w:t>
      </w:r>
      <w:r>
        <w:t>convenience,</w:t>
      </w:r>
      <w:r>
        <w:rPr>
          <w:spacing w:val="-1"/>
        </w:rPr>
        <w:t xml:space="preserve"> </w:t>
      </w:r>
      <w:r>
        <w:t>we generally are protected by provisions covering reimbursement for costs incurred on the contract and profit on those costs. If a contract is terminated for default, we generally are entitled to payments for our work that has been accepted by the U.S. Government or other governments; however, the U.S. Government and other governments could make claims to reduce our recovery or recoup its procurement costs and could assess other special penalties. For more information regarding the U.S. Government’s</w:t>
      </w:r>
      <w:r>
        <w:rPr>
          <w:spacing w:val="-3"/>
        </w:rPr>
        <w:t xml:space="preserve"> </w:t>
      </w:r>
      <w:r>
        <w:t>and</w:t>
      </w:r>
      <w:r>
        <w:rPr>
          <w:spacing w:val="-3"/>
        </w:rPr>
        <w:t xml:space="preserve"> </w:t>
      </w:r>
      <w:r>
        <w:t>other</w:t>
      </w:r>
      <w:r>
        <w:rPr>
          <w:spacing w:val="-3"/>
        </w:rPr>
        <w:t xml:space="preserve"> </w:t>
      </w:r>
      <w:r>
        <w:t>governments’</w:t>
      </w:r>
      <w:r>
        <w:rPr>
          <w:spacing w:val="-3"/>
        </w:rPr>
        <w:t xml:space="preserve"> </w:t>
      </w:r>
      <w:r>
        <w:t>right</w:t>
      </w:r>
      <w:r>
        <w:rPr>
          <w:spacing w:val="-3"/>
        </w:rPr>
        <w:t xml:space="preserve"> </w:t>
      </w:r>
      <w:r>
        <w:t>to</w:t>
      </w:r>
      <w:r>
        <w:rPr>
          <w:spacing w:val="-3"/>
        </w:rPr>
        <w:t xml:space="preserve"> </w:t>
      </w:r>
      <w:r>
        <w:t>terminate</w:t>
      </w:r>
      <w:r>
        <w:rPr>
          <w:spacing w:val="-3"/>
        </w:rPr>
        <w:t xml:space="preserve"> </w:t>
      </w:r>
      <w:r>
        <w:t>our</w:t>
      </w:r>
      <w:r>
        <w:rPr>
          <w:spacing w:val="-3"/>
        </w:rPr>
        <w:t xml:space="preserve"> </w:t>
      </w:r>
      <w:r>
        <w:t>contracts</w:t>
      </w:r>
      <w:r>
        <w:rPr>
          <w:spacing w:val="-3"/>
        </w:rPr>
        <w:t xml:space="preserve"> </w:t>
      </w:r>
      <w:r>
        <w:t>and</w:t>
      </w:r>
      <w:r>
        <w:rPr>
          <w:spacing w:val="-3"/>
        </w:rPr>
        <w:t xml:space="preserve"> </w:t>
      </w:r>
      <w:r>
        <w:t>the</w:t>
      </w:r>
      <w:r>
        <w:rPr>
          <w:spacing w:val="-3"/>
        </w:rPr>
        <w:t xml:space="preserve"> </w:t>
      </w:r>
      <w:r>
        <w:t>risks</w:t>
      </w:r>
      <w:r>
        <w:rPr>
          <w:spacing w:val="-3"/>
        </w:rPr>
        <w:t xml:space="preserve"> </w:t>
      </w:r>
      <w:r>
        <w:t>of</w:t>
      </w:r>
      <w:r>
        <w:rPr>
          <w:spacing w:val="-3"/>
        </w:rPr>
        <w:t xml:space="preserve"> </w:t>
      </w:r>
      <w:r>
        <w:t>doing</w:t>
      </w:r>
      <w:r>
        <w:rPr>
          <w:spacing w:val="-3"/>
        </w:rPr>
        <w:t xml:space="preserve"> </w:t>
      </w:r>
      <w:r>
        <w:t>work</w:t>
      </w:r>
      <w:r>
        <w:rPr>
          <w:spacing w:val="-3"/>
        </w:rPr>
        <w:t xml:space="preserve"> </w:t>
      </w:r>
      <w:r>
        <w:t>internationally,</w:t>
      </w:r>
      <w:r>
        <w:rPr>
          <w:spacing w:val="-3"/>
        </w:rPr>
        <w:t xml:space="preserve"> </w:t>
      </w:r>
      <w:r>
        <w:t>see</w:t>
      </w:r>
      <w:r>
        <w:rPr>
          <w:spacing w:val="-3"/>
        </w:rPr>
        <w:t xml:space="preserve"> </w:t>
      </w:r>
      <w:r>
        <w:t>Item</w:t>
      </w:r>
      <w:r>
        <w:rPr>
          <w:spacing w:val="-3"/>
        </w:rPr>
        <w:t xml:space="preserve"> </w:t>
      </w:r>
      <w:r>
        <w:t>1A</w:t>
      </w:r>
      <w:r>
        <w:rPr>
          <w:spacing w:val="-3"/>
        </w:rPr>
        <w:t xml:space="preserve"> </w:t>
      </w:r>
      <w:r>
        <w:t>- Risk Factors. For more information regarding government contracting laws and regulations, see Item 1A - Risk Factors as well as “Critical Accounting Policies - Contract Accounting / Sales Recognition” in Management’s Discussion and Analysis of Financial Condition and Results of Operations.</w:t>
      </w:r>
    </w:p>
    <w:p w14:paraId="78F48E2E" w14:textId="77777777" w:rsidR="00AE2255" w:rsidRDefault="00AE2255">
      <w:pPr>
        <w:pStyle w:val="BodyText"/>
        <w:spacing w:before="1"/>
        <w:rPr>
          <w:sz w:val="18"/>
        </w:rPr>
      </w:pPr>
    </w:p>
    <w:p w14:paraId="58FF6AF4" w14:textId="77777777" w:rsidR="00AE2255" w:rsidRDefault="00000000">
      <w:pPr>
        <w:pStyle w:val="BodyText"/>
        <w:spacing w:line="249" w:lineRule="auto"/>
        <w:ind w:left="610" w:right="428" w:firstLine="360"/>
        <w:jc w:val="both"/>
      </w:pPr>
      <w:r>
        <w:t xml:space="preserve">Additionally, our programs for the U.S. Government often operate for periods of time under </w:t>
      </w:r>
      <w:proofErr w:type="spellStart"/>
      <w:r>
        <w:t>undefinitized</w:t>
      </w:r>
      <w:proofErr w:type="spellEnd"/>
      <w:r>
        <w:t xml:space="preserve"> contract actions (UCAs), which means that we begin performing our obligations before the terms, specifications or price are finally agreed to between the parties. Although in most cases we historically have reached mutual agreement to definitize our UCAs, the U.S. Government </w:t>
      </w:r>
      <w:proofErr w:type="gramStart"/>
      <w:r>
        <w:t>has the ability to</w:t>
      </w:r>
      <w:proofErr w:type="gramEnd"/>
      <w:r>
        <w:t xml:space="preserve"> unilaterally definitize contracts and has done so in the past. Absent a successful appeal of such action, the unilateral </w:t>
      </w:r>
      <w:proofErr w:type="spellStart"/>
      <w:r>
        <w:t>definitization</w:t>
      </w:r>
      <w:proofErr w:type="spellEnd"/>
      <w:r>
        <w:t xml:space="preserve"> of the contract obligates us to perform under terms and conditions imposed by the U.S. Government.</w:t>
      </w:r>
      <w:r>
        <w:rPr>
          <w:spacing w:val="24"/>
        </w:rPr>
        <w:t xml:space="preserve"> </w:t>
      </w:r>
      <w:r>
        <w:t>The</w:t>
      </w:r>
      <w:r>
        <w:rPr>
          <w:spacing w:val="24"/>
        </w:rPr>
        <w:t xml:space="preserve"> </w:t>
      </w:r>
      <w:r>
        <w:t>U.S.</w:t>
      </w:r>
      <w:r>
        <w:rPr>
          <w:spacing w:val="24"/>
        </w:rPr>
        <w:t xml:space="preserve"> </w:t>
      </w:r>
      <w:r>
        <w:t>Government’s</w:t>
      </w:r>
      <w:r>
        <w:rPr>
          <w:spacing w:val="24"/>
        </w:rPr>
        <w:t xml:space="preserve"> </w:t>
      </w:r>
      <w:r>
        <w:t>power</w:t>
      </w:r>
      <w:r>
        <w:rPr>
          <w:spacing w:val="24"/>
        </w:rPr>
        <w:t xml:space="preserve"> </w:t>
      </w:r>
      <w:r>
        <w:t>to</w:t>
      </w:r>
      <w:r>
        <w:rPr>
          <w:spacing w:val="24"/>
        </w:rPr>
        <w:t xml:space="preserve"> </w:t>
      </w:r>
      <w:r>
        <w:t>unilaterally</w:t>
      </w:r>
      <w:r>
        <w:rPr>
          <w:spacing w:val="24"/>
        </w:rPr>
        <w:t xml:space="preserve"> </w:t>
      </w:r>
      <w:r>
        <w:t>definitize</w:t>
      </w:r>
      <w:r>
        <w:rPr>
          <w:spacing w:val="24"/>
        </w:rPr>
        <w:t xml:space="preserve"> </w:t>
      </w:r>
      <w:r>
        <w:t>a</w:t>
      </w:r>
      <w:r>
        <w:rPr>
          <w:spacing w:val="24"/>
        </w:rPr>
        <w:t xml:space="preserve"> </w:t>
      </w:r>
      <w:r>
        <w:t>contract</w:t>
      </w:r>
      <w:r>
        <w:rPr>
          <w:spacing w:val="24"/>
        </w:rPr>
        <w:t xml:space="preserve"> </w:t>
      </w:r>
      <w:r>
        <w:t>can</w:t>
      </w:r>
      <w:r>
        <w:rPr>
          <w:spacing w:val="24"/>
        </w:rPr>
        <w:t xml:space="preserve"> </w:t>
      </w:r>
      <w:r>
        <w:t>affect</w:t>
      </w:r>
      <w:r>
        <w:rPr>
          <w:spacing w:val="24"/>
        </w:rPr>
        <w:t xml:space="preserve"> </w:t>
      </w:r>
      <w:r>
        <w:t>our</w:t>
      </w:r>
      <w:r>
        <w:rPr>
          <w:spacing w:val="24"/>
        </w:rPr>
        <w:t xml:space="preserve"> </w:t>
      </w:r>
      <w:r>
        <w:t>ability</w:t>
      </w:r>
      <w:r>
        <w:rPr>
          <w:spacing w:val="24"/>
        </w:rPr>
        <w:t xml:space="preserve"> </w:t>
      </w:r>
      <w:r>
        <w:t>to</w:t>
      </w:r>
      <w:r>
        <w:rPr>
          <w:spacing w:val="24"/>
        </w:rPr>
        <w:t xml:space="preserve"> </w:t>
      </w:r>
      <w:r>
        <w:t>negotiate</w:t>
      </w:r>
      <w:r>
        <w:rPr>
          <w:spacing w:val="24"/>
        </w:rPr>
        <w:t xml:space="preserve"> </w:t>
      </w:r>
      <w:r>
        <w:t>mutually</w:t>
      </w:r>
    </w:p>
    <w:p w14:paraId="59B6F060" w14:textId="77777777" w:rsidR="00AE2255" w:rsidRDefault="00AE2255">
      <w:pPr>
        <w:spacing w:line="249" w:lineRule="auto"/>
        <w:jc w:val="both"/>
        <w:sectPr w:rsidR="00AE2255">
          <w:pgSz w:w="12240" w:h="15840"/>
          <w:pgMar w:top="440" w:right="560" w:bottom="720" w:left="380" w:header="230" w:footer="531" w:gutter="0"/>
          <w:cols w:space="720"/>
        </w:sectPr>
      </w:pPr>
    </w:p>
    <w:p w14:paraId="5A3075A1" w14:textId="77777777" w:rsidR="00AE2255" w:rsidRDefault="00AE2255">
      <w:pPr>
        <w:pStyle w:val="BodyText"/>
        <w:spacing w:before="10"/>
        <w:rPr>
          <w:sz w:val="22"/>
        </w:rPr>
      </w:pPr>
    </w:p>
    <w:p w14:paraId="101D8AC4" w14:textId="77777777" w:rsidR="00AE2255" w:rsidRDefault="00000000">
      <w:pPr>
        <w:pStyle w:val="BodyText"/>
        <w:spacing w:before="92" w:line="249" w:lineRule="auto"/>
        <w:ind w:left="610" w:right="157"/>
      </w:pPr>
      <w:r>
        <w:t>agreeable contract terms and, if a contract is unilaterally imposed upon us, it may negatively affect our expected profit and cash flows on a program or impose burdensome terms.</w:t>
      </w:r>
    </w:p>
    <w:p w14:paraId="58613C8C" w14:textId="77777777" w:rsidR="00AE2255" w:rsidRDefault="00AE2255">
      <w:pPr>
        <w:pStyle w:val="BodyText"/>
        <w:spacing w:before="6"/>
        <w:rPr>
          <w:sz w:val="17"/>
        </w:rPr>
      </w:pPr>
    </w:p>
    <w:p w14:paraId="255C9B4E" w14:textId="77777777" w:rsidR="00AE2255" w:rsidRDefault="00000000">
      <w:pPr>
        <w:pStyle w:val="BodyText"/>
        <w:spacing w:line="249" w:lineRule="auto"/>
        <w:ind w:left="610" w:right="428" w:firstLine="360"/>
        <w:jc w:val="both"/>
      </w:pPr>
      <w:r>
        <w:t xml:space="preserve">A portion of our business is classified by the U.S. Government and cannot be specifically described. The operating results of classified contracts are included in our consolidated financial statements. The business risks and capital requirements associated with classified contracts historically have not differed materially from those of our other U.S. Government contracts. However, under certain classified fixed price development and production contracts, we are unable to </w:t>
      </w:r>
      <w:proofErr w:type="gramStart"/>
      <w:r>
        <w:t>insure</w:t>
      </w:r>
      <w:proofErr w:type="gramEnd"/>
      <w:r>
        <w:t xml:space="preserve"> risk of loss to government property because of the classified nature of the contracts and the inability to disclose classified information necessary for underwriting and claims to commercial insurers. Our internal controls addressing the financial reporting of classified contracts are consistent with our internal controls for our non-classified contracts.</w:t>
      </w:r>
    </w:p>
    <w:p w14:paraId="6CBECE02" w14:textId="77777777" w:rsidR="00AE2255" w:rsidRDefault="00AE2255">
      <w:pPr>
        <w:pStyle w:val="BodyText"/>
        <w:spacing w:before="10"/>
        <w:rPr>
          <w:sz w:val="17"/>
        </w:rPr>
      </w:pPr>
    </w:p>
    <w:p w14:paraId="6EF21849" w14:textId="77777777" w:rsidR="00AE2255" w:rsidRDefault="00000000">
      <w:pPr>
        <w:pStyle w:val="BodyText"/>
        <w:spacing w:line="249" w:lineRule="auto"/>
        <w:ind w:left="610" w:right="427" w:firstLine="360"/>
        <w:jc w:val="both"/>
      </w:pPr>
      <w:r>
        <w:t xml:space="preserve">Our operations are subject to and affected by various federal, state, local and foreign environmental protection </w:t>
      </w:r>
      <w:proofErr w:type="gramStart"/>
      <w:r>
        <w:t>laws</w:t>
      </w:r>
      <w:proofErr w:type="gramEnd"/>
      <w:r>
        <w:t xml:space="preserve"> and regulations regarding the discharge of materials into the environment or otherwise regulating the protection of the environment. As a result of these environmental protection laws, we are involved in environmental remediation at some of our current and former facilities and at </w:t>
      </w:r>
      <w:proofErr w:type="gramStart"/>
      <w:r>
        <w:t>third-party</w:t>
      </w:r>
      <w:proofErr w:type="gramEnd"/>
      <w:r>
        <w:t xml:space="preserve">-owned sites where we have been designated a potentially responsible party as a result of our prior activities and those of our predecessor companies. While the extent of our financial exposure cannot in all cases be reasonably estimated, the costs of environmental compliance have not had, and we do not expect that these costs will have, a material adverse effect on our earnings, financial </w:t>
      </w:r>
      <w:proofErr w:type="gramStart"/>
      <w:r>
        <w:t>position</w:t>
      </w:r>
      <w:proofErr w:type="gramEnd"/>
      <w:r>
        <w:t xml:space="preserve"> and cash flow, primarily because substantially all of our environmental costs are allowable in establishing the price of our products and services under our contracts with the U.S. Government. For information regarding these matters, including current estimates of the amounts that we believe are required for</w:t>
      </w:r>
      <w:r>
        <w:rPr>
          <w:spacing w:val="-1"/>
        </w:rPr>
        <w:t xml:space="preserve"> </w:t>
      </w:r>
      <w:r>
        <w:t>remediation</w:t>
      </w:r>
      <w:r>
        <w:rPr>
          <w:spacing w:val="-1"/>
        </w:rPr>
        <w:t xml:space="preserve"> </w:t>
      </w:r>
      <w:r>
        <w:t>or</w:t>
      </w:r>
      <w:r>
        <w:rPr>
          <w:spacing w:val="-1"/>
        </w:rPr>
        <w:t xml:space="preserve"> </w:t>
      </w:r>
      <w:r>
        <w:t>cleanup</w:t>
      </w:r>
      <w:r>
        <w:rPr>
          <w:spacing w:val="-1"/>
        </w:rPr>
        <w:t xml:space="preserve"> </w:t>
      </w:r>
      <w:r>
        <w:t>to</w:t>
      </w:r>
      <w:r>
        <w:rPr>
          <w:spacing w:val="-1"/>
        </w:rPr>
        <w:t xml:space="preserve"> </w:t>
      </w:r>
      <w:r>
        <w:t>the</w:t>
      </w:r>
      <w:r>
        <w:rPr>
          <w:spacing w:val="-1"/>
        </w:rPr>
        <w:t xml:space="preserve"> </w:t>
      </w:r>
      <w:r>
        <w:t>extent</w:t>
      </w:r>
      <w:r>
        <w:rPr>
          <w:spacing w:val="-1"/>
        </w:rPr>
        <w:t xml:space="preserve"> </w:t>
      </w:r>
      <w:r>
        <w:t>that</w:t>
      </w:r>
      <w:r>
        <w:rPr>
          <w:spacing w:val="-1"/>
        </w:rPr>
        <w:t xml:space="preserve"> </w:t>
      </w:r>
      <w:r>
        <w:t>they</w:t>
      </w:r>
      <w:r>
        <w:rPr>
          <w:spacing w:val="-1"/>
        </w:rPr>
        <w:t xml:space="preserve"> </w:t>
      </w:r>
      <w:r>
        <w:t>are</w:t>
      </w:r>
      <w:r>
        <w:rPr>
          <w:spacing w:val="-1"/>
        </w:rPr>
        <w:t xml:space="preserve"> </w:t>
      </w:r>
      <w:r>
        <w:t>probable</w:t>
      </w:r>
      <w:r>
        <w:rPr>
          <w:spacing w:val="-1"/>
        </w:rPr>
        <w:t xml:space="preserve"> </w:t>
      </w:r>
      <w:r>
        <w:t>and</w:t>
      </w:r>
      <w:r>
        <w:rPr>
          <w:spacing w:val="-1"/>
        </w:rPr>
        <w:t xml:space="preserve"> </w:t>
      </w:r>
      <w:r>
        <w:t>estimable,</w:t>
      </w:r>
      <w:r>
        <w:rPr>
          <w:spacing w:val="-1"/>
        </w:rPr>
        <w:t xml:space="preserve"> </w:t>
      </w:r>
      <w:r>
        <w:t>see</w:t>
      </w:r>
      <w:r>
        <w:rPr>
          <w:spacing w:val="-1"/>
        </w:rPr>
        <w:t xml:space="preserve"> </w:t>
      </w:r>
      <w:r>
        <w:t>“Critical</w:t>
      </w:r>
      <w:r>
        <w:rPr>
          <w:spacing w:val="-1"/>
        </w:rPr>
        <w:t xml:space="preserve"> </w:t>
      </w:r>
      <w:r>
        <w:t>Accounting</w:t>
      </w:r>
      <w:r>
        <w:rPr>
          <w:spacing w:val="-1"/>
        </w:rPr>
        <w:t xml:space="preserve"> </w:t>
      </w:r>
      <w:r>
        <w:t>Policies</w:t>
      </w:r>
      <w:r>
        <w:rPr>
          <w:spacing w:val="-1"/>
        </w:rPr>
        <w:t xml:space="preserve"> </w:t>
      </w:r>
      <w:r>
        <w:t>-</w:t>
      </w:r>
      <w:r>
        <w:rPr>
          <w:spacing w:val="-1"/>
        </w:rPr>
        <w:t xml:space="preserve"> </w:t>
      </w:r>
      <w:r>
        <w:t>Environmental Matters” in Management’s Discussion and Analysis of Financial Condition and Results of Operations and “Note 14 – Legal Proceedings, Commitments and Contingencies” included in our Notes to Consolidated Financial Statements. See also the discussion of environmental matters in Item 1A - Risk Factors.</w:t>
      </w:r>
    </w:p>
    <w:p w14:paraId="589AA892" w14:textId="77777777" w:rsidR="00AE2255" w:rsidRDefault="00AE2255">
      <w:pPr>
        <w:pStyle w:val="BodyText"/>
        <w:spacing w:before="4"/>
        <w:rPr>
          <w:sz w:val="18"/>
        </w:rPr>
      </w:pPr>
    </w:p>
    <w:p w14:paraId="4041D336" w14:textId="77777777" w:rsidR="00AE2255" w:rsidRDefault="00000000">
      <w:pPr>
        <w:pStyle w:val="BodyText"/>
        <w:spacing w:line="249" w:lineRule="auto"/>
        <w:ind w:left="610" w:right="428" w:firstLine="360"/>
        <w:jc w:val="both"/>
      </w:pPr>
      <w:r>
        <w:t xml:space="preserve">There is an increasing global regulatory focus on greenhouse gas (GHG) emissions and their potential impacts relating to climate change. Future laws, </w:t>
      </w:r>
      <w:proofErr w:type="gramStart"/>
      <w:r>
        <w:t>regulations</w:t>
      </w:r>
      <w:proofErr w:type="gramEnd"/>
      <w:r>
        <w:t xml:space="preserve"> or policies in response to concerns over GHG emissions such as carbon taxes, mandatory reporting and disclosure obligations, including environmental requirements for certain federal contractors and subcontractors and the SEC’s proposed climate-related disclosure rule, and changes in procurement policies, including the use of environmental goals in proposal evaluation, could significantly increase our operational and compliance burdens and costs. We monitor developments in climate-change related regulation for their potential effect on us </w:t>
      </w:r>
      <w:proofErr w:type="gramStart"/>
      <w:r>
        <w:t>and also</w:t>
      </w:r>
      <w:proofErr w:type="gramEnd"/>
      <w:r>
        <w:t xml:space="preserve"> have a comprehensive sustainability program that seeks to mitigate our impact on the environment, including targets to reduce our GHG emissions.</w:t>
      </w:r>
      <w:r>
        <w:rPr>
          <w:spacing w:val="40"/>
        </w:rPr>
        <w:t xml:space="preserve"> </w:t>
      </w:r>
      <w:r>
        <w:t>For more information on the risk of climate-change related regulation, see Item 1A - Risk Factors.</w:t>
      </w:r>
    </w:p>
    <w:p w14:paraId="3850A738" w14:textId="77777777" w:rsidR="00AE2255" w:rsidRDefault="00AE2255">
      <w:pPr>
        <w:pStyle w:val="BodyText"/>
        <w:spacing w:before="8"/>
        <w:rPr>
          <w:sz w:val="17"/>
        </w:rPr>
      </w:pPr>
    </w:p>
    <w:p w14:paraId="092BD8B4" w14:textId="77777777" w:rsidR="00AE2255" w:rsidRDefault="00000000">
      <w:pPr>
        <w:pStyle w:val="Heading2"/>
      </w:pPr>
      <w:r>
        <w:t>Available</w:t>
      </w:r>
      <w:r>
        <w:rPr>
          <w:spacing w:val="-6"/>
        </w:rPr>
        <w:t xml:space="preserve"> </w:t>
      </w:r>
      <w:r>
        <w:rPr>
          <w:spacing w:val="-2"/>
        </w:rPr>
        <w:t>Information</w:t>
      </w:r>
    </w:p>
    <w:p w14:paraId="72251E32" w14:textId="77777777" w:rsidR="00AE2255" w:rsidRDefault="00AE2255">
      <w:pPr>
        <w:pStyle w:val="BodyText"/>
        <w:spacing w:before="6"/>
        <w:rPr>
          <w:b/>
          <w:sz w:val="18"/>
        </w:rPr>
      </w:pPr>
    </w:p>
    <w:p w14:paraId="150455D5" w14:textId="77777777" w:rsidR="00AE2255" w:rsidRDefault="00000000">
      <w:pPr>
        <w:pStyle w:val="BodyText"/>
        <w:spacing w:line="249" w:lineRule="auto"/>
        <w:ind w:left="610" w:right="428" w:firstLine="360"/>
        <w:jc w:val="both"/>
      </w:pPr>
      <w:r>
        <w:t>We</w:t>
      </w:r>
      <w:r>
        <w:rPr>
          <w:spacing w:val="-1"/>
        </w:rPr>
        <w:t xml:space="preserve"> </w:t>
      </w:r>
      <w:r>
        <w:t>are</w:t>
      </w:r>
      <w:r>
        <w:rPr>
          <w:spacing w:val="-1"/>
        </w:rPr>
        <w:t xml:space="preserve"> </w:t>
      </w:r>
      <w:r>
        <w:t>a</w:t>
      </w:r>
      <w:r>
        <w:rPr>
          <w:spacing w:val="-1"/>
        </w:rPr>
        <w:t xml:space="preserve"> </w:t>
      </w:r>
      <w:r>
        <w:t>Maryland</w:t>
      </w:r>
      <w:r>
        <w:rPr>
          <w:spacing w:val="-1"/>
        </w:rPr>
        <w:t xml:space="preserve"> </w:t>
      </w:r>
      <w:r>
        <w:t>corporation</w:t>
      </w:r>
      <w:r>
        <w:rPr>
          <w:spacing w:val="-1"/>
        </w:rPr>
        <w:t xml:space="preserve"> </w:t>
      </w:r>
      <w:r>
        <w:t>formed</w:t>
      </w:r>
      <w:r>
        <w:rPr>
          <w:spacing w:val="-1"/>
        </w:rPr>
        <w:t xml:space="preserve"> </w:t>
      </w:r>
      <w:r>
        <w:t>in</w:t>
      </w:r>
      <w:r>
        <w:rPr>
          <w:spacing w:val="-1"/>
        </w:rPr>
        <w:t xml:space="preserve"> </w:t>
      </w:r>
      <w:r>
        <w:t>1995</w:t>
      </w:r>
      <w:r>
        <w:rPr>
          <w:spacing w:val="-1"/>
        </w:rPr>
        <w:t xml:space="preserve"> </w:t>
      </w:r>
      <w:r>
        <w:t>by</w:t>
      </w:r>
      <w:r>
        <w:rPr>
          <w:spacing w:val="-1"/>
        </w:rPr>
        <w:t xml:space="preserve"> </w:t>
      </w:r>
      <w:r>
        <w:t>combining</w:t>
      </w:r>
      <w:r>
        <w:rPr>
          <w:spacing w:val="-1"/>
        </w:rPr>
        <w:t xml:space="preserve"> </w:t>
      </w:r>
      <w:r>
        <w:t>the</w:t>
      </w:r>
      <w:r>
        <w:rPr>
          <w:spacing w:val="-1"/>
        </w:rPr>
        <w:t xml:space="preserve"> </w:t>
      </w:r>
      <w:r>
        <w:t>businesses</w:t>
      </w:r>
      <w:r>
        <w:rPr>
          <w:spacing w:val="-1"/>
        </w:rPr>
        <w:t xml:space="preserve"> </w:t>
      </w:r>
      <w:r>
        <w:t>of</w:t>
      </w:r>
      <w:r>
        <w:rPr>
          <w:spacing w:val="-1"/>
        </w:rPr>
        <w:t xml:space="preserve"> </w:t>
      </w:r>
      <w:r>
        <w:t>Lockheed</w:t>
      </w:r>
      <w:r>
        <w:rPr>
          <w:spacing w:val="-1"/>
        </w:rPr>
        <w:t xml:space="preserve"> </w:t>
      </w:r>
      <w:r>
        <w:t>Corporation</w:t>
      </w:r>
      <w:r>
        <w:rPr>
          <w:spacing w:val="-1"/>
        </w:rPr>
        <w:t xml:space="preserve"> </w:t>
      </w:r>
      <w:r>
        <w:t>and</w:t>
      </w:r>
      <w:r>
        <w:rPr>
          <w:spacing w:val="-1"/>
        </w:rPr>
        <w:t xml:space="preserve"> </w:t>
      </w:r>
      <w:r>
        <w:t>Martin</w:t>
      </w:r>
      <w:r>
        <w:rPr>
          <w:spacing w:val="-1"/>
        </w:rPr>
        <w:t xml:space="preserve"> </w:t>
      </w:r>
      <w:r>
        <w:t xml:space="preserve">Marietta Corporation. Our principal executive offices are located at 6801 Rockledge Drive, Bethesda, Maryland 20817. Our telephone number is (301) 897-6000 and our website address is </w:t>
      </w:r>
      <w:hyperlink r:id="rId10">
        <w:r>
          <w:rPr>
            <w:u w:val="single"/>
          </w:rPr>
          <w:t>www.lockheedmartin.com</w:t>
        </w:r>
        <w:r>
          <w:t>.</w:t>
        </w:r>
      </w:hyperlink>
    </w:p>
    <w:p w14:paraId="625D94FC" w14:textId="77777777" w:rsidR="00AE2255" w:rsidRDefault="00AE2255">
      <w:pPr>
        <w:pStyle w:val="BodyText"/>
        <w:spacing w:before="7"/>
        <w:rPr>
          <w:sz w:val="17"/>
        </w:rPr>
      </w:pPr>
    </w:p>
    <w:p w14:paraId="3B2961C3" w14:textId="77777777" w:rsidR="00AE2255" w:rsidRDefault="00000000">
      <w:pPr>
        <w:pStyle w:val="BodyText"/>
        <w:spacing w:line="249" w:lineRule="auto"/>
        <w:ind w:left="610" w:right="430" w:firstLine="360"/>
        <w:jc w:val="both"/>
      </w:pPr>
      <w:r>
        <w:t>We make our website content available for information purposes only. It should not be relied upon for investment</w:t>
      </w:r>
      <w:r>
        <w:rPr>
          <w:spacing w:val="40"/>
        </w:rPr>
        <w:t xml:space="preserve"> </w:t>
      </w:r>
      <w:r>
        <w:t>purposes, nor is it incorporated by reference into this Annual Report on Form 10-K (Form 10-K).</w:t>
      </w:r>
    </w:p>
    <w:p w14:paraId="3D9843FE" w14:textId="77777777" w:rsidR="00AE2255" w:rsidRDefault="00AE2255">
      <w:pPr>
        <w:pStyle w:val="BodyText"/>
        <w:spacing w:before="6"/>
        <w:rPr>
          <w:sz w:val="17"/>
        </w:rPr>
      </w:pPr>
    </w:p>
    <w:p w14:paraId="15752C0F" w14:textId="77777777" w:rsidR="00AE2255" w:rsidRDefault="00000000">
      <w:pPr>
        <w:pStyle w:val="BodyText"/>
        <w:spacing w:line="249" w:lineRule="auto"/>
        <w:ind w:left="610" w:right="430" w:firstLine="360"/>
        <w:jc w:val="both"/>
      </w:pPr>
      <w:r>
        <w:t xml:space="preserve">Throughout this Form 10-K, we incorporate by reference information from parts of other documents filed with the U.S. Securities and Exchange Commission (SEC). The SEC allows us to disclose important information by referring to it in this </w:t>
      </w:r>
      <w:r>
        <w:rPr>
          <w:spacing w:val="-2"/>
        </w:rPr>
        <w:t>manner.</w:t>
      </w:r>
    </w:p>
    <w:p w14:paraId="4B280B8C" w14:textId="77777777" w:rsidR="00AE2255" w:rsidRDefault="00AE2255">
      <w:pPr>
        <w:pStyle w:val="BodyText"/>
        <w:spacing w:before="7"/>
        <w:rPr>
          <w:sz w:val="17"/>
        </w:rPr>
      </w:pPr>
    </w:p>
    <w:p w14:paraId="5A4FDA5E" w14:textId="77777777" w:rsidR="00AE2255" w:rsidRDefault="00000000">
      <w:pPr>
        <w:pStyle w:val="BodyText"/>
        <w:spacing w:line="249" w:lineRule="auto"/>
        <w:ind w:left="610" w:right="429" w:firstLine="360"/>
        <w:jc w:val="both"/>
      </w:pPr>
      <w:r>
        <w:t xml:space="preserve">Our annual reports on Form 10-K, quarterly reports on Form 10-Q, current reports on Form 8-K, proxy statements for our annual stockholders’ meetings and amendments to those reports are available free of charge on our website, </w:t>
      </w:r>
      <w:hyperlink r:id="rId11">
        <w:r>
          <w:rPr>
            <w:u w:val="single"/>
          </w:rPr>
          <w:t>www.lockheedmartin.com/investor</w:t>
        </w:r>
        <w:r>
          <w:t>,</w:t>
        </w:r>
      </w:hyperlink>
      <w:r>
        <w:rPr>
          <w:spacing w:val="-2"/>
        </w:rPr>
        <w:t xml:space="preserve"> </w:t>
      </w:r>
      <w:r>
        <w:t>as</w:t>
      </w:r>
      <w:r>
        <w:rPr>
          <w:spacing w:val="-2"/>
        </w:rPr>
        <w:t xml:space="preserve"> </w:t>
      </w:r>
      <w:r>
        <w:t>soon</w:t>
      </w:r>
      <w:r>
        <w:rPr>
          <w:spacing w:val="-2"/>
        </w:rPr>
        <w:t xml:space="preserve"> </w:t>
      </w:r>
      <w:r>
        <w:t>as</w:t>
      </w:r>
      <w:r>
        <w:rPr>
          <w:spacing w:val="-2"/>
        </w:rPr>
        <w:t xml:space="preserve"> </w:t>
      </w:r>
      <w:r>
        <w:t>reasonably</w:t>
      </w:r>
      <w:r>
        <w:rPr>
          <w:spacing w:val="-2"/>
        </w:rPr>
        <w:t xml:space="preserve"> </w:t>
      </w:r>
      <w:r>
        <w:t>practical</w:t>
      </w:r>
      <w:r>
        <w:rPr>
          <w:spacing w:val="-2"/>
        </w:rPr>
        <w:t xml:space="preserve"> </w:t>
      </w:r>
      <w:r>
        <w:t>after</w:t>
      </w:r>
      <w:r>
        <w:rPr>
          <w:spacing w:val="-2"/>
        </w:rPr>
        <w:t xml:space="preserve"> </w:t>
      </w:r>
      <w:r>
        <w:t>we</w:t>
      </w:r>
      <w:r>
        <w:rPr>
          <w:spacing w:val="-2"/>
        </w:rPr>
        <w:t xml:space="preserve"> </w:t>
      </w:r>
      <w:r>
        <w:t>electronically</w:t>
      </w:r>
      <w:r>
        <w:rPr>
          <w:spacing w:val="-2"/>
        </w:rPr>
        <w:t xml:space="preserve"> </w:t>
      </w:r>
      <w:r>
        <w:t>file</w:t>
      </w:r>
      <w:r>
        <w:rPr>
          <w:spacing w:val="-2"/>
        </w:rPr>
        <w:t xml:space="preserve"> </w:t>
      </w:r>
      <w:r>
        <w:t>the</w:t>
      </w:r>
      <w:r>
        <w:rPr>
          <w:spacing w:val="-2"/>
        </w:rPr>
        <w:t xml:space="preserve"> </w:t>
      </w:r>
      <w:r>
        <w:t>material</w:t>
      </w:r>
      <w:r>
        <w:rPr>
          <w:spacing w:val="-2"/>
        </w:rPr>
        <w:t xml:space="preserve"> </w:t>
      </w:r>
      <w:r>
        <w:t>with,</w:t>
      </w:r>
      <w:r>
        <w:rPr>
          <w:spacing w:val="-2"/>
        </w:rPr>
        <w:t xml:space="preserve"> </w:t>
      </w:r>
      <w:r>
        <w:t>or</w:t>
      </w:r>
      <w:r>
        <w:rPr>
          <w:spacing w:val="-2"/>
        </w:rPr>
        <w:t xml:space="preserve"> </w:t>
      </w:r>
      <w:r>
        <w:t>furnish</w:t>
      </w:r>
      <w:r>
        <w:rPr>
          <w:spacing w:val="-2"/>
        </w:rPr>
        <w:t xml:space="preserve"> </w:t>
      </w:r>
      <w:r>
        <w:t>it</w:t>
      </w:r>
      <w:r>
        <w:rPr>
          <w:spacing w:val="-2"/>
        </w:rPr>
        <w:t xml:space="preserve"> </w:t>
      </w:r>
      <w:r>
        <w:t xml:space="preserve">to, the SEC. In addition, copies of our annual report will be made available, free of charge, upon written request. The SEC also maintains a website at </w:t>
      </w:r>
      <w:hyperlink r:id="rId12">
        <w:r>
          <w:rPr>
            <w:u w:val="single"/>
          </w:rPr>
          <w:t>www.sec.gov</w:t>
        </w:r>
      </w:hyperlink>
      <w:r>
        <w:t xml:space="preserve"> that contains reports, proxy statements and other information regarding SEC registrants, including Lockheed Martin Corporation.</w:t>
      </w:r>
    </w:p>
    <w:p w14:paraId="44792030" w14:textId="77777777" w:rsidR="00AE2255" w:rsidRDefault="00AE2255">
      <w:pPr>
        <w:pStyle w:val="BodyText"/>
        <w:spacing w:before="6"/>
        <w:rPr>
          <w:sz w:val="17"/>
        </w:rPr>
      </w:pPr>
    </w:p>
    <w:p w14:paraId="75D4BBAF" w14:textId="77777777" w:rsidR="00AE2255" w:rsidRDefault="00000000">
      <w:pPr>
        <w:pStyle w:val="Heading2"/>
      </w:pPr>
      <w:r>
        <w:t>Forward-Looking</w:t>
      </w:r>
      <w:r>
        <w:rPr>
          <w:spacing w:val="-9"/>
        </w:rPr>
        <w:t xml:space="preserve"> </w:t>
      </w:r>
      <w:r>
        <w:rPr>
          <w:spacing w:val="-2"/>
        </w:rPr>
        <w:t>Statements</w:t>
      </w:r>
    </w:p>
    <w:p w14:paraId="7D311824" w14:textId="77777777" w:rsidR="00AE2255" w:rsidRDefault="00AE2255">
      <w:pPr>
        <w:pStyle w:val="BodyText"/>
        <w:spacing w:before="6"/>
        <w:rPr>
          <w:b/>
          <w:sz w:val="18"/>
        </w:rPr>
      </w:pPr>
    </w:p>
    <w:p w14:paraId="5F7808C0" w14:textId="77777777" w:rsidR="00AE2255" w:rsidRDefault="00000000">
      <w:pPr>
        <w:pStyle w:val="BodyText"/>
        <w:spacing w:before="1" w:line="249" w:lineRule="auto"/>
        <w:ind w:left="610" w:right="430" w:firstLine="360"/>
        <w:jc w:val="both"/>
      </w:pPr>
      <w:r>
        <w:t>This Form 10-K contains statements that, to the extent they are not recitations of historical fact, constitute forward-looking statements within the meaning of the federal securities laws and are based on our current expectations and assumptions. The words “believe,” “estimate,” “anticipate,” “project,” “intend,” “expect,” “plan,” “outlook,” “scheduled,” “forecast” and similar</w:t>
      </w:r>
    </w:p>
    <w:p w14:paraId="1AF48857" w14:textId="77777777" w:rsidR="00AE2255" w:rsidRDefault="00AE2255">
      <w:pPr>
        <w:spacing w:line="249" w:lineRule="auto"/>
        <w:jc w:val="both"/>
        <w:sectPr w:rsidR="00AE2255">
          <w:pgSz w:w="12240" w:h="15840"/>
          <w:pgMar w:top="440" w:right="560" w:bottom="720" w:left="380" w:header="230" w:footer="531" w:gutter="0"/>
          <w:cols w:space="720"/>
        </w:sectPr>
      </w:pPr>
    </w:p>
    <w:p w14:paraId="321F3C3C" w14:textId="77777777" w:rsidR="00AE2255" w:rsidRDefault="00AE2255">
      <w:pPr>
        <w:pStyle w:val="BodyText"/>
        <w:spacing w:before="10"/>
        <w:rPr>
          <w:sz w:val="22"/>
        </w:rPr>
      </w:pPr>
    </w:p>
    <w:p w14:paraId="7356A056" w14:textId="77777777" w:rsidR="00AE2255" w:rsidRDefault="00000000">
      <w:pPr>
        <w:pStyle w:val="BodyText"/>
        <w:spacing w:before="92" w:line="249" w:lineRule="auto"/>
        <w:ind w:left="610" w:right="430"/>
      </w:pPr>
      <w:r>
        <w:t>expressions are intended to identify forward-looking statements. These statements are not guarantees of future performance and are subject to risks and uncertainties.</w:t>
      </w:r>
    </w:p>
    <w:p w14:paraId="5D51FB93" w14:textId="77777777" w:rsidR="00AE2255" w:rsidRDefault="00AE2255">
      <w:pPr>
        <w:pStyle w:val="BodyText"/>
        <w:spacing w:before="6"/>
        <w:rPr>
          <w:sz w:val="17"/>
        </w:rPr>
      </w:pPr>
    </w:p>
    <w:p w14:paraId="2D2D2BD1" w14:textId="77777777" w:rsidR="00AE2255" w:rsidRDefault="00000000">
      <w:pPr>
        <w:pStyle w:val="BodyText"/>
        <w:spacing w:line="249" w:lineRule="auto"/>
        <w:ind w:left="610" w:right="429" w:firstLine="360"/>
        <w:jc w:val="both"/>
      </w:pPr>
      <w:r>
        <w:t>Statements and assumptions with respect to future sales, income and cash flows, growth, program performance, the outcome of litigation, anticipated pension cost and funding, environmental remediation cost estimates, planned acquisitions or dispositions of assets, or the anticipated consequences are examples of forward-looking statements. Numerous factors,</w:t>
      </w:r>
      <w:r>
        <w:rPr>
          <w:spacing w:val="40"/>
        </w:rPr>
        <w:t xml:space="preserve"> </w:t>
      </w:r>
      <w:r>
        <w:t>including the risk factors described in the following section, could cause our actual results to differ materially from those expressed in our forward-looking statements.</w:t>
      </w:r>
    </w:p>
    <w:p w14:paraId="38F6BC9B" w14:textId="77777777" w:rsidR="00AE2255" w:rsidRDefault="00AE2255">
      <w:pPr>
        <w:pStyle w:val="BodyText"/>
        <w:spacing w:before="8"/>
        <w:rPr>
          <w:sz w:val="17"/>
        </w:rPr>
      </w:pPr>
    </w:p>
    <w:p w14:paraId="6CAE4B51" w14:textId="77777777" w:rsidR="00AE2255" w:rsidRDefault="00000000">
      <w:pPr>
        <w:pStyle w:val="BodyText"/>
        <w:spacing w:before="1" w:line="249" w:lineRule="auto"/>
        <w:ind w:left="610" w:right="428" w:firstLine="360"/>
        <w:jc w:val="both"/>
      </w:pPr>
      <w:r>
        <w:t>Our actual financial results likely will be different from any projections due to the inherent nature of projections. Given these uncertainties, forward-looking statements should not be relied on in making investment decisions. The forward-looking statements contained in this Form 10-K speak only as of the date of its filing. Except where required by applicable law, we expressly disclaim a duty to provide updates to forward-looking statements after the date of this Form 10-K to reflect subsequent</w:t>
      </w:r>
      <w:r>
        <w:rPr>
          <w:spacing w:val="-4"/>
        </w:rPr>
        <w:t xml:space="preserve"> </w:t>
      </w:r>
      <w:r>
        <w:t>events,</w:t>
      </w:r>
      <w:r>
        <w:rPr>
          <w:spacing w:val="-3"/>
        </w:rPr>
        <w:t xml:space="preserve"> </w:t>
      </w:r>
      <w:r>
        <w:t>changed</w:t>
      </w:r>
      <w:r>
        <w:rPr>
          <w:spacing w:val="-3"/>
        </w:rPr>
        <w:t xml:space="preserve"> </w:t>
      </w:r>
      <w:r>
        <w:t>circumstances,</w:t>
      </w:r>
      <w:r>
        <w:rPr>
          <w:spacing w:val="-3"/>
        </w:rPr>
        <w:t xml:space="preserve"> </w:t>
      </w:r>
      <w:r>
        <w:t>changes</w:t>
      </w:r>
      <w:r>
        <w:rPr>
          <w:spacing w:val="-4"/>
        </w:rPr>
        <w:t xml:space="preserve"> </w:t>
      </w:r>
      <w:r>
        <w:t>in</w:t>
      </w:r>
      <w:r>
        <w:rPr>
          <w:spacing w:val="-3"/>
        </w:rPr>
        <w:t xml:space="preserve"> </w:t>
      </w:r>
      <w:r>
        <w:t>expectations,</w:t>
      </w:r>
      <w:r>
        <w:rPr>
          <w:spacing w:val="-3"/>
        </w:rPr>
        <w:t xml:space="preserve"> </w:t>
      </w:r>
      <w:r>
        <w:t>or</w:t>
      </w:r>
      <w:r>
        <w:rPr>
          <w:spacing w:val="-3"/>
        </w:rPr>
        <w:t xml:space="preserve"> </w:t>
      </w:r>
      <w:r>
        <w:t>the</w:t>
      </w:r>
      <w:r>
        <w:rPr>
          <w:spacing w:val="-4"/>
        </w:rPr>
        <w:t xml:space="preserve"> </w:t>
      </w:r>
      <w:r>
        <w:t>estimates</w:t>
      </w:r>
      <w:r>
        <w:rPr>
          <w:spacing w:val="-4"/>
        </w:rPr>
        <w:t xml:space="preserve"> </w:t>
      </w:r>
      <w:r>
        <w:t>and</w:t>
      </w:r>
      <w:r>
        <w:rPr>
          <w:spacing w:val="-3"/>
        </w:rPr>
        <w:t xml:space="preserve"> </w:t>
      </w:r>
      <w:r>
        <w:t>assumptions</w:t>
      </w:r>
      <w:r>
        <w:rPr>
          <w:spacing w:val="-4"/>
        </w:rPr>
        <w:t xml:space="preserve"> </w:t>
      </w:r>
      <w:r>
        <w:t>associated</w:t>
      </w:r>
      <w:r>
        <w:rPr>
          <w:spacing w:val="-3"/>
        </w:rPr>
        <w:t xml:space="preserve"> </w:t>
      </w:r>
      <w:r>
        <w:t>with</w:t>
      </w:r>
      <w:r>
        <w:rPr>
          <w:spacing w:val="-3"/>
        </w:rPr>
        <w:t xml:space="preserve"> </w:t>
      </w:r>
      <w:r>
        <w:t>them.</w:t>
      </w:r>
      <w:r>
        <w:rPr>
          <w:spacing w:val="-3"/>
        </w:rPr>
        <w:t xml:space="preserve"> </w:t>
      </w:r>
      <w:r>
        <w:t>The forward-looking statements in this Form 10-K are intended to be subject to the safe harbor protection provided by the federal securities laws.</w:t>
      </w:r>
    </w:p>
    <w:p w14:paraId="758C476D" w14:textId="77777777" w:rsidR="00AE2255" w:rsidRDefault="00AE2255">
      <w:pPr>
        <w:pStyle w:val="BodyText"/>
        <w:rPr>
          <w:sz w:val="28"/>
        </w:rPr>
      </w:pPr>
    </w:p>
    <w:p w14:paraId="219D1B1C" w14:textId="77777777" w:rsidR="00AE2255" w:rsidRDefault="00000000">
      <w:pPr>
        <w:pStyle w:val="Heading2"/>
        <w:tabs>
          <w:tab w:val="left" w:pos="1869"/>
        </w:tabs>
      </w:pPr>
      <w:bookmarkStart w:id="6" w:name="Item_1A._Risk_Factors"/>
      <w:bookmarkStart w:id="7" w:name="_bookmark2"/>
      <w:bookmarkEnd w:id="6"/>
      <w:bookmarkEnd w:id="7"/>
      <w:r>
        <w:t>ITEM</w:t>
      </w:r>
      <w:r>
        <w:rPr>
          <w:spacing w:val="-4"/>
        </w:rPr>
        <w:t xml:space="preserve"> </w:t>
      </w:r>
      <w:r>
        <w:rPr>
          <w:spacing w:val="-5"/>
        </w:rPr>
        <w:t>1A.</w:t>
      </w:r>
      <w:r>
        <w:tab/>
        <w:t>Risk</w:t>
      </w:r>
      <w:r>
        <w:rPr>
          <w:spacing w:val="-4"/>
        </w:rPr>
        <w:t xml:space="preserve"> </w:t>
      </w:r>
      <w:r>
        <w:rPr>
          <w:spacing w:val="-2"/>
        </w:rPr>
        <w:t>Factors</w:t>
      </w:r>
    </w:p>
    <w:p w14:paraId="2325B40D" w14:textId="77777777" w:rsidR="00AE2255" w:rsidRDefault="00AE2255">
      <w:pPr>
        <w:pStyle w:val="BodyText"/>
        <w:spacing w:before="6"/>
        <w:rPr>
          <w:b/>
          <w:sz w:val="18"/>
        </w:rPr>
      </w:pPr>
    </w:p>
    <w:p w14:paraId="78791702" w14:textId="77777777" w:rsidR="00AE2255" w:rsidRDefault="00000000">
      <w:pPr>
        <w:pStyle w:val="BodyText"/>
        <w:spacing w:line="249" w:lineRule="auto"/>
        <w:ind w:left="610" w:right="427" w:firstLine="360"/>
        <w:jc w:val="both"/>
      </w:pPr>
      <w:r>
        <w:t xml:space="preserve">An investment in our common stock or debt securities involves risks and uncertainties. We seek to identify, </w:t>
      </w:r>
      <w:proofErr w:type="gramStart"/>
      <w:r>
        <w:t>manage</w:t>
      </w:r>
      <w:proofErr w:type="gramEnd"/>
      <w:r>
        <w:t xml:space="preserve"> and mitigate risks to our business, but risk and uncertainty cannot be eliminated or necessarily predicted. The outcome of one or more of these risks could have a material effect on our operating results, financial position, or cash flows. You should carefully consider the following factors, in addition to the other information contained in this Annual Report on Form 10-K, before deciding to trade in our common stock or debt securities.</w:t>
      </w:r>
    </w:p>
    <w:p w14:paraId="5874A215" w14:textId="77777777" w:rsidR="00AE2255" w:rsidRDefault="00AE2255">
      <w:pPr>
        <w:pStyle w:val="BodyText"/>
        <w:spacing w:before="6"/>
        <w:rPr>
          <w:sz w:val="17"/>
        </w:rPr>
      </w:pPr>
    </w:p>
    <w:p w14:paraId="0D7AF14C" w14:textId="77777777" w:rsidR="00AE2255" w:rsidRDefault="00000000">
      <w:pPr>
        <w:pStyle w:val="Heading2"/>
      </w:pPr>
      <w:r>
        <w:t>Risks</w:t>
      </w:r>
      <w:r>
        <w:rPr>
          <w:spacing w:val="-4"/>
        </w:rPr>
        <w:t xml:space="preserve"> </w:t>
      </w:r>
      <w:r>
        <w:t>Related</w:t>
      </w:r>
      <w:r>
        <w:rPr>
          <w:spacing w:val="-4"/>
        </w:rPr>
        <w:t xml:space="preserve"> </w:t>
      </w:r>
      <w:r>
        <w:t>to</w:t>
      </w:r>
      <w:r>
        <w:rPr>
          <w:spacing w:val="-3"/>
        </w:rPr>
        <w:t xml:space="preserve"> </w:t>
      </w:r>
      <w:r>
        <w:t>our</w:t>
      </w:r>
      <w:r>
        <w:rPr>
          <w:spacing w:val="-4"/>
        </w:rPr>
        <w:t xml:space="preserve"> </w:t>
      </w:r>
      <w:r>
        <w:t>Reliance</w:t>
      </w:r>
      <w:r>
        <w:rPr>
          <w:spacing w:val="-4"/>
        </w:rPr>
        <w:t xml:space="preserve"> </w:t>
      </w:r>
      <w:r>
        <w:t>on</w:t>
      </w:r>
      <w:r>
        <w:rPr>
          <w:spacing w:val="-4"/>
        </w:rPr>
        <w:t xml:space="preserve"> </w:t>
      </w:r>
      <w:r>
        <w:t>Government</w:t>
      </w:r>
      <w:r>
        <w:rPr>
          <w:spacing w:val="-3"/>
        </w:rPr>
        <w:t xml:space="preserve"> </w:t>
      </w:r>
      <w:r>
        <w:rPr>
          <w:spacing w:val="-2"/>
        </w:rPr>
        <w:t>Contracts</w:t>
      </w:r>
    </w:p>
    <w:p w14:paraId="4087B924" w14:textId="77777777" w:rsidR="00AE2255" w:rsidRDefault="00AE2255">
      <w:pPr>
        <w:pStyle w:val="BodyText"/>
        <w:spacing w:before="8"/>
        <w:rPr>
          <w:b/>
          <w:sz w:val="21"/>
        </w:rPr>
      </w:pPr>
    </w:p>
    <w:p w14:paraId="31D66D53" w14:textId="77777777" w:rsidR="00AE2255" w:rsidRDefault="00000000">
      <w:pPr>
        <w:pStyle w:val="Heading3"/>
        <w:spacing w:line="249" w:lineRule="auto"/>
      </w:pPr>
      <w:r>
        <w:t>We</w:t>
      </w:r>
      <w:r>
        <w:rPr>
          <w:spacing w:val="16"/>
        </w:rPr>
        <w:t xml:space="preserve"> </w:t>
      </w:r>
      <w:r>
        <w:t>depend</w:t>
      </w:r>
      <w:r>
        <w:rPr>
          <w:spacing w:val="16"/>
        </w:rPr>
        <w:t xml:space="preserve"> </w:t>
      </w:r>
      <w:r>
        <w:t>heavily</w:t>
      </w:r>
      <w:r>
        <w:rPr>
          <w:spacing w:val="16"/>
        </w:rPr>
        <w:t xml:space="preserve"> </w:t>
      </w:r>
      <w:r>
        <w:t>on</w:t>
      </w:r>
      <w:r>
        <w:rPr>
          <w:spacing w:val="16"/>
        </w:rPr>
        <w:t xml:space="preserve"> </w:t>
      </w:r>
      <w:r>
        <w:t>contracts</w:t>
      </w:r>
      <w:r>
        <w:rPr>
          <w:spacing w:val="16"/>
        </w:rPr>
        <w:t xml:space="preserve"> </w:t>
      </w:r>
      <w:r>
        <w:t>with</w:t>
      </w:r>
      <w:r>
        <w:rPr>
          <w:spacing w:val="16"/>
        </w:rPr>
        <w:t xml:space="preserve"> </w:t>
      </w:r>
      <w:r>
        <w:t>the</w:t>
      </w:r>
      <w:r>
        <w:rPr>
          <w:spacing w:val="16"/>
        </w:rPr>
        <w:t xml:space="preserve"> </w:t>
      </w:r>
      <w:r>
        <w:t>U.S.</w:t>
      </w:r>
      <w:r>
        <w:rPr>
          <w:spacing w:val="16"/>
        </w:rPr>
        <w:t xml:space="preserve"> </w:t>
      </w:r>
      <w:r>
        <w:t>Government</w:t>
      </w:r>
      <w:r>
        <w:rPr>
          <w:spacing w:val="16"/>
        </w:rPr>
        <w:t xml:space="preserve"> </w:t>
      </w:r>
      <w:r>
        <w:t>for</w:t>
      </w:r>
      <w:r>
        <w:rPr>
          <w:spacing w:val="16"/>
        </w:rPr>
        <w:t xml:space="preserve"> </w:t>
      </w:r>
      <w:r>
        <w:t>a</w:t>
      </w:r>
      <w:r>
        <w:rPr>
          <w:spacing w:val="16"/>
        </w:rPr>
        <w:t xml:space="preserve"> </w:t>
      </w:r>
      <w:r>
        <w:t>substantial</w:t>
      </w:r>
      <w:r>
        <w:rPr>
          <w:spacing w:val="16"/>
        </w:rPr>
        <w:t xml:space="preserve"> </w:t>
      </w:r>
      <w:r>
        <w:t>portion</w:t>
      </w:r>
      <w:r>
        <w:rPr>
          <w:spacing w:val="16"/>
        </w:rPr>
        <w:t xml:space="preserve"> </w:t>
      </w:r>
      <w:r>
        <w:t>of</w:t>
      </w:r>
      <w:r>
        <w:rPr>
          <w:spacing w:val="16"/>
        </w:rPr>
        <w:t xml:space="preserve"> </w:t>
      </w:r>
      <w:r>
        <w:t>our</w:t>
      </w:r>
      <w:r>
        <w:rPr>
          <w:spacing w:val="16"/>
        </w:rPr>
        <w:t xml:space="preserve"> </w:t>
      </w:r>
      <w:r>
        <w:t>business.</w:t>
      </w:r>
      <w:r>
        <w:rPr>
          <w:spacing w:val="16"/>
        </w:rPr>
        <w:t xml:space="preserve"> </w:t>
      </w:r>
      <w:r>
        <w:t>Changes</w:t>
      </w:r>
      <w:r>
        <w:rPr>
          <w:spacing w:val="16"/>
        </w:rPr>
        <w:t xml:space="preserve"> </w:t>
      </w:r>
      <w:r>
        <w:t>in</w:t>
      </w:r>
      <w:r>
        <w:rPr>
          <w:spacing w:val="16"/>
        </w:rPr>
        <w:t xml:space="preserve"> </w:t>
      </w:r>
      <w:r>
        <w:t>the</w:t>
      </w:r>
      <w:r>
        <w:rPr>
          <w:spacing w:val="16"/>
        </w:rPr>
        <w:t xml:space="preserve"> </w:t>
      </w:r>
      <w:r>
        <w:t>U.S. Government’s priorities, or delays or reductions in spending could have a material adverse effect on our business.</w:t>
      </w:r>
    </w:p>
    <w:p w14:paraId="0A2CDB6D" w14:textId="77777777" w:rsidR="00AE2255" w:rsidRDefault="00AE2255">
      <w:pPr>
        <w:pStyle w:val="BodyText"/>
        <w:spacing w:before="9"/>
        <w:rPr>
          <w:b/>
          <w:i/>
          <w:sz w:val="17"/>
        </w:rPr>
      </w:pPr>
    </w:p>
    <w:p w14:paraId="75EAA901" w14:textId="77777777" w:rsidR="00AE2255" w:rsidRDefault="00000000">
      <w:pPr>
        <w:pStyle w:val="BodyText"/>
        <w:spacing w:before="1" w:line="249" w:lineRule="auto"/>
        <w:ind w:left="610" w:right="429" w:firstLine="360"/>
        <w:jc w:val="both"/>
      </w:pPr>
      <w:r>
        <w:t>We derived 73% of our total consolidated net sales from the U.S. Government in 2022, including 64% from the DoD. We expect to continue to derive most of our sales from work performed under U.S. Government contracts. Budget uncertainty, the potential for U.S. Government shutdowns, the use of continuing resolutions, and the federal debt ceiling can adversely affect</w:t>
      </w:r>
      <w:r>
        <w:rPr>
          <w:spacing w:val="40"/>
        </w:rPr>
        <w:t xml:space="preserve"> </w:t>
      </w:r>
      <w:r>
        <w:t xml:space="preserve">our industry and the funding for our programs. If appropriations are delayed or a government shutdown were to occur and were to continue for an extended </w:t>
      </w:r>
      <w:proofErr w:type="gramStart"/>
      <w:r>
        <w:t>period of time</w:t>
      </w:r>
      <w:proofErr w:type="gramEnd"/>
      <w:r>
        <w:t xml:space="preserve">, we could be at risk of program cancellations and other disruptions and nonpayment. When the U.S. Government operates under a continuing resolution, new contract and program starts are restricted and funding for our programs may be unavailable, reduced or delayed. Shifting funding priorities or federal budget compromises, also could result in reductions in overall defense spending on an absolute or inflation-adjusted basis, which could adversely impact our </w:t>
      </w:r>
      <w:r>
        <w:rPr>
          <w:spacing w:val="-2"/>
        </w:rPr>
        <w:t>business.</w:t>
      </w:r>
    </w:p>
    <w:p w14:paraId="46628559" w14:textId="77777777" w:rsidR="00AE2255" w:rsidRDefault="00AE2255">
      <w:pPr>
        <w:pStyle w:val="BodyText"/>
        <w:rPr>
          <w:sz w:val="18"/>
        </w:rPr>
      </w:pPr>
    </w:p>
    <w:p w14:paraId="4CA27615" w14:textId="77777777" w:rsidR="00AE2255" w:rsidRDefault="00000000">
      <w:pPr>
        <w:pStyle w:val="BodyText"/>
        <w:spacing w:line="249" w:lineRule="auto"/>
        <w:ind w:left="610" w:right="428" w:firstLine="360"/>
        <w:jc w:val="both"/>
      </w:pPr>
      <w:r>
        <w:t xml:space="preserve">We believe our diverse range of products and services generally make it less likely that cuts in any specific contract or program will affect our business on a long-term basis. However, termination of significant programs or contracts could adversely affect our business and future financial performance. DoD’s changes in funding priorities also could reduce opportunities in existing programs and in future programs or initiatives where we intend to compete and where we have made investments. While we would expect to compete and be well positioned as the incumbent on existing </w:t>
      </w:r>
      <w:proofErr w:type="gramStart"/>
      <w:r>
        <w:t>programs</w:t>
      </w:r>
      <w:proofErr w:type="gramEnd"/>
      <w:r>
        <w:t xml:space="preserve"> we may not be successful and, even if we are successful, the replacement programs may be funded at lower levels or result in lower margins.</w:t>
      </w:r>
      <w:r>
        <w:rPr>
          <w:spacing w:val="40"/>
        </w:rPr>
        <w:t xml:space="preserve"> </w:t>
      </w:r>
      <w:r>
        <w:t xml:space="preserve">In addition, our ability to grow in key areas such as </w:t>
      </w:r>
      <w:proofErr w:type="spellStart"/>
      <w:r>
        <w:t>hypersonics</w:t>
      </w:r>
      <w:proofErr w:type="spellEnd"/>
      <w:r>
        <w:t xml:space="preserve"> programs, classified programs and next-generation franchise programs also will be affected by the overall budget environment and whether development programs transition to production and the timing of such transition, all of which are dependent on U.S. Government authorization and funding.</w:t>
      </w:r>
    </w:p>
    <w:p w14:paraId="0F98D9CD" w14:textId="77777777" w:rsidR="00AE2255" w:rsidRDefault="00AE2255">
      <w:pPr>
        <w:pStyle w:val="BodyText"/>
        <w:rPr>
          <w:sz w:val="18"/>
        </w:rPr>
      </w:pPr>
    </w:p>
    <w:p w14:paraId="75E83C99" w14:textId="77777777" w:rsidR="00AE2255" w:rsidRDefault="00000000">
      <w:pPr>
        <w:pStyle w:val="BodyText"/>
        <w:spacing w:line="249" w:lineRule="auto"/>
        <w:ind w:left="610" w:right="428" w:firstLine="360"/>
        <w:jc w:val="both"/>
      </w:pPr>
      <w:r>
        <w:t>Our contracts with the U.S. Government are conditioned upon the continuing availability of Congressional appropriations. Congress</w:t>
      </w:r>
      <w:r>
        <w:rPr>
          <w:spacing w:val="-2"/>
        </w:rPr>
        <w:t xml:space="preserve"> </w:t>
      </w:r>
      <w:r>
        <w:t>usually</w:t>
      </w:r>
      <w:r>
        <w:rPr>
          <w:spacing w:val="-1"/>
        </w:rPr>
        <w:t xml:space="preserve"> </w:t>
      </w:r>
      <w:r>
        <w:t>appropriates</w:t>
      </w:r>
      <w:r>
        <w:rPr>
          <w:spacing w:val="-2"/>
        </w:rPr>
        <w:t xml:space="preserve"> </w:t>
      </w:r>
      <w:r>
        <w:t>funds</w:t>
      </w:r>
      <w:r>
        <w:rPr>
          <w:spacing w:val="-2"/>
        </w:rPr>
        <w:t xml:space="preserve"> </w:t>
      </w:r>
      <w:r>
        <w:t>on</w:t>
      </w:r>
      <w:r>
        <w:rPr>
          <w:spacing w:val="-1"/>
        </w:rPr>
        <w:t xml:space="preserve"> </w:t>
      </w:r>
      <w:r>
        <w:t>a</w:t>
      </w:r>
      <w:r>
        <w:rPr>
          <w:spacing w:val="-2"/>
        </w:rPr>
        <w:t xml:space="preserve"> </w:t>
      </w:r>
      <w:r>
        <w:t>fiscal</w:t>
      </w:r>
      <w:r>
        <w:rPr>
          <w:spacing w:val="-2"/>
        </w:rPr>
        <w:t xml:space="preserve"> </w:t>
      </w:r>
      <w:r>
        <w:t>year</w:t>
      </w:r>
      <w:r>
        <w:rPr>
          <w:spacing w:val="-1"/>
        </w:rPr>
        <w:t xml:space="preserve"> </w:t>
      </w:r>
      <w:r>
        <w:t>(FY)</w:t>
      </w:r>
      <w:r>
        <w:rPr>
          <w:spacing w:val="-1"/>
        </w:rPr>
        <w:t xml:space="preserve"> </w:t>
      </w:r>
      <w:r>
        <w:t>basis</w:t>
      </w:r>
      <w:r>
        <w:rPr>
          <w:spacing w:val="-2"/>
        </w:rPr>
        <w:t xml:space="preserve"> </w:t>
      </w:r>
      <w:r>
        <w:t>even</w:t>
      </w:r>
      <w:r>
        <w:rPr>
          <w:spacing w:val="-1"/>
        </w:rPr>
        <w:t xml:space="preserve"> </w:t>
      </w:r>
      <w:r>
        <w:t>though</w:t>
      </w:r>
      <w:r>
        <w:rPr>
          <w:spacing w:val="-1"/>
        </w:rPr>
        <w:t xml:space="preserve"> </w:t>
      </w:r>
      <w:r>
        <w:t>contract</w:t>
      </w:r>
      <w:r>
        <w:rPr>
          <w:spacing w:val="-2"/>
        </w:rPr>
        <w:t xml:space="preserve"> </w:t>
      </w:r>
      <w:r>
        <w:t>performance</w:t>
      </w:r>
      <w:r>
        <w:rPr>
          <w:spacing w:val="-2"/>
        </w:rPr>
        <w:t xml:space="preserve"> </w:t>
      </w:r>
      <w:r>
        <w:t>may</w:t>
      </w:r>
      <w:r>
        <w:rPr>
          <w:spacing w:val="-1"/>
        </w:rPr>
        <w:t xml:space="preserve"> </w:t>
      </w:r>
      <w:r>
        <w:t>extend</w:t>
      </w:r>
      <w:r>
        <w:rPr>
          <w:spacing w:val="-1"/>
        </w:rPr>
        <w:t xml:space="preserve"> </w:t>
      </w:r>
      <w:r>
        <w:t>over</w:t>
      </w:r>
      <w:r>
        <w:rPr>
          <w:spacing w:val="-1"/>
        </w:rPr>
        <w:t xml:space="preserve"> </w:t>
      </w:r>
      <w:r>
        <w:t>many</w:t>
      </w:r>
      <w:r>
        <w:rPr>
          <w:spacing w:val="-1"/>
        </w:rPr>
        <w:t xml:space="preserve"> </w:t>
      </w:r>
      <w:r>
        <w:t xml:space="preserve">years. Consequently, contracts are often partially funded </w:t>
      </w:r>
      <w:proofErr w:type="gramStart"/>
      <w:r>
        <w:t>initially</w:t>
      </w:r>
      <w:proofErr w:type="gramEnd"/>
      <w:r>
        <w:t xml:space="preserve"> and additional funds are committed only as Congress makes further appropriations over time. To the extent we incur costs </w:t>
      </w:r>
      <w:proofErr w:type="gramStart"/>
      <w:r>
        <w:t>in excess of</w:t>
      </w:r>
      <w:proofErr w:type="gramEnd"/>
      <w:r>
        <w:t xml:space="preserve"> funds obligated on a contract or in advance of a contract award or contract </w:t>
      </w:r>
      <w:proofErr w:type="spellStart"/>
      <w:r>
        <w:t>definitization</w:t>
      </w:r>
      <w:proofErr w:type="spellEnd"/>
      <w:r>
        <w:t>, we are at risk of not being reimbursed for those costs unless and until additional funds are obligated under the contract or the contract is successfully awarded, definitized and funded, which could adversely affect our results of operations, financial condition and cash flows.</w:t>
      </w:r>
    </w:p>
    <w:p w14:paraId="6969C373" w14:textId="77777777" w:rsidR="00AE2255" w:rsidRDefault="00AE2255">
      <w:pPr>
        <w:spacing w:line="249" w:lineRule="auto"/>
        <w:jc w:val="both"/>
        <w:sectPr w:rsidR="00AE2255">
          <w:pgSz w:w="12240" w:h="15840"/>
          <w:pgMar w:top="440" w:right="560" w:bottom="720" w:left="380" w:header="230" w:footer="531" w:gutter="0"/>
          <w:cols w:space="720"/>
        </w:sectPr>
      </w:pPr>
    </w:p>
    <w:p w14:paraId="197BF503" w14:textId="77777777" w:rsidR="00AE2255" w:rsidRDefault="00AE2255">
      <w:pPr>
        <w:pStyle w:val="BodyText"/>
        <w:spacing w:before="7"/>
        <w:rPr>
          <w:sz w:val="22"/>
        </w:rPr>
      </w:pPr>
    </w:p>
    <w:p w14:paraId="43732C96" w14:textId="77777777" w:rsidR="00AE2255" w:rsidRDefault="00000000">
      <w:pPr>
        <w:pStyle w:val="Heading3"/>
        <w:spacing w:before="92" w:line="249" w:lineRule="auto"/>
        <w:ind w:right="429"/>
        <w:jc w:val="both"/>
      </w:pPr>
      <w:r>
        <w:t xml:space="preserve">The F-35 program comprises a material portion of our revenue and reductions or delays in funding for this program and risks related to the development, production, sustainment, performance, schedule, </w:t>
      </w:r>
      <w:proofErr w:type="gramStart"/>
      <w:r>
        <w:t>cost</w:t>
      </w:r>
      <w:proofErr w:type="gramEnd"/>
      <w:r>
        <w:t xml:space="preserve"> and requirements of the program could adversely affect our performance.</w:t>
      </w:r>
    </w:p>
    <w:p w14:paraId="34824EAF" w14:textId="77777777" w:rsidR="00AE2255" w:rsidRDefault="00AE2255">
      <w:pPr>
        <w:pStyle w:val="BodyText"/>
        <w:spacing w:before="10"/>
        <w:rPr>
          <w:b/>
          <w:i/>
          <w:sz w:val="17"/>
        </w:rPr>
      </w:pPr>
    </w:p>
    <w:p w14:paraId="06116166" w14:textId="77777777" w:rsidR="00AE2255" w:rsidRDefault="00000000">
      <w:pPr>
        <w:pStyle w:val="BodyText"/>
        <w:spacing w:line="249" w:lineRule="auto"/>
        <w:ind w:left="610" w:right="428" w:firstLine="360"/>
        <w:jc w:val="both"/>
      </w:pPr>
      <w:r>
        <w:t xml:space="preserve">The F-35 program, which consists of multiple development, </w:t>
      </w:r>
      <w:proofErr w:type="gramStart"/>
      <w:r>
        <w:t>production</w:t>
      </w:r>
      <w:proofErr w:type="gramEnd"/>
      <w:r>
        <w:t xml:space="preserve"> and sustainment contracts, is our largest program and</w:t>
      </w:r>
      <w:r>
        <w:rPr>
          <w:spacing w:val="-2"/>
        </w:rPr>
        <w:t xml:space="preserve"> </w:t>
      </w:r>
      <w:r>
        <w:t>represented</w:t>
      </w:r>
      <w:r>
        <w:rPr>
          <w:spacing w:val="-2"/>
        </w:rPr>
        <w:t xml:space="preserve"> </w:t>
      </w:r>
      <w:r>
        <w:t>27%</w:t>
      </w:r>
      <w:r>
        <w:rPr>
          <w:spacing w:val="-2"/>
        </w:rPr>
        <w:t xml:space="preserve"> </w:t>
      </w:r>
      <w:r>
        <w:t>of</w:t>
      </w:r>
      <w:r>
        <w:rPr>
          <w:spacing w:val="-2"/>
        </w:rPr>
        <w:t xml:space="preserve"> </w:t>
      </w:r>
      <w:r>
        <w:t>our</w:t>
      </w:r>
      <w:r>
        <w:rPr>
          <w:spacing w:val="-2"/>
        </w:rPr>
        <w:t xml:space="preserve"> </w:t>
      </w:r>
      <w:r>
        <w:t>total</w:t>
      </w:r>
      <w:r>
        <w:rPr>
          <w:spacing w:val="-2"/>
        </w:rPr>
        <w:t xml:space="preserve"> </w:t>
      </w:r>
      <w:r>
        <w:t>consolidated</w:t>
      </w:r>
      <w:r>
        <w:rPr>
          <w:spacing w:val="-2"/>
        </w:rPr>
        <w:t xml:space="preserve"> </w:t>
      </w:r>
      <w:r>
        <w:t>net</w:t>
      </w:r>
      <w:r>
        <w:rPr>
          <w:spacing w:val="-2"/>
        </w:rPr>
        <w:t xml:space="preserve"> </w:t>
      </w:r>
      <w:r>
        <w:t>sales</w:t>
      </w:r>
      <w:r>
        <w:rPr>
          <w:spacing w:val="-2"/>
        </w:rPr>
        <w:t xml:space="preserve"> </w:t>
      </w:r>
      <w:r>
        <w:t>in</w:t>
      </w:r>
      <w:r>
        <w:rPr>
          <w:spacing w:val="-2"/>
        </w:rPr>
        <w:t xml:space="preserve"> </w:t>
      </w:r>
      <w:r>
        <w:t>2022.</w:t>
      </w:r>
      <w:r>
        <w:rPr>
          <w:spacing w:val="-2"/>
        </w:rPr>
        <w:t xml:space="preserve"> </w:t>
      </w:r>
      <w:r>
        <w:t>A</w:t>
      </w:r>
      <w:r>
        <w:rPr>
          <w:spacing w:val="-2"/>
        </w:rPr>
        <w:t xml:space="preserve"> </w:t>
      </w:r>
      <w:r>
        <w:t>decision</w:t>
      </w:r>
      <w:r>
        <w:rPr>
          <w:spacing w:val="-2"/>
        </w:rPr>
        <w:t xml:space="preserve"> </w:t>
      </w:r>
      <w:r>
        <w:t>by</w:t>
      </w:r>
      <w:r>
        <w:rPr>
          <w:spacing w:val="-2"/>
        </w:rPr>
        <w:t xml:space="preserve"> </w:t>
      </w:r>
      <w:r>
        <w:t>the</w:t>
      </w:r>
      <w:r>
        <w:rPr>
          <w:spacing w:val="-2"/>
        </w:rPr>
        <w:t xml:space="preserve"> </w:t>
      </w:r>
      <w:r>
        <w:t>U.S.</w:t>
      </w:r>
      <w:r>
        <w:rPr>
          <w:spacing w:val="-2"/>
        </w:rPr>
        <w:t xml:space="preserve"> </w:t>
      </w:r>
      <w:r>
        <w:t>Government</w:t>
      </w:r>
      <w:r>
        <w:rPr>
          <w:spacing w:val="-2"/>
        </w:rPr>
        <w:t xml:space="preserve"> </w:t>
      </w:r>
      <w:r>
        <w:t>or</w:t>
      </w:r>
      <w:r>
        <w:rPr>
          <w:spacing w:val="-2"/>
        </w:rPr>
        <w:t xml:space="preserve"> </w:t>
      </w:r>
      <w:r>
        <w:t>international</w:t>
      </w:r>
      <w:r>
        <w:rPr>
          <w:spacing w:val="-2"/>
        </w:rPr>
        <w:t xml:space="preserve"> </w:t>
      </w:r>
      <w:r>
        <w:t>partner</w:t>
      </w:r>
      <w:r>
        <w:rPr>
          <w:spacing w:val="-2"/>
        </w:rPr>
        <w:t xml:space="preserve"> </w:t>
      </w:r>
      <w:r>
        <w:t xml:space="preserve">and FMS customer countries to cut spending on this program or reduce or delay planned orders would have an adverse impact on our business and results of operations. Given the size and complexity of the F-35 program, we anticipate that there will be continual reviews related to aircraft performance, program and delivery schedule, cost, and requirements as part of the DoD, Congressional, and international countries’ </w:t>
      </w:r>
      <w:proofErr w:type="gramStart"/>
      <w:r>
        <w:t>oversight</w:t>
      </w:r>
      <w:proofErr w:type="gramEnd"/>
      <w:r>
        <w:t xml:space="preserve"> and budgeting processes. Current program challenges include our and our suppliers’ performance (including COVID-19 performance-related challenges), software development, definitizing and receiving funding for contracts on a timely basis, execution of future flight tests and findings resulting from testing and operating</w:t>
      </w:r>
      <w:r>
        <w:rPr>
          <w:spacing w:val="-1"/>
        </w:rPr>
        <w:t xml:space="preserve"> </w:t>
      </w:r>
      <w:r>
        <w:t>the</w:t>
      </w:r>
      <w:r>
        <w:rPr>
          <w:spacing w:val="-2"/>
        </w:rPr>
        <w:t xml:space="preserve"> </w:t>
      </w:r>
      <w:r>
        <w:t>aircraft,</w:t>
      </w:r>
      <w:r>
        <w:rPr>
          <w:spacing w:val="-1"/>
        </w:rPr>
        <w:t xml:space="preserve"> </w:t>
      </w:r>
      <w:r>
        <w:t>the</w:t>
      </w:r>
      <w:r>
        <w:rPr>
          <w:spacing w:val="-2"/>
        </w:rPr>
        <w:t xml:space="preserve"> </w:t>
      </w:r>
      <w:r>
        <w:t>level</w:t>
      </w:r>
      <w:r>
        <w:rPr>
          <w:spacing w:val="-2"/>
        </w:rPr>
        <w:t xml:space="preserve"> </w:t>
      </w:r>
      <w:r>
        <w:t>of</w:t>
      </w:r>
      <w:r>
        <w:rPr>
          <w:spacing w:val="-1"/>
        </w:rPr>
        <w:t xml:space="preserve"> </w:t>
      </w:r>
      <w:r>
        <w:t>cost</w:t>
      </w:r>
      <w:r>
        <w:rPr>
          <w:spacing w:val="-2"/>
        </w:rPr>
        <w:t xml:space="preserve"> </w:t>
      </w:r>
      <w:r>
        <w:t>associated</w:t>
      </w:r>
      <w:r>
        <w:rPr>
          <w:spacing w:val="-1"/>
        </w:rPr>
        <w:t xml:space="preserve"> </w:t>
      </w:r>
      <w:r>
        <w:t>with</w:t>
      </w:r>
      <w:r>
        <w:rPr>
          <w:spacing w:val="-1"/>
        </w:rPr>
        <w:t xml:space="preserve"> </w:t>
      </w:r>
      <w:r>
        <w:t>life</w:t>
      </w:r>
      <w:r>
        <w:rPr>
          <w:spacing w:val="-2"/>
        </w:rPr>
        <w:t xml:space="preserve"> </w:t>
      </w:r>
      <w:r>
        <w:t>cycle</w:t>
      </w:r>
      <w:r>
        <w:rPr>
          <w:spacing w:val="-2"/>
        </w:rPr>
        <w:t xml:space="preserve"> </w:t>
      </w:r>
      <w:r>
        <w:t>operations</w:t>
      </w:r>
      <w:r>
        <w:rPr>
          <w:spacing w:val="-2"/>
        </w:rPr>
        <w:t xml:space="preserve"> </w:t>
      </w:r>
      <w:r>
        <w:t>and</w:t>
      </w:r>
      <w:r>
        <w:rPr>
          <w:spacing w:val="-1"/>
        </w:rPr>
        <w:t xml:space="preserve"> </w:t>
      </w:r>
      <w:r>
        <w:t>sustainment,</w:t>
      </w:r>
      <w:r>
        <w:rPr>
          <w:spacing w:val="-1"/>
        </w:rPr>
        <w:t xml:space="preserve"> </w:t>
      </w:r>
      <w:r>
        <w:t>inflation-related</w:t>
      </w:r>
      <w:r>
        <w:rPr>
          <w:spacing w:val="-1"/>
        </w:rPr>
        <w:t xml:space="preserve"> </w:t>
      </w:r>
      <w:r>
        <w:t>cost</w:t>
      </w:r>
      <w:r>
        <w:rPr>
          <w:spacing w:val="-2"/>
        </w:rPr>
        <w:t xml:space="preserve"> </w:t>
      </w:r>
      <w:r>
        <w:t>pressures</w:t>
      </w:r>
      <w:r>
        <w:rPr>
          <w:spacing w:val="-2"/>
        </w:rPr>
        <w:t xml:space="preserve"> </w:t>
      </w:r>
      <w:r>
        <w:t>and the ability to continue to improve affordability. Our planned production rates and deliveries have been adversely affected and could continue to be adversely affected by COVID-19 or supplier performance challenges, which affect our results of operations. For example, during 2022, we experienced a temporary halt of F-35 deliveries due to non-compliant materials in a component provided by a supplier, which affected timing of deliveries. Additionally, as described in the “Status of the F-35 Program” in Management Discussion and Analysis of Financial Condition and Results of Operations, we are experiencing a pause in aircraft deliveries due to the suspension of Government Furnished Equipment (GFE) engine deliveries and corresponding flight restrictions that were issued by the U.S. Government. If not resolved in a timely manner, this could impact our results of operations and cash flows. See also the Risk Factor below captioned “We are heavily dependent on suppliers and if our subcontractors or other suppliers or teaming agreement or joint venture partners fail to perform their obligations, our performance and ability to win future business could be adversely affected” for a discussion of the risk of non-compliant parts and the supply chain.</w:t>
      </w:r>
    </w:p>
    <w:p w14:paraId="63D24704" w14:textId="77777777" w:rsidR="00AE2255" w:rsidRDefault="00AE2255">
      <w:pPr>
        <w:pStyle w:val="BodyText"/>
        <w:spacing w:before="9"/>
        <w:rPr>
          <w:sz w:val="18"/>
        </w:rPr>
      </w:pPr>
    </w:p>
    <w:p w14:paraId="14FB50CD" w14:textId="77777777" w:rsidR="00AE2255" w:rsidRDefault="00000000">
      <w:pPr>
        <w:pStyle w:val="BodyText"/>
        <w:spacing w:line="249" w:lineRule="auto"/>
        <w:ind w:left="610" w:right="428" w:firstLine="360"/>
        <w:jc w:val="both"/>
      </w:pPr>
      <w:r>
        <w:t xml:space="preserve">We also may not be successful in making hardware upgrades and other modernization capabilities in a timely manner, including </w:t>
      </w:r>
      <w:proofErr w:type="gramStart"/>
      <w:r>
        <w:t>as a result of</w:t>
      </w:r>
      <w:proofErr w:type="gramEnd"/>
      <w:r>
        <w:t xml:space="preserve"> dependencies on suppliers, which could increase costs and create schedule delays. Our ability to capture and retain future F-35 growth in development, production and sustainment is dependent on the success of our efforts to achieve F-35 sustainment performance, customer affordability, supply chain improvements, continued reliability improvements and other efficiencies, some of which are outside our control.</w:t>
      </w:r>
    </w:p>
    <w:p w14:paraId="085794FA" w14:textId="77777777" w:rsidR="00AE2255" w:rsidRDefault="00AE2255">
      <w:pPr>
        <w:pStyle w:val="BodyText"/>
        <w:spacing w:before="5"/>
        <w:rPr>
          <w:sz w:val="17"/>
        </w:rPr>
      </w:pPr>
    </w:p>
    <w:p w14:paraId="22FAFFC2" w14:textId="77777777" w:rsidR="00AE2255" w:rsidRDefault="00000000">
      <w:pPr>
        <w:pStyle w:val="Heading3"/>
        <w:spacing w:before="1" w:line="249" w:lineRule="auto"/>
        <w:ind w:right="430"/>
        <w:jc w:val="both"/>
      </w:pPr>
      <w:r>
        <w:t>We</w:t>
      </w:r>
      <w:r>
        <w:rPr>
          <w:spacing w:val="-3"/>
        </w:rPr>
        <w:t xml:space="preserve"> </w:t>
      </w:r>
      <w:r>
        <w:t>are</w:t>
      </w:r>
      <w:r>
        <w:rPr>
          <w:spacing w:val="-3"/>
        </w:rPr>
        <w:t xml:space="preserve"> </w:t>
      </w:r>
      <w:r>
        <w:t>subject</w:t>
      </w:r>
      <w:r>
        <w:rPr>
          <w:spacing w:val="-3"/>
        </w:rPr>
        <w:t xml:space="preserve"> </w:t>
      </w:r>
      <w:r>
        <w:t>to</w:t>
      </w:r>
      <w:r>
        <w:rPr>
          <w:spacing w:val="-3"/>
        </w:rPr>
        <w:t xml:space="preserve"> </w:t>
      </w:r>
      <w:r>
        <w:t>extensive</w:t>
      </w:r>
      <w:r>
        <w:rPr>
          <w:spacing w:val="-3"/>
        </w:rPr>
        <w:t xml:space="preserve"> </w:t>
      </w:r>
      <w:r>
        <w:t>procurement</w:t>
      </w:r>
      <w:r>
        <w:rPr>
          <w:spacing w:val="-3"/>
        </w:rPr>
        <w:t xml:space="preserve"> </w:t>
      </w:r>
      <w:r>
        <w:t>laws</w:t>
      </w:r>
      <w:r>
        <w:rPr>
          <w:spacing w:val="-3"/>
        </w:rPr>
        <w:t xml:space="preserve"> </w:t>
      </w:r>
      <w:r>
        <w:t>and</w:t>
      </w:r>
      <w:r>
        <w:rPr>
          <w:spacing w:val="-3"/>
        </w:rPr>
        <w:t xml:space="preserve"> </w:t>
      </w:r>
      <w:r>
        <w:t>regulations,</w:t>
      </w:r>
      <w:r>
        <w:rPr>
          <w:spacing w:val="-3"/>
        </w:rPr>
        <w:t xml:space="preserve"> </w:t>
      </w:r>
      <w:r>
        <w:t>including</w:t>
      </w:r>
      <w:r>
        <w:rPr>
          <w:spacing w:val="-3"/>
        </w:rPr>
        <w:t xml:space="preserve"> </w:t>
      </w:r>
      <w:r>
        <w:t>those</w:t>
      </w:r>
      <w:r>
        <w:rPr>
          <w:spacing w:val="-3"/>
        </w:rPr>
        <w:t xml:space="preserve"> </w:t>
      </w:r>
      <w:r>
        <w:t>that</w:t>
      </w:r>
      <w:r>
        <w:rPr>
          <w:spacing w:val="-3"/>
        </w:rPr>
        <w:t xml:space="preserve"> </w:t>
      </w:r>
      <w:r>
        <w:t>enable</w:t>
      </w:r>
      <w:r>
        <w:rPr>
          <w:spacing w:val="-3"/>
        </w:rPr>
        <w:t xml:space="preserve"> </w:t>
      </w:r>
      <w:r>
        <w:t>the</w:t>
      </w:r>
      <w:r>
        <w:rPr>
          <w:spacing w:val="-3"/>
        </w:rPr>
        <w:t xml:space="preserve"> </w:t>
      </w:r>
      <w:r>
        <w:t>U.S.</w:t>
      </w:r>
      <w:r>
        <w:rPr>
          <w:spacing w:val="-3"/>
        </w:rPr>
        <w:t xml:space="preserve"> </w:t>
      </w:r>
      <w:r>
        <w:t>Government</w:t>
      </w:r>
      <w:r>
        <w:rPr>
          <w:spacing w:val="-3"/>
        </w:rPr>
        <w:t xml:space="preserve"> </w:t>
      </w:r>
      <w:r>
        <w:t>to</w:t>
      </w:r>
      <w:r>
        <w:rPr>
          <w:spacing w:val="-3"/>
        </w:rPr>
        <w:t xml:space="preserve"> </w:t>
      </w:r>
      <w:r>
        <w:t>terminate contracts for convenience. Our business and reputation could be adversely affected if we or those we do business with fail to comply with or adapt to existing or new procurement laws and regulations, which are regularly evolving.</w:t>
      </w:r>
    </w:p>
    <w:p w14:paraId="12326D27" w14:textId="77777777" w:rsidR="00AE2255" w:rsidRDefault="00AE2255">
      <w:pPr>
        <w:pStyle w:val="BodyText"/>
        <w:spacing w:before="10"/>
        <w:rPr>
          <w:b/>
          <w:i/>
          <w:sz w:val="17"/>
        </w:rPr>
      </w:pPr>
    </w:p>
    <w:p w14:paraId="33922312" w14:textId="77777777" w:rsidR="00AE2255" w:rsidRDefault="00000000">
      <w:pPr>
        <w:pStyle w:val="BodyText"/>
        <w:spacing w:line="249" w:lineRule="auto"/>
        <w:ind w:left="610" w:right="429" w:firstLine="360"/>
        <w:jc w:val="both"/>
      </w:pPr>
      <w:r>
        <w:t xml:space="preserve">We and others with which we do business must comply with laws and regulations relating to the award, </w:t>
      </w:r>
      <w:proofErr w:type="gramStart"/>
      <w:r>
        <w:t>administration</w:t>
      </w:r>
      <w:proofErr w:type="gramEnd"/>
      <w:r>
        <w:t xml:space="preserve"> and performance of U.S. Government contracts. Government contract laws and regulations affect how we do business with our customers and impose certain risks and costs on our business. A violation of these laws and regulations by us, our employees, others working on our behalf, a supplier or a joint venture partner could harm our reputation and result in the imposition of</w:t>
      </w:r>
      <w:r>
        <w:rPr>
          <w:spacing w:val="40"/>
        </w:rPr>
        <w:t xml:space="preserve"> </w:t>
      </w:r>
      <w:r>
        <w:t xml:space="preserve">fines and penalties, the termination of our contracts, </w:t>
      </w:r>
      <w:proofErr w:type="gramStart"/>
      <w:r>
        <w:t>suspension</w:t>
      </w:r>
      <w:proofErr w:type="gramEnd"/>
      <w:r>
        <w:t xml:space="preserve"> or debarment from bidding on or being awarded contracts, loss of our ability to export products or perform services and civil or criminal investigations or proceedings. In addition, costs to comply with new government regulations can increase our costs, reduce our </w:t>
      </w:r>
      <w:proofErr w:type="gramStart"/>
      <w:r>
        <w:t>margins</w:t>
      </w:r>
      <w:proofErr w:type="gramEnd"/>
      <w:r>
        <w:t xml:space="preserve"> and adversely affect our competitiveness.</w:t>
      </w:r>
    </w:p>
    <w:p w14:paraId="08584255" w14:textId="77777777" w:rsidR="00AE2255" w:rsidRDefault="00AE2255">
      <w:pPr>
        <w:pStyle w:val="BodyText"/>
        <w:spacing w:before="10"/>
        <w:rPr>
          <w:sz w:val="17"/>
        </w:rPr>
      </w:pPr>
    </w:p>
    <w:p w14:paraId="3CF573B9" w14:textId="77777777" w:rsidR="00AE2255" w:rsidRDefault="00000000">
      <w:pPr>
        <w:pStyle w:val="BodyText"/>
        <w:spacing w:line="249" w:lineRule="auto"/>
        <w:ind w:left="610" w:right="427" w:firstLine="360"/>
        <w:jc w:val="both"/>
      </w:pPr>
      <w:r>
        <w:t>Government contract laws and regulations can impose terms or obligations that are different than those typically found in commercial transactions. One of the significant differences is that the U.S. Government may terminate any of our government contracts, not only for default based on our performance, but also at its convenience. Generally, prime contractors have a</w:t>
      </w:r>
      <w:r>
        <w:rPr>
          <w:spacing w:val="40"/>
        </w:rPr>
        <w:t xml:space="preserve"> </w:t>
      </w:r>
      <w:r>
        <w:t>similar</w:t>
      </w:r>
      <w:r>
        <w:rPr>
          <w:spacing w:val="-1"/>
        </w:rPr>
        <w:t xml:space="preserve"> </w:t>
      </w:r>
      <w:r>
        <w:t>right</w:t>
      </w:r>
      <w:r>
        <w:rPr>
          <w:spacing w:val="-2"/>
        </w:rPr>
        <w:t xml:space="preserve"> </w:t>
      </w:r>
      <w:r>
        <w:t>under</w:t>
      </w:r>
      <w:r>
        <w:rPr>
          <w:spacing w:val="-1"/>
        </w:rPr>
        <w:t xml:space="preserve"> </w:t>
      </w:r>
      <w:r>
        <w:t>subcontracts</w:t>
      </w:r>
      <w:r>
        <w:rPr>
          <w:spacing w:val="-2"/>
        </w:rPr>
        <w:t xml:space="preserve"> </w:t>
      </w:r>
      <w:r>
        <w:t>related</w:t>
      </w:r>
      <w:r>
        <w:rPr>
          <w:spacing w:val="-1"/>
        </w:rPr>
        <w:t xml:space="preserve"> </w:t>
      </w:r>
      <w:r>
        <w:t>to</w:t>
      </w:r>
      <w:r>
        <w:rPr>
          <w:spacing w:val="-1"/>
        </w:rPr>
        <w:t xml:space="preserve"> </w:t>
      </w:r>
      <w:r>
        <w:t>government</w:t>
      </w:r>
      <w:r>
        <w:rPr>
          <w:spacing w:val="-2"/>
        </w:rPr>
        <w:t xml:space="preserve"> </w:t>
      </w:r>
      <w:r>
        <w:t>contracts.</w:t>
      </w:r>
      <w:r>
        <w:rPr>
          <w:spacing w:val="-1"/>
        </w:rPr>
        <w:t xml:space="preserve"> </w:t>
      </w:r>
      <w:r>
        <w:t>If</w:t>
      </w:r>
      <w:r>
        <w:rPr>
          <w:spacing w:val="-1"/>
        </w:rPr>
        <w:t xml:space="preserve"> </w:t>
      </w:r>
      <w:r>
        <w:t>a</w:t>
      </w:r>
      <w:r>
        <w:rPr>
          <w:spacing w:val="-2"/>
        </w:rPr>
        <w:t xml:space="preserve"> </w:t>
      </w:r>
      <w:r>
        <w:t>contract</w:t>
      </w:r>
      <w:r>
        <w:rPr>
          <w:spacing w:val="-2"/>
        </w:rPr>
        <w:t xml:space="preserve"> </w:t>
      </w:r>
      <w:r>
        <w:t>is</w:t>
      </w:r>
      <w:r>
        <w:rPr>
          <w:spacing w:val="-2"/>
        </w:rPr>
        <w:t xml:space="preserve"> </w:t>
      </w:r>
      <w:r>
        <w:t>terminated</w:t>
      </w:r>
      <w:r>
        <w:rPr>
          <w:spacing w:val="-1"/>
        </w:rPr>
        <w:t xml:space="preserve"> </w:t>
      </w:r>
      <w:r>
        <w:t>for</w:t>
      </w:r>
      <w:r>
        <w:rPr>
          <w:spacing w:val="-1"/>
        </w:rPr>
        <w:t xml:space="preserve"> </w:t>
      </w:r>
      <w:r>
        <w:t>convenience,</w:t>
      </w:r>
      <w:r>
        <w:rPr>
          <w:spacing w:val="-1"/>
        </w:rPr>
        <w:t xml:space="preserve"> </w:t>
      </w:r>
      <w:r>
        <w:t>we</w:t>
      </w:r>
      <w:r>
        <w:rPr>
          <w:spacing w:val="-2"/>
        </w:rPr>
        <w:t xml:space="preserve"> </w:t>
      </w:r>
      <w:r>
        <w:t>typically</w:t>
      </w:r>
      <w:r>
        <w:rPr>
          <w:spacing w:val="-1"/>
        </w:rPr>
        <w:t xml:space="preserve"> </w:t>
      </w:r>
      <w:r>
        <w:t>would be entitled to receive payments for our allowable costs incurred and the proportionate share of fees or earnings for the work performed. However, to the extent insufficient funds have been appropriated by the U.S. Government to the program to cover our costs upon a termination for convenience, the U.S. Government may assert that it is not required to appropriate additional funding. If a contract is terminated for default, the U.S. Government could make claims to reduce the contract value or recover its procurement costs and could assess other special penalties, exposing us to liability and adversely affecting our ability to compete for future contracts and orders. In addition, the U.S. Government could terminate a prime contract under which we are a subcontractor, notwithstanding the fact that our performance and the quality of the products or services we delivered were consistent with our contractual obligations as a subcontractor. Similarly, the U.S. Government could indirectly terminate a program or contract by not appropriating funding. The decision to terminate programs or contracts for convenience or default could adversely affect our business and future financial performance.</w:t>
      </w:r>
    </w:p>
    <w:p w14:paraId="2F654691" w14:textId="77777777" w:rsidR="00AE2255" w:rsidRDefault="00AE2255">
      <w:pPr>
        <w:pStyle w:val="BodyText"/>
        <w:spacing w:before="10"/>
        <w:rPr>
          <w:sz w:val="18"/>
        </w:rPr>
      </w:pPr>
    </w:p>
    <w:p w14:paraId="5B50F1A8" w14:textId="77777777" w:rsidR="00AE2255" w:rsidRDefault="00000000">
      <w:pPr>
        <w:pStyle w:val="BodyText"/>
        <w:spacing w:line="232" w:lineRule="auto"/>
        <w:ind w:left="610" w:right="429" w:firstLine="360"/>
        <w:jc w:val="both"/>
      </w:pPr>
      <w:r>
        <w:t>Another</w:t>
      </w:r>
      <w:r>
        <w:rPr>
          <w:spacing w:val="-1"/>
        </w:rPr>
        <w:t xml:space="preserve"> </w:t>
      </w:r>
      <w:r>
        <w:t>significant</w:t>
      </w:r>
      <w:r>
        <w:rPr>
          <w:spacing w:val="-1"/>
        </w:rPr>
        <w:t xml:space="preserve"> </w:t>
      </w:r>
      <w:r>
        <w:t>difference</w:t>
      </w:r>
      <w:r>
        <w:rPr>
          <w:spacing w:val="-1"/>
        </w:rPr>
        <w:t xml:space="preserve"> </w:t>
      </w:r>
      <w:r>
        <w:t>from</w:t>
      </w:r>
      <w:r>
        <w:rPr>
          <w:spacing w:val="-1"/>
        </w:rPr>
        <w:t xml:space="preserve"> </w:t>
      </w:r>
      <w:r>
        <w:t>commercial</w:t>
      </w:r>
      <w:r>
        <w:rPr>
          <w:spacing w:val="-1"/>
        </w:rPr>
        <w:t xml:space="preserve"> </w:t>
      </w:r>
      <w:r>
        <w:t>contracting</w:t>
      </w:r>
      <w:r>
        <w:rPr>
          <w:spacing w:val="-1"/>
        </w:rPr>
        <w:t xml:space="preserve"> </w:t>
      </w:r>
      <w:r>
        <w:t>is</w:t>
      </w:r>
      <w:r>
        <w:rPr>
          <w:spacing w:val="-1"/>
        </w:rPr>
        <w:t xml:space="preserve"> </w:t>
      </w:r>
      <w:r>
        <w:t>the</w:t>
      </w:r>
      <w:r>
        <w:rPr>
          <w:spacing w:val="-1"/>
        </w:rPr>
        <w:t xml:space="preserve"> </w:t>
      </w:r>
      <w:r>
        <w:t>existence</w:t>
      </w:r>
      <w:r>
        <w:rPr>
          <w:spacing w:val="-1"/>
        </w:rPr>
        <w:t xml:space="preserve"> </w:t>
      </w:r>
      <w:r>
        <w:t>in</w:t>
      </w:r>
      <w:r>
        <w:rPr>
          <w:spacing w:val="-1"/>
        </w:rPr>
        <w:t xml:space="preserve"> </w:t>
      </w:r>
      <w:r>
        <w:t>government</w:t>
      </w:r>
      <w:r>
        <w:rPr>
          <w:spacing w:val="-1"/>
        </w:rPr>
        <w:t xml:space="preserve"> </w:t>
      </w:r>
      <w:r>
        <w:t>contracting</w:t>
      </w:r>
      <w:r>
        <w:rPr>
          <w:spacing w:val="-1"/>
        </w:rPr>
        <w:t xml:space="preserve"> </w:t>
      </w:r>
      <w:r>
        <w:t>of</w:t>
      </w:r>
      <w:r>
        <w:rPr>
          <w:spacing w:val="-1"/>
        </w:rPr>
        <w:t xml:space="preserve"> </w:t>
      </w:r>
      <w:r>
        <w:t>the</w:t>
      </w:r>
      <w:r>
        <w:rPr>
          <w:spacing w:val="-1"/>
        </w:rPr>
        <w:t xml:space="preserve"> </w:t>
      </w:r>
      <w:r>
        <w:t>concept</w:t>
      </w:r>
      <w:r>
        <w:rPr>
          <w:spacing w:val="-1"/>
        </w:rPr>
        <w:t xml:space="preserve"> </w:t>
      </w:r>
      <w:r>
        <w:t>of</w:t>
      </w:r>
      <w:r>
        <w:rPr>
          <w:spacing w:val="-1"/>
        </w:rPr>
        <w:t xml:space="preserve"> </w:t>
      </w:r>
      <w:r>
        <w:t xml:space="preserve">an </w:t>
      </w:r>
      <w:proofErr w:type="spellStart"/>
      <w:r>
        <w:t>undefinitized</w:t>
      </w:r>
      <w:proofErr w:type="spellEnd"/>
      <w:r>
        <w:rPr>
          <w:spacing w:val="20"/>
        </w:rPr>
        <w:t xml:space="preserve"> </w:t>
      </w:r>
      <w:r>
        <w:t>contract</w:t>
      </w:r>
      <w:r>
        <w:rPr>
          <w:spacing w:val="20"/>
        </w:rPr>
        <w:t xml:space="preserve"> </w:t>
      </w:r>
      <w:r>
        <w:t>action</w:t>
      </w:r>
      <w:r>
        <w:rPr>
          <w:spacing w:val="20"/>
        </w:rPr>
        <w:t xml:space="preserve"> </w:t>
      </w:r>
      <w:r>
        <w:t>(UCA),</w:t>
      </w:r>
      <w:r>
        <w:rPr>
          <w:spacing w:val="20"/>
        </w:rPr>
        <w:t xml:space="preserve"> </w:t>
      </w:r>
      <w:r>
        <w:t>which</w:t>
      </w:r>
      <w:r>
        <w:rPr>
          <w:spacing w:val="20"/>
        </w:rPr>
        <w:t xml:space="preserve"> </w:t>
      </w:r>
      <w:r>
        <w:t>is</w:t>
      </w:r>
      <w:r>
        <w:rPr>
          <w:spacing w:val="20"/>
        </w:rPr>
        <w:t xml:space="preserve"> </w:t>
      </w:r>
      <w:r>
        <w:t>when</w:t>
      </w:r>
      <w:r>
        <w:rPr>
          <w:spacing w:val="20"/>
        </w:rPr>
        <w:t xml:space="preserve"> </w:t>
      </w:r>
      <w:r>
        <w:t>we</w:t>
      </w:r>
      <w:r>
        <w:rPr>
          <w:spacing w:val="20"/>
        </w:rPr>
        <w:t xml:space="preserve"> </w:t>
      </w:r>
      <w:r>
        <w:t>begin</w:t>
      </w:r>
      <w:r>
        <w:rPr>
          <w:spacing w:val="20"/>
        </w:rPr>
        <w:t xml:space="preserve"> </w:t>
      </w:r>
      <w:r>
        <w:t>performing</w:t>
      </w:r>
      <w:r>
        <w:rPr>
          <w:spacing w:val="20"/>
        </w:rPr>
        <w:t xml:space="preserve"> </w:t>
      </w:r>
      <w:r>
        <w:t>our</w:t>
      </w:r>
      <w:r>
        <w:rPr>
          <w:spacing w:val="20"/>
        </w:rPr>
        <w:t xml:space="preserve"> </w:t>
      </w:r>
      <w:r>
        <w:t>obligations</w:t>
      </w:r>
      <w:r>
        <w:rPr>
          <w:spacing w:val="20"/>
        </w:rPr>
        <w:t xml:space="preserve"> </w:t>
      </w:r>
      <w:r>
        <w:t>before</w:t>
      </w:r>
      <w:r>
        <w:rPr>
          <w:spacing w:val="20"/>
        </w:rPr>
        <w:t xml:space="preserve"> </w:t>
      </w:r>
      <w:r>
        <w:t>the</w:t>
      </w:r>
      <w:r>
        <w:rPr>
          <w:spacing w:val="20"/>
        </w:rPr>
        <w:t xml:space="preserve"> </w:t>
      </w:r>
      <w:r>
        <w:t>terms,</w:t>
      </w:r>
      <w:r>
        <w:rPr>
          <w:spacing w:val="20"/>
        </w:rPr>
        <w:t xml:space="preserve"> </w:t>
      </w:r>
      <w:r>
        <w:t>specifications</w:t>
      </w:r>
      <w:r>
        <w:rPr>
          <w:spacing w:val="20"/>
        </w:rPr>
        <w:t xml:space="preserve"> </w:t>
      </w:r>
      <w:r>
        <w:t>or</w:t>
      </w:r>
    </w:p>
    <w:p w14:paraId="4B5390B9" w14:textId="77777777" w:rsidR="00AE2255" w:rsidRDefault="00AE2255">
      <w:pPr>
        <w:spacing w:line="232" w:lineRule="auto"/>
        <w:jc w:val="both"/>
        <w:sectPr w:rsidR="00AE2255">
          <w:pgSz w:w="12240" w:h="15840"/>
          <w:pgMar w:top="440" w:right="560" w:bottom="720" w:left="380" w:header="230" w:footer="531" w:gutter="0"/>
          <w:cols w:space="720"/>
        </w:sectPr>
      </w:pPr>
    </w:p>
    <w:p w14:paraId="5FE3E91D" w14:textId="77777777" w:rsidR="00AE2255" w:rsidRDefault="00AE2255">
      <w:pPr>
        <w:pStyle w:val="BodyText"/>
        <w:spacing w:before="10"/>
        <w:rPr>
          <w:sz w:val="22"/>
        </w:rPr>
      </w:pPr>
    </w:p>
    <w:p w14:paraId="4572EA8E" w14:textId="77777777" w:rsidR="00AE2255" w:rsidRDefault="00000000">
      <w:pPr>
        <w:pStyle w:val="BodyText"/>
        <w:spacing w:before="97" w:line="232" w:lineRule="auto"/>
        <w:ind w:left="610" w:right="429"/>
        <w:jc w:val="both"/>
      </w:pPr>
      <w:proofErr w:type="gramStart"/>
      <w:r>
        <w:t>price</w:t>
      </w:r>
      <w:proofErr w:type="gramEnd"/>
      <w:r>
        <w:t xml:space="preserve"> are finally agreed to between the parties. When operating under a UCA, the U.S. Government </w:t>
      </w:r>
      <w:proofErr w:type="gramStart"/>
      <w:r>
        <w:t>has the ability to</w:t>
      </w:r>
      <w:proofErr w:type="gramEnd"/>
      <w:r>
        <w:rPr>
          <w:spacing w:val="40"/>
        </w:rPr>
        <w:t xml:space="preserve"> </w:t>
      </w:r>
      <w:r>
        <w:t>unilaterally definitize contracts, which it has exercised in the past and which absent a successful appeal, obligates us to perform under terms and conditions imposed by the U.S. Government. This can affect our ability to negotiate mutually agreeable contract terms. If a contract is unilaterally imposed upon us, it may negatively affect our expected profit and cash flows on a program or impose burdensome terms.</w:t>
      </w:r>
    </w:p>
    <w:p w14:paraId="649D2E70" w14:textId="77777777" w:rsidR="00AE2255" w:rsidRDefault="00AE2255">
      <w:pPr>
        <w:pStyle w:val="BodyText"/>
        <w:spacing w:before="5"/>
        <w:rPr>
          <w:sz w:val="25"/>
        </w:rPr>
      </w:pPr>
    </w:p>
    <w:p w14:paraId="7D0B6B41" w14:textId="77777777" w:rsidR="00AE2255" w:rsidRDefault="00000000">
      <w:pPr>
        <w:pStyle w:val="BodyText"/>
        <w:spacing w:line="232" w:lineRule="auto"/>
        <w:ind w:left="610" w:right="428" w:firstLine="360"/>
        <w:jc w:val="both"/>
      </w:pPr>
      <w:r>
        <w:t xml:space="preserve">In addition to the unique risks associated with government contracts, the U.S. Government utilizes procurement policies that could negatively impact our profitability or the ability to win new business. For example, the U.S. Government has procurement policies that shift risk to contractors, such as using fixed-price contracts for development programs as described in the following risk factor. Other changes in procurement policy that could affect the predictability of our profit rates or make it more difficult to compete on certain types of programs include favoring more incentive-based fee arrangements, using different award fee criteria than historically used (such as the evaluation of environmental factors) or making government contract negotiation offers based upon their view of what our costs should be (as compared to our actual costs). In addition, changes in contract financing policy for fixed-price contracts, such as changes in performance and progress payments policies, could significantly affect the timing of our cash flows. From time to time, the U.S. Government has proposed contract terms, imposed internal policies, or taken positions that represent fundamental changes from historical practices or that we believe are inconsistent with the FAR or other laws and regulations and that could adversely affect our business. Also, a portion of our contracts are classified by the U.S. Government, which imposes security requirements that limit our ability to discuss our performance on these contracts, including any specific risks, </w:t>
      </w:r>
      <w:proofErr w:type="gramStart"/>
      <w:r>
        <w:t>disputes</w:t>
      </w:r>
      <w:proofErr w:type="gramEnd"/>
      <w:r>
        <w:t xml:space="preserve"> and claims.</w:t>
      </w:r>
    </w:p>
    <w:p w14:paraId="3A1EA462" w14:textId="77777777" w:rsidR="00AE2255" w:rsidRDefault="00AE2255">
      <w:pPr>
        <w:pStyle w:val="BodyText"/>
        <w:spacing w:before="6"/>
      </w:pPr>
    </w:p>
    <w:p w14:paraId="44952289" w14:textId="77777777" w:rsidR="00AE2255" w:rsidRDefault="00000000">
      <w:pPr>
        <w:pStyle w:val="BodyText"/>
        <w:spacing w:line="232" w:lineRule="auto"/>
        <w:ind w:left="610" w:right="428" w:firstLine="360"/>
        <w:jc w:val="both"/>
      </w:pPr>
      <w:r>
        <w:t>Additionally, the DoD is increasingly pursuing rapid acquisition pathways and procedures for new technologies, including through so called “other transaction authority” agreements (OTAs). OTAs are exempt from many traditional procurement laws, including the FAR, and an OTA award may be subject, in certain cases, to the condition that a significant portion of the work under the OTA is performed by a non-traditional defense contractor or that a portion of the cost of the protype project is funded by non-governmental sources. If we cannot successfully adapt to the DoD’s rapid acquisition processes, then we may lose strategic new business opportunities in high-growth areas and our future performance and results could be adversely affected.</w:t>
      </w:r>
    </w:p>
    <w:p w14:paraId="285AC0EE" w14:textId="77777777" w:rsidR="00AE2255" w:rsidRDefault="00000000">
      <w:pPr>
        <w:pStyle w:val="Heading3"/>
        <w:spacing w:before="197" w:line="249" w:lineRule="auto"/>
        <w:ind w:right="430"/>
        <w:jc w:val="both"/>
      </w:pPr>
      <w:r>
        <w:t>Our profitability and cash flow may vary based on the mix of our contracts and programs, our performance, and our ability to control costs.</w:t>
      </w:r>
    </w:p>
    <w:p w14:paraId="3CA83829" w14:textId="77777777" w:rsidR="00AE2255" w:rsidRDefault="00AE2255">
      <w:pPr>
        <w:pStyle w:val="BodyText"/>
        <w:spacing w:before="9"/>
        <w:rPr>
          <w:b/>
          <w:i/>
          <w:sz w:val="17"/>
        </w:rPr>
      </w:pPr>
    </w:p>
    <w:p w14:paraId="1C7F6499" w14:textId="77777777" w:rsidR="00AE2255" w:rsidRDefault="00000000">
      <w:pPr>
        <w:pStyle w:val="BodyText"/>
        <w:spacing w:line="249" w:lineRule="auto"/>
        <w:ind w:left="610" w:right="428" w:firstLine="360"/>
        <w:jc w:val="both"/>
      </w:pPr>
      <w:r>
        <w:t>Our</w:t>
      </w:r>
      <w:r>
        <w:rPr>
          <w:spacing w:val="-1"/>
        </w:rPr>
        <w:t xml:space="preserve"> </w:t>
      </w:r>
      <w:r>
        <w:t>profitability</w:t>
      </w:r>
      <w:r>
        <w:rPr>
          <w:spacing w:val="-1"/>
        </w:rPr>
        <w:t xml:space="preserve"> </w:t>
      </w:r>
      <w:r>
        <w:t>and</w:t>
      </w:r>
      <w:r>
        <w:rPr>
          <w:spacing w:val="-1"/>
        </w:rPr>
        <w:t xml:space="preserve"> </w:t>
      </w:r>
      <w:r>
        <w:t>cash</w:t>
      </w:r>
      <w:r>
        <w:rPr>
          <w:spacing w:val="-1"/>
        </w:rPr>
        <w:t xml:space="preserve"> </w:t>
      </w:r>
      <w:r>
        <w:t>flow</w:t>
      </w:r>
      <w:r>
        <w:rPr>
          <w:spacing w:val="-1"/>
        </w:rPr>
        <w:t xml:space="preserve"> </w:t>
      </w:r>
      <w:r>
        <w:t>may</w:t>
      </w:r>
      <w:r>
        <w:rPr>
          <w:spacing w:val="-1"/>
        </w:rPr>
        <w:t xml:space="preserve"> </w:t>
      </w:r>
      <w:r>
        <w:t>vary</w:t>
      </w:r>
      <w:r>
        <w:rPr>
          <w:spacing w:val="-1"/>
        </w:rPr>
        <w:t xml:space="preserve"> </w:t>
      </w:r>
      <w:r>
        <w:t>materially</w:t>
      </w:r>
      <w:r>
        <w:rPr>
          <w:spacing w:val="-1"/>
        </w:rPr>
        <w:t xml:space="preserve"> </w:t>
      </w:r>
      <w:r>
        <w:t>depending</w:t>
      </w:r>
      <w:r>
        <w:rPr>
          <w:spacing w:val="-1"/>
        </w:rPr>
        <w:t xml:space="preserve"> </w:t>
      </w:r>
      <w:r>
        <w:t>on</w:t>
      </w:r>
      <w:r>
        <w:rPr>
          <w:spacing w:val="-1"/>
        </w:rPr>
        <w:t xml:space="preserve"> </w:t>
      </w:r>
      <w:r>
        <w:t>the</w:t>
      </w:r>
      <w:r>
        <w:rPr>
          <w:spacing w:val="-1"/>
        </w:rPr>
        <w:t xml:space="preserve"> </w:t>
      </w:r>
      <w:r>
        <w:t>types</w:t>
      </w:r>
      <w:r>
        <w:rPr>
          <w:spacing w:val="-1"/>
        </w:rPr>
        <w:t xml:space="preserve"> </w:t>
      </w:r>
      <w:r>
        <w:t>of</w:t>
      </w:r>
      <w:r>
        <w:rPr>
          <w:spacing w:val="-1"/>
        </w:rPr>
        <w:t xml:space="preserve"> </w:t>
      </w:r>
      <w:r>
        <w:t>government</w:t>
      </w:r>
      <w:r>
        <w:rPr>
          <w:spacing w:val="-1"/>
        </w:rPr>
        <w:t xml:space="preserve"> </w:t>
      </w:r>
      <w:r>
        <w:t>contracts</w:t>
      </w:r>
      <w:r>
        <w:rPr>
          <w:spacing w:val="-1"/>
        </w:rPr>
        <w:t xml:space="preserve"> </w:t>
      </w:r>
      <w:r>
        <w:t>undertaken,</w:t>
      </w:r>
      <w:r>
        <w:rPr>
          <w:spacing w:val="-1"/>
        </w:rPr>
        <w:t xml:space="preserve"> </w:t>
      </w:r>
      <w:r>
        <w:t>the</w:t>
      </w:r>
      <w:r>
        <w:rPr>
          <w:spacing w:val="-1"/>
        </w:rPr>
        <w:t xml:space="preserve"> </w:t>
      </w:r>
      <w:r>
        <w:t xml:space="preserve">nature of products </w:t>
      </w:r>
      <w:proofErr w:type="gramStart"/>
      <w:r>
        <w:t>produced</w:t>
      </w:r>
      <w:proofErr w:type="gramEnd"/>
      <w:r>
        <w:t xml:space="preserve"> or services performed under those contracts, the costs incurred in performing the work, the achievement</w:t>
      </w:r>
      <w:r>
        <w:rPr>
          <w:spacing w:val="40"/>
        </w:rPr>
        <w:t xml:space="preserve"> </w:t>
      </w:r>
      <w:r>
        <w:t>of</w:t>
      </w:r>
      <w:r>
        <w:rPr>
          <w:spacing w:val="-1"/>
        </w:rPr>
        <w:t xml:space="preserve"> </w:t>
      </w:r>
      <w:r>
        <w:t>other</w:t>
      </w:r>
      <w:r>
        <w:rPr>
          <w:spacing w:val="-1"/>
        </w:rPr>
        <w:t xml:space="preserve"> </w:t>
      </w:r>
      <w:r>
        <w:t>performance</w:t>
      </w:r>
      <w:r>
        <w:rPr>
          <w:spacing w:val="-1"/>
        </w:rPr>
        <w:t xml:space="preserve"> </w:t>
      </w:r>
      <w:r>
        <w:t>objectives</w:t>
      </w:r>
      <w:r>
        <w:rPr>
          <w:spacing w:val="-1"/>
        </w:rPr>
        <w:t xml:space="preserve"> </w:t>
      </w:r>
      <w:r>
        <w:t>and</w:t>
      </w:r>
      <w:r>
        <w:rPr>
          <w:spacing w:val="-1"/>
        </w:rPr>
        <w:t xml:space="preserve"> </w:t>
      </w:r>
      <w:r>
        <w:t>the</w:t>
      </w:r>
      <w:r>
        <w:rPr>
          <w:spacing w:val="-1"/>
        </w:rPr>
        <w:t xml:space="preserve"> </w:t>
      </w:r>
      <w:r>
        <w:t>stage</w:t>
      </w:r>
      <w:r>
        <w:rPr>
          <w:spacing w:val="-1"/>
        </w:rPr>
        <w:t xml:space="preserve"> </w:t>
      </w:r>
      <w:r>
        <w:t>of</w:t>
      </w:r>
      <w:r>
        <w:rPr>
          <w:spacing w:val="-1"/>
        </w:rPr>
        <w:t xml:space="preserve"> </w:t>
      </w:r>
      <w:r>
        <w:t>performance</w:t>
      </w:r>
      <w:r>
        <w:rPr>
          <w:spacing w:val="-1"/>
        </w:rPr>
        <w:t xml:space="preserve"> </w:t>
      </w:r>
      <w:r>
        <w:t>at</w:t>
      </w:r>
      <w:r>
        <w:rPr>
          <w:spacing w:val="-1"/>
        </w:rPr>
        <w:t xml:space="preserve"> </w:t>
      </w:r>
      <w:r>
        <w:t>which</w:t>
      </w:r>
      <w:r>
        <w:rPr>
          <w:spacing w:val="-1"/>
        </w:rPr>
        <w:t xml:space="preserve"> </w:t>
      </w:r>
      <w:r>
        <w:t>the</w:t>
      </w:r>
      <w:r>
        <w:rPr>
          <w:spacing w:val="-1"/>
        </w:rPr>
        <w:t xml:space="preserve"> </w:t>
      </w:r>
      <w:r>
        <w:t>right</w:t>
      </w:r>
      <w:r>
        <w:rPr>
          <w:spacing w:val="-1"/>
        </w:rPr>
        <w:t xml:space="preserve"> </w:t>
      </w:r>
      <w:r>
        <w:t>to</w:t>
      </w:r>
      <w:r>
        <w:rPr>
          <w:spacing w:val="-1"/>
        </w:rPr>
        <w:t xml:space="preserve"> </w:t>
      </w:r>
      <w:r>
        <w:t>receive</w:t>
      </w:r>
      <w:r>
        <w:rPr>
          <w:spacing w:val="-1"/>
        </w:rPr>
        <w:t xml:space="preserve"> </w:t>
      </w:r>
      <w:r>
        <w:t>fees</w:t>
      </w:r>
      <w:r>
        <w:rPr>
          <w:spacing w:val="-1"/>
        </w:rPr>
        <w:t xml:space="preserve"> </w:t>
      </w:r>
      <w:r>
        <w:t>is</w:t>
      </w:r>
      <w:r>
        <w:rPr>
          <w:spacing w:val="-1"/>
        </w:rPr>
        <w:t xml:space="preserve"> </w:t>
      </w:r>
      <w:r>
        <w:t>determined,</w:t>
      </w:r>
      <w:r>
        <w:rPr>
          <w:spacing w:val="-1"/>
        </w:rPr>
        <w:t xml:space="preserve"> </w:t>
      </w:r>
      <w:r>
        <w:t>particularly</w:t>
      </w:r>
      <w:r>
        <w:rPr>
          <w:spacing w:val="-1"/>
        </w:rPr>
        <w:t xml:space="preserve"> </w:t>
      </w:r>
      <w:r>
        <w:t>under award and incentive-fee contracts. Failure to perform to customer expectations and contract requirements may result in reduced fees or losses and may adversely affect our financial performance.</w:t>
      </w:r>
    </w:p>
    <w:p w14:paraId="5E43040B" w14:textId="77777777" w:rsidR="00AE2255" w:rsidRDefault="00AE2255">
      <w:pPr>
        <w:pStyle w:val="BodyText"/>
        <w:spacing w:before="9"/>
        <w:rPr>
          <w:sz w:val="17"/>
        </w:rPr>
      </w:pPr>
    </w:p>
    <w:p w14:paraId="4BFEF841" w14:textId="77777777" w:rsidR="00AE2255" w:rsidRDefault="00000000">
      <w:pPr>
        <w:pStyle w:val="BodyText"/>
        <w:spacing w:line="249" w:lineRule="auto"/>
        <w:ind w:left="610" w:right="430" w:firstLine="360"/>
        <w:jc w:val="both"/>
      </w:pPr>
      <w:r>
        <w:t xml:space="preserve">Contract types primarily include fixed-price and cost-reimbursable contracts. Under each type of contract, if we are unable to control costs, our operating results could be adversely affected. Costs to complete a contract may increase for a variety of reasons, including technical and manufacturing challenges, schedule delays, workforce-related issues, or inaccurate initial contract cost estimates. These could be caused by a variety of reasons, including labor shortages, the nature and complexity of the work performed, the timeliness and availability of materials from suppliers, internal and subcontractor performance or product quality issues, inability to meet cost reduction initiatives or achieve efficiencies from digital transformation, changing laws or regulations, </w:t>
      </w:r>
      <w:proofErr w:type="gramStart"/>
      <w:r>
        <w:t>inflation</w:t>
      </w:r>
      <w:proofErr w:type="gramEnd"/>
      <w:r>
        <w:t xml:space="preserve"> and natural disasters. Certain contracts may impose other risks, such as forfeiting fees, paying penalties, or providing replacement systems in the event of performance failure.</w:t>
      </w:r>
    </w:p>
    <w:p w14:paraId="0F86C2C9" w14:textId="77777777" w:rsidR="00AE2255" w:rsidRDefault="00AE2255">
      <w:pPr>
        <w:pStyle w:val="BodyText"/>
        <w:spacing w:before="5"/>
        <w:rPr>
          <w:sz w:val="21"/>
        </w:rPr>
      </w:pPr>
    </w:p>
    <w:p w14:paraId="3FEB6572" w14:textId="77777777" w:rsidR="00AE2255" w:rsidRDefault="00000000">
      <w:pPr>
        <w:pStyle w:val="BodyText"/>
        <w:spacing w:line="249" w:lineRule="auto"/>
        <w:ind w:left="610" w:right="430" w:firstLine="360"/>
        <w:jc w:val="both"/>
      </w:pPr>
      <w:r>
        <w:t xml:space="preserve">Cost-reimbursable contracts provide for the payment of allowable costs incurred during performance of the contract plus a fee up to a ceiling based on the amount that has been funded. Cost, </w:t>
      </w:r>
      <w:proofErr w:type="gramStart"/>
      <w:r>
        <w:t>schedule</w:t>
      </w:r>
      <w:proofErr w:type="gramEnd"/>
      <w:r>
        <w:t xml:space="preserve"> or technical performance issues with respect to cost-reimbursable contracts could result in reduced fees, lower profit rates, or program cancellation.</w:t>
      </w:r>
    </w:p>
    <w:p w14:paraId="449FAABE" w14:textId="77777777" w:rsidR="00AE2255" w:rsidRDefault="00AE2255">
      <w:pPr>
        <w:pStyle w:val="BodyText"/>
        <w:spacing w:before="7"/>
        <w:rPr>
          <w:sz w:val="17"/>
        </w:rPr>
      </w:pPr>
    </w:p>
    <w:p w14:paraId="3C661D2E" w14:textId="77777777" w:rsidR="00AE2255" w:rsidRDefault="00000000">
      <w:pPr>
        <w:pStyle w:val="BodyText"/>
        <w:spacing w:line="249" w:lineRule="auto"/>
        <w:ind w:left="610" w:right="428" w:firstLine="360"/>
        <w:jc w:val="both"/>
      </w:pPr>
      <w:r>
        <w:t xml:space="preserve">Fixed-price contracts are predominantly either firm fixed-price (FFP) contracts or fixed-price incentive (FPI) contracts. Under FFP contracts, we receive a fixed price irrespective of the actual costs we </w:t>
      </w:r>
      <w:proofErr w:type="gramStart"/>
      <w:r>
        <w:t>incur</w:t>
      </w:r>
      <w:proofErr w:type="gramEnd"/>
      <w:r>
        <w:t xml:space="preserve"> and we therefore carry the burden of any cost overruns. Under FPI contracts, we generally share with the U.S. Government savings for cost underruns less than target costs and expenses for cost overruns exceeding target costs up to a negotiated ceiling price. We carry the entire burden of cost overruns exceeding the ceiling price amount under FPI contracts. Due to the fixed-price nature of the contracts, if our actual costs exceed our estimates, our margins and profits are </w:t>
      </w:r>
      <w:proofErr w:type="gramStart"/>
      <w:r>
        <w:t>reduced</w:t>
      </w:r>
      <w:proofErr w:type="gramEnd"/>
      <w:r>
        <w:t xml:space="preserve"> and we could incur a reach-forward loss. A reach-forward loss</w:t>
      </w:r>
      <w:r>
        <w:rPr>
          <w:spacing w:val="40"/>
        </w:rPr>
        <w:t xml:space="preserve"> </w:t>
      </w:r>
      <w:r>
        <w:t>is when estimates of total costs to be incurred on a contract exceed total estimates of the transaction price. When this occurs, a provision for the entire loss is determined at the contract level and is recorded in the period in which the loss is evident.</w:t>
      </w:r>
    </w:p>
    <w:p w14:paraId="347A459A" w14:textId="77777777" w:rsidR="00AE2255" w:rsidRDefault="00AE2255">
      <w:pPr>
        <w:pStyle w:val="BodyText"/>
        <w:rPr>
          <w:sz w:val="18"/>
        </w:rPr>
      </w:pPr>
    </w:p>
    <w:p w14:paraId="51CD0142" w14:textId="77777777" w:rsidR="00AE2255" w:rsidRDefault="00000000">
      <w:pPr>
        <w:pStyle w:val="BodyText"/>
        <w:spacing w:line="249" w:lineRule="auto"/>
        <w:ind w:left="610" w:right="430" w:firstLine="360"/>
        <w:jc w:val="both"/>
      </w:pPr>
      <w:r>
        <w:t>Contracts</w:t>
      </w:r>
      <w:r>
        <w:rPr>
          <w:spacing w:val="-3"/>
        </w:rPr>
        <w:t xml:space="preserve"> </w:t>
      </w:r>
      <w:r>
        <w:t>for</w:t>
      </w:r>
      <w:r>
        <w:rPr>
          <w:spacing w:val="-3"/>
        </w:rPr>
        <w:t xml:space="preserve"> </w:t>
      </w:r>
      <w:r>
        <w:t>development</w:t>
      </w:r>
      <w:r>
        <w:rPr>
          <w:spacing w:val="-3"/>
        </w:rPr>
        <w:t xml:space="preserve"> </w:t>
      </w:r>
      <w:r>
        <w:t>programs</w:t>
      </w:r>
      <w:r>
        <w:rPr>
          <w:spacing w:val="-3"/>
        </w:rPr>
        <w:t xml:space="preserve"> </w:t>
      </w:r>
      <w:r>
        <w:t>include</w:t>
      </w:r>
      <w:r>
        <w:rPr>
          <w:spacing w:val="-3"/>
        </w:rPr>
        <w:t xml:space="preserve"> </w:t>
      </w:r>
      <w:r>
        <w:t>complex</w:t>
      </w:r>
      <w:r>
        <w:rPr>
          <w:spacing w:val="-3"/>
        </w:rPr>
        <w:t xml:space="preserve"> </w:t>
      </w:r>
      <w:r>
        <w:t>design</w:t>
      </w:r>
      <w:r>
        <w:rPr>
          <w:spacing w:val="-3"/>
        </w:rPr>
        <w:t xml:space="preserve"> </w:t>
      </w:r>
      <w:r>
        <w:t>and</w:t>
      </w:r>
      <w:r>
        <w:rPr>
          <w:spacing w:val="-3"/>
        </w:rPr>
        <w:t xml:space="preserve"> </w:t>
      </w:r>
      <w:r>
        <w:t>technical</w:t>
      </w:r>
      <w:r>
        <w:rPr>
          <w:spacing w:val="-3"/>
        </w:rPr>
        <w:t xml:space="preserve"> </w:t>
      </w:r>
      <w:r>
        <w:t>requirements</w:t>
      </w:r>
      <w:r>
        <w:rPr>
          <w:spacing w:val="-3"/>
        </w:rPr>
        <w:t xml:space="preserve"> </w:t>
      </w:r>
      <w:r>
        <w:t>and</w:t>
      </w:r>
      <w:r>
        <w:rPr>
          <w:spacing w:val="-3"/>
        </w:rPr>
        <w:t xml:space="preserve"> </w:t>
      </w:r>
      <w:r>
        <w:t>are</w:t>
      </w:r>
      <w:r>
        <w:rPr>
          <w:spacing w:val="-3"/>
        </w:rPr>
        <w:t xml:space="preserve"> </w:t>
      </w:r>
      <w:r>
        <w:t>often</w:t>
      </w:r>
      <w:r>
        <w:rPr>
          <w:spacing w:val="-3"/>
        </w:rPr>
        <w:t xml:space="preserve"> </w:t>
      </w:r>
      <w:r>
        <w:t>contracted</w:t>
      </w:r>
      <w:r>
        <w:rPr>
          <w:spacing w:val="-3"/>
        </w:rPr>
        <w:t xml:space="preserve"> </w:t>
      </w:r>
      <w:r>
        <w:t>on</w:t>
      </w:r>
      <w:r>
        <w:rPr>
          <w:spacing w:val="-3"/>
        </w:rPr>
        <w:t xml:space="preserve"> </w:t>
      </w:r>
      <w:r>
        <w:t>a</w:t>
      </w:r>
      <w:r>
        <w:rPr>
          <w:spacing w:val="-3"/>
        </w:rPr>
        <w:t xml:space="preserve"> </w:t>
      </w:r>
      <w:r>
        <w:t>cost- reimbursable basis, however, some of our existing development programs are contracted on a fixed-price basis or include cost- type</w:t>
      </w:r>
      <w:r>
        <w:rPr>
          <w:spacing w:val="40"/>
        </w:rPr>
        <w:t xml:space="preserve"> </w:t>
      </w:r>
      <w:r>
        <w:t>contracting</w:t>
      </w:r>
      <w:r>
        <w:rPr>
          <w:spacing w:val="40"/>
        </w:rPr>
        <w:t xml:space="preserve"> </w:t>
      </w:r>
      <w:r>
        <w:t>for</w:t>
      </w:r>
      <w:r>
        <w:rPr>
          <w:spacing w:val="40"/>
        </w:rPr>
        <w:t xml:space="preserve"> </w:t>
      </w:r>
      <w:r>
        <w:t>the</w:t>
      </w:r>
      <w:r>
        <w:rPr>
          <w:spacing w:val="40"/>
        </w:rPr>
        <w:t xml:space="preserve"> </w:t>
      </w:r>
      <w:r>
        <w:t>development</w:t>
      </w:r>
      <w:r>
        <w:rPr>
          <w:spacing w:val="40"/>
        </w:rPr>
        <w:t xml:space="preserve"> </w:t>
      </w:r>
      <w:r>
        <w:t>phase</w:t>
      </w:r>
      <w:r>
        <w:rPr>
          <w:spacing w:val="40"/>
        </w:rPr>
        <w:t xml:space="preserve"> </w:t>
      </w:r>
      <w:r>
        <w:t>with</w:t>
      </w:r>
      <w:r>
        <w:rPr>
          <w:spacing w:val="40"/>
        </w:rPr>
        <w:t xml:space="preserve"> </w:t>
      </w:r>
      <w:r>
        <w:t>fixed-price</w:t>
      </w:r>
      <w:r>
        <w:rPr>
          <w:spacing w:val="40"/>
        </w:rPr>
        <w:t xml:space="preserve"> </w:t>
      </w:r>
      <w:r>
        <w:t>production</w:t>
      </w:r>
      <w:r>
        <w:rPr>
          <w:spacing w:val="40"/>
        </w:rPr>
        <w:t xml:space="preserve"> </w:t>
      </w:r>
      <w:r>
        <w:t>options.</w:t>
      </w:r>
      <w:r>
        <w:rPr>
          <w:spacing w:val="40"/>
        </w:rPr>
        <w:t xml:space="preserve"> </w:t>
      </w:r>
      <w:r>
        <w:t>We</w:t>
      </w:r>
      <w:r>
        <w:rPr>
          <w:spacing w:val="40"/>
        </w:rPr>
        <w:t xml:space="preserve"> </w:t>
      </w:r>
      <w:r>
        <w:t>expect</w:t>
      </w:r>
      <w:r>
        <w:rPr>
          <w:spacing w:val="40"/>
        </w:rPr>
        <w:t xml:space="preserve"> </w:t>
      </w:r>
      <w:r>
        <w:t>we</w:t>
      </w:r>
      <w:r>
        <w:rPr>
          <w:spacing w:val="40"/>
        </w:rPr>
        <w:t xml:space="preserve"> </w:t>
      </w:r>
      <w:r>
        <w:t>also</w:t>
      </w:r>
      <w:r>
        <w:rPr>
          <w:spacing w:val="40"/>
        </w:rPr>
        <w:t xml:space="preserve"> </w:t>
      </w:r>
      <w:r>
        <w:t>will</w:t>
      </w:r>
      <w:r>
        <w:rPr>
          <w:spacing w:val="40"/>
        </w:rPr>
        <w:t xml:space="preserve"> </w:t>
      </w:r>
      <w:r>
        <w:t>bid</w:t>
      </w:r>
      <w:r>
        <w:rPr>
          <w:spacing w:val="40"/>
        </w:rPr>
        <w:t xml:space="preserve"> </w:t>
      </w:r>
      <w:r>
        <w:t>on</w:t>
      </w:r>
      <w:r>
        <w:rPr>
          <w:spacing w:val="40"/>
        </w:rPr>
        <w:t xml:space="preserve"> </w:t>
      </w:r>
      <w:r>
        <w:t>similar</w:t>
      </w:r>
    </w:p>
    <w:p w14:paraId="40B6126D" w14:textId="77777777" w:rsidR="00AE2255" w:rsidRDefault="00AE2255">
      <w:pPr>
        <w:spacing w:line="249" w:lineRule="auto"/>
        <w:jc w:val="both"/>
        <w:sectPr w:rsidR="00AE2255">
          <w:pgSz w:w="12240" w:h="15840"/>
          <w:pgMar w:top="440" w:right="560" w:bottom="720" w:left="380" w:header="230" w:footer="531" w:gutter="0"/>
          <w:cols w:space="720"/>
        </w:sectPr>
      </w:pPr>
    </w:p>
    <w:p w14:paraId="23EDA416" w14:textId="77777777" w:rsidR="00AE2255" w:rsidRDefault="00AE2255">
      <w:pPr>
        <w:pStyle w:val="BodyText"/>
        <w:spacing w:before="10"/>
        <w:rPr>
          <w:sz w:val="22"/>
        </w:rPr>
      </w:pPr>
    </w:p>
    <w:p w14:paraId="6EBC9437" w14:textId="77777777" w:rsidR="00AE2255" w:rsidRDefault="00000000">
      <w:pPr>
        <w:pStyle w:val="BodyText"/>
        <w:spacing w:before="92" w:line="249" w:lineRule="auto"/>
        <w:ind w:left="610" w:right="429"/>
        <w:jc w:val="both"/>
      </w:pPr>
      <w:r>
        <w:t>programs in the future. Fixed-price development work or fixed price production options, especially on competitively bid programs, is inherently riskier than cost-reimbursable work because the revenue is fixed, while the estimates of costs required</w:t>
      </w:r>
      <w:r>
        <w:rPr>
          <w:spacing w:val="40"/>
        </w:rPr>
        <w:t xml:space="preserve"> </w:t>
      </w:r>
      <w:r>
        <w:t>to complete these contracts are subject to significant variability due to the complex and often experimental nature of development programs. The technical complexity coupled with the fixed-price contract structure of certain of our ongoing development programs or new programs increases the risk that our costs will be greater than anticipated, resulting in reduced margins, operating profit, or reach-forward losses during the period of contract performance or upon contract award, all of which could be significant to our operating results, cash flows, or financial condition. In addition, we have certain contracts where we bid upfront on cost-reimbursable development work and the follow-on fixed-price production options in one submission. This increases the risk that we may experience lower margins than expected, or a loss, on the production options because we must estimate the cost of producing a product before it has been developed. These risks may cause us not to bid on certain future programs, which could adversely affect our future growth prospects and financial performance. See Note 1 – Organization</w:t>
      </w:r>
      <w:r>
        <w:rPr>
          <w:spacing w:val="-2"/>
        </w:rPr>
        <w:t xml:space="preserve"> </w:t>
      </w:r>
      <w:r>
        <w:t>and</w:t>
      </w:r>
      <w:r>
        <w:rPr>
          <w:spacing w:val="-2"/>
        </w:rPr>
        <w:t xml:space="preserve"> </w:t>
      </w:r>
      <w:r>
        <w:t>Significant</w:t>
      </w:r>
      <w:r>
        <w:rPr>
          <w:spacing w:val="-2"/>
        </w:rPr>
        <w:t xml:space="preserve"> </w:t>
      </w:r>
      <w:r>
        <w:t>Accounting</w:t>
      </w:r>
      <w:r>
        <w:rPr>
          <w:spacing w:val="-2"/>
        </w:rPr>
        <w:t xml:space="preserve"> </w:t>
      </w:r>
      <w:r>
        <w:t>Policies</w:t>
      </w:r>
      <w:r>
        <w:rPr>
          <w:spacing w:val="-2"/>
        </w:rPr>
        <w:t xml:space="preserve"> </w:t>
      </w:r>
      <w:r>
        <w:t>included</w:t>
      </w:r>
      <w:r>
        <w:rPr>
          <w:spacing w:val="-2"/>
        </w:rPr>
        <w:t xml:space="preserve"> </w:t>
      </w:r>
      <w:r>
        <w:t>in</w:t>
      </w:r>
      <w:r>
        <w:rPr>
          <w:spacing w:val="-2"/>
        </w:rPr>
        <w:t xml:space="preserve"> </w:t>
      </w:r>
      <w:r>
        <w:t>our</w:t>
      </w:r>
      <w:r>
        <w:rPr>
          <w:spacing w:val="-2"/>
        </w:rPr>
        <w:t xml:space="preserve"> </w:t>
      </w:r>
      <w:r>
        <w:t>Notes</w:t>
      </w:r>
      <w:r>
        <w:rPr>
          <w:spacing w:val="-2"/>
        </w:rPr>
        <w:t xml:space="preserve"> </w:t>
      </w:r>
      <w:r>
        <w:t>to</w:t>
      </w:r>
      <w:r>
        <w:rPr>
          <w:spacing w:val="-2"/>
        </w:rPr>
        <w:t xml:space="preserve"> </w:t>
      </w:r>
      <w:r>
        <w:t>Consolidated</w:t>
      </w:r>
      <w:r>
        <w:rPr>
          <w:spacing w:val="-2"/>
        </w:rPr>
        <w:t xml:space="preserve"> </w:t>
      </w:r>
      <w:r>
        <w:t>Financial</w:t>
      </w:r>
      <w:r>
        <w:rPr>
          <w:spacing w:val="-2"/>
        </w:rPr>
        <w:t xml:space="preserve"> </w:t>
      </w:r>
      <w:r>
        <w:t>Statements</w:t>
      </w:r>
      <w:r>
        <w:rPr>
          <w:spacing w:val="-2"/>
        </w:rPr>
        <w:t xml:space="preserve"> </w:t>
      </w:r>
      <w:r>
        <w:t>for</w:t>
      </w:r>
      <w:r>
        <w:rPr>
          <w:spacing w:val="-2"/>
        </w:rPr>
        <w:t xml:space="preserve"> </w:t>
      </w:r>
      <w:r>
        <w:t>further</w:t>
      </w:r>
      <w:r>
        <w:rPr>
          <w:spacing w:val="-2"/>
        </w:rPr>
        <w:t xml:space="preserve"> </w:t>
      </w:r>
      <w:r>
        <w:t>details about losses incurred on certain programs, including fixed-price development programs.</w:t>
      </w:r>
    </w:p>
    <w:p w14:paraId="538EF2F9" w14:textId="77777777" w:rsidR="00AE2255" w:rsidRDefault="00AE2255">
      <w:pPr>
        <w:pStyle w:val="BodyText"/>
        <w:spacing w:before="3"/>
        <w:rPr>
          <w:sz w:val="18"/>
        </w:rPr>
      </w:pPr>
    </w:p>
    <w:p w14:paraId="2E0C1100" w14:textId="77777777" w:rsidR="00AE2255" w:rsidRDefault="00000000">
      <w:pPr>
        <w:pStyle w:val="BodyText"/>
        <w:spacing w:line="249" w:lineRule="auto"/>
        <w:ind w:left="610" w:right="429" w:firstLine="360"/>
        <w:jc w:val="both"/>
      </w:pPr>
      <w:r>
        <w:t xml:space="preserve">We also have contracts for the transition from development to production (e.g., </w:t>
      </w:r>
      <w:proofErr w:type="gramStart"/>
      <w:r>
        <w:t>low rate</w:t>
      </w:r>
      <w:proofErr w:type="gramEnd"/>
      <w:r>
        <w:t xml:space="preserve"> initial production (LRIP) contracts), where the challenge of starting and stabilizing a manufacturing production and test line while the final design is being validated and managing change in requirements or capabilities create performance and financial risks to our business.</w:t>
      </w:r>
    </w:p>
    <w:p w14:paraId="1FF4FEF9" w14:textId="77777777" w:rsidR="00AE2255" w:rsidRDefault="00AE2255">
      <w:pPr>
        <w:pStyle w:val="BodyText"/>
        <w:spacing w:before="7"/>
        <w:rPr>
          <w:sz w:val="17"/>
        </w:rPr>
      </w:pPr>
    </w:p>
    <w:p w14:paraId="14E6655C" w14:textId="77777777" w:rsidR="00AE2255" w:rsidRDefault="00000000">
      <w:pPr>
        <w:pStyle w:val="BodyText"/>
        <w:spacing w:line="249" w:lineRule="auto"/>
        <w:ind w:left="610" w:right="430" w:firstLine="360"/>
        <w:jc w:val="both"/>
      </w:pPr>
      <w:r>
        <w:t>Many of our U.S. Government contracts include multiple option years and our expected sales or profits may be adversely affected if the U.S. Government decides not to exercise the options. On the other hand, the U.S. Government may decide to exercise options for contracts under which it is expected that our costs may exceed the contract price or ceiling, which could result in losses or unreimbursed costs.</w:t>
      </w:r>
    </w:p>
    <w:p w14:paraId="65CB3829" w14:textId="77777777" w:rsidR="00AE2255" w:rsidRDefault="00AE2255">
      <w:pPr>
        <w:pStyle w:val="BodyText"/>
        <w:spacing w:before="5"/>
        <w:rPr>
          <w:sz w:val="17"/>
        </w:rPr>
      </w:pPr>
    </w:p>
    <w:p w14:paraId="40367082" w14:textId="77777777" w:rsidR="00AE2255" w:rsidRDefault="00000000">
      <w:pPr>
        <w:pStyle w:val="Heading3"/>
        <w:spacing w:line="249" w:lineRule="auto"/>
        <w:ind w:right="431"/>
        <w:jc w:val="both"/>
      </w:pPr>
      <w:r>
        <w:t xml:space="preserve">We are routinely subject to audit by our customers on government contracts and the results of those audits could have an adverse effect on our business, </w:t>
      </w:r>
      <w:proofErr w:type="gramStart"/>
      <w:r>
        <w:t>reputation</w:t>
      </w:r>
      <w:proofErr w:type="gramEnd"/>
      <w:r>
        <w:t xml:space="preserve"> and results of operations.</w:t>
      </w:r>
    </w:p>
    <w:p w14:paraId="03870F7C" w14:textId="77777777" w:rsidR="00AE2255" w:rsidRDefault="00AE2255">
      <w:pPr>
        <w:pStyle w:val="BodyText"/>
        <w:spacing w:before="9"/>
        <w:rPr>
          <w:b/>
          <w:i/>
          <w:sz w:val="17"/>
        </w:rPr>
      </w:pPr>
    </w:p>
    <w:p w14:paraId="6F69BCDE" w14:textId="77777777" w:rsidR="00AE2255" w:rsidRDefault="00000000">
      <w:pPr>
        <w:pStyle w:val="BodyText"/>
        <w:ind w:left="610" w:right="427" w:firstLine="360"/>
        <w:jc w:val="both"/>
      </w:pPr>
      <w:r>
        <w:t>U.S. Government agencies, including the Defense Contract Audit Agency, the Defense Contract Management Agency and various agency Inspectors General, routinely audit and investigate government contractors. These agencies review a</w:t>
      </w:r>
      <w:r>
        <w:rPr>
          <w:spacing w:val="40"/>
        </w:rPr>
        <w:t xml:space="preserve"> </w:t>
      </w:r>
      <w:r>
        <w:t xml:space="preserve">contractor’s compliance with applicable laws, </w:t>
      </w:r>
      <w:proofErr w:type="gramStart"/>
      <w:r>
        <w:t>regulations</w:t>
      </w:r>
      <w:proofErr w:type="gramEnd"/>
      <w:r>
        <w:t xml:space="preserve"> and contract terms, regarding, among other things, contract pricing, contract performance, cost structure and business systems. U.S. Government audits and investigations often take years to complete,</w:t>
      </w:r>
      <w:r>
        <w:rPr>
          <w:spacing w:val="-1"/>
        </w:rPr>
        <w:t xml:space="preserve"> </w:t>
      </w:r>
      <w:r>
        <w:t>and</w:t>
      </w:r>
      <w:r>
        <w:rPr>
          <w:spacing w:val="-1"/>
        </w:rPr>
        <w:t xml:space="preserve"> </w:t>
      </w:r>
      <w:r>
        <w:t>many</w:t>
      </w:r>
      <w:r>
        <w:rPr>
          <w:spacing w:val="-1"/>
        </w:rPr>
        <w:t xml:space="preserve"> </w:t>
      </w:r>
      <w:r>
        <w:t>result</w:t>
      </w:r>
      <w:r>
        <w:rPr>
          <w:spacing w:val="-1"/>
        </w:rPr>
        <w:t xml:space="preserve"> </w:t>
      </w:r>
      <w:r>
        <w:t>in</w:t>
      </w:r>
      <w:r>
        <w:rPr>
          <w:spacing w:val="-1"/>
        </w:rPr>
        <w:t xml:space="preserve"> </w:t>
      </w:r>
      <w:r>
        <w:t>no</w:t>
      </w:r>
      <w:r>
        <w:rPr>
          <w:spacing w:val="-1"/>
        </w:rPr>
        <w:t xml:space="preserve"> </w:t>
      </w:r>
      <w:r>
        <w:t>adverse</w:t>
      </w:r>
      <w:r>
        <w:rPr>
          <w:spacing w:val="-1"/>
        </w:rPr>
        <w:t xml:space="preserve"> </w:t>
      </w:r>
      <w:r>
        <w:t>action</w:t>
      </w:r>
      <w:r>
        <w:rPr>
          <w:spacing w:val="-1"/>
        </w:rPr>
        <w:t xml:space="preserve"> </w:t>
      </w:r>
      <w:r>
        <w:t>against</w:t>
      </w:r>
      <w:r>
        <w:rPr>
          <w:spacing w:val="-1"/>
        </w:rPr>
        <w:t xml:space="preserve"> </w:t>
      </w:r>
      <w:r>
        <w:t>us.</w:t>
      </w:r>
      <w:r>
        <w:rPr>
          <w:spacing w:val="-1"/>
        </w:rPr>
        <w:t xml:space="preserve"> </w:t>
      </w:r>
      <w:r>
        <w:t>Like</w:t>
      </w:r>
      <w:r>
        <w:rPr>
          <w:spacing w:val="-1"/>
        </w:rPr>
        <w:t xml:space="preserve"> </w:t>
      </w:r>
      <w:r>
        <w:t>many</w:t>
      </w:r>
      <w:r>
        <w:rPr>
          <w:spacing w:val="-1"/>
        </w:rPr>
        <w:t xml:space="preserve"> </w:t>
      </w:r>
      <w:r>
        <w:t>U.S.</w:t>
      </w:r>
      <w:r>
        <w:rPr>
          <w:spacing w:val="-1"/>
        </w:rPr>
        <w:t xml:space="preserve"> </w:t>
      </w:r>
      <w:r>
        <w:t>Government</w:t>
      </w:r>
      <w:r>
        <w:rPr>
          <w:spacing w:val="-1"/>
        </w:rPr>
        <w:t xml:space="preserve"> </w:t>
      </w:r>
      <w:r>
        <w:t>contractors,</w:t>
      </w:r>
      <w:r>
        <w:rPr>
          <w:spacing w:val="-1"/>
        </w:rPr>
        <w:t xml:space="preserve"> </w:t>
      </w:r>
      <w:r>
        <w:t>we</w:t>
      </w:r>
      <w:r>
        <w:rPr>
          <w:spacing w:val="-1"/>
        </w:rPr>
        <w:t xml:space="preserve"> </w:t>
      </w:r>
      <w:r>
        <w:t>have</w:t>
      </w:r>
      <w:r>
        <w:rPr>
          <w:spacing w:val="-1"/>
        </w:rPr>
        <w:t xml:space="preserve"> </w:t>
      </w:r>
      <w:r>
        <w:t>received</w:t>
      </w:r>
      <w:r>
        <w:rPr>
          <w:spacing w:val="-1"/>
        </w:rPr>
        <w:t xml:space="preserve"> </w:t>
      </w:r>
      <w:r>
        <w:t>audit</w:t>
      </w:r>
      <w:r>
        <w:rPr>
          <w:spacing w:val="-1"/>
        </w:rPr>
        <w:t xml:space="preserve"> </w:t>
      </w:r>
      <w:r>
        <w:t xml:space="preserve">and investigative reports recommending the reduction of certain contract prices or that certain payments be repaid, delayed, or withheld, and may involve substantial amounts. Similarly, like other U.S. Government contractors, audits and investigations also occur related to cost reimbursements that are based upon our final allowable incurred costs for each year. We have unaudited or unsettled incurred cost claims related to past years, which limits our ability to issue final billings on contracts for which authorized and appropriated funds may be expiring or can result in delays in final billings and our ability to close out a </w:t>
      </w:r>
      <w:r>
        <w:rPr>
          <w:spacing w:val="-2"/>
        </w:rPr>
        <w:t>contract.</w:t>
      </w:r>
    </w:p>
    <w:p w14:paraId="467F9306" w14:textId="77777777" w:rsidR="00AE2255" w:rsidRDefault="00AE2255">
      <w:pPr>
        <w:pStyle w:val="BodyText"/>
        <w:spacing w:before="5"/>
        <w:rPr>
          <w:sz w:val="17"/>
        </w:rPr>
      </w:pPr>
    </w:p>
    <w:p w14:paraId="2738291E" w14:textId="77777777" w:rsidR="00AE2255" w:rsidRDefault="00000000">
      <w:pPr>
        <w:pStyle w:val="BodyText"/>
        <w:ind w:left="610" w:right="428" w:firstLine="360"/>
        <w:jc w:val="both"/>
      </w:pPr>
      <w:r>
        <w:t>If an audit or investigation uncovers improper or illegal activities, we may be subject to civil or criminal penalties and administrative sanctions, including reductions of the value of contracts, contract modifications or terminations, forfeiture of profits, suspension of payments, penalties, fines or suspension or debarment from doing business with the U.S. Government. Suspension or debarment could have a material adverse effect on us because of our dependence on contracts with the U.S. Government. In addition, we could suffer serious reputational harm if allegations of impropriety were made against us. Similar government oversight and risks to our business and reputation exist in most other countries where we conduct business.</w:t>
      </w:r>
    </w:p>
    <w:p w14:paraId="308E38DE" w14:textId="77777777" w:rsidR="00AE2255" w:rsidRDefault="00000000">
      <w:pPr>
        <w:pStyle w:val="Heading3"/>
        <w:spacing w:before="197" w:line="249" w:lineRule="auto"/>
        <w:ind w:right="428"/>
        <w:jc w:val="both"/>
      </w:pPr>
      <w:r>
        <w:t>Increased competition and bid protests in a budget-constrained environment may make it more difficult to maintain our financial performance and customer relationships.</w:t>
      </w:r>
    </w:p>
    <w:p w14:paraId="5B2875BD" w14:textId="77777777" w:rsidR="00AE2255" w:rsidRDefault="00AE2255">
      <w:pPr>
        <w:pStyle w:val="BodyText"/>
        <w:spacing w:before="9"/>
        <w:rPr>
          <w:b/>
          <w:i/>
          <w:sz w:val="17"/>
        </w:rPr>
      </w:pPr>
    </w:p>
    <w:p w14:paraId="3A39AC60" w14:textId="77777777" w:rsidR="00AE2255" w:rsidRDefault="00000000">
      <w:pPr>
        <w:pStyle w:val="BodyText"/>
        <w:ind w:left="610" w:right="428" w:firstLine="360"/>
        <w:jc w:val="both"/>
      </w:pPr>
      <w:r>
        <w:t>We are facing increased competition from startups and non-traditional defense contractors, while, at the same time, many</w:t>
      </w:r>
      <w:r>
        <w:rPr>
          <w:spacing w:val="40"/>
        </w:rPr>
        <w:t xml:space="preserve"> </w:t>
      </w:r>
      <w:r>
        <w:t xml:space="preserve">of our customers are facing significant budget pressures and are trying to do more with less by cutting costs, using fixed price contracts, deferring large procurements, identifying more affordable solutions, performing certain work internally rather than hiring contractors, and reducing product development cycles. If competitors can offer lower cost services and products, or provide services or products more quickly, at equivalent or in some cases even reduced capabilities, we may lose new business opportunities or contract recompetes, which could adversely affect our future results. Furthermore, acquisitions in our industry, including vertical integration, also could result in increased competition or limit our access to certain suppliers without appropriate remedies to protect our interests. To remain competitive, we must maintain consistently strong customer relationships, seek to understand customer </w:t>
      </w:r>
      <w:proofErr w:type="gramStart"/>
      <w:r>
        <w:t>priorities</w:t>
      </w:r>
      <w:proofErr w:type="gramEnd"/>
      <w:r>
        <w:t xml:space="preserve"> and provide superior performance, advanced technology solutions and services at an affordable cost with the agility that our customers require to satisfy their mission objectives in an increasingly price competitive environment. Our success in achieving these goals may depend, among other things, on accurately assessing our customers’ needs and our competitors’ capabilities, containing our total costs relative to competitors, successfully and efficiently investing in emerging technologies, adopting innovative business models and adaptive pricing methods, effectively</w:t>
      </w:r>
    </w:p>
    <w:p w14:paraId="5196BB1C" w14:textId="77777777" w:rsidR="00AE2255" w:rsidRDefault="00AE2255">
      <w:pPr>
        <w:jc w:val="both"/>
        <w:sectPr w:rsidR="00AE2255">
          <w:pgSz w:w="12240" w:h="15840"/>
          <w:pgMar w:top="440" w:right="560" w:bottom="720" w:left="380" w:header="230" w:footer="531" w:gutter="0"/>
          <w:cols w:space="720"/>
        </w:sectPr>
      </w:pPr>
    </w:p>
    <w:p w14:paraId="1E951204" w14:textId="77777777" w:rsidR="00AE2255" w:rsidRDefault="00AE2255">
      <w:pPr>
        <w:pStyle w:val="BodyText"/>
        <w:spacing w:before="10"/>
        <w:rPr>
          <w:sz w:val="22"/>
        </w:rPr>
      </w:pPr>
    </w:p>
    <w:p w14:paraId="57E0EC0F" w14:textId="77777777" w:rsidR="00AE2255" w:rsidRDefault="00000000">
      <w:pPr>
        <w:pStyle w:val="BodyText"/>
        <w:spacing w:before="92"/>
        <w:ind w:left="610" w:right="430"/>
      </w:pPr>
      <w:r>
        <w:t xml:space="preserve">collaborating across our business </w:t>
      </w:r>
      <w:proofErr w:type="gramStart"/>
      <w:r>
        <w:t>segments, and</w:t>
      </w:r>
      <w:proofErr w:type="gramEnd"/>
      <w:r>
        <w:t xml:space="preserve"> adopting and integrating new digital manufacturing and operating technologies and tools into our product lifecycles and processes.</w:t>
      </w:r>
    </w:p>
    <w:p w14:paraId="6ACCD5A9" w14:textId="77777777" w:rsidR="00AE2255" w:rsidRDefault="00AE2255">
      <w:pPr>
        <w:pStyle w:val="BodyText"/>
        <w:spacing w:before="4"/>
        <w:rPr>
          <w:sz w:val="17"/>
        </w:rPr>
      </w:pPr>
    </w:p>
    <w:p w14:paraId="4F2DA8E8" w14:textId="77777777" w:rsidR="00AE2255" w:rsidRDefault="00000000">
      <w:pPr>
        <w:pStyle w:val="BodyText"/>
        <w:ind w:left="610" w:right="427" w:firstLine="360"/>
        <w:jc w:val="both"/>
      </w:pPr>
      <w:r>
        <w:t>Additionally, a substantial portion of our business is awarded through competitive bidding. The U.S. Government increasingly has relied on competitive contract award types, including indefinite-delivery, indefinite-</w:t>
      </w:r>
      <w:proofErr w:type="gramStart"/>
      <w:r>
        <w:t>quantity</w:t>
      </w:r>
      <w:proofErr w:type="gramEnd"/>
      <w:r>
        <w:t xml:space="preserve"> and other multi- award contracts, which have the potential to create pricing pressure and to increase our costs by requiring us to submit multiple bids and proposals. Multi-award contracts require us to make sustained efforts to obtain task orders under the contract. Additionally, procurements that do not evaluate whether the cost assumptions in the bids are realistic can lead to bidders taking aggressive pricing positions, which could result in the winner realizing a loss upon contract award or an increased risk of lower margins or realizing a loss over the term of the contract. The U.S. Government also may not award us large competitive contracts that we otherwise might have won </w:t>
      </w:r>
      <w:proofErr w:type="gramStart"/>
      <w:r>
        <w:t>in an effort to</w:t>
      </w:r>
      <w:proofErr w:type="gramEnd"/>
      <w:r>
        <w:t xml:space="preserve"> maintain a broader industrial base.</w:t>
      </w:r>
    </w:p>
    <w:p w14:paraId="25B5B781" w14:textId="77777777" w:rsidR="00AE2255" w:rsidRDefault="00AE2255">
      <w:pPr>
        <w:pStyle w:val="BodyText"/>
      </w:pPr>
    </w:p>
    <w:p w14:paraId="474DA6EE" w14:textId="77777777" w:rsidR="00AE2255" w:rsidRDefault="00000000">
      <w:pPr>
        <w:pStyle w:val="BodyText"/>
        <w:ind w:left="610" w:right="430" w:firstLine="360"/>
        <w:jc w:val="both"/>
      </w:pPr>
      <w:r>
        <w:t>We may encounter bid protests from unsuccessful bidders on new program awards seeking to overturn the award. Unsuccessful bidders also may protest with the goal of being awarded a subcontract for a portion of the work in return for withdrawing the protest. Bid protests can result in significant expenses to us, contract modifications or even loss of the contract award and the resolution can extend the time until contract activity can begin and delay the recognition of sales and defer underlying cash flows and adversely affect our operating results. Our efforts to protest or challenge any bids for contracts that were not awarded to us also may be unsuccessful, including, the December 2022 protest by Lockheed Martin Sikorsky, on behalf of Team DEFIANT, challenging the U.S. Army’s award under the Future Long Range Assault Aircraft competition.</w:t>
      </w:r>
    </w:p>
    <w:p w14:paraId="0909D4DA" w14:textId="77777777" w:rsidR="00AE2255" w:rsidRDefault="00000000">
      <w:pPr>
        <w:pStyle w:val="Heading2"/>
        <w:spacing w:before="197"/>
      </w:pPr>
      <w:r>
        <w:t>Other</w:t>
      </w:r>
      <w:r>
        <w:rPr>
          <w:spacing w:val="-4"/>
        </w:rPr>
        <w:t xml:space="preserve"> </w:t>
      </w:r>
      <w:r>
        <w:t>Risks</w:t>
      </w:r>
      <w:r>
        <w:rPr>
          <w:spacing w:val="-3"/>
        </w:rPr>
        <w:t xml:space="preserve"> </w:t>
      </w:r>
      <w:r>
        <w:t>Related</w:t>
      </w:r>
      <w:r>
        <w:rPr>
          <w:spacing w:val="-4"/>
        </w:rPr>
        <w:t xml:space="preserve"> </w:t>
      </w:r>
      <w:r>
        <w:t>to</w:t>
      </w:r>
      <w:r>
        <w:rPr>
          <w:spacing w:val="-2"/>
        </w:rPr>
        <w:t xml:space="preserve"> </w:t>
      </w:r>
      <w:r>
        <w:t>our</w:t>
      </w:r>
      <w:r>
        <w:rPr>
          <w:spacing w:val="-3"/>
        </w:rPr>
        <w:t xml:space="preserve"> </w:t>
      </w:r>
      <w:r>
        <w:rPr>
          <w:spacing w:val="-2"/>
        </w:rPr>
        <w:t>Operations</w:t>
      </w:r>
    </w:p>
    <w:p w14:paraId="5937613F" w14:textId="77777777" w:rsidR="00AE2255" w:rsidRDefault="00AE2255">
      <w:pPr>
        <w:pStyle w:val="BodyText"/>
        <w:spacing w:before="3"/>
        <w:rPr>
          <w:b/>
          <w:sz w:val="18"/>
        </w:rPr>
      </w:pPr>
    </w:p>
    <w:p w14:paraId="3C9A949D" w14:textId="77777777" w:rsidR="00AE2255" w:rsidRDefault="00000000">
      <w:pPr>
        <w:pStyle w:val="Heading3"/>
        <w:spacing w:line="249" w:lineRule="auto"/>
        <w:ind w:right="157"/>
      </w:pPr>
      <w:r>
        <w:t>We are heavily dependent on suppliers and if our subcontractors or other suppliers or teaming agreement or joint venture partners fail to perform their obligations, our performance and ability to win future business could be adversely affected.</w:t>
      </w:r>
    </w:p>
    <w:p w14:paraId="11442600" w14:textId="77777777" w:rsidR="00AE2255" w:rsidRDefault="00AE2255">
      <w:pPr>
        <w:pStyle w:val="BodyText"/>
        <w:spacing w:before="10"/>
        <w:rPr>
          <w:b/>
          <w:i/>
          <w:sz w:val="17"/>
        </w:rPr>
      </w:pPr>
    </w:p>
    <w:p w14:paraId="7E72951A" w14:textId="77777777" w:rsidR="00AE2255" w:rsidRDefault="00000000">
      <w:pPr>
        <w:pStyle w:val="BodyText"/>
        <w:spacing w:line="249" w:lineRule="auto"/>
        <w:ind w:left="610" w:right="428" w:firstLine="360"/>
        <w:jc w:val="both"/>
      </w:pPr>
      <w:r>
        <w:t xml:space="preserve">We are the prime contractor on most of our contracts and rely on other companies to provide materials, major </w:t>
      </w:r>
      <w:proofErr w:type="gramStart"/>
      <w:r>
        <w:t>components</w:t>
      </w:r>
      <w:proofErr w:type="gramEnd"/>
      <w:r>
        <w:t xml:space="preserve"> and products, and to perform a portion of the services that are provided to our customers under the terms of most of our contracts. These arrangements may involve subcontracts, teaming arrangements, joint </w:t>
      </w:r>
      <w:proofErr w:type="gramStart"/>
      <w:r>
        <w:t>ventures</w:t>
      </w:r>
      <w:proofErr w:type="gramEnd"/>
      <w:r>
        <w:t xml:space="preserve"> or supply agreements with other companies upon which we rely (contracting parties) and, in many cases, our contracting parties in turn rely on lower-tier subcontractors. We occasionally have disputes with our contracting parties, including disputes regarding the quality and timeliness of work performed, workshares, customer concerns about the other party’s performance, issues related to lower-tier subcontractor performance, our failure to issue or extend task orders, or our hiring the personnel of a subcontractor, </w:t>
      </w:r>
      <w:proofErr w:type="gramStart"/>
      <w:r>
        <w:t>teammate</w:t>
      </w:r>
      <w:proofErr w:type="gramEnd"/>
      <w:r>
        <w:rPr>
          <w:spacing w:val="40"/>
        </w:rPr>
        <w:t xml:space="preserve"> </w:t>
      </w:r>
      <w:r>
        <w:t xml:space="preserve">or joint venture partner or vice versa. We also could be adversely affected by actions </w:t>
      </w:r>
      <w:proofErr w:type="gramStart"/>
      <w:r>
        <w:t>by</w:t>
      </w:r>
      <w:proofErr w:type="gramEnd"/>
      <w:r>
        <w:t xml:space="preserve"> or issues experienced by our contracting parties that are outside of our control, such as misconduct and reputational issues involving our contracting parties, which</w:t>
      </w:r>
      <w:r>
        <w:rPr>
          <w:spacing w:val="-1"/>
        </w:rPr>
        <w:t xml:space="preserve"> </w:t>
      </w:r>
      <w:r>
        <w:t>could</w:t>
      </w:r>
      <w:r>
        <w:rPr>
          <w:spacing w:val="-1"/>
        </w:rPr>
        <w:t xml:space="preserve"> </w:t>
      </w:r>
      <w:r>
        <w:t>subject</w:t>
      </w:r>
      <w:r>
        <w:rPr>
          <w:spacing w:val="-1"/>
        </w:rPr>
        <w:t xml:space="preserve"> </w:t>
      </w:r>
      <w:r>
        <w:t>us</w:t>
      </w:r>
      <w:r>
        <w:rPr>
          <w:spacing w:val="-1"/>
        </w:rPr>
        <w:t xml:space="preserve"> </w:t>
      </w:r>
      <w:r>
        <w:t>to</w:t>
      </w:r>
      <w:r>
        <w:rPr>
          <w:spacing w:val="-1"/>
        </w:rPr>
        <w:t xml:space="preserve"> </w:t>
      </w:r>
      <w:r>
        <w:t>liability</w:t>
      </w:r>
      <w:r>
        <w:rPr>
          <w:spacing w:val="-1"/>
        </w:rPr>
        <w:t xml:space="preserve"> </w:t>
      </w:r>
      <w:r>
        <w:t>or</w:t>
      </w:r>
      <w:r>
        <w:rPr>
          <w:spacing w:val="-1"/>
        </w:rPr>
        <w:t xml:space="preserve"> </w:t>
      </w:r>
      <w:r>
        <w:t>adversely</w:t>
      </w:r>
      <w:r>
        <w:rPr>
          <w:spacing w:val="-1"/>
        </w:rPr>
        <w:t xml:space="preserve"> </w:t>
      </w:r>
      <w:r>
        <w:t>affect</w:t>
      </w:r>
      <w:r>
        <w:rPr>
          <w:spacing w:val="-1"/>
        </w:rPr>
        <w:t xml:space="preserve"> </w:t>
      </w:r>
      <w:r>
        <w:t>our</w:t>
      </w:r>
      <w:r>
        <w:rPr>
          <w:spacing w:val="-1"/>
        </w:rPr>
        <w:t xml:space="preserve"> </w:t>
      </w:r>
      <w:r>
        <w:t>ability</w:t>
      </w:r>
      <w:r>
        <w:rPr>
          <w:spacing w:val="-1"/>
        </w:rPr>
        <w:t xml:space="preserve"> </w:t>
      </w:r>
      <w:r>
        <w:t>to</w:t>
      </w:r>
      <w:r>
        <w:rPr>
          <w:spacing w:val="-1"/>
        </w:rPr>
        <w:t xml:space="preserve"> </w:t>
      </w:r>
      <w:r>
        <w:t>compete</w:t>
      </w:r>
      <w:r>
        <w:rPr>
          <w:spacing w:val="-1"/>
        </w:rPr>
        <w:t xml:space="preserve"> </w:t>
      </w:r>
      <w:r>
        <w:t>for</w:t>
      </w:r>
      <w:r>
        <w:rPr>
          <w:spacing w:val="-1"/>
        </w:rPr>
        <w:t xml:space="preserve"> </w:t>
      </w:r>
      <w:r>
        <w:t>contract</w:t>
      </w:r>
      <w:r>
        <w:rPr>
          <w:spacing w:val="-1"/>
        </w:rPr>
        <w:t xml:space="preserve"> </w:t>
      </w:r>
      <w:r>
        <w:t>awards.</w:t>
      </w:r>
      <w:r>
        <w:rPr>
          <w:spacing w:val="-1"/>
        </w:rPr>
        <w:t xml:space="preserve"> </w:t>
      </w:r>
      <w:r>
        <w:t>The</w:t>
      </w:r>
      <w:r>
        <w:rPr>
          <w:spacing w:val="-1"/>
        </w:rPr>
        <w:t xml:space="preserve"> </w:t>
      </w:r>
      <w:r>
        <w:t>failure</w:t>
      </w:r>
      <w:r>
        <w:rPr>
          <w:spacing w:val="-1"/>
        </w:rPr>
        <w:t xml:space="preserve"> </w:t>
      </w:r>
      <w:r>
        <w:t>of</w:t>
      </w:r>
      <w:r>
        <w:rPr>
          <w:spacing w:val="-1"/>
        </w:rPr>
        <w:t xml:space="preserve"> </w:t>
      </w:r>
      <w:r>
        <w:t>our</w:t>
      </w:r>
      <w:r>
        <w:rPr>
          <w:spacing w:val="-1"/>
        </w:rPr>
        <w:t xml:space="preserve"> </w:t>
      </w:r>
      <w:r>
        <w:t>supply</w:t>
      </w:r>
      <w:r>
        <w:rPr>
          <w:spacing w:val="-1"/>
        </w:rPr>
        <w:t xml:space="preserve"> </w:t>
      </w:r>
      <w:r>
        <w:t>chain to comply with regulatory requirements that we flow down from our U.S. government prime contracts also could adversely affect our operating results, financial condition, or cash flows. Furthermore, changes in the political or economic environment, may adversely affect the financial stability and viability of our contracting parties or lower-tier subcontractors or their ability to meet their performance obligations.</w:t>
      </w:r>
    </w:p>
    <w:p w14:paraId="0CCF151D" w14:textId="77777777" w:rsidR="00AE2255" w:rsidRDefault="00AE2255">
      <w:pPr>
        <w:pStyle w:val="BodyText"/>
        <w:spacing w:before="10"/>
        <w:rPr>
          <w:sz w:val="18"/>
        </w:rPr>
      </w:pPr>
    </w:p>
    <w:p w14:paraId="7F69A703" w14:textId="77777777" w:rsidR="00AE2255" w:rsidRDefault="00000000">
      <w:pPr>
        <w:pStyle w:val="BodyText"/>
        <w:spacing w:line="232" w:lineRule="auto"/>
        <w:ind w:left="610" w:right="428" w:firstLine="360"/>
        <w:jc w:val="both"/>
      </w:pPr>
      <w:r>
        <w:t>A failure by one or more of our contracting parties to provide the agreed-upon materials, components or products or perform the agreed-upon services, on a timely basis, according to specifications, including compliance with regulatory requirements we flow down from our prime contracts, or at all, has and may adversely affect our ability to perform our obligations and require that we transition the work to other companies. Contracting party performance deficiencies may result</w:t>
      </w:r>
      <w:r>
        <w:rPr>
          <w:spacing w:val="40"/>
        </w:rPr>
        <w:t xml:space="preserve"> </w:t>
      </w:r>
      <w:r>
        <w:t>in additional costs or delays in product deliveries and affect our operating results and could result in a customer terminating our contract for default or convenience. A default termination could expose us to liability and affect our ability to compete for</w:t>
      </w:r>
      <w:r>
        <w:rPr>
          <w:spacing w:val="40"/>
        </w:rPr>
        <w:t xml:space="preserve"> </w:t>
      </w:r>
      <w:r>
        <w:t xml:space="preserve">future contracts and orders. A failure by our contracting parties to meet affordability targets could negatively affect our profitability, result in contract </w:t>
      </w:r>
      <w:proofErr w:type="gramStart"/>
      <w:r>
        <w:t>losses</w:t>
      </w:r>
      <w:proofErr w:type="gramEnd"/>
      <w:r>
        <w:t xml:space="preserve"> and affect our ability to win new business.</w:t>
      </w:r>
    </w:p>
    <w:p w14:paraId="1339281C" w14:textId="77777777" w:rsidR="00AE2255" w:rsidRDefault="00AE2255">
      <w:pPr>
        <w:pStyle w:val="BodyText"/>
        <w:spacing w:before="1"/>
      </w:pPr>
    </w:p>
    <w:p w14:paraId="12C48421" w14:textId="77777777" w:rsidR="00AE2255" w:rsidRDefault="00000000">
      <w:pPr>
        <w:pStyle w:val="BodyText"/>
        <w:spacing w:line="232" w:lineRule="auto"/>
        <w:ind w:left="610" w:right="428" w:firstLine="360"/>
        <w:jc w:val="both"/>
      </w:pPr>
      <w:r>
        <w:t>Additionally, we are affected by government procurement restrictions and issues affecting industry supply chains broadly. For example, U.S. Government statutes and regulations prohibit the sourcing of certain rare earth minerals from specified countries. We seek to manage raw materials supply risk through long-term contracts, identifying domestic or other U.S. allied alternative</w:t>
      </w:r>
      <w:r>
        <w:rPr>
          <w:spacing w:val="-1"/>
        </w:rPr>
        <w:t xml:space="preserve"> </w:t>
      </w:r>
      <w:r>
        <w:t>sources</w:t>
      </w:r>
      <w:r>
        <w:rPr>
          <w:spacing w:val="-1"/>
        </w:rPr>
        <w:t xml:space="preserve"> </w:t>
      </w:r>
      <w:r>
        <w:t>of</w:t>
      </w:r>
      <w:r>
        <w:rPr>
          <w:spacing w:val="-1"/>
        </w:rPr>
        <w:t xml:space="preserve"> </w:t>
      </w:r>
      <w:r>
        <w:t>materials</w:t>
      </w:r>
      <w:r>
        <w:rPr>
          <w:spacing w:val="-1"/>
        </w:rPr>
        <w:t xml:space="preserve"> </w:t>
      </w:r>
      <w:r>
        <w:t>that</w:t>
      </w:r>
      <w:r>
        <w:rPr>
          <w:spacing w:val="-1"/>
        </w:rPr>
        <w:t xml:space="preserve"> </w:t>
      </w:r>
      <w:r>
        <w:t>could</w:t>
      </w:r>
      <w:r>
        <w:rPr>
          <w:spacing w:val="-1"/>
        </w:rPr>
        <w:t xml:space="preserve"> </w:t>
      </w:r>
      <w:r>
        <w:t>be</w:t>
      </w:r>
      <w:r>
        <w:rPr>
          <w:spacing w:val="-1"/>
        </w:rPr>
        <w:t xml:space="preserve"> </w:t>
      </w:r>
      <w:r>
        <w:t>subject</w:t>
      </w:r>
      <w:r>
        <w:rPr>
          <w:spacing w:val="-1"/>
        </w:rPr>
        <w:t xml:space="preserve"> </w:t>
      </w:r>
      <w:r>
        <w:t>to</w:t>
      </w:r>
      <w:r>
        <w:rPr>
          <w:spacing w:val="-1"/>
        </w:rPr>
        <w:t xml:space="preserve"> </w:t>
      </w:r>
      <w:r>
        <w:t>embargo,</w:t>
      </w:r>
      <w:r>
        <w:rPr>
          <w:spacing w:val="-1"/>
        </w:rPr>
        <w:t xml:space="preserve"> </w:t>
      </w:r>
      <w:r>
        <w:t>efforts</w:t>
      </w:r>
      <w:r>
        <w:rPr>
          <w:spacing w:val="-1"/>
        </w:rPr>
        <w:t xml:space="preserve"> </w:t>
      </w:r>
      <w:r>
        <w:t>to</w:t>
      </w:r>
      <w:r>
        <w:rPr>
          <w:spacing w:val="-1"/>
        </w:rPr>
        <w:t xml:space="preserve"> </w:t>
      </w:r>
      <w:r>
        <w:t>increase</w:t>
      </w:r>
      <w:r>
        <w:rPr>
          <w:spacing w:val="-1"/>
        </w:rPr>
        <w:t xml:space="preserve"> </w:t>
      </w:r>
      <w:r>
        <w:t>visibility</w:t>
      </w:r>
      <w:r>
        <w:rPr>
          <w:spacing w:val="-1"/>
        </w:rPr>
        <w:t xml:space="preserve"> </w:t>
      </w:r>
      <w:r>
        <w:t>into</w:t>
      </w:r>
      <w:r>
        <w:rPr>
          <w:spacing w:val="-1"/>
        </w:rPr>
        <w:t xml:space="preserve"> </w:t>
      </w:r>
      <w:r>
        <w:t>our</w:t>
      </w:r>
      <w:r>
        <w:rPr>
          <w:spacing w:val="-1"/>
        </w:rPr>
        <w:t xml:space="preserve"> </w:t>
      </w:r>
      <w:r>
        <w:t>multi-tiered</w:t>
      </w:r>
      <w:r>
        <w:rPr>
          <w:spacing w:val="-1"/>
        </w:rPr>
        <w:t xml:space="preserve"> </w:t>
      </w:r>
      <w:r>
        <w:t>supply</w:t>
      </w:r>
      <w:r>
        <w:rPr>
          <w:spacing w:val="-1"/>
        </w:rPr>
        <w:t xml:space="preserve"> </w:t>
      </w:r>
      <w:r>
        <w:t xml:space="preserve">chain, and maintaining an acceptable level of our key materials in inventories. In addition, advanced microelectronics, including semiconductors, underpin many of our current and future critical technologies and platforms, and global shortages of these products due to COVID-19, increased </w:t>
      </w:r>
      <w:proofErr w:type="gramStart"/>
      <w:r>
        <w:t>demand</w:t>
      </w:r>
      <w:proofErr w:type="gramEnd"/>
      <w:r>
        <w:t xml:space="preserve"> or other supply chain challenges, as were experienced in 2022, could result in increased procurement lead times and increased costs and potential shortages, which could impact our performance. We also must comply with specific procurement requirements that can limit the number of eligible suppliers and a significant number of the components or supplies used are currently single or sole sourced. Because the identification and qualification of new or additional suppliers can take an extended </w:t>
      </w:r>
      <w:proofErr w:type="gramStart"/>
      <w:r>
        <w:t>period of time</w:t>
      </w:r>
      <w:proofErr w:type="gramEnd"/>
      <w:r>
        <w:t>, issues with suppliers or trade actions that limit our ability to use</w:t>
      </w:r>
      <w:r>
        <w:rPr>
          <w:spacing w:val="40"/>
        </w:rPr>
        <w:t xml:space="preserve"> </w:t>
      </w:r>
      <w:r>
        <w:t>certain</w:t>
      </w:r>
      <w:r>
        <w:rPr>
          <w:spacing w:val="18"/>
        </w:rPr>
        <w:t xml:space="preserve"> </w:t>
      </w:r>
      <w:r>
        <w:t>suppliers,</w:t>
      </w:r>
      <w:r>
        <w:rPr>
          <w:spacing w:val="18"/>
        </w:rPr>
        <w:t xml:space="preserve"> </w:t>
      </w:r>
      <w:r>
        <w:t>especially</w:t>
      </w:r>
      <w:r>
        <w:rPr>
          <w:spacing w:val="18"/>
        </w:rPr>
        <w:t xml:space="preserve"> </w:t>
      </w:r>
      <w:r>
        <w:t>when</w:t>
      </w:r>
      <w:r>
        <w:rPr>
          <w:spacing w:val="18"/>
        </w:rPr>
        <w:t xml:space="preserve"> </w:t>
      </w:r>
      <w:r>
        <w:t>single</w:t>
      </w:r>
      <w:r>
        <w:rPr>
          <w:spacing w:val="18"/>
        </w:rPr>
        <w:t xml:space="preserve"> </w:t>
      </w:r>
      <w:r>
        <w:t>or</w:t>
      </w:r>
      <w:r>
        <w:rPr>
          <w:spacing w:val="18"/>
        </w:rPr>
        <w:t xml:space="preserve"> </w:t>
      </w:r>
      <w:r>
        <w:t>sole</w:t>
      </w:r>
      <w:r>
        <w:rPr>
          <w:spacing w:val="18"/>
        </w:rPr>
        <w:t xml:space="preserve"> </w:t>
      </w:r>
      <w:r>
        <w:t>sourced,</w:t>
      </w:r>
      <w:r>
        <w:rPr>
          <w:spacing w:val="18"/>
        </w:rPr>
        <w:t xml:space="preserve"> </w:t>
      </w:r>
      <w:r>
        <w:t>can</w:t>
      </w:r>
      <w:r>
        <w:rPr>
          <w:spacing w:val="18"/>
        </w:rPr>
        <w:t xml:space="preserve"> </w:t>
      </w:r>
      <w:r>
        <w:t>have</w:t>
      </w:r>
      <w:r>
        <w:rPr>
          <w:spacing w:val="18"/>
        </w:rPr>
        <w:t xml:space="preserve"> </w:t>
      </w:r>
      <w:r>
        <w:t>an</w:t>
      </w:r>
      <w:r>
        <w:rPr>
          <w:spacing w:val="18"/>
        </w:rPr>
        <w:t xml:space="preserve"> </w:t>
      </w:r>
      <w:r>
        <w:t>adverse</w:t>
      </w:r>
      <w:r>
        <w:rPr>
          <w:spacing w:val="18"/>
        </w:rPr>
        <w:t xml:space="preserve"> </w:t>
      </w:r>
      <w:r>
        <w:t>impact</w:t>
      </w:r>
      <w:r>
        <w:rPr>
          <w:spacing w:val="18"/>
        </w:rPr>
        <w:t xml:space="preserve"> </w:t>
      </w:r>
      <w:r>
        <w:t>on</w:t>
      </w:r>
      <w:r>
        <w:rPr>
          <w:spacing w:val="18"/>
        </w:rPr>
        <w:t xml:space="preserve"> </w:t>
      </w:r>
      <w:r>
        <w:t>our</w:t>
      </w:r>
      <w:r>
        <w:rPr>
          <w:spacing w:val="18"/>
        </w:rPr>
        <w:t xml:space="preserve"> </w:t>
      </w:r>
      <w:r>
        <w:t>business.</w:t>
      </w:r>
      <w:r>
        <w:rPr>
          <w:spacing w:val="18"/>
        </w:rPr>
        <w:t xml:space="preserve"> </w:t>
      </w:r>
      <w:r>
        <w:t>Complying</w:t>
      </w:r>
      <w:r>
        <w:rPr>
          <w:spacing w:val="18"/>
        </w:rPr>
        <w:t xml:space="preserve"> </w:t>
      </w:r>
      <w:r>
        <w:t>with</w:t>
      </w:r>
      <w:r>
        <w:rPr>
          <w:spacing w:val="18"/>
        </w:rPr>
        <w:t xml:space="preserve"> </w:t>
      </w:r>
      <w:r>
        <w:t>U.S.</w:t>
      </w:r>
    </w:p>
    <w:p w14:paraId="180DA42E" w14:textId="77777777" w:rsidR="00AE2255" w:rsidRDefault="00AE2255">
      <w:pPr>
        <w:spacing w:line="232" w:lineRule="auto"/>
        <w:jc w:val="both"/>
        <w:sectPr w:rsidR="00AE2255">
          <w:pgSz w:w="12240" w:h="15840"/>
          <w:pgMar w:top="440" w:right="560" w:bottom="720" w:left="380" w:header="230" w:footer="531" w:gutter="0"/>
          <w:cols w:space="720"/>
        </w:sectPr>
      </w:pPr>
    </w:p>
    <w:p w14:paraId="5E604968" w14:textId="77777777" w:rsidR="00AE2255" w:rsidRDefault="00AE2255">
      <w:pPr>
        <w:pStyle w:val="BodyText"/>
        <w:spacing w:before="10"/>
        <w:rPr>
          <w:sz w:val="22"/>
        </w:rPr>
      </w:pPr>
    </w:p>
    <w:p w14:paraId="2EED0CAC" w14:textId="77777777" w:rsidR="00AE2255" w:rsidRDefault="00000000">
      <w:pPr>
        <w:pStyle w:val="BodyText"/>
        <w:spacing w:before="97" w:line="232" w:lineRule="auto"/>
        <w:ind w:left="610"/>
      </w:pPr>
      <w:r>
        <w:t>Government</w:t>
      </w:r>
      <w:r>
        <w:rPr>
          <w:spacing w:val="40"/>
        </w:rPr>
        <w:t xml:space="preserve"> </w:t>
      </w:r>
      <w:r>
        <w:t>contracting</w:t>
      </w:r>
      <w:r>
        <w:rPr>
          <w:spacing w:val="40"/>
        </w:rPr>
        <w:t xml:space="preserve"> </w:t>
      </w:r>
      <w:r>
        <w:t>regulations</w:t>
      </w:r>
      <w:r>
        <w:rPr>
          <w:spacing w:val="40"/>
        </w:rPr>
        <w:t xml:space="preserve"> </w:t>
      </w:r>
      <w:r>
        <w:t>that</w:t>
      </w:r>
      <w:r>
        <w:rPr>
          <w:spacing w:val="40"/>
        </w:rPr>
        <w:t xml:space="preserve"> </w:t>
      </w:r>
      <w:r>
        <w:t>limit</w:t>
      </w:r>
      <w:r>
        <w:rPr>
          <w:spacing w:val="40"/>
        </w:rPr>
        <w:t xml:space="preserve"> </w:t>
      </w:r>
      <w:r>
        <w:t>the</w:t>
      </w:r>
      <w:r>
        <w:rPr>
          <w:spacing w:val="40"/>
        </w:rPr>
        <w:t xml:space="preserve"> </w:t>
      </w:r>
      <w:r>
        <w:t>source</w:t>
      </w:r>
      <w:r>
        <w:rPr>
          <w:spacing w:val="40"/>
        </w:rPr>
        <w:t xml:space="preserve"> </w:t>
      </w:r>
      <w:r>
        <w:t>or</w:t>
      </w:r>
      <w:r>
        <w:rPr>
          <w:spacing w:val="40"/>
        </w:rPr>
        <w:t xml:space="preserve"> </w:t>
      </w:r>
      <w:r>
        <w:t>manufacture</w:t>
      </w:r>
      <w:r>
        <w:rPr>
          <w:spacing w:val="40"/>
        </w:rPr>
        <w:t xml:space="preserve"> </w:t>
      </w:r>
      <w:r>
        <w:t>of</w:t>
      </w:r>
      <w:r>
        <w:rPr>
          <w:spacing w:val="40"/>
        </w:rPr>
        <w:t xml:space="preserve"> </w:t>
      </w:r>
      <w:r>
        <w:t>suppliers</w:t>
      </w:r>
      <w:r>
        <w:rPr>
          <w:spacing w:val="40"/>
        </w:rPr>
        <w:t xml:space="preserve"> </w:t>
      </w:r>
      <w:r>
        <w:t>and</w:t>
      </w:r>
      <w:r>
        <w:rPr>
          <w:spacing w:val="40"/>
        </w:rPr>
        <w:t xml:space="preserve"> </w:t>
      </w:r>
      <w:r>
        <w:t>impose</w:t>
      </w:r>
      <w:r>
        <w:rPr>
          <w:spacing w:val="40"/>
        </w:rPr>
        <w:t xml:space="preserve"> </w:t>
      </w:r>
      <w:r>
        <w:t>stringent</w:t>
      </w:r>
      <w:r>
        <w:rPr>
          <w:spacing w:val="40"/>
        </w:rPr>
        <w:t xml:space="preserve"> </w:t>
      </w:r>
      <w:r>
        <w:t>cybersecurity regulations also may create challenges for our supply chain and increase costs.</w:t>
      </w:r>
    </w:p>
    <w:p w14:paraId="570BFFEB" w14:textId="77777777" w:rsidR="00AE2255" w:rsidRDefault="00AE2255">
      <w:pPr>
        <w:pStyle w:val="BodyText"/>
        <w:spacing w:before="8"/>
        <w:rPr>
          <w:sz w:val="19"/>
        </w:rPr>
      </w:pPr>
    </w:p>
    <w:p w14:paraId="0265C79F" w14:textId="77777777" w:rsidR="00AE2255" w:rsidRDefault="00000000">
      <w:pPr>
        <w:pStyle w:val="BodyText"/>
        <w:spacing w:line="232" w:lineRule="auto"/>
        <w:ind w:left="610" w:right="427" w:firstLine="360"/>
        <w:jc w:val="both"/>
      </w:pPr>
      <w:r>
        <w:t>We remain heavily dependent on our supply chain for sourcing contractually compliant components, which is outside of</w:t>
      </w:r>
      <w:r>
        <w:rPr>
          <w:spacing w:val="40"/>
        </w:rPr>
        <w:t xml:space="preserve"> </w:t>
      </w:r>
      <w:r>
        <w:t xml:space="preserve">our direct control and is multi-tiered. The future occurrence of non-compliant components in the F-35 or other programs could cause suspensions in product deliveries, remediation work on installed components, contract price adjustments and alternate supply sourcing, all of which could adversely affect our results of operations, financial </w:t>
      </w:r>
      <w:proofErr w:type="gramStart"/>
      <w:r>
        <w:t>condition</w:t>
      </w:r>
      <w:proofErr w:type="gramEnd"/>
      <w:r>
        <w:t xml:space="preserve"> and cash flows.</w:t>
      </w:r>
    </w:p>
    <w:p w14:paraId="15A7CBCC" w14:textId="77777777" w:rsidR="00AE2255" w:rsidRDefault="00000000">
      <w:pPr>
        <w:pStyle w:val="Heading3"/>
        <w:spacing w:before="195" w:line="249" w:lineRule="auto"/>
        <w:ind w:right="157"/>
      </w:pPr>
      <w:r>
        <w:t>Our success depends, in part, on our ability to develop new technologies, products and services and efficiently produce and deliver existing products.</w:t>
      </w:r>
    </w:p>
    <w:p w14:paraId="61420AF4" w14:textId="77777777" w:rsidR="00AE2255" w:rsidRDefault="00AE2255">
      <w:pPr>
        <w:pStyle w:val="BodyText"/>
        <w:spacing w:before="9"/>
        <w:rPr>
          <w:b/>
          <w:i/>
          <w:sz w:val="17"/>
        </w:rPr>
      </w:pPr>
    </w:p>
    <w:p w14:paraId="3DAB2C2D" w14:textId="77777777" w:rsidR="00AE2255" w:rsidRDefault="00000000">
      <w:pPr>
        <w:pStyle w:val="BodyText"/>
        <w:spacing w:line="249" w:lineRule="auto"/>
        <w:ind w:left="610" w:right="428" w:firstLine="360"/>
        <w:jc w:val="both"/>
      </w:pPr>
      <w:r>
        <w:t xml:space="preserve">Many of the products and services we provide are highly engineered and involve sophisticated technologies with related complex manufacturing and systems integration processes. Our customers’ requirements change and evolve regularly. Accordingly, our future performance depends, in part, on our ability to adapt to changing customer needs rapidly, identify emerging technological trends, </w:t>
      </w:r>
      <w:proofErr w:type="gramStart"/>
      <w:r>
        <w:t>develop</w:t>
      </w:r>
      <w:proofErr w:type="gramEnd"/>
      <w:r>
        <w:t xml:space="preserve"> and manufacture innovative products and services efficiently and bring those offerings to market quickly at cost-effective prices. This includes efforts to provide mission solutions that integrate capabilities and resources across all forces and domains, which we refer to as joint all domain operations, and to implement emerging digital</w:t>
      </w:r>
      <w:r>
        <w:rPr>
          <w:spacing w:val="40"/>
        </w:rPr>
        <w:t xml:space="preserve"> </w:t>
      </w:r>
      <w:r>
        <w:t xml:space="preserve">and network technologies and capabilities. To advance our innovation and position us to meet our customers’ requirements, we make investments in emerging technologies that we believe are needed to keep pace with rapid industry innovation and seek to collaborate with commercial entities that we believe have complementary technologies to ours. These commercial entities may not be accustomed to government contracting and may be unwilling to agree to the government’s customary terms, including with respect to intellectual property, </w:t>
      </w:r>
      <w:proofErr w:type="gramStart"/>
      <w:r>
        <w:t>liability</w:t>
      </w:r>
      <w:proofErr w:type="gramEnd"/>
      <w:r>
        <w:t xml:space="preserve"> and indemnification terms. Due to the complex and often experimental nature of the products and services we offer, we may experience (and have experienced in the past) technical difficulties during the development of new products or technologies. These technical difficulties could result in delays and higher costs, which may negatively impact our financial results, and could divert resources from other projects, until such products or technologies are fully developed. See Note 1 – Organization and Significant Accounting Policies included in our Notes to Consolidated</w:t>
      </w:r>
      <w:r>
        <w:rPr>
          <w:spacing w:val="40"/>
        </w:rPr>
        <w:t xml:space="preserve"> </w:t>
      </w:r>
      <w:r>
        <w:t>Financial Statements for further details about losses incurred on certain development programs. Additionally, there can be no assurance that our development projects will be successful or meet the needs of our customers.</w:t>
      </w:r>
    </w:p>
    <w:p w14:paraId="6ACA85A6" w14:textId="77777777" w:rsidR="00AE2255" w:rsidRDefault="00AE2255">
      <w:pPr>
        <w:pStyle w:val="BodyText"/>
        <w:spacing w:before="7"/>
        <w:rPr>
          <w:sz w:val="18"/>
        </w:rPr>
      </w:pPr>
    </w:p>
    <w:p w14:paraId="76762032" w14:textId="77777777" w:rsidR="00AE2255" w:rsidRDefault="00000000">
      <w:pPr>
        <w:pStyle w:val="BodyText"/>
        <w:spacing w:line="249" w:lineRule="auto"/>
        <w:ind w:left="610" w:right="428" w:firstLine="360"/>
        <w:jc w:val="both"/>
      </w:pPr>
      <w:r>
        <w:t>Our future success in delivering innovative and affordable solutions to our customers relies, in part, on our multi-year business transformation initiative that seeks to significantly enhance our digital infrastructure to increase efficiencies and collaboration throughout our business while reducing costs. This digital transformation effort requires substantial investment and if we are unable to successfully implement the strategy, our results of operations and future competitiveness may be adversely affected.</w:t>
      </w:r>
    </w:p>
    <w:p w14:paraId="2CBE17C6" w14:textId="77777777" w:rsidR="00AE2255" w:rsidRDefault="00AE2255">
      <w:pPr>
        <w:pStyle w:val="BodyText"/>
        <w:spacing w:before="8"/>
        <w:rPr>
          <w:sz w:val="17"/>
        </w:rPr>
      </w:pPr>
    </w:p>
    <w:p w14:paraId="13A2D947" w14:textId="77777777" w:rsidR="00AE2255" w:rsidRDefault="00000000">
      <w:pPr>
        <w:pStyle w:val="BodyText"/>
        <w:spacing w:before="1" w:line="249" w:lineRule="auto"/>
        <w:ind w:left="610" w:right="428" w:firstLine="360"/>
        <w:jc w:val="both"/>
      </w:pPr>
      <w:r>
        <w:t xml:space="preserve">Our competitors may also develop new technologies, or offerings, or more efficient ways to produce existing products that could cause our existing offerings to become obsolete or that could gain market acceptance before our own competitive offerings. If we fail in our development projects or if our new products or technologies fail to achieve customer acceptance or competitors develop more capable technologies or offerings, we may be unsuccessful in obtaining new contracts or winning all or a portion of next generation programs, and this could adversely affect our future performance and financial results. We also may not be successful in our efforts to grow in key areas such as </w:t>
      </w:r>
      <w:proofErr w:type="spellStart"/>
      <w:r>
        <w:t>hypersonics</w:t>
      </w:r>
      <w:proofErr w:type="spellEnd"/>
      <w:r>
        <w:t>, classified programs, and winning next generation franchise programs, which could adversely affect our future performance.</w:t>
      </w:r>
    </w:p>
    <w:p w14:paraId="6976442B" w14:textId="77777777" w:rsidR="00AE2255" w:rsidRDefault="00AE2255">
      <w:pPr>
        <w:pStyle w:val="BodyText"/>
        <w:spacing w:before="6"/>
        <w:rPr>
          <w:sz w:val="17"/>
        </w:rPr>
      </w:pPr>
    </w:p>
    <w:p w14:paraId="79221B7B" w14:textId="77777777" w:rsidR="00AE2255" w:rsidRDefault="00000000">
      <w:pPr>
        <w:pStyle w:val="Heading3"/>
        <w:spacing w:before="1"/>
      </w:pPr>
      <w:r>
        <w:t>Adverse</w:t>
      </w:r>
      <w:r>
        <w:rPr>
          <w:spacing w:val="-9"/>
        </w:rPr>
        <w:t xml:space="preserve"> </w:t>
      </w:r>
      <w:r>
        <w:t>macro-economic</w:t>
      </w:r>
      <w:r>
        <w:rPr>
          <w:spacing w:val="-6"/>
        </w:rPr>
        <w:t xml:space="preserve"> </w:t>
      </w:r>
      <w:r>
        <w:t>conditions,</w:t>
      </w:r>
      <w:r>
        <w:rPr>
          <w:spacing w:val="-5"/>
        </w:rPr>
        <w:t xml:space="preserve"> </w:t>
      </w:r>
      <w:r>
        <w:t>including</w:t>
      </w:r>
      <w:r>
        <w:rPr>
          <w:spacing w:val="-5"/>
        </w:rPr>
        <w:t xml:space="preserve"> </w:t>
      </w:r>
      <w:r>
        <w:t>inflation,</w:t>
      </w:r>
      <w:r>
        <w:rPr>
          <w:spacing w:val="-5"/>
        </w:rPr>
        <w:t xml:space="preserve"> </w:t>
      </w:r>
      <w:r>
        <w:t>could</w:t>
      </w:r>
      <w:r>
        <w:rPr>
          <w:spacing w:val="-5"/>
        </w:rPr>
        <w:t xml:space="preserve"> </w:t>
      </w:r>
      <w:r>
        <w:t>adversely</w:t>
      </w:r>
      <w:r>
        <w:rPr>
          <w:spacing w:val="-6"/>
        </w:rPr>
        <w:t xml:space="preserve"> </w:t>
      </w:r>
      <w:r>
        <w:t>impact</w:t>
      </w:r>
      <w:r>
        <w:rPr>
          <w:spacing w:val="-6"/>
        </w:rPr>
        <w:t xml:space="preserve"> </w:t>
      </w:r>
      <w:r>
        <w:t>our</w:t>
      </w:r>
      <w:r>
        <w:rPr>
          <w:spacing w:val="-6"/>
        </w:rPr>
        <w:t xml:space="preserve"> </w:t>
      </w:r>
      <w:r>
        <w:t>operating</w:t>
      </w:r>
      <w:r>
        <w:rPr>
          <w:spacing w:val="-5"/>
        </w:rPr>
        <w:t xml:space="preserve"> </w:t>
      </w:r>
      <w:r>
        <w:rPr>
          <w:spacing w:val="-2"/>
        </w:rPr>
        <w:t>results.</w:t>
      </w:r>
    </w:p>
    <w:p w14:paraId="2C85332C" w14:textId="77777777" w:rsidR="00AE2255" w:rsidRDefault="00AE2255">
      <w:pPr>
        <w:pStyle w:val="BodyText"/>
        <w:rPr>
          <w:b/>
          <w:i/>
          <w:sz w:val="22"/>
        </w:rPr>
      </w:pPr>
    </w:p>
    <w:p w14:paraId="0D08F1A2" w14:textId="77777777" w:rsidR="00AE2255" w:rsidRDefault="00000000">
      <w:pPr>
        <w:pStyle w:val="BodyText"/>
        <w:ind w:left="610" w:right="429" w:firstLine="360"/>
        <w:jc w:val="both"/>
      </w:pPr>
      <w:r>
        <w:t xml:space="preserve">Heightened levels of inflation and the potential worsening of macro-economic conditions, including slower growth or recession, changes to fiscal and monetary policy, tighter credit, higher interest rates and currency fluctuations, present a risk for us, our </w:t>
      </w:r>
      <w:proofErr w:type="gramStart"/>
      <w:r>
        <w:t>suppliers</w:t>
      </w:r>
      <w:proofErr w:type="gramEnd"/>
      <w:r>
        <w:t xml:space="preserve"> and the stability of the broader defense industrial base. If inflation remains at current levels for an extended period, or increases, and we are unable to successfully mitigate the impact, our costs are likely to increase, resulting in pressure on our profits, </w:t>
      </w:r>
      <w:proofErr w:type="gramStart"/>
      <w:r>
        <w:t>margins</w:t>
      </w:r>
      <w:proofErr w:type="gramEnd"/>
      <w:r>
        <w:t xml:space="preserve"> and cash flows, particularly for existing fixed-price contracts. For new contract proposals, we are factoring</w:t>
      </w:r>
      <w:r>
        <w:rPr>
          <w:spacing w:val="-2"/>
        </w:rPr>
        <w:t xml:space="preserve"> </w:t>
      </w:r>
      <w:r>
        <w:t>into</w:t>
      </w:r>
      <w:r>
        <w:rPr>
          <w:spacing w:val="-2"/>
        </w:rPr>
        <w:t xml:space="preserve"> </w:t>
      </w:r>
      <w:r>
        <w:t>our</w:t>
      </w:r>
      <w:r>
        <w:rPr>
          <w:spacing w:val="-2"/>
        </w:rPr>
        <w:t xml:space="preserve"> </w:t>
      </w:r>
      <w:r>
        <w:t>pricing</w:t>
      </w:r>
      <w:r>
        <w:rPr>
          <w:spacing w:val="-2"/>
        </w:rPr>
        <w:t xml:space="preserve"> </w:t>
      </w:r>
      <w:r>
        <w:t>heightened</w:t>
      </w:r>
      <w:r>
        <w:rPr>
          <w:spacing w:val="-2"/>
        </w:rPr>
        <w:t xml:space="preserve"> </w:t>
      </w:r>
      <w:r>
        <w:t>levels</w:t>
      </w:r>
      <w:r>
        <w:rPr>
          <w:spacing w:val="-2"/>
        </w:rPr>
        <w:t xml:space="preserve"> </w:t>
      </w:r>
      <w:r>
        <w:t>of</w:t>
      </w:r>
      <w:r>
        <w:rPr>
          <w:spacing w:val="-2"/>
        </w:rPr>
        <w:t xml:space="preserve"> </w:t>
      </w:r>
      <w:r>
        <w:t>inflation</w:t>
      </w:r>
      <w:r>
        <w:rPr>
          <w:spacing w:val="-2"/>
        </w:rPr>
        <w:t xml:space="preserve"> </w:t>
      </w:r>
      <w:r>
        <w:t>based</w:t>
      </w:r>
      <w:r>
        <w:rPr>
          <w:spacing w:val="-2"/>
        </w:rPr>
        <w:t xml:space="preserve"> </w:t>
      </w:r>
      <w:r>
        <w:t>on</w:t>
      </w:r>
      <w:r>
        <w:rPr>
          <w:spacing w:val="-2"/>
        </w:rPr>
        <w:t xml:space="preserve"> </w:t>
      </w:r>
      <w:r>
        <w:t>accepted</w:t>
      </w:r>
      <w:r>
        <w:rPr>
          <w:spacing w:val="-2"/>
        </w:rPr>
        <w:t xml:space="preserve"> </w:t>
      </w:r>
      <w:r>
        <w:t>DoD</w:t>
      </w:r>
      <w:r>
        <w:rPr>
          <w:spacing w:val="-2"/>
        </w:rPr>
        <w:t xml:space="preserve"> </w:t>
      </w:r>
      <w:r>
        <w:t>escalation</w:t>
      </w:r>
      <w:r>
        <w:rPr>
          <w:spacing w:val="-2"/>
        </w:rPr>
        <w:t xml:space="preserve"> </w:t>
      </w:r>
      <w:r>
        <w:t>indices</w:t>
      </w:r>
      <w:r>
        <w:rPr>
          <w:spacing w:val="-2"/>
        </w:rPr>
        <w:t xml:space="preserve"> </w:t>
      </w:r>
      <w:r>
        <w:t>and</w:t>
      </w:r>
      <w:r>
        <w:rPr>
          <w:spacing w:val="-2"/>
        </w:rPr>
        <w:t xml:space="preserve"> </w:t>
      </w:r>
      <w:r>
        <w:t>other</w:t>
      </w:r>
      <w:r>
        <w:rPr>
          <w:spacing w:val="-2"/>
        </w:rPr>
        <w:t xml:space="preserve"> </w:t>
      </w:r>
      <w:r>
        <w:t>assumptions,</w:t>
      </w:r>
      <w:r>
        <w:rPr>
          <w:spacing w:val="-2"/>
        </w:rPr>
        <w:t xml:space="preserve"> </w:t>
      </w:r>
      <w:r>
        <w:t>and</w:t>
      </w:r>
      <w:r>
        <w:rPr>
          <w:spacing w:val="-2"/>
        </w:rPr>
        <w:t xml:space="preserve"> </w:t>
      </w:r>
      <w:r>
        <w:t xml:space="preserve">in some cases seeking the inclusion of economic price adjustment (EPA) clauses, which would permit, subject to the </w:t>
      </w:r>
      <w:proofErr w:type="gramStart"/>
      <w:r>
        <w:t>particular contractual</w:t>
      </w:r>
      <w:proofErr w:type="gramEnd"/>
      <w:r>
        <w:t xml:space="preserve"> terms, cost adjustments in fixed-price contracts for unexpected inflation.</w:t>
      </w:r>
    </w:p>
    <w:p w14:paraId="2B2A94BE" w14:textId="77777777" w:rsidR="00AE2255" w:rsidRDefault="00AE2255">
      <w:pPr>
        <w:pStyle w:val="BodyText"/>
      </w:pPr>
    </w:p>
    <w:p w14:paraId="1B98FC0A" w14:textId="77777777" w:rsidR="00AE2255" w:rsidRDefault="00000000">
      <w:pPr>
        <w:pStyle w:val="BodyText"/>
        <w:ind w:left="610" w:right="427" w:firstLine="360"/>
        <w:jc w:val="both"/>
      </w:pPr>
      <w:r>
        <w:t>In addition, our business could be adversely impacted by reductions or delays in spending by non-U.S. government customers that are facing budget, inflationary or other pressures, such as increases in the cost of borrowing from rising interest rates. Rising interest rates increase the borrowing costs on new debt and could affect the fair value of our investments. While rising interest rates reduce the measure of our gross pension obligations, they also can lead to decline in pension plan assets</w:t>
      </w:r>
      <w:r>
        <w:rPr>
          <w:spacing w:val="40"/>
        </w:rPr>
        <w:t xml:space="preserve"> </w:t>
      </w:r>
      <w:r>
        <w:t xml:space="preserve">with offsetting impacts on our net pension liability. Although we believe defense spending is more resilient to adverse macro- economic conditions than many other industrial sectors, our </w:t>
      </w:r>
      <w:proofErr w:type="gramStart"/>
      <w:r>
        <w:t>suppliers</w:t>
      </w:r>
      <w:proofErr w:type="gramEnd"/>
      <w:r>
        <w:t xml:space="preserve"> and other partners, many of which are more exposed to</w:t>
      </w:r>
    </w:p>
    <w:p w14:paraId="5709DC41" w14:textId="77777777" w:rsidR="00AE2255" w:rsidRDefault="00AE2255">
      <w:pPr>
        <w:jc w:val="both"/>
        <w:sectPr w:rsidR="00AE2255">
          <w:pgSz w:w="12240" w:h="15840"/>
          <w:pgMar w:top="440" w:right="560" w:bottom="720" w:left="380" w:header="230" w:footer="531" w:gutter="0"/>
          <w:cols w:space="720"/>
        </w:sectPr>
      </w:pPr>
    </w:p>
    <w:p w14:paraId="3053948A" w14:textId="77777777" w:rsidR="00AE2255" w:rsidRDefault="00AE2255">
      <w:pPr>
        <w:pStyle w:val="BodyText"/>
        <w:spacing w:before="10"/>
        <w:rPr>
          <w:sz w:val="22"/>
        </w:rPr>
      </w:pPr>
    </w:p>
    <w:p w14:paraId="11762D54" w14:textId="77777777" w:rsidR="00AE2255" w:rsidRDefault="00000000">
      <w:pPr>
        <w:pStyle w:val="BodyText"/>
        <w:spacing w:before="92"/>
        <w:ind w:left="610"/>
      </w:pPr>
      <w:r>
        <w:t>commercial</w:t>
      </w:r>
      <w:r>
        <w:rPr>
          <w:spacing w:val="32"/>
        </w:rPr>
        <w:t xml:space="preserve"> </w:t>
      </w:r>
      <w:r>
        <w:t>markets</w:t>
      </w:r>
      <w:r>
        <w:rPr>
          <w:spacing w:val="32"/>
        </w:rPr>
        <w:t xml:space="preserve"> </w:t>
      </w:r>
      <w:r>
        <w:t>or</w:t>
      </w:r>
      <w:r>
        <w:rPr>
          <w:spacing w:val="32"/>
        </w:rPr>
        <w:t xml:space="preserve"> </w:t>
      </w:r>
      <w:r>
        <w:t>have</w:t>
      </w:r>
      <w:r>
        <w:rPr>
          <w:spacing w:val="32"/>
        </w:rPr>
        <w:t xml:space="preserve"> </w:t>
      </w:r>
      <w:r>
        <w:t>fewer</w:t>
      </w:r>
      <w:r>
        <w:rPr>
          <w:spacing w:val="32"/>
        </w:rPr>
        <w:t xml:space="preserve"> </w:t>
      </w:r>
      <w:r>
        <w:t>resources,</w:t>
      </w:r>
      <w:r>
        <w:rPr>
          <w:spacing w:val="32"/>
        </w:rPr>
        <w:t xml:space="preserve"> </w:t>
      </w:r>
      <w:r>
        <w:t>may</w:t>
      </w:r>
      <w:r>
        <w:rPr>
          <w:spacing w:val="32"/>
        </w:rPr>
        <w:t xml:space="preserve"> </w:t>
      </w:r>
      <w:r>
        <w:t>be</w:t>
      </w:r>
      <w:r>
        <w:rPr>
          <w:spacing w:val="32"/>
        </w:rPr>
        <w:t xml:space="preserve"> </w:t>
      </w:r>
      <w:r>
        <w:t>adversely</w:t>
      </w:r>
      <w:r>
        <w:rPr>
          <w:spacing w:val="32"/>
        </w:rPr>
        <w:t xml:space="preserve"> </w:t>
      </w:r>
      <w:r>
        <w:t>impacted</w:t>
      </w:r>
      <w:r>
        <w:rPr>
          <w:spacing w:val="32"/>
        </w:rPr>
        <w:t xml:space="preserve"> </w:t>
      </w:r>
      <w:r>
        <w:t>to</w:t>
      </w:r>
      <w:r>
        <w:rPr>
          <w:spacing w:val="32"/>
        </w:rPr>
        <w:t xml:space="preserve"> </w:t>
      </w:r>
      <w:r>
        <w:t>a</w:t>
      </w:r>
      <w:r>
        <w:rPr>
          <w:spacing w:val="32"/>
        </w:rPr>
        <w:t xml:space="preserve"> </w:t>
      </w:r>
      <w:r>
        <w:t>more</w:t>
      </w:r>
      <w:r>
        <w:rPr>
          <w:spacing w:val="32"/>
        </w:rPr>
        <w:t xml:space="preserve"> </w:t>
      </w:r>
      <w:r>
        <w:t>significant</w:t>
      </w:r>
      <w:r>
        <w:rPr>
          <w:spacing w:val="32"/>
        </w:rPr>
        <w:t xml:space="preserve"> </w:t>
      </w:r>
      <w:r>
        <w:t>degree</w:t>
      </w:r>
      <w:r>
        <w:rPr>
          <w:spacing w:val="32"/>
        </w:rPr>
        <w:t xml:space="preserve"> </w:t>
      </w:r>
      <w:r>
        <w:t>than</w:t>
      </w:r>
      <w:r>
        <w:rPr>
          <w:spacing w:val="32"/>
        </w:rPr>
        <w:t xml:space="preserve"> </w:t>
      </w:r>
      <w:r>
        <w:t>we</w:t>
      </w:r>
      <w:r>
        <w:rPr>
          <w:spacing w:val="32"/>
        </w:rPr>
        <w:t xml:space="preserve"> </w:t>
      </w:r>
      <w:r>
        <w:t>are</w:t>
      </w:r>
      <w:r>
        <w:rPr>
          <w:spacing w:val="32"/>
        </w:rPr>
        <w:t xml:space="preserve"> </w:t>
      </w:r>
      <w:r>
        <w:t>by</w:t>
      </w:r>
      <w:r>
        <w:rPr>
          <w:spacing w:val="32"/>
        </w:rPr>
        <w:t xml:space="preserve"> </w:t>
      </w:r>
      <w:r>
        <w:t>an economic downturn, which could affect their performance and adversely impact our operations.</w:t>
      </w:r>
    </w:p>
    <w:p w14:paraId="7DB5B605" w14:textId="77777777" w:rsidR="00AE2255" w:rsidRDefault="00AE2255">
      <w:pPr>
        <w:pStyle w:val="BodyText"/>
        <w:spacing w:before="8"/>
        <w:rPr>
          <w:sz w:val="19"/>
        </w:rPr>
      </w:pPr>
    </w:p>
    <w:p w14:paraId="3F14DB19" w14:textId="77777777" w:rsidR="00AE2255" w:rsidRDefault="00000000">
      <w:pPr>
        <w:pStyle w:val="Heading3"/>
      </w:pPr>
      <w:r>
        <w:t>The</w:t>
      </w:r>
      <w:r>
        <w:rPr>
          <w:spacing w:val="24"/>
        </w:rPr>
        <w:t xml:space="preserve"> </w:t>
      </w:r>
      <w:r>
        <w:t>effects</w:t>
      </w:r>
      <w:r>
        <w:rPr>
          <w:spacing w:val="24"/>
        </w:rPr>
        <w:t xml:space="preserve"> </w:t>
      </w:r>
      <w:r>
        <w:t>of</w:t>
      </w:r>
      <w:r>
        <w:rPr>
          <w:spacing w:val="24"/>
        </w:rPr>
        <w:t xml:space="preserve"> </w:t>
      </w:r>
      <w:r>
        <w:t>COVID-19</w:t>
      </w:r>
      <w:r>
        <w:rPr>
          <w:spacing w:val="24"/>
        </w:rPr>
        <w:t xml:space="preserve"> </w:t>
      </w:r>
      <w:r>
        <w:t>and</w:t>
      </w:r>
      <w:r>
        <w:rPr>
          <w:spacing w:val="24"/>
        </w:rPr>
        <w:t xml:space="preserve"> </w:t>
      </w:r>
      <w:r>
        <w:t>other</w:t>
      </w:r>
      <w:r>
        <w:rPr>
          <w:spacing w:val="24"/>
        </w:rPr>
        <w:t xml:space="preserve"> </w:t>
      </w:r>
      <w:r>
        <w:t>potential</w:t>
      </w:r>
      <w:r>
        <w:rPr>
          <w:spacing w:val="24"/>
        </w:rPr>
        <w:t xml:space="preserve"> </w:t>
      </w:r>
      <w:r>
        <w:t>future</w:t>
      </w:r>
      <w:r>
        <w:rPr>
          <w:spacing w:val="24"/>
        </w:rPr>
        <w:t xml:space="preserve"> </w:t>
      </w:r>
      <w:r>
        <w:t>public</w:t>
      </w:r>
      <w:r>
        <w:rPr>
          <w:spacing w:val="24"/>
        </w:rPr>
        <w:t xml:space="preserve"> </w:t>
      </w:r>
      <w:r>
        <w:t>health</w:t>
      </w:r>
      <w:r>
        <w:rPr>
          <w:spacing w:val="24"/>
        </w:rPr>
        <w:t xml:space="preserve"> </w:t>
      </w:r>
      <w:r>
        <w:t>crises,</w:t>
      </w:r>
      <w:r>
        <w:rPr>
          <w:spacing w:val="24"/>
        </w:rPr>
        <w:t xml:space="preserve"> </w:t>
      </w:r>
      <w:r>
        <w:t>epidemics,</w:t>
      </w:r>
      <w:r>
        <w:rPr>
          <w:spacing w:val="24"/>
        </w:rPr>
        <w:t xml:space="preserve"> </w:t>
      </w:r>
      <w:r>
        <w:t>pandemics</w:t>
      </w:r>
      <w:r>
        <w:rPr>
          <w:spacing w:val="24"/>
        </w:rPr>
        <w:t xml:space="preserve"> </w:t>
      </w:r>
      <w:r>
        <w:t>or</w:t>
      </w:r>
      <w:r>
        <w:rPr>
          <w:spacing w:val="24"/>
        </w:rPr>
        <w:t xml:space="preserve"> </w:t>
      </w:r>
      <w:r>
        <w:t>similar</w:t>
      </w:r>
      <w:r>
        <w:rPr>
          <w:spacing w:val="24"/>
        </w:rPr>
        <w:t xml:space="preserve"> </w:t>
      </w:r>
      <w:r>
        <w:t>events</w:t>
      </w:r>
      <w:r>
        <w:rPr>
          <w:spacing w:val="24"/>
        </w:rPr>
        <w:t xml:space="preserve"> </w:t>
      </w:r>
      <w:r>
        <w:t>on</w:t>
      </w:r>
      <w:r>
        <w:rPr>
          <w:spacing w:val="24"/>
        </w:rPr>
        <w:t xml:space="preserve"> </w:t>
      </w:r>
      <w:r>
        <w:t xml:space="preserve">our business, operating results, financial </w:t>
      </w:r>
      <w:proofErr w:type="gramStart"/>
      <w:r>
        <w:t>condition</w:t>
      </w:r>
      <w:proofErr w:type="gramEnd"/>
      <w:r>
        <w:t xml:space="preserve"> and cash flows are uncertain.</w:t>
      </w:r>
    </w:p>
    <w:p w14:paraId="1E261C89" w14:textId="77777777" w:rsidR="00AE2255" w:rsidRDefault="00AE2255">
      <w:pPr>
        <w:pStyle w:val="BodyText"/>
        <w:spacing w:before="3"/>
        <w:rPr>
          <w:b/>
          <w:i/>
        </w:rPr>
      </w:pPr>
    </w:p>
    <w:p w14:paraId="37216E11" w14:textId="77777777" w:rsidR="00AE2255" w:rsidRDefault="00000000">
      <w:pPr>
        <w:pStyle w:val="BodyText"/>
        <w:ind w:left="610" w:right="429" w:firstLine="360"/>
        <w:jc w:val="both"/>
      </w:pPr>
      <w:r>
        <w:t>In 2022, our performance was affected by supply chain disruptions and delays, as well as labor challenges associated with employee absences, travel restrictions, site access, quarantine restrictions, remote work, and adjusted work schedules. The ongoing impact of COVID-19 on our operational and financial performance in future periods, including our ability to execute our programs in the expected timeframe, remains uncertain and will depend on future COVID-19-related developments, including the impact of COVID-19 infection or potential new variants or subvariants, the effectiveness and adoption of</w:t>
      </w:r>
      <w:r>
        <w:rPr>
          <w:spacing w:val="40"/>
        </w:rPr>
        <w:t xml:space="preserve"> </w:t>
      </w:r>
      <w:r>
        <w:t xml:space="preserve">COVID-19 vaccines and therapeutics, supplier impacts and related government actions to prevent and manage disease spread, including the implementation of any federal, state, local or foreign COVID-19-related controls. The long-term impacts of COVID-19 on government budgets and other funding priorities, including international priorities, that impact demand for our products and services and our business also are difficult to predict but could negatively affect our future results and </w:t>
      </w:r>
      <w:r>
        <w:rPr>
          <w:spacing w:val="-2"/>
        </w:rPr>
        <w:t>performance.</w:t>
      </w:r>
    </w:p>
    <w:p w14:paraId="188841CB" w14:textId="77777777" w:rsidR="00AE2255" w:rsidRDefault="00AE2255">
      <w:pPr>
        <w:pStyle w:val="BodyText"/>
        <w:spacing w:before="9"/>
        <w:rPr>
          <w:sz w:val="19"/>
        </w:rPr>
      </w:pPr>
    </w:p>
    <w:p w14:paraId="3E50C464" w14:textId="77777777" w:rsidR="00AE2255" w:rsidRDefault="00000000">
      <w:pPr>
        <w:pStyle w:val="Heading3"/>
      </w:pPr>
      <w:r>
        <w:t>International</w:t>
      </w:r>
      <w:r>
        <w:rPr>
          <w:spacing w:val="-8"/>
        </w:rPr>
        <w:t xml:space="preserve"> </w:t>
      </w:r>
      <w:r>
        <w:t>sales</w:t>
      </w:r>
      <w:r>
        <w:rPr>
          <w:spacing w:val="-5"/>
        </w:rPr>
        <w:t xml:space="preserve"> </w:t>
      </w:r>
      <w:r>
        <w:t>may</w:t>
      </w:r>
      <w:r>
        <w:rPr>
          <w:spacing w:val="-5"/>
        </w:rPr>
        <w:t xml:space="preserve"> </w:t>
      </w:r>
      <w:r>
        <w:t>pose</w:t>
      </w:r>
      <w:r>
        <w:rPr>
          <w:spacing w:val="-6"/>
        </w:rPr>
        <w:t xml:space="preserve"> </w:t>
      </w:r>
      <w:r>
        <w:t>different</w:t>
      </w:r>
      <w:r>
        <w:rPr>
          <w:spacing w:val="-5"/>
        </w:rPr>
        <w:t xml:space="preserve"> </w:t>
      </w:r>
      <w:r>
        <w:t>economic,</w:t>
      </w:r>
      <w:r>
        <w:rPr>
          <w:spacing w:val="-4"/>
        </w:rPr>
        <w:t xml:space="preserve"> </w:t>
      </w:r>
      <w:r>
        <w:t>regulatory,</w:t>
      </w:r>
      <w:r>
        <w:rPr>
          <w:spacing w:val="-5"/>
        </w:rPr>
        <w:t xml:space="preserve"> </w:t>
      </w:r>
      <w:r>
        <w:t>competition</w:t>
      </w:r>
      <w:r>
        <w:rPr>
          <w:spacing w:val="-5"/>
        </w:rPr>
        <w:t xml:space="preserve"> </w:t>
      </w:r>
      <w:r>
        <w:t>and</w:t>
      </w:r>
      <w:r>
        <w:rPr>
          <w:spacing w:val="-4"/>
        </w:rPr>
        <w:t xml:space="preserve"> </w:t>
      </w:r>
      <w:r>
        <w:t>other</w:t>
      </w:r>
      <w:r>
        <w:rPr>
          <w:spacing w:val="-5"/>
        </w:rPr>
        <w:t xml:space="preserve"> </w:t>
      </w:r>
      <w:r>
        <w:rPr>
          <w:spacing w:val="-2"/>
        </w:rPr>
        <w:t>risks.</w:t>
      </w:r>
    </w:p>
    <w:p w14:paraId="3B8AFA48" w14:textId="77777777" w:rsidR="00AE2255" w:rsidRDefault="00AE2255">
      <w:pPr>
        <w:pStyle w:val="BodyText"/>
        <w:rPr>
          <w:b/>
          <w:i/>
          <w:sz w:val="19"/>
        </w:rPr>
      </w:pPr>
    </w:p>
    <w:p w14:paraId="5DB080B5" w14:textId="77777777" w:rsidR="00AE2255" w:rsidRDefault="00000000">
      <w:pPr>
        <w:pStyle w:val="BodyText"/>
        <w:spacing w:line="232" w:lineRule="auto"/>
        <w:ind w:left="610" w:right="428" w:firstLine="360"/>
        <w:jc w:val="both"/>
      </w:pPr>
      <w:r>
        <w:t>International sales present risks that are different and potentially greater than those encountered in our U.S. business. In 2022, 26% of our total net sales were from international customers. International sales are subject to numerous political and economic factors, including changes in foreign national priorities, foreign government budgets, global economic conditions,</w:t>
      </w:r>
      <w:r>
        <w:rPr>
          <w:spacing w:val="40"/>
        </w:rPr>
        <w:t xml:space="preserve"> </w:t>
      </w:r>
      <w:r>
        <w:t>and fluctuations in foreign currency exchange rates, including the impact of a strong U.S. dollar on the affordability of our products, the possibility of trade sanctions and other government actions, regulatory requirements, significant competition, taxation,</w:t>
      </w:r>
      <w:r>
        <w:rPr>
          <w:spacing w:val="-1"/>
        </w:rPr>
        <w:t xml:space="preserve"> </w:t>
      </w:r>
      <w:r>
        <w:t>and</w:t>
      </w:r>
      <w:r>
        <w:rPr>
          <w:spacing w:val="-1"/>
        </w:rPr>
        <w:t xml:space="preserve"> </w:t>
      </w:r>
      <w:r>
        <w:t>other</w:t>
      </w:r>
      <w:r>
        <w:rPr>
          <w:spacing w:val="-1"/>
        </w:rPr>
        <w:t xml:space="preserve"> </w:t>
      </w:r>
      <w:r>
        <w:t>risks</w:t>
      </w:r>
      <w:r>
        <w:rPr>
          <w:spacing w:val="-1"/>
        </w:rPr>
        <w:t xml:space="preserve"> </w:t>
      </w:r>
      <w:r>
        <w:t>associated</w:t>
      </w:r>
      <w:r>
        <w:rPr>
          <w:spacing w:val="-1"/>
        </w:rPr>
        <w:t xml:space="preserve"> </w:t>
      </w:r>
      <w:r>
        <w:t>with</w:t>
      </w:r>
      <w:r>
        <w:rPr>
          <w:spacing w:val="-1"/>
        </w:rPr>
        <w:t xml:space="preserve"> </w:t>
      </w:r>
      <w:r>
        <w:t>doing</w:t>
      </w:r>
      <w:r>
        <w:rPr>
          <w:spacing w:val="-1"/>
        </w:rPr>
        <w:t xml:space="preserve"> </w:t>
      </w:r>
      <w:r>
        <w:t>business</w:t>
      </w:r>
      <w:r>
        <w:rPr>
          <w:spacing w:val="-1"/>
        </w:rPr>
        <w:t xml:space="preserve"> </w:t>
      </w:r>
      <w:r>
        <w:t>outside</w:t>
      </w:r>
      <w:r>
        <w:rPr>
          <w:spacing w:val="-1"/>
        </w:rPr>
        <w:t xml:space="preserve"> </w:t>
      </w:r>
      <w:r>
        <w:t>the</w:t>
      </w:r>
      <w:r>
        <w:rPr>
          <w:spacing w:val="-1"/>
        </w:rPr>
        <w:t xml:space="preserve"> </w:t>
      </w:r>
      <w:r>
        <w:t>U.S.</w:t>
      </w:r>
      <w:r>
        <w:rPr>
          <w:spacing w:val="-1"/>
        </w:rPr>
        <w:t xml:space="preserve"> </w:t>
      </w:r>
      <w:r>
        <w:t>Sales</w:t>
      </w:r>
      <w:r>
        <w:rPr>
          <w:spacing w:val="-1"/>
        </w:rPr>
        <w:t xml:space="preserve"> </w:t>
      </w:r>
      <w:r>
        <w:t>of</w:t>
      </w:r>
      <w:r>
        <w:rPr>
          <w:spacing w:val="-1"/>
        </w:rPr>
        <w:t xml:space="preserve"> </w:t>
      </w:r>
      <w:r>
        <w:t>military</w:t>
      </w:r>
      <w:r>
        <w:rPr>
          <w:spacing w:val="-1"/>
        </w:rPr>
        <w:t xml:space="preserve"> </w:t>
      </w:r>
      <w:r>
        <w:t>products</w:t>
      </w:r>
      <w:r>
        <w:rPr>
          <w:spacing w:val="-1"/>
        </w:rPr>
        <w:t xml:space="preserve"> </w:t>
      </w:r>
      <w:r>
        <w:t>and</w:t>
      </w:r>
      <w:r>
        <w:rPr>
          <w:spacing w:val="-1"/>
        </w:rPr>
        <w:t xml:space="preserve"> </w:t>
      </w:r>
      <w:r>
        <w:t>any</w:t>
      </w:r>
      <w:r>
        <w:rPr>
          <w:spacing w:val="-1"/>
        </w:rPr>
        <w:t xml:space="preserve"> </w:t>
      </w:r>
      <w:r>
        <w:t>associated</w:t>
      </w:r>
      <w:r>
        <w:rPr>
          <w:spacing w:val="-1"/>
        </w:rPr>
        <w:t xml:space="preserve"> </w:t>
      </w:r>
      <w:r>
        <w:t>industrial cooperation agreements also are subject to U.S. export regulations and foreign policy, and there could be significant delays or other issues in reaching definitive agreements for announced programs. Competition for international sales is intense, including from international manufacturers whose governments sometimes provide research and development assistance, marketing subsidies and other assistance for their products and services.</w:t>
      </w:r>
    </w:p>
    <w:p w14:paraId="574696D0" w14:textId="77777777" w:rsidR="00AE2255" w:rsidRDefault="00AE2255">
      <w:pPr>
        <w:pStyle w:val="BodyText"/>
        <w:spacing w:before="9"/>
        <w:rPr>
          <w:sz w:val="19"/>
        </w:rPr>
      </w:pPr>
    </w:p>
    <w:p w14:paraId="4A149B74" w14:textId="77777777" w:rsidR="00AE2255" w:rsidRDefault="00000000">
      <w:pPr>
        <w:pStyle w:val="BodyText"/>
        <w:spacing w:line="249" w:lineRule="auto"/>
        <w:ind w:left="610" w:right="427" w:firstLine="360"/>
        <w:jc w:val="both"/>
      </w:pPr>
      <w:r>
        <w:t>Our international business is conducted through foreign military sales (FMS) contracted through the U.S. Government and by direct commercial sales (DCS) to international customers. FMS contracts with the U.S. Government are subject to the FAR and the DFARS. Because the U.S. Government functions as an intermediary in FMS sales, we are reliant on the capacity and speed of the DoD’s administration of requests from non-U.S. countries to convert requests to sales. In contrast, DCS transactions represent sales directly to international customers and are subject to U.S. and foreign laws and regulations, including import-export control, technology transfer restrictions, investments, taxation, repatriation of earnings, exchange controls, the Foreign Corrupt Practices Act and other anti-corruption laws and regulations, and the anti-boycott provisions of</w:t>
      </w:r>
      <w:r>
        <w:rPr>
          <w:spacing w:val="40"/>
        </w:rPr>
        <w:t xml:space="preserve"> </w:t>
      </w:r>
      <w:r>
        <w:t>the U.S. Export Control Reform Act of 2018. While we have extensive policies in place to comply with such laws and regulations,</w:t>
      </w:r>
      <w:r>
        <w:rPr>
          <w:spacing w:val="-2"/>
        </w:rPr>
        <w:t xml:space="preserve"> </w:t>
      </w:r>
      <w:r>
        <w:t>failure</w:t>
      </w:r>
      <w:r>
        <w:rPr>
          <w:spacing w:val="-2"/>
        </w:rPr>
        <w:t xml:space="preserve"> </w:t>
      </w:r>
      <w:r>
        <w:t>by</w:t>
      </w:r>
      <w:r>
        <w:rPr>
          <w:spacing w:val="-2"/>
        </w:rPr>
        <w:t xml:space="preserve"> </w:t>
      </w:r>
      <w:r>
        <w:t>us,</w:t>
      </w:r>
      <w:r>
        <w:rPr>
          <w:spacing w:val="-2"/>
        </w:rPr>
        <w:t xml:space="preserve"> </w:t>
      </w:r>
      <w:r>
        <w:t>our</w:t>
      </w:r>
      <w:r>
        <w:rPr>
          <w:spacing w:val="-2"/>
        </w:rPr>
        <w:t xml:space="preserve"> </w:t>
      </w:r>
      <w:r>
        <w:t>employees</w:t>
      </w:r>
      <w:r>
        <w:rPr>
          <w:spacing w:val="-2"/>
        </w:rPr>
        <w:t xml:space="preserve"> </w:t>
      </w:r>
      <w:r>
        <w:t>or</w:t>
      </w:r>
      <w:r>
        <w:rPr>
          <w:spacing w:val="-2"/>
        </w:rPr>
        <w:t xml:space="preserve"> </w:t>
      </w:r>
      <w:r>
        <w:t>others</w:t>
      </w:r>
      <w:r>
        <w:rPr>
          <w:spacing w:val="-2"/>
        </w:rPr>
        <w:t xml:space="preserve"> </w:t>
      </w:r>
      <w:r>
        <w:t>working</w:t>
      </w:r>
      <w:r>
        <w:rPr>
          <w:spacing w:val="-2"/>
        </w:rPr>
        <w:t xml:space="preserve"> </w:t>
      </w:r>
      <w:r>
        <w:t>on</w:t>
      </w:r>
      <w:r>
        <w:rPr>
          <w:spacing w:val="-2"/>
        </w:rPr>
        <w:t xml:space="preserve"> </w:t>
      </w:r>
      <w:r>
        <w:t>our</w:t>
      </w:r>
      <w:r>
        <w:rPr>
          <w:spacing w:val="-2"/>
        </w:rPr>
        <w:t xml:space="preserve"> </w:t>
      </w:r>
      <w:r>
        <w:t>behalf</w:t>
      </w:r>
      <w:r>
        <w:rPr>
          <w:spacing w:val="-2"/>
        </w:rPr>
        <w:t xml:space="preserve"> </w:t>
      </w:r>
      <w:r>
        <w:t>to</w:t>
      </w:r>
      <w:r>
        <w:rPr>
          <w:spacing w:val="-2"/>
        </w:rPr>
        <w:t xml:space="preserve"> </w:t>
      </w:r>
      <w:r>
        <w:t>comply</w:t>
      </w:r>
      <w:r>
        <w:rPr>
          <w:spacing w:val="-2"/>
        </w:rPr>
        <w:t xml:space="preserve"> </w:t>
      </w:r>
      <w:r>
        <w:t>with</w:t>
      </w:r>
      <w:r>
        <w:rPr>
          <w:spacing w:val="-2"/>
        </w:rPr>
        <w:t xml:space="preserve"> </w:t>
      </w:r>
      <w:r>
        <w:t>these</w:t>
      </w:r>
      <w:r>
        <w:rPr>
          <w:spacing w:val="-2"/>
        </w:rPr>
        <w:t xml:space="preserve"> </w:t>
      </w:r>
      <w:r>
        <w:t>laws</w:t>
      </w:r>
      <w:r>
        <w:rPr>
          <w:spacing w:val="-2"/>
        </w:rPr>
        <w:t xml:space="preserve"> </w:t>
      </w:r>
      <w:r>
        <w:t>and</w:t>
      </w:r>
      <w:r>
        <w:rPr>
          <w:spacing w:val="-2"/>
        </w:rPr>
        <w:t xml:space="preserve"> </w:t>
      </w:r>
      <w:r>
        <w:t>regulations</w:t>
      </w:r>
      <w:r>
        <w:rPr>
          <w:spacing w:val="-2"/>
        </w:rPr>
        <w:t xml:space="preserve"> </w:t>
      </w:r>
      <w:r>
        <w:t>could</w:t>
      </w:r>
      <w:r>
        <w:rPr>
          <w:spacing w:val="-2"/>
        </w:rPr>
        <w:t xml:space="preserve"> </w:t>
      </w:r>
      <w:r>
        <w:t>result in administrative, civil, or criminal liabilities, including suspension, debarment from bidding for or performing government contracts, or suspension of our export privileges, which could have a material adverse effect on us. We frequently team with international subcontractors and suppliers who also are exposed to similar risks.</w:t>
      </w:r>
    </w:p>
    <w:p w14:paraId="139C8E94" w14:textId="77777777" w:rsidR="00AE2255" w:rsidRDefault="00AE2255">
      <w:pPr>
        <w:pStyle w:val="BodyText"/>
        <w:spacing w:before="3"/>
        <w:rPr>
          <w:sz w:val="18"/>
        </w:rPr>
      </w:pPr>
    </w:p>
    <w:p w14:paraId="78168AA5" w14:textId="77777777" w:rsidR="00AE2255" w:rsidRDefault="00000000">
      <w:pPr>
        <w:pStyle w:val="BodyText"/>
        <w:spacing w:line="249" w:lineRule="auto"/>
        <w:ind w:left="610" w:right="428" w:firstLine="360"/>
        <w:jc w:val="both"/>
      </w:pPr>
      <w:r>
        <w:t>We believe DCS transactions present a higher level of potential risks because they involve direct commercial relationships with parties with which we typically have less familiarity. Additionally, international procurement and local country rules and regulations, contract laws and judicial systems differ from those in the U.S. and, in some cases, may be less predictable than those in the U.S., which could impair our ability to enforce contracts and increase the risk of adverse or unpredictable</w:t>
      </w:r>
      <w:r>
        <w:rPr>
          <w:spacing w:val="40"/>
        </w:rPr>
        <w:t xml:space="preserve"> </w:t>
      </w:r>
      <w:r>
        <w:t>outcomes, including the possibility that certain matters that would be considered civil matters in the U.S. are treated as criminal matters in other countries.</w:t>
      </w:r>
    </w:p>
    <w:p w14:paraId="13D1D5B4" w14:textId="77777777" w:rsidR="00AE2255" w:rsidRDefault="00AE2255">
      <w:pPr>
        <w:pStyle w:val="BodyText"/>
        <w:spacing w:before="9"/>
        <w:rPr>
          <w:sz w:val="17"/>
        </w:rPr>
      </w:pPr>
    </w:p>
    <w:p w14:paraId="7400144F" w14:textId="77777777" w:rsidR="00AE2255" w:rsidRDefault="00000000">
      <w:pPr>
        <w:pStyle w:val="BodyText"/>
        <w:spacing w:before="1" w:line="249" w:lineRule="auto"/>
        <w:ind w:left="610" w:right="428" w:firstLine="360"/>
        <w:jc w:val="both"/>
      </w:pPr>
      <w:r>
        <w:t xml:space="preserve">In conjunction with defense procurements, some international customers require contractors to comply with industrial cooperation regulations, including </w:t>
      </w:r>
      <w:proofErr w:type="gramStart"/>
      <w:r>
        <w:t>entering into</w:t>
      </w:r>
      <w:proofErr w:type="gramEnd"/>
      <w:r>
        <w:t xml:space="preserve"> industrial participation, industrial development or localization agreements, sometimes referred to as offset agreements or contracts, as a condition to obtaining orders for our products and services. These offset agreements or contracts generally extend over several years and obligate the contractor to perform certain commitments, which may include in-country purchases, technology transfers, local manufacturing support, consulting support to in-country projects, investments in joint ventures and financial support projects, and to prefer local suppliers or subcontractors. The customer’s expectations in respect of the scope of offset commitments can be substantial, including high-value content, and</w:t>
      </w:r>
      <w:r>
        <w:rPr>
          <w:spacing w:val="40"/>
        </w:rPr>
        <w:t xml:space="preserve"> </w:t>
      </w:r>
      <w:r>
        <w:t>may exceed existing local technical capability. Failure to meet these commitments, which can be subjective and outside of our control, may result in significant penalties, and could lead to a reduction in sales to a country. Furthermore, certain of our existing</w:t>
      </w:r>
      <w:r>
        <w:rPr>
          <w:spacing w:val="-1"/>
        </w:rPr>
        <w:t xml:space="preserve"> </w:t>
      </w:r>
      <w:r>
        <w:t>industrial</w:t>
      </w:r>
      <w:r>
        <w:rPr>
          <w:spacing w:val="-1"/>
        </w:rPr>
        <w:t xml:space="preserve"> </w:t>
      </w:r>
      <w:r>
        <w:t>development</w:t>
      </w:r>
      <w:r>
        <w:rPr>
          <w:spacing w:val="-1"/>
        </w:rPr>
        <w:t xml:space="preserve"> </w:t>
      </w:r>
      <w:r>
        <w:t>agreements</w:t>
      </w:r>
      <w:r>
        <w:rPr>
          <w:spacing w:val="-1"/>
        </w:rPr>
        <w:t xml:space="preserve"> </w:t>
      </w:r>
      <w:r>
        <w:t>are</w:t>
      </w:r>
      <w:r>
        <w:rPr>
          <w:spacing w:val="-1"/>
        </w:rPr>
        <w:t xml:space="preserve"> </w:t>
      </w:r>
      <w:r>
        <w:t>dependent</w:t>
      </w:r>
      <w:r>
        <w:rPr>
          <w:spacing w:val="-1"/>
        </w:rPr>
        <w:t xml:space="preserve"> </w:t>
      </w:r>
      <w:r>
        <w:t>upon</w:t>
      </w:r>
      <w:r>
        <w:rPr>
          <w:spacing w:val="-1"/>
        </w:rPr>
        <w:t xml:space="preserve"> </w:t>
      </w:r>
      <w:r>
        <w:t>the</w:t>
      </w:r>
      <w:r>
        <w:rPr>
          <w:spacing w:val="-1"/>
        </w:rPr>
        <w:t xml:space="preserve"> </w:t>
      </w:r>
      <w:r>
        <w:t>successful</w:t>
      </w:r>
      <w:r>
        <w:rPr>
          <w:spacing w:val="-1"/>
        </w:rPr>
        <w:t xml:space="preserve"> </w:t>
      </w:r>
      <w:r>
        <w:t>operation</w:t>
      </w:r>
      <w:r>
        <w:rPr>
          <w:spacing w:val="-1"/>
        </w:rPr>
        <w:t xml:space="preserve"> </w:t>
      </w:r>
      <w:r>
        <w:t>of</w:t>
      </w:r>
      <w:r>
        <w:rPr>
          <w:spacing w:val="-1"/>
        </w:rPr>
        <w:t xml:space="preserve"> </w:t>
      </w:r>
      <w:r>
        <w:t>joint</w:t>
      </w:r>
      <w:r>
        <w:rPr>
          <w:spacing w:val="-1"/>
        </w:rPr>
        <w:t xml:space="preserve"> </w:t>
      </w:r>
      <w:r>
        <w:t>ventures</w:t>
      </w:r>
      <w:r>
        <w:rPr>
          <w:spacing w:val="-1"/>
        </w:rPr>
        <w:t xml:space="preserve"> </w:t>
      </w:r>
      <w:r>
        <w:t>that</w:t>
      </w:r>
      <w:r>
        <w:rPr>
          <w:spacing w:val="-1"/>
        </w:rPr>
        <w:t xml:space="preserve"> </w:t>
      </w:r>
      <w:r>
        <w:t>we</w:t>
      </w:r>
      <w:r>
        <w:rPr>
          <w:spacing w:val="-1"/>
        </w:rPr>
        <w:t xml:space="preserve"> </w:t>
      </w:r>
      <w:r>
        <w:t>do</w:t>
      </w:r>
      <w:r>
        <w:rPr>
          <w:spacing w:val="-1"/>
        </w:rPr>
        <w:t xml:space="preserve"> </w:t>
      </w:r>
      <w:r>
        <w:t>not</w:t>
      </w:r>
      <w:r>
        <w:rPr>
          <w:spacing w:val="-1"/>
        </w:rPr>
        <w:t xml:space="preserve"> </w:t>
      </w:r>
      <w:r>
        <w:t>control and</w:t>
      </w:r>
      <w:r>
        <w:rPr>
          <w:spacing w:val="15"/>
        </w:rPr>
        <w:t xml:space="preserve"> </w:t>
      </w:r>
      <w:r>
        <w:t>involve</w:t>
      </w:r>
      <w:r>
        <w:rPr>
          <w:spacing w:val="15"/>
        </w:rPr>
        <w:t xml:space="preserve"> </w:t>
      </w:r>
      <w:r>
        <w:t>products</w:t>
      </w:r>
      <w:r>
        <w:rPr>
          <w:spacing w:val="15"/>
        </w:rPr>
        <w:t xml:space="preserve"> </w:t>
      </w:r>
      <w:r>
        <w:t>and</w:t>
      </w:r>
      <w:r>
        <w:rPr>
          <w:spacing w:val="15"/>
        </w:rPr>
        <w:t xml:space="preserve"> </w:t>
      </w:r>
      <w:r>
        <w:t>services</w:t>
      </w:r>
      <w:r>
        <w:rPr>
          <w:spacing w:val="15"/>
        </w:rPr>
        <w:t xml:space="preserve"> </w:t>
      </w:r>
      <w:r>
        <w:t>that</w:t>
      </w:r>
      <w:r>
        <w:rPr>
          <w:spacing w:val="15"/>
        </w:rPr>
        <w:t xml:space="preserve"> </w:t>
      </w:r>
      <w:r>
        <w:t>are</w:t>
      </w:r>
      <w:r>
        <w:rPr>
          <w:spacing w:val="15"/>
        </w:rPr>
        <w:t xml:space="preserve"> </w:t>
      </w:r>
      <w:r>
        <w:t>outside</w:t>
      </w:r>
      <w:r>
        <w:rPr>
          <w:spacing w:val="15"/>
        </w:rPr>
        <w:t xml:space="preserve"> </w:t>
      </w:r>
      <w:r>
        <w:t>of</w:t>
      </w:r>
      <w:r>
        <w:rPr>
          <w:spacing w:val="15"/>
        </w:rPr>
        <w:t xml:space="preserve"> </w:t>
      </w:r>
      <w:r>
        <w:t>our</w:t>
      </w:r>
      <w:r>
        <w:rPr>
          <w:spacing w:val="15"/>
        </w:rPr>
        <w:t xml:space="preserve"> </w:t>
      </w:r>
      <w:r>
        <w:t>core</w:t>
      </w:r>
      <w:r>
        <w:rPr>
          <w:spacing w:val="15"/>
        </w:rPr>
        <w:t xml:space="preserve"> </w:t>
      </w:r>
      <w:r>
        <w:t>business,</w:t>
      </w:r>
      <w:r>
        <w:rPr>
          <w:spacing w:val="15"/>
        </w:rPr>
        <w:t xml:space="preserve"> </w:t>
      </w:r>
      <w:r>
        <w:t>which</w:t>
      </w:r>
      <w:r>
        <w:rPr>
          <w:spacing w:val="15"/>
        </w:rPr>
        <w:t xml:space="preserve"> </w:t>
      </w:r>
      <w:r>
        <w:t>may</w:t>
      </w:r>
      <w:r>
        <w:rPr>
          <w:spacing w:val="15"/>
        </w:rPr>
        <w:t xml:space="preserve"> </w:t>
      </w:r>
      <w:r>
        <w:t>increase</w:t>
      </w:r>
      <w:r>
        <w:rPr>
          <w:spacing w:val="15"/>
        </w:rPr>
        <w:t xml:space="preserve"> </w:t>
      </w:r>
      <w:r>
        <w:t>the</w:t>
      </w:r>
      <w:r>
        <w:rPr>
          <w:spacing w:val="15"/>
        </w:rPr>
        <w:t xml:space="preserve"> </w:t>
      </w:r>
      <w:r>
        <w:t>risk</w:t>
      </w:r>
      <w:r>
        <w:rPr>
          <w:spacing w:val="15"/>
        </w:rPr>
        <w:t xml:space="preserve"> </w:t>
      </w:r>
      <w:r>
        <w:t>that</w:t>
      </w:r>
      <w:r>
        <w:rPr>
          <w:spacing w:val="15"/>
        </w:rPr>
        <w:t xml:space="preserve"> </w:t>
      </w:r>
      <w:r>
        <w:t>we</w:t>
      </w:r>
      <w:r>
        <w:rPr>
          <w:spacing w:val="15"/>
        </w:rPr>
        <w:t xml:space="preserve"> </w:t>
      </w:r>
      <w:r>
        <w:t>fail</w:t>
      </w:r>
      <w:r>
        <w:rPr>
          <w:spacing w:val="15"/>
        </w:rPr>
        <w:t xml:space="preserve"> </w:t>
      </w:r>
      <w:r>
        <w:t>to</w:t>
      </w:r>
      <w:r>
        <w:rPr>
          <w:spacing w:val="15"/>
        </w:rPr>
        <w:t xml:space="preserve"> </w:t>
      </w:r>
      <w:r>
        <w:t>meet</w:t>
      </w:r>
      <w:r>
        <w:rPr>
          <w:spacing w:val="15"/>
        </w:rPr>
        <w:t xml:space="preserve"> </w:t>
      </w:r>
      <w:proofErr w:type="gramStart"/>
      <w:r>
        <w:t>our</w:t>
      </w:r>
      <w:proofErr w:type="gramEnd"/>
    </w:p>
    <w:p w14:paraId="42180433" w14:textId="77777777" w:rsidR="00AE2255" w:rsidRDefault="00AE2255">
      <w:pPr>
        <w:spacing w:line="249" w:lineRule="auto"/>
        <w:jc w:val="both"/>
        <w:sectPr w:rsidR="00AE2255">
          <w:pgSz w:w="12240" w:h="15840"/>
          <w:pgMar w:top="440" w:right="560" w:bottom="720" w:left="380" w:header="230" w:footer="531" w:gutter="0"/>
          <w:cols w:space="720"/>
        </w:sectPr>
      </w:pPr>
    </w:p>
    <w:p w14:paraId="2E65E8C7" w14:textId="77777777" w:rsidR="00AE2255" w:rsidRDefault="00AE2255">
      <w:pPr>
        <w:pStyle w:val="BodyText"/>
        <w:spacing w:before="10"/>
        <w:rPr>
          <w:sz w:val="22"/>
        </w:rPr>
      </w:pPr>
    </w:p>
    <w:p w14:paraId="169FE260" w14:textId="77777777" w:rsidR="00AE2255" w:rsidRDefault="00000000">
      <w:pPr>
        <w:pStyle w:val="BodyText"/>
        <w:spacing w:before="92" w:line="249" w:lineRule="auto"/>
        <w:ind w:left="610" w:right="430"/>
        <w:jc w:val="both"/>
      </w:pPr>
      <w:r>
        <w:t>industrial cooperation agreements, expose us to compliance risks of the joint venture and impair our ability to recover our investment. For more information on our industrial development obligations, including the notional value of our remaining industrial development obligations and potential penalties for non-compliance, see “Contractual Commitments” in Management’s Discussion and Analysis of Financial Condition and Results of Operations (MD&amp;A).</w:t>
      </w:r>
    </w:p>
    <w:p w14:paraId="0EBC4CAD" w14:textId="77777777" w:rsidR="00AE2255" w:rsidRDefault="00AE2255">
      <w:pPr>
        <w:pStyle w:val="BodyText"/>
        <w:spacing w:before="4"/>
        <w:rPr>
          <w:sz w:val="17"/>
        </w:rPr>
      </w:pPr>
    </w:p>
    <w:p w14:paraId="68D64D7B" w14:textId="77777777" w:rsidR="00AE2255" w:rsidRDefault="00000000">
      <w:pPr>
        <w:pStyle w:val="Heading3"/>
        <w:jc w:val="both"/>
      </w:pPr>
      <w:r>
        <w:t>Geopolitical</w:t>
      </w:r>
      <w:r>
        <w:rPr>
          <w:spacing w:val="-7"/>
        </w:rPr>
        <w:t xml:space="preserve"> </w:t>
      </w:r>
      <w:r>
        <w:t>issues</w:t>
      </w:r>
      <w:r>
        <w:rPr>
          <w:spacing w:val="-4"/>
        </w:rPr>
        <w:t xml:space="preserve"> </w:t>
      </w:r>
      <w:r>
        <w:t>and</w:t>
      </w:r>
      <w:r>
        <w:rPr>
          <w:spacing w:val="-4"/>
        </w:rPr>
        <w:t xml:space="preserve"> </w:t>
      </w:r>
      <w:r>
        <w:t>considerations</w:t>
      </w:r>
      <w:r>
        <w:rPr>
          <w:spacing w:val="-4"/>
        </w:rPr>
        <w:t xml:space="preserve"> </w:t>
      </w:r>
      <w:r>
        <w:t>could</w:t>
      </w:r>
      <w:r>
        <w:rPr>
          <w:spacing w:val="-4"/>
        </w:rPr>
        <w:t xml:space="preserve"> </w:t>
      </w:r>
      <w:r>
        <w:t>have</w:t>
      </w:r>
      <w:r>
        <w:rPr>
          <w:spacing w:val="-4"/>
        </w:rPr>
        <w:t xml:space="preserve"> </w:t>
      </w:r>
      <w:r>
        <w:t>a</w:t>
      </w:r>
      <w:r>
        <w:rPr>
          <w:spacing w:val="-4"/>
        </w:rPr>
        <w:t xml:space="preserve"> </w:t>
      </w:r>
      <w:r>
        <w:t>significant</w:t>
      </w:r>
      <w:r>
        <w:rPr>
          <w:spacing w:val="-4"/>
        </w:rPr>
        <w:t xml:space="preserve"> </w:t>
      </w:r>
      <w:r>
        <w:t>effect</w:t>
      </w:r>
      <w:r>
        <w:rPr>
          <w:spacing w:val="-5"/>
        </w:rPr>
        <w:t xml:space="preserve"> </w:t>
      </w:r>
      <w:r>
        <w:t>on</w:t>
      </w:r>
      <w:r>
        <w:rPr>
          <w:spacing w:val="-4"/>
        </w:rPr>
        <w:t xml:space="preserve"> </w:t>
      </w:r>
      <w:r>
        <w:t>our</w:t>
      </w:r>
      <w:r>
        <w:rPr>
          <w:spacing w:val="-4"/>
        </w:rPr>
        <w:t xml:space="preserve"> </w:t>
      </w:r>
      <w:r>
        <w:rPr>
          <w:spacing w:val="-2"/>
        </w:rPr>
        <w:t>business.</w:t>
      </w:r>
    </w:p>
    <w:p w14:paraId="00675036" w14:textId="77777777" w:rsidR="00AE2255" w:rsidRDefault="00AE2255">
      <w:pPr>
        <w:pStyle w:val="BodyText"/>
        <w:spacing w:before="6"/>
        <w:rPr>
          <w:b/>
          <w:i/>
          <w:sz w:val="18"/>
        </w:rPr>
      </w:pPr>
    </w:p>
    <w:p w14:paraId="167CEA02" w14:textId="77777777" w:rsidR="00AE2255" w:rsidRDefault="00000000">
      <w:pPr>
        <w:pStyle w:val="BodyText"/>
        <w:spacing w:before="1" w:line="249" w:lineRule="auto"/>
        <w:ind w:left="610" w:right="429" w:firstLine="360"/>
        <w:jc w:val="both"/>
      </w:pPr>
      <w:r>
        <w:t xml:space="preserve">Our business is highly sensitive to geopolitical issues and changes in regulations (including tariffs, sanctions, embargoes, export and import controls and other trade restrictions), political environments or security risks that may affect our ability to conduct business outside of the U.S., including those regarding investment, procurement, </w:t>
      </w:r>
      <w:proofErr w:type="gramStart"/>
      <w:r>
        <w:t>taxation</w:t>
      </w:r>
      <w:proofErr w:type="gramEnd"/>
      <w:r>
        <w:t xml:space="preserve"> and repatriation of earnings.</w:t>
      </w:r>
    </w:p>
    <w:p w14:paraId="5129FFA8" w14:textId="77777777" w:rsidR="00AE2255" w:rsidRDefault="00AE2255">
      <w:pPr>
        <w:pStyle w:val="BodyText"/>
        <w:spacing w:before="6"/>
        <w:rPr>
          <w:sz w:val="17"/>
        </w:rPr>
      </w:pPr>
    </w:p>
    <w:p w14:paraId="5341A954" w14:textId="77777777" w:rsidR="00AE2255" w:rsidRDefault="00000000">
      <w:pPr>
        <w:pStyle w:val="BodyText"/>
        <w:spacing w:before="1" w:line="249" w:lineRule="auto"/>
        <w:ind w:left="610" w:right="427" w:firstLine="360"/>
        <w:jc w:val="both"/>
      </w:pPr>
      <w:r>
        <w:t>Russia’s invasion of Ukraine has significantly elevated global geopolitical tensions and security concerns. Although the conflict has resulted in increased demand for some of our products, the conflict poses certain risks. If we are unable to increase production to meet demand on the timeframe expected by potential customers, whether it be from supply constraints, government funding or otherwise, then we may lose sales opportunities as they seek alternatives, even less capable ones, that may be able to be delivered more quickly. In addition, the U.S. Government and other nations have implemented broad economic sanctions and export controls targeting Russia, which combined with the conflict have the potential to indirectly disrupt our supply chain and access to certain resources. The conflict also has increased the threat of malicious cyber activity from nation states and other actors.</w:t>
      </w:r>
    </w:p>
    <w:p w14:paraId="1909CAA5" w14:textId="77777777" w:rsidR="00AE2255" w:rsidRDefault="00AE2255">
      <w:pPr>
        <w:pStyle w:val="BodyText"/>
        <w:spacing w:before="10"/>
        <w:rPr>
          <w:sz w:val="17"/>
        </w:rPr>
      </w:pPr>
    </w:p>
    <w:p w14:paraId="27AFC83A" w14:textId="77777777" w:rsidR="00AE2255" w:rsidRDefault="00000000">
      <w:pPr>
        <w:pStyle w:val="BodyText"/>
        <w:spacing w:before="1" w:line="249" w:lineRule="auto"/>
        <w:ind w:left="610" w:right="428" w:firstLine="360"/>
        <w:jc w:val="both"/>
      </w:pPr>
      <w:r>
        <w:t xml:space="preserve">During 2020, China announced it may impose sanctions against us in response to Congressional Notifications of potential Foreign Military Sales to Taiwan, which included sales of our products. We will continue to follow official U.S. Government guidance as it relates to sales to Taiwan and do not see a material impact on our sales at this time. China has not specified the nature of any such </w:t>
      </w:r>
      <w:proofErr w:type="gramStart"/>
      <w:r>
        <w:t>sanctions, but</w:t>
      </w:r>
      <w:proofErr w:type="gramEnd"/>
      <w:r>
        <w:t xml:space="preserve"> could seek to restrict our commercial sales or supply chain, including the supply of rare earth or other raw materials, and also could impose sanctions on our suppliers, teammates or partners. The nature, timing and potential impact of any sanctions that may be imposed by China or any other related actions that may be taken are uncertain.</w:t>
      </w:r>
    </w:p>
    <w:p w14:paraId="1DA119F6" w14:textId="77777777" w:rsidR="00AE2255" w:rsidRDefault="00AE2255">
      <w:pPr>
        <w:pStyle w:val="BodyText"/>
        <w:spacing w:before="9"/>
        <w:rPr>
          <w:sz w:val="17"/>
        </w:rPr>
      </w:pPr>
    </w:p>
    <w:p w14:paraId="486DB162" w14:textId="77777777" w:rsidR="00AE2255" w:rsidRDefault="00000000">
      <w:pPr>
        <w:pStyle w:val="BodyText"/>
        <w:spacing w:line="249" w:lineRule="auto"/>
        <w:ind w:left="610" w:right="428" w:firstLine="360"/>
        <w:jc w:val="both"/>
      </w:pPr>
      <w:r>
        <w:t xml:space="preserve">International sales also may be adversely affected by actions taken by the U.S. Government in the exercise of foreign policy, Congressional </w:t>
      </w:r>
      <w:proofErr w:type="gramStart"/>
      <w:r>
        <w:t>oversight</w:t>
      </w:r>
      <w:proofErr w:type="gramEnd"/>
      <w:r>
        <w:t xml:space="preserve"> or the financing of particular programs, including the prevention or imposition of conditions upon the sale and delivery of our products, the imposition of sanctions, or Congressional action to block sales of our products. For</w:t>
      </w:r>
      <w:r>
        <w:rPr>
          <w:spacing w:val="-3"/>
        </w:rPr>
        <w:t xml:space="preserve"> </w:t>
      </w:r>
      <w:r>
        <w:t>example,</w:t>
      </w:r>
      <w:r>
        <w:rPr>
          <w:spacing w:val="-3"/>
        </w:rPr>
        <w:t xml:space="preserve"> </w:t>
      </w:r>
      <w:r>
        <w:t>the</w:t>
      </w:r>
      <w:r>
        <w:rPr>
          <w:spacing w:val="-3"/>
        </w:rPr>
        <w:t xml:space="preserve"> </w:t>
      </w:r>
      <w:r>
        <w:t>U.S.</w:t>
      </w:r>
      <w:r>
        <w:rPr>
          <w:spacing w:val="-3"/>
        </w:rPr>
        <w:t xml:space="preserve"> </w:t>
      </w:r>
      <w:r>
        <w:t>Government</w:t>
      </w:r>
      <w:r>
        <w:rPr>
          <w:spacing w:val="-3"/>
        </w:rPr>
        <w:t xml:space="preserve"> </w:t>
      </w:r>
      <w:r>
        <w:t>has</w:t>
      </w:r>
      <w:r>
        <w:rPr>
          <w:spacing w:val="-3"/>
        </w:rPr>
        <w:t xml:space="preserve"> </w:t>
      </w:r>
      <w:r>
        <w:t>imposed</w:t>
      </w:r>
      <w:r>
        <w:rPr>
          <w:spacing w:val="-3"/>
        </w:rPr>
        <w:t xml:space="preserve"> </w:t>
      </w:r>
      <w:r>
        <w:t>certain</w:t>
      </w:r>
      <w:r>
        <w:rPr>
          <w:spacing w:val="-3"/>
        </w:rPr>
        <w:t xml:space="preserve"> </w:t>
      </w:r>
      <w:r>
        <w:t>sanctions</w:t>
      </w:r>
      <w:r>
        <w:rPr>
          <w:spacing w:val="-3"/>
        </w:rPr>
        <w:t xml:space="preserve"> </w:t>
      </w:r>
      <w:r>
        <w:t>on</w:t>
      </w:r>
      <w:r>
        <w:rPr>
          <w:spacing w:val="-3"/>
        </w:rPr>
        <w:t xml:space="preserve"> </w:t>
      </w:r>
      <w:proofErr w:type="spellStart"/>
      <w:r>
        <w:t>Türkish</w:t>
      </w:r>
      <w:proofErr w:type="spellEnd"/>
      <w:r>
        <w:rPr>
          <w:spacing w:val="-3"/>
        </w:rPr>
        <w:t xml:space="preserve"> </w:t>
      </w:r>
      <w:r>
        <w:t>entities</w:t>
      </w:r>
      <w:r>
        <w:rPr>
          <w:spacing w:val="-3"/>
        </w:rPr>
        <w:t xml:space="preserve"> </w:t>
      </w:r>
      <w:r>
        <w:t>and</w:t>
      </w:r>
      <w:r>
        <w:rPr>
          <w:spacing w:val="-3"/>
        </w:rPr>
        <w:t xml:space="preserve"> </w:t>
      </w:r>
      <w:r>
        <w:t>persons,</w:t>
      </w:r>
      <w:r>
        <w:rPr>
          <w:spacing w:val="-3"/>
        </w:rPr>
        <w:t xml:space="preserve"> </w:t>
      </w:r>
      <w:r>
        <w:t>which</w:t>
      </w:r>
      <w:r>
        <w:rPr>
          <w:spacing w:val="-3"/>
        </w:rPr>
        <w:t xml:space="preserve"> </w:t>
      </w:r>
      <w:r>
        <w:t>has</w:t>
      </w:r>
      <w:r>
        <w:rPr>
          <w:spacing w:val="-3"/>
        </w:rPr>
        <w:t xml:space="preserve"> </w:t>
      </w:r>
      <w:r>
        <w:t>affected</w:t>
      </w:r>
      <w:r>
        <w:rPr>
          <w:spacing w:val="-3"/>
        </w:rPr>
        <w:t xml:space="preserve"> </w:t>
      </w:r>
      <w:r>
        <w:t>our</w:t>
      </w:r>
      <w:r>
        <w:rPr>
          <w:spacing w:val="-3"/>
        </w:rPr>
        <w:t xml:space="preserve"> </w:t>
      </w:r>
      <w:r>
        <w:t xml:space="preserve">ability to perform under contracts supporting the </w:t>
      </w:r>
      <w:proofErr w:type="spellStart"/>
      <w:r>
        <w:t>Türkish</w:t>
      </w:r>
      <w:proofErr w:type="spellEnd"/>
      <w:r>
        <w:t xml:space="preserve"> Utility Helicopter Program (TUHP), our work with </w:t>
      </w:r>
      <w:proofErr w:type="spellStart"/>
      <w:r>
        <w:t>Türkish</w:t>
      </w:r>
      <w:proofErr w:type="spellEnd"/>
      <w:r>
        <w:t xml:space="preserve"> industry and our opportunity for sales in </w:t>
      </w:r>
      <w:proofErr w:type="spellStart"/>
      <w:r>
        <w:t>Türkiye</w:t>
      </w:r>
      <w:proofErr w:type="spellEnd"/>
      <w:r>
        <w:t xml:space="preserve"> generally. See Management’s Discussion and Analysis of Financial Condition and Results of Operations for more information on TUHP. In addition, U.S. Government representatives have raised concerns regarding relationships with the Kingdom of Saudi Arabia, where we have existing business and relationships that could be jeopardized if sanctions</w:t>
      </w:r>
      <w:r>
        <w:rPr>
          <w:spacing w:val="-2"/>
        </w:rPr>
        <w:t xml:space="preserve"> </w:t>
      </w:r>
      <w:r>
        <w:t>were</w:t>
      </w:r>
      <w:r>
        <w:rPr>
          <w:spacing w:val="-2"/>
        </w:rPr>
        <w:t xml:space="preserve"> </w:t>
      </w:r>
      <w:r>
        <w:t>imposed.</w:t>
      </w:r>
      <w:r>
        <w:rPr>
          <w:spacing w:val="-2"/>
        </w:rPr>
        <w:t xml:space="preserve"> </w:t>
      </w:r>
      <w:r>
        <w:t>Our</w:t>
      </w:r>
      <w:r>
        <w:rPr>
          <w:spacing w:val="-2"/>
        </w:rPr>
        <w:t xml:space="preserve"> </w:t>
      </w:r>
      <w:r>
        <w:t>inability</w:t>
      </w:r>
      <w:r>
        <w:rPr>
          <w:spacing w:val="-2"/>
        </w:rPr>
        <w:t xml:space="preserve"> </w:t>
      </w:r>
      <w:r>
        <w:t>to</w:t>
      </w:r>
      <w:r>
        <w:rPr>
          <w:spacing w:val="-2"/>
        </w:rPr>
        <w:t xml:space="preserve"> </w:t>
      </w:r>
      <w:r>
        <w:t>perform</w:t>
      </w:r>
      <w:r>
        <w:rPr>
          <w:spacing w:val="-2"/>
        </w:rPr>
        <w:t xml:space="preserve"> </w:t>
      </w:r>
      <w:r>
        <w:t>under</w:t>
      </w:r>
      <w:r>
        <w:rPr>
          <w:spacing w:val="-2"/>
        </w:rPr>
        <w:t xml:space="preserve"> </w:t>
      </w:r>
      <w:r>
        <w:t>contracts</w:t>
      </w:r>
      <w:r>
        <w:rPr>
          <w:spacing w:val="-2"/>
        </w:rPr>
        <w:t xml:space="preserve"> </w:t>
      </w:r>
      <w:r>
        <w:t>with</w:t>
      </w:r>
      <w:r>
        <w:rPr>
          <w:spacing w:val="-2"/>
        </w:rPr>
        <w:t xml:space="preserve"> </w:t>
      </w:r>
      <w:r>
        <w:t>international</w:t>
      </w:r>
      <w:r>
        <w:rPr>
          <w:spacing w:val="-2"/>
        </w:rPr>
        <w:t xml:space="preserve"> </w:t>
      </w:r>
      <w:r>
        <w:t>customers</w:t>
      </w:r>
      <w:r>
        <w:rPr>
          <w:spacing w:val="-2"/>
        </w:rPr>
        <w:t xml:space="preserve"> </w:t>
      </w:r>
      <w:proofErr w:type="gramStart"/>
      <w:r>
        <w:t>as</w:t>
      </w:r>
      <w:r>
        <w:rPr>
          <w:spacing w:val="-2"/>
        </w:rPr>
        <w:t xml:space="preserve"> </w:t>
      </w:r>
      <w:r>
        <w:t>a</w:t>
      </w:r>
      <w:r>
        <w:rPr>
          <w:spacing w:val="-2"/>
        </w:rPr>
        <w:t xml:space="preserve"> </w:t>
      </w:r>
      <w:r>
        <w:t>result</w:t>
      </w:r>
      <w:r>
        <w:rPr>
          <w:spacing w:val="-2"/>
        </w:rPr>
        <w:t xml:space="preserve"> </w:t>
      </w:r>
      <w:r>
        <w:t>of</w:t>
      </w:r>
      <w:proofErr w:type="gramEnd"/>
      <w:r>
        <w:rPr>
          <w:spacing w:val="-2"/>
        </w:rPr>
        <w:t xml:space="preserve"> </w:t>
      </w:r>
      <w:r>
        <w:t>actions</w:t>
      </w:r>
      <w:r>
        <w:rPr>
          <w:spacing w:val="-2"/>
        </w:rPr>
        <w:t xml:space="preserve"> </w:t>
      </w:r>
      <w:r>
        <w:t>taken</w:t>
      </w:r>
      <w:r>
        <w:rPr>
          <w:spacing w:val="-2"/>
        </w:rPr>
        <w:t xml:space="preserve"> </w:t>
      </w:r>
      <w:r>
        <w:t>by</w:t>
      </w:r>
      <w:r>
        <w:rPr>
          <w:spacing w:val="-2"/>
        </w:rPr>
        <w:t xml:space="preserve"> </w:t>
      </w:r>
      <w:r>
        <w:t>the</w:t>
      </w:r>
    </w:p>
    <w:p w14:paraId="333ACD3A" w14:textId="77777777" w:rsidR="00AE2255" w:rsidRDefault="00000000">
      <w:pPr>
        <w:pStyle w:val="BodyText"/>
        <w:spacing w:before="7" w:line="249" w:lineRule="auto"/>
        <w:ind w:left="610" w:right="428"/>
        <w:jc w:val="both"/>
      </w:pPr>
      <w:r>
        <w:t>U.S.</w:t>
      </w:r>
      <w:r>
        <w:rPr>
          <w:spacing w:val="-2"/>
        </w:rPr>
        <w:t xml:space="preserve"> </w:t>
      </w:r>
      <w:r>
        <w:t>Government</w:t>
      </w:r>
      <w:r>
        <w:rPr>
          <w:spacing w:val="-2"/>
        </w:rPr>
        <w:t xml:space="preserve"> </w:t>
      </w:r>
      <w:r>
        <w:t>has</w:t>
      </w:r>
      <w:r>
        <w:rPr>
          <w:spacing w:val="-2"/>
        </w:rPr>
        <w:t xml:space="preserve"> </w:t>
      </w:r>
      <w:r>
        <w:t>resulted</w:t>
      </w:r>
      <w:r>
        <w:rPr>
          <w:spacing w:val="-2"/>
        </w:rPr>
        <w:t xml:space="preserve"> </w:t>
      </w:r>
      <w:r>
        <w:t>and</w:t>
      </w:r>
      <w:r>
        <w:rPr>
          <w:spacing w:val="-2"/>
        </w:rPr>
        <w:t xml:space="preserve"> </w:t>
      </w:r>
      <w:r>
        <w:t>may</w:t>
      </w:r>
      <w:r>
        <w:rPr>
          <w:spacing w:val="-2"/>
        </w:rPr>
        <w:t xml:space="preserve"> </w:t>
      </w:r>
      <w:r>
        <w:t>in</w:t>
      </w:r>
      <w:r>
        <w:rPr>
          <w:spacing w:val="-2"/>
        </w:rPr>
        <w:t xml:space="preserve"> </w:t>
      </w:r>
      <w:r>
        <w:t>the</w:t>
      </w:r>
      <w:r>
        <w:rPr>
          <w:spacing w:val="-2"/>
        </w:rPr>
        <w:t xml:space="preserve"> </w:t>
      </w:r>
      <w:r>
        <w:t>future</w:t>
      </w:r>
      <w:r>
        <w:rPr>
          <w:spacing w:val="-2"/>
        </w:rPr>
        <w:t xml:space="preserve"> </w:t>
      </w:r>
      <w:r>
        <w:t>result</w:t>
      </w:r>
      <w:r>
        <w:rPr>
          <w:spacing w:val="-2"/>
        </w:rPr>
        <w:t xml:space="preserve"> </w:t>
      </w:r>
      <w:r>
        <w:t>in</w:t>
      </w:r>
      <w:r>
        <w:rPr>
          <w:spacing w:val="-2"/>
        </w:rPr>
        <w:t xml:space="preserve"> </w:t>
      </w:r>
      <w:r>
        <w:t>claims</w:t>
      </w:r>
      <w:r>
        <w:rPr>
          <w:spacing w:val="-2"/>
        </w:rPr>
        <w:t xml:space="preserve"> </w:t>
      </w:r>
      <w:r>
        <w:t>and</w:t>
      </w:r>
      <w:r>
        <w:rPr>
          <w:spacing w:val="-2"/>
        </w:rPr>
        <w:t xml:space="preserve"> </w:t>
      </w:r>
      <w:r>
        <w:t>contract</w:t>
      </w:r>
      <w:r>
        <w:rPr>
          <w:spacing w:val="-2"/>
        </w:rPr>
        <w:t xml:space="preserve"> </w:t>
      </w:r>
      <w:r>
        <w:t>terminations</w:t>
      </w:r>
      <w:r>
        <w:rPr>
          <w:spacing w:val="-2"/>
        </w:rPr>
        <w:t xml:space="preserve"> </w:t>
      </w:r>
      <w:r>
        <w:t>by</w:t>
      </w:r>
      <w:r>
        <w:rPr>
          <w:spacing w:val="-2"/>
        </w:rPr>
        <w:t xml:space="preserve"> </w:t>
      </w:r>
      <w:r>
        <w:t>these</w:t>
      </w:r>
      <w:r>
        <w:rPr>
          <w:spacing w:val="-2"/>
        </w:rPr>
        <w:t xml:space="preserve"> </w:t>
      </w:r>
      <w:r>
        <w:t>customers</w:t>
      </w:r>
      <w:r>
        <w:rPr>
          <w:spacing w:val="-2"/>
        </w:rPr>
        <w:t xml:space="preserve"> </w:t>
      </w:r>
      <w:r>
        <w:t>and</w:t>
      </w:r>
      <w:r>
        <w:rPr>
          <w:spacing w:val="-2"/>
        </w:rPr>
        <w:t xml:space="preserve"> </w:t>
      </w:r>
      <w:r>
        <w:t>suppliers, which could have an adverse effect on our operating results.</w:t>
      </w:r>
    </w:p>
    <w:p w14:paraId="71DFEEA1" w14:textId="77777777" w:rsidR="00AE2255" w:rsidRDefault="00AE2255">
      <w:pPr>
        <w:pStyle w:val="BodyText"/>
        <w:spacing w:before="3"/>
        <w:rPr>
          <w:sz w:val="17"/>
        </w:rPr>
      </w:pPr>
    </w:p>
    <w:p w14:paraId="36D2780C" w14:textId="77777777" w:rsidR="00AE2255" w:rsidRDefault="00000000">
      <w:pPr>
        <w:pStyle w:val="Heading3"/>
        <w:spacing w:line="249" w:lineRule="auto"/>
        <w:ind w:right="430"/>
        <w:jc w:val="both"/>
      </w:pPr>
      <w:r>
        <w:t>We may be unable to benefit fully from or adequately protect our intellectual property rights or use third-party intellectual property, which could negatively affect our business.</w:t>
      </w:r>
    </w:p>
    <w:p w14:paraId="43542B04" w14:textId="77777777" w:rsidR="00AE2255" w:rsidRDefault="00AE2255">
      <w:pPr>
        <w:pStyle w:val="BodyText"/>
        <w:spacing w:before="10"/>
        <w:rPr>
          <w:b/>
          <w:i/>
          <w:sz w:val="17"/>
        </w:rPr>
      </w:pPr>
    </w:p>
    <w:p w14:paraId="0F031D4F" w14:textId="77777777" w:rsidR="00AE2255" w:rsidRDefault="00000000">
      <w:pPr>
        <w:pStyle w:val="BodyText"/>
        <w:spacing w:line="249" w:lineRule="auto"/>
        <w:ind w:left="610" w:right="429" w:firstLine="360"/>
        <w:jc w:val="both"/>
      </w:pPr>
      <w:r>
        <w:t>We own a substantial number of U.S. and foreign patents and trademarks related to the products and services we provide.</w:t>
      </w:r>
      <w:r>
        <w:rPr>
          <w:spacing w:val="40"/>
        </w:rPr>
        <w:t xml:space="preserve"> </w:t>
      </w:r>
      <w:r>
        <w:t xml:space="preserve">In addition to owning a large portfolio of patents and trademarks, we develop and own other intellectual property, including copyrights, trade secrets and research, </w:t>
      </w:r>
      <w:proofErr w:type="gramStart"/>
      <w:r>
        <w:t>development</w:t>
      </w:r>
      <w:proofErr w:type="gramEnd"/>
      <w:r>
        <w:t xml:space="preserve"> and engineering know-how, which contribute significantly to our business. We also license intellectual property to and from third parties. The FAR and DFARS provide that the U.S. Government obtains certain</w:t>
      </w:r>
      <w:r>
        <w:rPr>
          <w:spacing w:val="-3"/>
        </w:rPr>
        <w:t xml:space="preserve"> </w:t>
      </w:r>
      <w:r>
        <w:t>rights</w:t>
      </w:r>
      <w:r>
        <w:rPr>
          <w:spacing w:val="-3"/>
        </w:rPr>
        <w:t xml:space="preserve"> </w:t>
      </w:r>
      <w:r>
        <w:t>in</w:t>
      </w:r>
      <w:r>
        <w:rPr>
          <w:spacing w:val="-3"/>
        </w:rPr>
        <w:t xml:space="preserve"> </w:t>
      </w:r>
      <w:r>
        <w:t>intellectual</w:t>
      </w:r>
      <w:r>
        <w:rPr>
          <w:spacing w:val="-3"/>
        </w:rPr>
        <w:t xml:space="preserve"> </w:t>
      </w:r>
      <w:r>
        <w:t>property,</w:t>
      </w:r>
      <w:r>
        <w:rPr>
          <w:spacing w:val="-3"/>
        </w:rPr>
        <w:t xml:space="preserve"> </w:t>
      </w:r>
      <w:r>
        <w:t>including</w:t>
      </w:r>
      <w:r>
        <w:rPr>
          <w:spacing w:val="-3"/>
        </w:rPr>
        <w:t xml:space="preserve"> </w:t>
      </w:r>
      <w:r>
        <w:t>patents,</w:t>
      </w:r>
      <w:r>
        <w:rPr>
          <w:spacing w:val="-3"/>
        </w:rPr>
        <w:t xml:space="preserve"> </w:t>
      </w:r>
      <w:r>
        <w:t>developed</w:t>
      </w:r>
      <w:r>
        <w:rPr>
          <w:spacing w:val="-3"/>
        </w:rPr>
        <w:t xml:space="preserve"> </w:t>
      </w:r>
      <w:r>
        <w:t>by</w:t>
      </w:r>
      <w:r>
        <w:rPr>
          <w:spacing w:val="-3"/>
        </w:rPr>
        <w:t xml:space="preserve"> </w:t>
      </w:r>
      <w:r>
        <w:t>us</w:t>
      </w:r>
      <w:r>
        <w:rPr>
          <w:spacing w:val="-3"/>
        </w:rPr>
        <w:t xml:space="preserve"> </w:t>
      </w:r>
      <w:r>
        <w:t>and</w:t>
      </w:r>
      <w:r>
        <w:rPr>
          <w:spacing w:val="-3"/>
        </w:rPr>
        <w:t xml:space="preserve"> </w:t>
      </w:r>
      <w:r>
        <w:t>our</w:t>
      </w:r>
      <w:r>
        <w:rPr>
          <w:spacing w:val="-3"/>
        </w:rPr>
        <w:t xml:space="preserve"> </w:t>
      </w:r>
      <w:r>
        <w:t>subcontractors</w:t>
      </w:r>
      <w:r>
        <w:rPr>
          <w:spacing w:val="-3"/>
        </w:rPr>
        <w:t xml:space="preserve"> </w:t>
      </w:r>
      <w:r>
        <w:t>and</w:t>
      </w:r>
      <w:r>
        <w:rPr>
          <w:spacing w:val="-3"/>
        </w:rPr>
        <w:t xml:space="preserve"> </w:t>
      </w:r>
      <w:r>
        <w:t>suppliers</w:t>
      </w:r>
      <w:r>
        <w:rPr>
          <w:spacing w:val="-3"/>
        </w:rPr>
        <w:t xml:space="preserve"> </w:t>
      </w:r>
      <w:r>
        <w:t>in</w:t>
      </w:r>
      <w:r>
        <w:rPr>
          <w:spacing w:val="-3"/>
        </w:rPr>
        <w:t xml:space="preserve"> </w:t>
      </w:r>
      <w:r>
        <w:t>performance</w:t>
      </w:r>
      <w:r>
        <w:rPr>
          <w:spacing w:val="-3"/>
        </w:rPr>
        <w:t xml:space="preserve"> </w:t>
      </w:r>
      <w:r>
        <w:t>of government</w:t>
      </w:r>
      <w:r>
        <w:rPr>
          <w:spacing w:val="-3"/>
        </w:rPr>
        <w:t xml:space="preserve"> </w:t>
      </w:r>
      <w:r>
        <w:t>contracts</w:t>
      </w:r>
      <w:r>
        <w:rPr>
          <w:spacing w:val="-3"/>
        </w:rPr>
        <w:t xml:space="preserve"> </w:t>
      </w:r>
      <w:r>
        <w:t>or</w:t>
      </w:r>
      <w:r>
        <w:rPr>
          <w:spacing w:val="-3"/>
        </w:rPr>
        <w:t xml:space="preserve"> </w:t>
      </w:r>
      <w:r>
        <w:t>with</w:t>
      </w:r>
      <w:r>
        <w:rPr>
          <w:spacing w:val="-3"/>
        </w:rPr>
        <w:t xml:space="preserve"> </w:t>
      </w:r>
      <w:r>
        <w:t>government</w:t>
      </w:r>
      <w:r>
        <w:rPr>
          <w:spacing w:val="-3"/>
        </w:rPr>
        <w:t xml:space="preserve"> </w:t>
      </w:r>
      <w:r>
        <w:t>funding.</w:t>
      </w:r>
      <w:r>
        <w:rPr>
          <w:spacing w:val="-3"/>
        </w:rPr>
        <w:t xml:space="preserve"> </w:t>
      </w:r>
      <w:r>
        <w:t>The</w:t>
      </w:r>
      <w:r>
        <w:rPr>
          <w:spacing w:val="-3"/>
        </w:rPr>
        <w:t xml:space="preserve"> </w:t>
      </w:r>
      <w:r>
        <w:t>U.S.</w:t>
      </w:r>
      <w:r>
        <w:rPr>
          <w:spacing w:val="-3"/>
        </w:rPr>
        <w:t xml:space="preserve"> </w:t>
      </w:r>
      <w:r>
        <w:t>Government</w:t>
      </w:r>
      <w:r>
        <w:rPr>
          <w:spacing w:val="-3"/>
        </w:rPr>
        <w:t xml:space="preserve"> </w:t>
      </w:r>
      <w:r>
        <w:t>may</w:t>
      </w:r>
      <w:r>
        <w:rPr>
          <w:spacing w:val="-3"/>
        </w:rPr>
        <w:t xml:space="preserve"> </w:t>
      </w:r>
      <w:r>
        <w:t>use</w:t>
      </w:r>
      <w:r>
        <w:rPr>
          <w:spacing w:val="-3"/>
        </w:rPr>
        <w:t xml:space="preserve"> </w:t>
      </w:r>
      <w:r>
        <w:t>or</w:t>
      </w:r>
      <w:r>
        <w:rPr>
          <w:spacing w:val="-3"/>
        </w:rPr>
        <w:t xml:space="preserve"> </w:t>
      </w:r>
      <w:r>
        <w:t>authorize</w:t>
      </w:r>
      <w:r>
        <w:rPr>
          <w:spacing w:val="-3"/>
        </w:rPr>
        <w:t xml:space="preserve"> </w:t>
      </w:r>
      <w:r>
        <w:t>others,</w:t>
      </w:r>
      <w:r>
        <w:rPr>
          <w:spacing w:val="-3"/>
        </w:rPr>
        <w:t xml:space="preserve"> </w:t>
      </w:r>
      <w:r>
        <w:t>including</w:t>
      </w:r>
      <w:r>
        <w:rPr>
          <w:spacing w:val="-3"/>
        </w:rPr>
        <w:t xml:space="preserve"> </w:t>
      </w:r>
      <w:r>
        <w:t>competitors,</w:t>
      </w:r>
      <w:r>
        <w:rPr>
          <w:spacing w:val="-3"/>
        </w:rPr>
        <w:t xml:space="preserve"> </w:t>
      </w:r>
      <w:r>
        <w:t>to use such intellectual property. Non-U.S. governments also may have certain rights in patents and other intellectual property developed in performance of our contracts with these entities. The U.S. Government is pursuing aggressive positions regarding the types of intellectual property to which government use rights apply and when it is appropriate for the government to insist on broad use rights. The DoD is also implementing an overarching intellectual property acquisition policy that will require a greater focus and planning as to intellectual property rights for its programs, and we have no assurance as to the potential impacts of this policy or any associated regulatory changes on future acquisitions. The DoD’s efforts could affect our ability to protect and exploit our intellectual property and to leverage supplier intellectual property, for example, if we are unable to obtain necessary licenses from our suppliers to meet government requirements. Additionally, third parties may assert that our products</w:t>
      </w:r>
      <w:r>
        <w:rPr>
          <w:spacing w:val="-2"/>
        </w:rPr>
        <w:t xml:space="preserve"> </w:t>
      </w:r>
      <w:r>
        <w:t>or</w:t>
      </w:r>
      <w:r>
        <w:rPr>
          <w:spacing w:val="-2"/>
        </w:rPr>
        <w:t xml:space="preserve"> </w:t>
      </w:r>
      <w:r>
        <w:t>services</w:t>
      </w:r>
      <w:r>
        <w:rPr>
          <w:spacing w:val="-2"/>
        </w:rPr>
        <w:t xml:space="preserve"> </w:t>
      </w:r>
      <w:r>
        <w:t>infringe</w:t>
      </w:r>
      <w:r>
        <w:rPr>
          <w:spacing w:val="-2"/>
        </w:rPr>
        <w:t xml:space="preserve"> </w:t>
      </w:r>
      <w:r>
        <w:t>their</w:t>
      </w:r>
      <w:r>
        <w:rPr>
          <w:spacing w:val="-2"/>
        </w:rPr>
        <w:t xml:space="preserve"> </w:t>
      </w:r>
      <w:r>
        <w:t>intellectual</w:t>
      </w:r>
      <w:r>
        <w:rPr>
          <w:spacing w:val="-2"/>
        </w:rPr>
        <w:t xml:space="preserve"> </w:t>
      </w:r>
      <w:r>
        <w:t>property</w:t>
      </w:r>
      <w:r>
        <w:rPr>
          <w:spacing w:val="-2"/>
        </w:rPr>
        <w:t xml:space="preserve"> </w:t>
      </w:r>
      <w:r>
        <w:t>rights,</w:t>
      </w:r>
      <w:r>
        <w:rPr>
          <w:spacing w:val="-2"/>
        </w:rPr>
        <w:t xml:space="preserve"> </w:t>
      </w:r>
      <w:r>
        <w:t>which</w:t>
      </w:r>
      <w:r>
        <w:rPr>
          <w:spacing w:val="-2"/>
        </w:rPr>
        <w:t xml:space="preserve"> </w:t>
      </w:r>
      <w:r>
        <w:t>could</w:t>
      </w:r>
      <w:r>
        <w:rPr>
          <w:spacing w:val="-2"/>
        </w:rPr>
        <w:t xml:space="preserve"> </w:t>
      </w:r>
      <w:r>
        <w:t>result</w:t>
      </w:r>
      <w:r>
        <w:rPr>
          <w:spacing w:val="-2"/>
        </w:rPr>
        <w:t xml:space="preserve"> </w:t>
      </w:r>
      <w:r>
        <w:t>in</w:t>
      </w:r>
      <w:r>
        <w:rPr>
          <w:spacing w:val="-2"/>
        </w:rPr>
        <w:t xml:space="preserve"> </w:t>
      </w:r>
      <w:r>
        <w:t>costly</w:t>
      </w:r>
      <w:r>
        <w:rPr>
          <w:spacing w:val="-2"/>
        </w:rPr>
        <w:t xml:space="preserve"> </w:t>
      </w:r>
      <w:r>
        <w:t>and</w:t>
      </w:r>
      <w:r>
        <w:rPr>
          <w:spacing w:val="-2"/>
        </w:rPr>
        <w:t xml:space="preserve"> </w:t>
      </w:r>
      <w:r>
        <w:t>time-consuming</w:t>
      </w:r>
      <w:r>
        <w:rPr>
          <w:spacing w:val="-2"/>
        </w:rPr>
        <w:t xml:space="preserve"> </w:t>
      </w:r>
      <w:r>
        <w:t>disputes,</w:t>
      </w:r>
      <w:r>
        <w:rPr>
          <w:spacing w:val="-2"/>
        </w:rPr>
        <w:t xml:space="preserve"> </w:t>
      </w:r>
      <w:r>
        <w:t>subject us to damages and injunctions and adversely affect our ability to compete and perform on contracts.</w:t>
      </w:r>
    </w:p>
    <w:p w14:paraId="058825E9" w14:textId="77777777" w:rsidR="00AE2255" w:rsidRDefault="00AE2255">
      <w:pPr>
        <w:spacing w:line="249" w:lineRule="auto"/>
        <w:jc w:val="both"/>
        <w:sectPr w:rsidR="00AE2255">
          <w:pgSz w:w="12240" w:h="15840"/>
          <w:pgMar w:top="440" w:right="560" w:bottom="720" w:left="380" w:header="230" w:footer="531" w:gutter="0"/>
          <w:cols w:space="720"/>
        </w:sectPr>
      </w:pPr>
    </w:p>
    <w:p w14:paraId="532316B0" w14:textId="77777777" w:rsidR="00AE2255" w:rsidRDefault="00AE2255">
      <w:pPr>
        <w:pStyle w:val="BodyText"/>
        <w:spacing w:before="7"/>
        <w:rPr>
          <w:sz w:val="22"/>
        </w:rPr>
      </w:pPr>
    </w:p>
    <w:p w14:paraId="042A3CE0" w14:textId="77777777" w:rsidR="00AE2255" w:rsidRDefault="00000000">
      <w:pPr>
        <w:pStyle w:val="Heading3"/>
        <w:spacing w:before="92"/>
        <w:jc w:val="both"/>
      </w:pPr>
      <w:r>
        <w:t>Our</w:t>
      </w:r>
      <w:r>
        <w:rPr>
          <w:spacing w:val="-7"/>
        </w:rPr>
        <w:t xml:space="preserve"> </w:t>
      </w:r>
      <w:r>
        <w:t>business</w:t>
      </w:r>
      <w:r>
        <w:rPr>
          <w:spacing w:val="-5"/>
        </w:rPr>
        <w:t xml:space="preserve"> </w:t>
      </w:r>
      <w:r>
        <w:t>and</w:t>
      </w:r>
      <w:r>
        <w:rPr>
          <w:spacing w:val="-4"/>
        </w:rPr>
        <w:t xml:space="preserve"> </w:t>
      </w:r>
      <w:r>
        <w:t>financial</w:t>
      </w:r>
      <w:r>
        <w:rPr>
          <w:spacing w:val="-4"/>
        </w:rPr>
        <w:t xml:space="preserve"> </w:t>
      </w:r>
      <w:r>
        <w:t>performance</w:t>
      </w:r>
      <w:r>
        <w:rPr>
          <w:spacing w:val="-5"/>
        </w:rPr>
        <w:t xml:space="preserve"> </w:t>
      </w:r>
      <w:r>
        <w:t>depends</w:t>
      </w:r>
      <w:r>
        <w:rPr>
          <w:spacing w:val="-5"/>
        </w:rPr>
        <w:t xml:space="preserve"> </w:t>
      </w:r>
      <w:r>
        <w:t>on</w:t>
      </w:r>
      <w:r>
        <w:rPr>
          <w:spacing w:val="-4"/>
        </w:rPr>
        <w:t xml:space="preserve"> </w:t>
      </w:r>
      <w:r>
        <w:t>us</w:t>
      </w:r>
      <w:r>
        <w:rPr>
          <w:spacing w:val="-5"/>
        </w:rPr>
        <w:t xml:space="preserve"> </w:t>
      </w:r>
      <w:r>
        <w:t>identifying,</w:t>
      </w:r>
      <w:r>
        <w:rPr>
          <w:spacing w:val="-4"/>
        </w:rPr>
        <w:t xml:space="preserve"> </w:t>
      </w:r>
      <w:proofErr w:type="gramStart"/>
      <w:r>
        <w:t>attracting</w:t>
      </w:r>
      <w:proofErr w:type="gramEnd"/>
      <w:r>
        <w:rPr>
          <w:spacing w:val="-4"/>
        </w:rPr>
        <w:t xml:space="preserve"> </w:t>
      </w:r>
      <w:r>
        <w:t>and</w:t>
      </w:r>
      <w:r>
        <w:rPr>
          <w:spacing w:val="-3"/>
        </w:rPr>
        <w:t xml:space="preserve"> </w:t>
      </w:r>
      <w:r>
        <w:t>retaining</w:t>
      </w:r>
      <w:r>
        <w:rPr>
          <w:spacing w:val="-4"/>
        </w:rPr>
        <w:t xml:space="preserve"> </w:t>
      </w:r>
      <w:r>
        <w:t>a</w:t>
      </w:r>
      <w:r>
        <w:rPr>
          <w:spacing w:val="-4"/>
        </w:rPr>
        <w:t xml:space="preserve"> </w:t>
      </w:r>
      <w:r>
        <w:t>highly</w:t>
      </w:r>
      <w:r>
        <w:rPr>
          <w:spacing w:val="-5"/>
        </w:rPr>
        <w:t xml:space="preserve"> </w:t>
      </w:r>
      <w:r>
        <w:t>skilled</w:t>
      </w:r>
      <w:r>
        <w:rPr>
          <w:spacing w:val="-3"/>
        </w:rPr>
        <w:t xml:space="preserve"> </w:t>
      </w:r>
      <w:r>
        <w:rPr>
          <w:spacing w:val="-2"/>
        </w:rPr>
        <w:t>workforce.</w:t>
      </w:r>
    </w:p>
    <w:p w14:paraId="636E162B" w14:textId="77777777" w:rsidR="00AE2255" w:rsidRDefault="00AE2255">
      <w:pPr>
        <w:pStyle w:val="BodyText"/>
        <w:spacing w:before="6"/>
        <w:rPr>
          <w:b/>
          <w:i/>
          <w:sz w:val="18"/>
        </w:rPr>
      </w:pPr>
    </w:p>
    <w:p w14:paraId="115563B0" w14:textId="77777777" w:rsidR="00AE2255" w:rsidRDefault="00000000">
      <w:pPr>
        <w:pStyle w:val="BodyText"/>
        <w:spacing w:line="249" w:lineRule="auto"/>
        <w:ind w:left="610" w:right="427" w:firstLine="360"/>
        <w:jc w:val="both"/>
      </w:pPr>
      <w:r>
        <w:t xml:space="preserve">Our performance is dependent upon us identifying, attracting, developing, motivating and retaining a highly skilled workforce with the requisite skills in multiple areas </w:t>
      </w:r>
      <w:proofErr w:type="gramStart"/>
      <w:r>
        <w:t>including:</w:t>
      </w:r>
      <w:proofErr w:type="gramEnd"/>
      <w:r>
        <w:t xml:space="preserve"> engineering, science, manufacturing, information technology, cybersecurity, business development and strategy and management. Due to the national security nature of our work, our performance is also dependent upon personnel who hold security clearances and receive substantial training to work on certain programs or tasks and can be difficult to replace on a timely basis if we experience unplanned attrition. The market for highly skilled workers and leaders in our industry as well as the market for individuals holding high-level security clearances is extremely competitive and not confined to our industry. For example, we compete with commercial technology companies outside of the aerospace and defense industry for qualified technical, cyber and scientific positions, which may not face the same type of cost pressures as a government </w:t>
      </w:r>
      <w:proofErr w:type="gramStart"/>
      <w:r>
        <w:t>contractor</w:t>
      </w:r>
      <w:proofErr w:type="gramEnd"/>
      <w:r>
        <w:t xml:space="preserve"> and which may be able to offer more flexible work arrangements given that certain of our employees must perform the majority of their work in a secure facility because of the need to access</w:t>
      </w:r>
      <w:r>
        <w:rPr>
          <w:spacing w:val="40"/>
        </w:rPr>
        <w:t xml:space="preserve"> </w:t>
      </w:r>
      <w:r>
        <w:t xml:space="preserve">classified information. If we cannot adequately attract and retain personnel with the requisite skills or clearances in this competitive market, our performance and </w:t>
      </w:r>
      <w:proofErr w:type="gramStart"/>
      <w:r>
        <w:t>future prospects</w:t>
      </w:r>
      <w:proofErr w:type="gramEnd"/>
      <w:r>
        <w:t xml:space="preserve"> may be adversely affected.</w:t>
      </w:r>
    </w:p>
    <w:p w14:paraId="13DE1847" w14:textId="77777777" w:rsidR="00AE2255" w:rsidRDefault="00AE2255">
      <w:pPr>
        <w:pStyle w:val="BodyText"/>
        <w:spacing w:before="2"/>
        <w:rPr>
          <w:sz w:val="18"/>
        </w:rPr>
      </w:pPr>
    </w:p>
    <w:p w14:paraId="4A561E41" w14:textId="77777777" w:rsidR="00AE2255" w:rsidRDefault="00000000">
      <w:pPr>
        <w:pStyle w:val="BodyText"/>
        <w:spacing w:before="1" w:line="249" w:lineRule="auto"/>
        <w:ind w:left="610" w:right="429" w:firstLine="360"/>
        <w:jc w:val="both"/>
      </w:pPr>
      <w:r>
        <w:t xml:space="preserve">Workforce dynamics are constantly evolving. If we do not manage changing workforce dynamics effectively, it could adversely affect our culture, </w:t>
      </w:r>
      <w:proofErr w:type="gramStart"/>
      <w:r>
        <w:t>reputation</w:t>
      </w:r>
      <w:proofErr w:type="gramEnd"/>
      <w:r>
        <w:t xml:space="preserve"> and operational flexibility. Beginning with the COVID-19 pandemic, a significant portion</w:t>
      </w:r>
      <w:r>
        <w:rPr>
          <w:spacing w:val="-3"/>
        </w:rPr>
        <w:t xml:space="preserve"> </w:t>
      </w:r>
      <w:r>
        <w:t>of</w:t>
      </w:r>
      <w:r>
        <w:rPr>
          <w:spacing w:val="-3"/>
        </w:rPr>
        <w:t xml:space="preserve"> </w:t>
      </w:r>
      <w:r>
        <w:t>our</w:t>
      </w:r>
      <w:r>
        <w:rPr>
          <w:spacing w:val="-3"/>
        </w:rPr>
        <w:t xml:space="preserve"> </w:t>
      </w:r>
      <w:r>
        <w:t>workforce</w:t>
      </w:r>
      <w:r>
        <w:rPr>
          <w:spacing w:val="-3"/>
        </w:rPr>
        <w:t xml:space="preserve"> </w:t>
      </w:r>
      <w:r>
        <w:t>began</w:t>
      </w:r>
      <w:r>
        <w:rPr>
          <w:spacing w:val="-3"/>
        </w:rPr>
        <w:t xml:space="preserve"> </w:t>
      </w:r>
      <w:r>
        <w:t>working</w:t>
      </w:r>
      <w:r>
        <w:rPr>
          <w:spacing w:val="-3"/>
        </w:rPr>
        <w:t xml:space="preserve"> </w:t>
      </w:r>
      <w:r>
        <w:t>remotely</w:t>
      </w:r>
      <w:r>
        <w:rPr>
          <w:spacing w:val="-3"/>
        </w:rPr>
        <w:t xml:space="preserve"> </w:t>
      </w:r>
      <w:r>
        <w:t>and</w:t>
      </w:r>
      <w:r>
        <w:rPr>
          <w:spacing w:val="-3"/>
        </w:rPr>
        <w:t xml:space="preserve"> </w:t>
      </w:r>
      <w:r>
        <w:t>we</w:t>
      </w:r>
      <w:r>
        <w:rPr>
          <w:spacing w:val="-3"/>
        </w:rPr>
        <w:t xml:space="preserve"> </w:t>
      </w:r>
      <w:r>
        <w:t>expect</w:t>
      </w:r>
      <w:r>
        <w:rPr>
          <w:spacing w:val="-3"/>
        </w:rPr>
        <w:t xml:space="preserve"> </w:t>
      </w:r>
      <w:r>
        <w:t>a</w:t>
      </w:r>
      <w:r>
        <w:rPr>
          <w:spacing w:val="-3"/>
        </w:rPr>
        <w:t xml:space="preserve"> </w:t>
      </w:r>
      <w:r>
        <w:t>significant</w:t>
      </w:r>
      <w:r>
        <w:rPr>
          <w:spacing w:val="-3"/>
        </w:rPr>
        <w:t xml:space="preserve"> </w:t>
      </w:r>
      <w:r>
        <w:t>portion</w:t>
      </w:r>
      <w:r>
        <w:rPr>
          <w:spacing w:val="-3"/>
        </w:rPr>
        <w:t xml:space="preserve"> </w:t>
      </w:r>
      <w:r>
        <w:t>to</w:t>
      </w:r>
      <w:r>
        <w:rPr>
          <w:spacing w:val="-3"/>
        </w:rPr>
        <w:t xml:space="preserve"> </w:t>
      </w:r>
      <w:r>
        <w:t>continue</w:t>
      </w:r>
      <w:r>
        <w:rPr>
          <w:spacing w:val="-3"/>
        </w:rPr>
        <w:t xml:space="preserve"> </w:t>
      </w:r>
      <w:r>
        <w:t>working</w:t>
      </w:r>
      <w:r>
        <w:rPr>
          <w:spacing w:val="-3"/>
        </w:rPr>
        <w:t xml:space="preserve"> </w:t>
      </w:r>
      <w:r>
        <w:t>remotely</w:t>
      </w:r>
      <w:r>
        <w:rPr>
          <w:spacing w:val="-3"/>
        </w:rPr>
        <w:t xml:space="preserve"> </w:t>
      </w:r>
      <w:r>
        <w:t>greater</w:t>
      </w:r>
      <w:r>
        <w:rPr>
          <w:spacing w:val="-3"/>
        </w:rPr>
        <w:t xml:space="preserve"> </w:t>
      </w:r>
      <w:r>
        <w:t>than 50% of the time under our hybrid workforce model. If we are unable to effectively adapt to this hybrid work environment long term, then we</w:t>
      </w:r>
      <w:r>
        <w:rPr>
          <w:spacing w:val="-1"/>
        </w:rPr>
        <w:t xml:space="preserve"> </w:t>
      </w:r>
      <w:r>
        <w:t>may experience</w:t>
      </w:r>
      <w:r>
        <w:rPr>
          <w:spacing w:val="-1"/>
        </w:rPr>
        <w:t xml:space="preserve"> </w:t>
      </w:r>
      <w:r>
        <w:t>a</w:t>
      </w:r>
      <w:r>
        <w:rPr>
          <w:spacing w:val="-1"/>
        </w:rPr>
        <w:t xml:space="preserve"> </w:t>
      </w:r>
      <w:r>
        <w:t>less</w:t>
      </w:r>
      <w:r>
        <w:rPr>
          <w:spacing w:val="-1"/>
        </w:rPr>
        <w:t xml:space="preserve"> </w:t>
      </w:r>
      <w:r>
        <w:t>cohesive</w:t>
      </w:r>
      <w:r>
        <w:rPr>
          <w:spacing w:val="-1"/>
        </w:rPr>
        <w:t xml:space="preserve"> </w:t>
      </w:r>
      <w:r>
        <w:t>workforce, increased attrition, reduced program</w:t>
      </w:r>
      <w:r>
        <w:rPr>
          <w:spacing w:val="-1"/>
        </w:rPr>
        <w:t xml:space="preserve"> </w:t>
      </w:r>
      <w:r>
        <w:t>performance</w:t>
      </w:r>
      <w:r>
        <w:rPr>
          <w:spacing w:val="-1"/>
        </w:rPr>
        <w:t xml:space="preserve"> </w:t>
      </w:r>
      <w:r>
        <w:t>and less</w:t>
      </w:r>
      <w:r>
        <w:rPr>
          <w:spacing w:val="-1"/>
        </w:rPr>
        <w:t xml:space="preserve"> </w:t>
      </w:r>
      <w:r>
        <w:t>innovation.</w:t>
      </w:r>
    </w:p>
    <w:p w14:paraId="64D381DF" w14:textId="77777777" w:rsidR="00AE2255" w:rsidRDefault="00AE2255">
      <w:pPr>
        <w:pStyle w:val="BodyText"/>
        <w:spacing w:before="8"/>
        <w:rPr>
          <w:sz w:val="17"/>
        </w:rPr>
      </w:pPr>
    </w:p>
    <w:p w14:paraId="212A352F" w14:textId="77777777" w:rsidR="00AE2255" w:rsidRDefault="00000000">
      <w:pPr>
        <w:pStyle w:val="BodyText"/>
        <w:spacing w:line="249" w:lineRule="auto"/>
        <w:ind w:left="610" w:right="428" w:firstLine="360"/>
        <w:jc w:val="both"/>
      </w:pPr>
      <w:r>
        <w:t xml:space="preserve">It is also critical that we develop and train employees, hire new qualified personnel, and successfully manage the short and long-term transfer of critical knowledge and skills, including leadership development and succession planning throughout our business. While we have processes in place for management transition and the transfer of knowledge and skills, the loss of key personnel, coupled with an inability to adequately train other personnel, hire new </w:t>
      </w:r>
      <w:proofErr w:type="gramStart"/>
      <w:r>
        <w:t>personnel</w:t>
      </w:r>
      <w:proofErr w:type="gramEnd"/>
      <w:r>
        <w:t xml:space="preserve"> or transfer knowledge and skills, could significantly impact our ability to perform under our contracts and execute on new or growing programs.</w:t>
      </w:r>
    </w:p>
    <w:p w14:paraId="6B471880" w14:textId="77777777" w:rsidR="00AE2255" w:rsidRDefault="00AE2255">
      <w:pPr>
        <w:pStyle w:val="BodyText"/>
        <w:spacing w:before="9"/>
        <w:rPr>
          <w:sz w:val="17"/>
        </w:rPr>
      </w:pPr>
    </w:p>
    <w:p w14:paraId="2183CAD5" w14:textId="77777777" w:rsidR="00AE2255" w:rsidRDefault="00000000">
      <w:pPr>
        <w:pStyle w:val="BodyText"/>
        <w:spacing w:line="249" w:lineRule="auto"/>
        <w:ind w:left="610" w:right="429" w:firstLine="360"/>
        <w:jc w:val="both"/>
      </w:pPr>
      <w:r>
        <w:t>Additionally, approximately 19% of our workforce is comprised of employees that are covered by collective bargaining agreements with various unions. If we encounter difficulties with renegotiations or renewals of collective bargaining arrangements or are unsuccessful in those efforts, we could incur additional costs and experience work stoppages. Union</w:t>
      </w:r>
      <w:r>
        <w:rPr>
          <w:spacing w:val="40"/>
        </w:rPr>
        <w:t xml:space="preserve"> </w:t>
      </w:r>
      <w:r>
        <w:t>actions at suppliers also can affect us. Any delays or work stoppages could adversely affect our ability to perform under our contracts, which could negatively impact our results of operations, cash flows, and financial condition.</w:t>
      </w:r>
    </w:p>
    <w:p w14:paraId="5809093F" w14:textId="77777777" w:rsidR="00AE2255" w:rsidRDefault="00AE2255">
      <w:pPr>
        <w:pStyle w:val="BodyText"/>
        <w:spacing w:before="5"/>
        <w:rPr>
          <w:sz w:val="17"/>
        </w:rPr>
      </w:pPr>
    </w:p>
    <w:p w14:paraId="6DB494BE" w14:textId="77777777" w:rsidR="00AE2255" w:rsidRDefault="00000000">
      <w:pPr>
        <w:pStyle w:val="Heading3"/>
        <w:spacing w:line="249" w:lineRule="auto"/>
        <w:ind w:right="428"/>
        <w:jc w:val="both"/>
      </w:pPr>
      <w:r>
        <w:t xml:space="preserve">Our efforts to minimize the likelihood and impact of adverse cybersecurity incidents and to protect data and intellectual property may not be successful and our business could be negatively affected by cyber or other security threats or other </w:t>
      </w:r>
      <w:r>
        <w:rPr>
          <w:spacing w:val="-2"/>
        </w:rPr>
        <w:t>disruptions.</w:t>
      </w:r>
    </w:p>
    <w:p w14:paraId="43BB3B94" w14:textId="77777777" w:rsidR="00AE2255" w:rsidRDefault="00AE2255">
      <w:pPr>
        <w:pStyle w:val="BodyText"/>
        <w:spacing w:before="10"/>
        <w:rPr>
          <w:b/>
          <w:i/>
          <w:sz w:val="17"/>
        </w:rPr>
      </w:pPr>
    </w:p>
    <w:p w14:paraId="00E96EAB" w14:textId="77777777" w:rsidR="00AE2255" w:rsidRDefault="00000000">
      <w:pPr>
        <w:pStyle w:val="BodyText"/>
        <w:spacing w:line="249" w:lineRule="auto"/>
        <w:ind w:left="610" w:right="428" w:firstLine="360"/>
        <w:jc w:val="both"/>
      </w:pPr>
      <w:r>
        <w:t>Given the nature of our business, we routinely experience various cybersecurity threats to our information technology infrastructure, unauthorized attempts to gain access to our company, employee- and customer-sensitive information, insider threats and denial-of-service attacks. Our customers, including sites that we operate and manage for our customers, suppliers, subcontractors and joint venture partners, experience similar security threats.</w:t>
      </w:r>
    </w:p>
    <w:p w14:paraId="164737B1" w14:textId="77777777" w:rsidR="00AE2255" w:rsidRDefault="00AE2255">
      <w:pPr>
        <w:pStyle w:val="BodyText"/>
        <w:spacing w:before="8"/>
        <w:rPr>
          <w:sz w:val="17"/>
        </w:rPr>
      </w:pPr>
    </w:p>
    <w:p w14:paraId="4530432A" w14:textId="77777777" w:rsidR="00AE2255" w:rsidRDefault="00000000">
      <w:pPr>
        <w:pStyle w:val="BodyText"/>
        <w:spacing w:line="249" w:lineRule="auto"/>
        <w:ind w:left="610" w:right="429" w:firstLine="360"/>
        <w:jc w:val="both"/>
      </w:pPr>
      <w:r>
        <w:t>In addition to cyber threats, we face threats to the security of our facilities and employees and threats from terrorist acts, which could materially disrupt our business if carried out. We could also be impacted by the improper conduct of our</w:t>
      </w:r>
      <w:r>
        <w:rPr>
          <w:spacing w:val="40"/>
        </w:rPr>
        <w:t xml:space="preserve"> </w:t>
      </w:r>
      <w:r>
        <w:t>employees or others working on behalf of us who have access to export controlled or classified information, which could adversely affect our business and reputation.</w:t>
      </w:r>
    </w:p>
    <w:p w14:paraId="678D7AA2" w14:textId="77777777" w:rsidR="00AE2255" w:rsidRDefault="00AE2255">
      <w:pPr>
        <w:pStyle w:val="BodyText"/>
        <w:spacing w:before="8"/>
        <w:rPr>
          <w:sz w:val="17"/>
        </w:rPr>
      </w:pPr>
    </w:p>
    <w:p w14:paraId="39A68F3D" w14:textId="77777777" w:rsidR="00AE2255" w:rsidRDefault="00000000">
      <w:pPr>
        <w:pStyle w:val="BodyText"/>
        <w:spacing w:line="249" w:lineRule="auto"/>
        <w:ind w:left="610" w:right="428" w:firstLine="360"/>
        <w:jc w:val="both"/>
      </w:pPr>
      <w:r>
        <w:t>The threats we face vary from attacks common to most industries, such as ransomware, to more advanced and persistent, highly organized adversaries, including nation state actors, which target us and other defense contractors and other companies</w:t>
      </w:r>
      <w:r>
        <w:rPr>
          <w:spacing w:val="40"/>
        </w:rPr>
        <w:t xml:space="preserve"> </w:t>
      </w:r>
      <w:r>
        <w:t xml:space="preserve">in industries that are part of U.S. critical infrastructure. These threats can cause disruptions to our business operations. If we are unable to protect sensitive information, including complying with evolving information security and data protection/privacy regulations, our customers or governmental authorities could question the adequacy of our threat mitigation and detection processes and procedures. Moreover, depending on the severity of an incident, our customers’ data, our employees’ data, our intellectual property (including trade secrets and research, </w:t>
      </w:r>
      <w:proofErr w:type="gramStart"/>
      <w:r>
        <w:t>development</w:t>
      </w:r>
      <w:proofErr w:type="gramEnd"/>
      <w:r>
        <w:t xml:space="preserve"> and engineering know-how), and other third-party data (such as subcontractors, suppliers and vendors) could be compromised. Products and services we provide to customers also carry cybersecurity risks, including risks that they could be breached or fail to detect, </w:t>
      </w:r>
      <w:proofErr w:type="gramStart"/>
      <w:r>
        <w:t>prevent</w:t>
      </w:r>
      <w:proofErr w:type="gramEnd"/>
      <w:r>
        <w:t xml:space="preserve"> or combat attacks, which could result in losses to our customers and claims against us, and could harm our relationships with our customers and financial </w:t>
      </w:r>
      <w:r>
        <w:rPr>
          <w:spacing w:val="-2"/>
        </w:rPr>
        <w:t>results.</w:t>
      </w:r>
    </w:p>
    <w:p w14:paraId="45D1F0B3" w14:textId="77777777" w:rsidR="00AE2255" w:rsidRDefault="00AE2255">
      <w:pPr>
        <w:spacing w:line="249" w:lineRule="auto"/>
        <w:jc w:val="both"/>
        <w:sectPr w:rsidR="00AE2255">
          <w:pgSz w:w="12240" w:h="15840"/>
          <w:pgMar w:top="440" w:right="560" w:bottom="720" w:left="380" w:header="230" w:footer="531" w:gutter="0"/>
          <w:cols w:space="720"/>
        </w:sectPr>
      </w:pPr>
    </w:p>
    <w:p w14:paraId="220BDF31" w14:textId="77777777" w:rsidR="00AE2255" w:rsidRDefault="00AE2255">
      <w:pPr>
        <w:pStyle w:val="BodyText"/>
        <w:spacing w:before="10"/>
        <w:rPr>
          <w:sz w:val="22"/>
        </w:rPr>
      </w:pPr>
    </w:p>
    <w:p w14:paraId="3C7E1E50" w14:textId="77777777" w:rsidR="00AE2255" w:rsidRDefault="00000000">
      <w:pPr>
        <w:pStyle w:val="BodyText"/>
        <w:spacing w:before="97" w:line="232" w:lineRule="auto"/>
        <w:ind w:left="610" w:right="427" w:firstLine="360"/>
        <w:jc w:val="both"/>
      </w:pPr>
      <w:r>
        <w:t>We have an extensive global security organization whose mission is to protect our systems and data, including a Computer Incident</w:t>
      </w:r>
      <w:r>
        <w:rPr>
          <w:spacing w:val="-1"/>
        </w:rPr>
        <w:t xml:space="preserve"> </w:t>
      </w:r>
      <w:r>
        <w:t>Response</w:t>
      </w:r>
      <w:r>
        <w:rPr>
          <w:spacing w:val="-1"/>
        </w:rPr>
        <w:t xml:space="preserve"> </w:t>
      </w:r>
      <w:r>
        <w:t>Team</w:t>
      </w:r>
      <w:r>
        <w:rPr>
          <w:spacing w:val="-1"/>
        </w:rPr>
        <w:t xml:space="preserve"> </w:t>
      </w:r>
      <w:r>
        <w:t>(CIRT)</w:t>
      </w:r>
      <w:r>
        <w:rPr>
          <w:spacing w:val="-1"/>
        </w:rPr>
        <w:t xml:space="preserve"> </w:t>
      </w:r>
      <w:r>
        <w:t>to</w:t>
      </w:r>
      <w:r>
        <w:rPr>
          <w:spacing w:val="-1"/>
        </w:rPr>
        <w:t xml:space="preserve"> </w:t>
      </w:r>
      <w:r>
        <w:t>defend</w:t>
      </w:r>
      <w:r>
        <w:rPr>
          <w:spacing w:val="-1"/>
        </w:rPr>
        <w:t xml:space="preserve"> </w:t>
      </w:r>
      <w:r>
        <w:t>against</w:t>
      </w:r>
      <w:r>
        <w:rPr>
          <w:spacing w:val="-1"/>
        </w:rPr>
        <w:t xml:space="preserve"> </w:t>
      </w:r>
      <w:proofErr w:type="spellStart"/>
      <w:r>
        <w:t>cyber</w:t>
      </w:r>
      <w:r>
        <w:rPr>
          <w:spacing w:val="-1"/>
        </w:rPr>
        <w:t xml:space="preserve"> </w:t>
      </w:r>
      <w:r>
        <w:t>attacks</w:t>
      </w:r>
      <w:proofErr w:type="spellEnd"/>
      <w:r>
        <w:t>,</w:t>
      </w:r>
      <w:r>
        <w:rPr>
          <w:spacing w:val="-1"/>
        </w:rPr>
        <w:t xml:space="preserve"> </w:t>
      </w:r>
      <w:r>
        <w:t>and</w:t>
      </w:r>
      <w:r>
        <w:rPr>
          <w:spacing w:val="-1"/>
        </w:rPr>
        <w:t xml:space="preserve"> </w:t>
      </w:r>
      <w:r>
        <w:t>conduct</w:t>
      </w:r>
      <w:r>
        <w:rPr>
          <w:spacing w:val="-1"/>
        </w:rPr>
        <w:t xml:space="preserve"> </w:t>
      </w:r>
      <w:r>
        <w:t>annual</w:t>
      </w:r>
      <w:r>
        <w:rPr>
          <w:spacing w:val="-1"/>
        </w:rPr>
        <w:t xml:space="preserve"> </w:t>
      </w:r>
      <w:r>
        <w:t>training</w:t>
      </w:r>
      <w:r>
        <w:rPr>
          <w:spacing w:val="-1"/>
        </w:rPr>
        <w:t xml:space="preserve"> </w:t>
      </w:r>
      <w:r>
        <w:t>of</w:t>
      </w:r>
      <w:r>
        <w:rPr>
          <w:spacing w:val="-1"/>
        </w:rPr>
        <w:t xml:space="preserve"> </w:t>
      </w:r>
      <w:r>
        <w:t>our</w:t>
      </w:r>
      <w:r>
        <w:rPr>
          <w:spacing w:val="-1"/>
        </w:rPr>
        <w:t xml:space="preserve"> </w:t>
      </w:r>
      <w:r>
        <w:t>employees</w:t>
      </w:r>
      <w:r>
        <w:rPr>
          <w:spacing w:val="-1"/>
        </w:rPr>
        <w:t xml:space="preserve"> </w:t>
      </w:r>
      <w:r>
        <w:t>on</w:t>
      </w:r>
      <w:r>
        <w:rPr>
          <w:spacing w:val="-1"/>
        </w:rPr>
        <w:t xml:space="preserve"> </w:t>
      </w:r>
      <w:r>
        <w:t>protection</w:t>
      </w:r>
      <w:r>
        <w:rPr>
          <w:spacing w:val="-1"/>
        </w:rPr>
        <w:t xml:space="preserve"> </w:t>
      </w:r>
      <w:r>
        <w:t xml:space="preserve">of sensitive information. We also have a corporate-wide counterintelligence and insider threat detection program to proactively identify external and internal </w:t>
      </w:r>
      <w:proofErr w:type="gramStart"/>
      <w:r>
        <w:t>threats, and</w:t>
      </w:r>
      <w:proofErr w:type="gramEnd"/>
      <w:r>
        <w:t xml:space="preserve"> mitigate those threats in a timely manner. Additionally, we partner with our defense industrial base peers, government agencies and cyber associations to share intelligence to further defend against </w:t>
      </w:r>
      <w:proofErr w:type="spellStart"/>
      <w:r>
        <w:t>cyber attacks</w:t>
      </w:r>
      <w:proofErr w:type="spellEnd"/>
      <w:r>
        <w:t>. However,</w:t>
      </w:r>
      <w:r>
        <w:rPr>
          <w:spacing w:val="-2"/>
        </w:rPr>
        <w:t xml:space="preserve"> </w:t>
      </w:r>
      <w:r>
        <w:t>because</w:t>
      </w:r>
      <w:r>
        <w:rPr>
          <w:spacing w:val="-2"/>
        </w:rPr>
        <w:t xml:space="preserve"> </w:t>
      </w:r>
      <w:r>
        <w:t>of</w:t>
      </w:r>
      <w:r>
        <w:rPr>
          <w:spacing w:val="-2"/>
        </w:rPr>
        <w:t xml:space="preserve"> </w:t>
      </w:r>
      <w:r>
        <w:t>the</w:t>
      </w:r>
      <w:r>
        <w:rPr>
          <w:spacing w:val="-2"/>
        </w:rPr>
        <w:t xml:space="preserve"> </w:t>
      </w:r>
      <w:r>
        <w:t>persistence,</w:t>
      </w:r>
      <w:r>
        <w:rPr>
          <w:spacing w:val="-2"/>
        </w:rPr>
        <w:t xml:space="preserve"> </w:t>
      </w:r>
      <w:proofErr w:type="gramStart"/>
      <w:r>
        <w:t>sophistication</w:t>
      </w:r>
      <w:proofErr w:type="gramEnd"/>
      <w:r>
        <w:rPr>
          <w:spacing w:val="-2"/>
        </w:rPr>
        <w:t xml:space="preserve"> </w:t>
      </w:r>
      <w:r>
        <w:t>and</w:t>
      </w:r>
      <w:r>
        <w:rPr>
          <w:spacing w:val="-2"/>
        </w:rPr>
        <w:t xml:space="preserve"> </w:t>
      </w:r>
      <w:r>
        <w:t>volume</w:t>
      </w:r>
      <w:r>
        <w:rPr>
          <w:spacing w:val="-2"/>
        </w:rPr>
        <w:t xml:space="preserve"> </w:t>
      </w:r>
      <w:r>
        <w:t>of</w:t>
      </w:r>
      <w:r>
        <w:rPr>
          <w:spacing w:val="-2"/>
        </w:rPr>
        <w:t xml:space="preserve"> </w:t>
      </w:r>
      <w:proofErr w:type="spellStart"/>
      <w:r>
        <w:t>cyber</w:t>
      </w:r>
      <w:r>
        <w:rPr>
          <w:spacing w:val="-2"/>
        </w:rPr>
        <w:t xml:space="preserve"> </w:t>
      </w:r>
      <w:r>
        <w:t>attacks</w:t>
      </w:r>
      <w:proofErr w:type="spellEnd"/>
      <w:r>
        <w:t>,</w:t>
      </w:r>
      <w:r>
        <w:rPr>
          <w:spacing w:val="-2"/>
        </w:rPr>
        <w:t xml:space="preserve"> </w:t>
      </w:r>
      <w:r>
        <w:t>we</w:t>
      </w:r>
      <w:r>
        <w:rPr>
          <w:spacing w:val="-2"/>
        </w:rPr>
        <w:t xml:space="preserve"> </w:t>
      </w:r>
      <w:r>
        <w:t>may</w:t>
      </w:r>
      <w:r>
        <w:rPr>
          <w:spacing w:val="-2"/>
        </w:rPr>
        <w:t xml:space="preserve"> </w:t>
      </w:r>
      <w:r>
        <w:t>not</w:t>
      </w:r>
      <w:r>
        <w:rPr>
          <w:spacing w:val="-2"/>
        </w:rPr>
        <w:t xml:space="preserve"> </w:t>
      </w:r>
      <w:r>
        <w:t>be</w:t>
      </w:r>
      <w:r>
        <w:rPr>
          <w:spacing w:val="-2"/>
        </w:rPr>
        <w:t xml:space="preserve"> </w:t>
      </w:r>
      <w:r>
        <w:t>successful</w:t>
      </w:r>
      <w:r>
        <w:rPr>
          <w:spacing w:val="-2"/>
        </w:rPr>
        <w:t xml:space="preserve"> </w:t>
      </w:r>
      <w:r>
        <w:t>in</w:t>
      </w:r>
      <w:r>
        <w:rPr>
          <w:spacing w:val="-2"/>
        </w:rPr>
        <w:t xml:space="preserve"> </w:t>
      </w:r>
      <w:r>
        <w:t>defending</w:t>
      </w:r>
      <w:r>
        <w:rPr>
          <w:spacing w:val="-2"/>
        </w:rPr>
        <w:t xml:space="preserve"> </w:t>
      </w:r>
      <w:r>
        <w:t>against an attack that</w:t>
      </w:r>
      <w:r>
        <w:rPr>
          <w:spacing w:val="-1"/>
        </w:rPr>
        <w:t xml:space="preserve"> </w:t>
      </w:r>
      <w:r>
        <w:t>could have</w:t>
      </w:r>
      <w:r>
        <w:rPr>
          <w:spacing w:val="-1"/>
        </w:rPr>
        <w:t xml:space="preserve"> </w:t>
      </w:r>
      <w:r>
        <w:t>a</w:t>
      </w:r>
      <w:r>
        <w:rPr>
          <w:spacing w:val="-1"/>
        </w:rPr>
        <w:t xml:space="preserve"> </w:t>
      </w:r>
      <w:r>
        <w:t>material</w:t>
      </w:r>
      <w:r>
        <w:rPr>
          <w:spacing w:val="-1"/>
        </w:rPr>
        <w:t xml:space="preserve"> </w:t>
      </w:r>
      <w:r>
        <w:t>adverse</w:t>
      </w:r>
      <w:r>
        <w:rPr>
          <w:spacing w:val="-1"/>
        </w:rPr>
        <w:t xml:space="preserve"> </w:t>
      </w:r>
      <w:r>
        <w:t>effect</w:t>
      </w:r>
      <w:r>
        <w:rPr>
          <w:spacing w:val="-1"/>
        </w:rPr>
        <w:t xml:space="preserve"> </w:t>
      </w:r>
      <w:r>
        <w:t>on us</w:t>
      </w:r>
      <w:r>
        <w:rPr>
          <w:spacing w:val="-1"/>
        </w:rPr>
        <w:t xml:space="preserve"> </w:t>
      </w:r>
      <w:r>
        <w:t>and due</w:t>
      </w:r>
      <w:r>
        <w:rPr>
          <w:spacing w:val="-1"/>
        </w:rPr>
        <w:t xml:space="preserve"> </w:t>
      </w:r>
      <w:r>
        <w:t>to the</w:t>
      </w:r>
      <w:r>
        <w:rPr>
          <w:spacing w:val="-1"/>
        </w:rPr>
        <w:t xml:space="preserve"> </w:t>
      </w:r>
      <w:r>
        <w:t>evolving nature</w:t>
      </w:r>
      <w:r>
        <w:rPr>
          <w:spacing w:val="-1"/>
        </w:rPr>
        <w:t xml:space="preserve"> </w:t>
      </w:r>
      <w:r>
        <w:t>of these</w:t>
      </w:r>
      <w:r>
        <w:rPr>
          <w:spacing w:val="-1"/>
        </w:rPr>
        <w:t xml:space="preserve"> </w:t>
      </w:r>
      <w:r>
        <w:t>security threats</w:t>
      </w:r>
      <w:r>
        <w:rPr>
          <w:spacing w:val="-1"/>
        </w:rPr>
        <w:t xml:space="preserve"> </w:t>
      </w:r>
      <w:r>
        <w:t>and the</w:t>
      </w:r>
      <w:r>
        <w:rPr>
          <w:spacing w:val="-1"/>
        </w:rPr>
        <w:t xml:space="preserve"> </w:t>
      </w:r>
      <w:r>
        <w:t>national security aspects of much of the data we protect, the impact of any future incident cannot be predicted. National security considerations may also preclude us from publicly disclosing a cybersecurity incident.</w:t>
      </w:r>
    </w:p>
    <w:p w14:paraId="4D5DAFCA" w14:textId="77777777" w:rsidR="00AE2255" w:rsidRDefault="00AE2255">
      <w:pPr>
        <w:pStyle w:val="BodyText"/>
        <w:spacing w:before="8"/>
        <w:rPr>
          <w:sz w:val="19"/>
        </w:rPr>
      </w:pPr>
    </w:p>
    <w:p w14:paraId="1E2DB239" w14:textId="77777777" w:rsidR="00AE2255" w:rsidRDefault="00000000">
      <w:pPr>
        <w:pStyle w:val="BodyText"/>
        <w:spacing w:before="1" w:line="249" w:lineRule="auto"/>
        <w:ind w:left="610" w:right="429" w:firstLine="360"/>
        <w:jc w:val="both"/>
      </w:pPr>
      <w:r>
        <w:t>We also typically work cooperatively with our customers, suppliers, subcontractors, joint venture partners and entities we acquire, who or which are subject to similar threats, to seek to minimize the impact of cyber threats, other security threats or business disruptions. These entities, which are typically outside our control and may have access to our information, have varying</w:t>
      </w:r>
      <w:r>
        <w:rPr>
          <w:spacing w:val="-2"/>
        </w:rPr>
        <w:t xml:space="preserve"> </w:t>
      </w:r>
      <w:r>
        <w:t>levels</w:t>
      </w:r>
      <w:r>
        <w:rPr>
          <w:spacing w:val="-2"/>
        </w:rPr>
        <w:t xml:space="preserve"> </w:t>
      </w:r>
      <w:r>
        <w:t>of</w:t>
      </w:r>
      <w:r>
        <w:rPr>
          <w:spacing w:val="-2"/>
        </w:rPr>
        <w:t xml:space="preserve"> </w:t>
      </w:r>
      <w:r>
        <w:t>cybersecurity</w:t>
      </w:r>
      <w:r>
        <w:rPr>
          <w:spacing w:val="-2"/>
        </w:rPr>
        <w:t xml:space="preserve"> </w:t>
      </w:r>
      <w:r>
        <w:t>expertise</w:t>
      </w:r>
      <w:r>
        <w:rPr>
          <w:spacing w:val="-2"/>
        </w:rPr>
        <w:t xml:space="preserve"> </w:t>
      </w:r>
      <w:r>
        <w:t>and</w:t>
      </w:r>
      <w:r>
        <w:rPr>
          <w:spacing w:val="-2"/>
        </w:rPr>
        <w:t xml:space="preserve"> </w:t>
      </w:r>
      <w:r>
        <w:t>safeguards,</w:t>
      </w:r>
      <w:r>
        <w:rPr>
          <w:spacing w:val="-2"/>
        </w:rPr>
        <w:t xml:space="preserve"> </w:t>
      </w:r>
      <w:r>
        <w:t>and</w:t>
      </w:r>
      <w:r>
        <w:rPr>
          <w:spacing w:val="-2"/>
        </w:rPr>
        <w:t xml:space="preserve"> </w:t>
      </w:r>
      <w:r>
        <w:t>their</w:t>
      </w:r>
      <w:r>
        <w:rPr>
          <w:spacing w:val="-2"/>
        </w:rPr>
        <w:t xml:space="preserve"> </w:t>
      </w:r>
      <w:r>
        <w:t>relationships</w:t>
      </w:r>
      <w:r>
        <w:rPr>
          <w:spacing w:val="-2"/>
        </w:rPr>
        <w:t xml:space="preserve"> </w:t>
      </w:r>
      <w:r>
        <w:t>with</w:t>
      </w:r>
      <w:r>
        <w:rPr>
          <w:spacing w:val="-2"/>
        </w:rPr>
        <w:t xml:space="preserve"> </w:t>
      </w:r>
      <w:r>
        <w:t>government</w:t>
      </w:r>
      <w:r>
        <w:rPr>
          <w:spacing w:val="-2"/>
        </w:rPr>
        <w:t xml:space="preserve"> </w:t>
      </w:r>
      <w:r>
        <w:t>contractors,</w:t>
      </w:r>
      <w:r>
        <w:rPr>
          <w:spacing w:val="-2"/>
        </w:rPr>
        <w:t xml:space="preserve"> </w:t>
      </w:r>
      <w:r>
        <w:t>including</w:t>
      </w:r>
      <w:r>
        <w:rPr>
          <w:spacing w:val="-2"/>
        </w:rPr>
        <w:t xml:space="preserve"> </w:t>
      </w:r>
      <w:r>
        <w:t>us,</w:t>
      </w:r>
      <w:r>
        <w:rPr>
          <w:spacing w:val="-2"/>
        </w:rPr>
        <w:t xml:space="preserve"> </w:t>
      </w:r>
      <w:r>
        <w:t xml:space="preserve">may increase the likelihood that they are targeted by the same cyber threats we face. We have thousands of direct suppliers and even more indirect suppliers with a wide variety of systems and cybersecurity capabilities and adversaries actively seek to exploit security and cybersecurity weaknesses in our supply chain. A breach in our multi-tiered supply chain could impact our data or customer deliverables. We must rely on this supply chain for detecting and reporting cyber incidents, which could affect our ability to report or respond to cybersecurity incidents effectively or in a timely manner. Because of the ongoing supply chain cyber security-related threats, our customers continue to seek </w:t>
      </w:r>
      <w:proofErr w:type="gramStart"/>
      <w:r>
        <w:t>that large prime contractors</w:t>
      </w:r>
      <w:proofErr w:type="gramEnd"/>
      <w:r>
        <w:t>, like us, take steps to assure the cyber capabilities of their supply chain. Consequently, cyber security events in our supply chain could have an adverse impact on our relationships with our customers.</w:t>
      </w:r>
    </w:p>
    <w:p w14:paraId="5A1B0661" w14:textId="77777777" w:rsidR="00AE2255" w:rsidRDefault="00AE2255">
      <w:pPr>
        <w:pStyle w:val="BodyText"/>
        <w:spacing w:before="2"/>
        <w:rPr>
          <w:sz w:val="18"/>
        </w:rPr>
      </w:pPr>
    </w:p>
    <w:p w14:paraId="59D090A0" w14:textId="77777777" w:rsidR="00AE2255" w:rsidRDefault="00000000">
      <w:pPr>
        <w:pStyle w:val="BodyText"/>
        <w:spacing w:line="249" w:lineRule="auto"/>
        <w:ind w:left="610" w:right="430" w:firstLine="360"/>
        <w:jc w:val="both"/>
      </w:pPr>
      <w:r>
        <w:t>The costs related to cyber or other security threats or disruptions may not be fully insured or indemnified by other means. Additionally, some cyber technologies we develop under contract for our customers, particularly those related to homeland security, may raise potential liabilities related to intellectual property and civil liberties, including privacy concerns, which may not be fully insured or indemnified by other means or involve reputational risk. Our enterprise risk management program includes threat detection and cybersecurity mitigation plans, and our disclosure controls and procedures address cybersecurity and include elements intended to ensure that there is an analysis of potential disclosure obligations arising from security breaches. We also maintain compliance programs to address the potential applicability of restrictions on trading while in possession of material, nonpublic information generally and in connection with a cybersecurity breach.</w:t>
      </w:r>
    </w:p>
    <w:p w14:paraId="31493EB7" w14:textId="77777777" w:rsidR="00AE2255" w:rsidRDefault="00AE2255">
      <w:pPr>
        <w:pStyle w:val="BodyText"/>
        <w:spacing w:before="8"/>
        <w:rPr>
          <w:sz w:val="17"/>
        </w:rPr>
      </w:pPr>
    </w:p>
    <w:p w14:paraId="61F7BE3B" w14:textId="77777777" w:rsidR="00AE2255" w:rsidRDefault="00000000">
      <w:pPr>
        <w:pStyle w:val="Heading3"/>
        <w:spacing w:line="249" w:lineRule="auto"/>
        <w:ind w:right="428"/>
        <w:jc w:val="both"/>
      </w:pPr>
      <w:r>
        <w:t xml:space="preserve">If we fail to successfully complete or manage acquisitions, divestitures, equity investments and other transactions or if acquired entities or equity investments fail to perform as expected, our financial results, business and </w:t>
      </w:r>
      <w:proofErr w:type="gramStart"/>
      <w:r>
        <w:t>future prospects</w:t>
      </w:r>
      <w:proofErr w:type="gramEnd"/>
      <w:r>
        <w:t xml:space="preserve"> could be harmed.</w:t>
      </w:r>
    </w:p>
    <w:p w14:paraId="7849CFC5" w14:textId="77777777" w:rsidR="00AE2255" w:rsidRDefault="00AE2255">
      <w:pPr>
        <w:pStyle w:val="BodyText"/>
        <w:spacing w:before="10"/>
        <w:rPr>
          <w:b/>
          <w:i/>
          <w:sz w:val="17"/>
        </w:rPr>
      </w:pPr>
    </w:p>
    <w:p w14:paraId="42B4BFD0" w14:textId="77777777" w:rsidR="00AE2255" w:rsidRDefault="00000000">
      <w:pPr>
        <w:pStyle w:val="BodyText"/>
        <w:spacing w:line="249" w:lineRule="auto"/>
        <w:ind w:left="610" w:right="429" w:firstLine="360"/>
        <w:jc w:val="both"/>
      </w:pPr>
      <w:r>
        <w:t>In pursuing our business strategy, we routinely conduct discussions, evaluate companies, and enter into agreements regarding</w:t>
      </w:r>
      <w:r>
        <w:rPr>
          <w:spacing w:val="-1"/>
        </w:rPr>
        <w:t xml:space="preserve"> </w:t>
      </w:r>
      <w:r>
        <w:t>possible</w:t>
      </w:r>
      <w:r>
        <w:rPr>
          <w:spacing w:val="-1"/>
        </w:rPr>
        <w:t xml:space="preserve"> </w:t>
      </w:r>
      <w:r>
        <w:t>acquisitions,</w:t>
      </w:r>
      <w:r>
        <w:rPr>
          <w:spacing w:val="-1"/>
        </w:rPr>
        <w:t xml:space="preserve"> </w:t>
      </w:r>
      <w:r>
        <w:t>joint</w:t>
      </w:r>
      <w:r>
        <w:rPr>
          <w:spacing w:val="-1"/>
        </w:rPr>
        <w:t xml:space="preserve"> </w:t>
      </w:r>
      <w:r>
        <w:t>ventures,</w:t>
      </w:r>
      <w:r>
        <w:rPr>
          <w:spacing w:val="-1"/>
        </w:rPr>
        <w:t xml:space="preserve"> </w:t>
      </w:r>
      <w:r>
        <w:t>other</w:t>
      </w:r>
      <w:r>
        <w:rPr>
          <w:spacing w:val="-1"/>
        </w:rPr>
        <w:t xml:space="preserve"> </w:t>
      </w:r>
      <w:proofErr w:type="gramStart"/>
      <w:r>
        <w:t>investments</w:t>
      </w:r>
      <w:proofErr w:type="gramEnd"/>
      <w:r>
        <w:rPr>
          <w:spacing w:val="-1"/>
        </w:rPr>
        <w:t xml:space="preserve"> </w:t>
      </w:r>
      <w:r>
        <w:t>and</w:t>
      </w:r>
      <w:r>
        <w:rPr>
          <w:spacing w:val="-1"/>
        </w:rPr>
        <w:t xml:space="preserve"> </w:t>
      </w:r>
      <w:r>
        <w:t>divestitures.</w:t>
      </w:r>
      <w:r>
        <w:rPr>
          <w:spacing w:val="-1"/>
        </w:rPr>
        <w:t xml:space="preserve"> </w:t>
      </w:r>
      <w:r>
        <w:t>We</w:t>
      </w:r>
      <w:r>
        <w:rPr>
          <w:spacing w:val="-1"/>
        </w:rPr>
        <w:t xml:space="preserve"> </w:t>
      </w:r>
      <w:r>
        <w:t>seek</w:t>
      </w:r>
      <w:r>
        <w:rPr>
          <w:spacing w:val="-1"/>
        </w:rPr>
        <w:t xml:space="preserve"> </w:t>
      </w:r>
      <w:r>
        <w:t>to</w:t>
      </w:r>
      <w:r>
        <w:rPr>
          <w:spacing w:val="-1"/>
        </w:rPr>
        <w:t xml:space="preserve"> </w:t>
      </w:r>
      <w:r>
        <w:t>identify</w:t>
      </w:r>
      <w:r>
        <w:rPr>
          <w:spacing w:val="-1"/>
        </w:rPr>
        <w:t xml:space="preserve"> </w:t>
      </w:r>
      <w:r>
        <w:t>acquisition</w:t>
      </w:r>
      <w:r>
        <w:rPr>
          <w:spacing w:val="-1"/>
        </w:rPr>
        <w:t xml:space="preserve"> </w:t>
      </w:r>
      <w:r>
        <w:t>or</w:t>
      </w:r>
      <w:r>
        <w:rPr>
          <w:spacing w:val="-1"/>
        </w:rPr>
        <w:t xml:space="preserve"> </w:t>
      </w:r>
      <w:r>
        <w:t>investment opportunities that will expand or complement our existing products and services or customer base, at reasonable valuations. To be successful, we must conduct due diligence to identify valuation issues and potential loss contingencies or underlying risks, some of which are difficult to discover or assess prior to consummation of an acquisition or investment; negotiate transaction terms;</w:t>
      </w:r>
      <w:r>
        <w:rPr>
          <w:spacing w:val="-2"/>
        </w:rPr>
        <w:t xml:space="preserve"> </w:t>
      </w:r>
      <w:r>
        <w:t>complete</w:t>
      </w:r>
      <w:r>
        <w:rPr>
          <w:spacing w:val="-2"/>
        </w:rPr>
        <w:t xml:space="preserve"> </w:t>
      </w:r>
      <w:r>
        <w:t>and</w:t>
      </w:r>
      <w:r>
        <w:rPr>
          <w:spacing w:val="-1"/>
        </w:rPr>
        <w:t xml:space="preserve"> </w:t>
      </w:r>
      <w:r>
        <w:t>close</w:t>
      </w:r>
      <w:r>
        <w:rPr>
          <w:spacing w:val="-2"/>
        </w:rPr>
        <w:t xml:space="preserve"> </w:t>
      </w:r>
      <w:r>
        <w:t>complex</w:t>
      </w:r>
      <w:r>
        <w:rPr>
          <w:spacing w:val="-1"/>
        </w:rPr>
        <w:t xml:space="preserve"> </w:t>
      </w:r>
      <w:r>
        <w:t>transactions;</w:t>
      </w:r>
      <w:r>
        <w:rPr>
          <w:spacing w:val="-2"/>
        </w:rPr>
        <w:t xml:space="preserve"> </w:t>
      </w:r>
      <w:r>
        <w:t>integrate</w:t>
      </w:r>
      <w:r>
        <w:rPr>
          <w:spacing w:val="-2"/>
        </w:rPr>
        <w:t xml:space="preserve"> </w:t>
      </w:r>
      <w:r>
        <w:t>acquired</w:t>
      </w:r>
      <w:r>
        <w:rPr>
          <w:spacing w:val="-1"/>
        </w:rPr>
        <w:t xml:space="preserve"> </w:t>
      </w:r>
      <w:r>
        <w:t>companies</w:t>
      </w:r>
      <w:r>
        <w:rPr>
          <w:spacing w:val="-2"/>
        </w:rPr>
        <w:t xml:space="preserve"> </w:t>
      </w:r>
      <w:r>
        <w:t>and</w:t>
      </w:r>
      <w:r>
        <w:rPr>
          <w:spacing w:val="-1"/>
        </w:rPr>
        <w:t xml:space="preserve"> </w:t>
      </w:r>
      <w:r>
        <w:t>employees;</w:t>
      </w:r>
      <w:r>
        <w:rPr>
          <w:spacing w:val="-2"/>
        </w:rPr>
        <w:t xml:space="preserve"> </w:t>
      </w:r>
      <w:r>
        <w:t>and</w:t>
      </w:r>
      <w:r>
        <w:rPr>
          <w:spacing w:val="-1"/>
        </w:rPr>
        <w:t xml:space="preserve"> </w:t>
      </w:r>
      <w:r>
        <w:t>realize</w:t>
      </w:r>
      <w:r>
        <w:rPr>
          <w:spacing w:val="-2"/>
        </w:rPr>
        <w:t xml:space="preserve"> </w:t>
      </w:r>
      <w:r>
        <w:t>anticipated</w:t>
      </w:r>
      <w:r>
        <w:rPr>
          <w:spacing w:val="-1"/>
        </w:rPr>
        <w:t xml:space="preserve"> </w:t>
      </w:r>
      <w:r>
        <w:t>operating synergies efficiently and effectively. U.S. regulators have increased their scrutiny of mergers and acquisitions in recent years, which could continue to limit our ability to execute certain transactions that we might otherwise pursue, such as the termination of our proposed acquisition of Aerojet Rocketdyne in 2022.</w:t>
      </w:r>
    </w:p>
    <w:p w14:paraId="2B2F6328" w14:textId="77777777" w:rsidR="00AE2255" w:rsidRDefault="00AE2255">
      <w:pPr>
        <w:pStyle w:val="BodyText"/>
        <w:spacing w:before="1"/>
        <w:rPr>
          <w:sz w:val="18"/>
        </w:rPr>
      </w:pPr>
    </w:p>
    <w:p w14:paraId="53FBD224" w14:textId="77777777" w:rsidR="00AE2255" w:rsidRDefault="00000000">
      <w:pPr>
        <w:pStyle w:val="BodyText"/>
        <w:spacing w:line="249" w:lineRule="auto"/>
        <w:ind w:left="610" w:right="428" w:firstLine="360"/>
        <w:jc w:val="both"/>
      </w:pPr>
      <w:r>
        <w:t>Acquisition,</w:t>
      </w:r>
      <w:r>
        <w:rPr>
          <w:spacing w:val="-3"/>
        </w:rPr>
        <w:t xml:space="preserve"> </w:t>
      </w:r>
      <w:r>
        <w:t>divestiture,</w:t>
      </w:r>
      <w:r>
        <w:rPr>
          <w:spacing w:val="-3"/>
        </w:rPr>
        <w:t xml:space="preserve"> </w:t>
      </w:r>
      <w:r>
        <w:t>joint</w:t>
      </w:r>
      <w:r>
        <w:rPr>
          <w:spacing w:val="-3"/>
        </w:rPr>
        <w:t xml:space="preserve"> </w:t>
      </w:r>
      <w:proofErr w:type="gramStart"/>
      <w:r>
        <w:t>venture</w:t>
      </w:r>
      <w:proofErr w:type="gramEnd"/>
      <w:r>
        <w:rPr>
          <w:spacing w:val="-3"/>
        </w:rPr>
        <w:t xml:space="preserve"> </w:t>
      </w:r>
      <w:r>
        <w:t>and</w:t>
      </w:r>
      <w:r>
        <w:rPr>
          <w:spacing w:val="-3"/>
        </w:rPr>
        <w:t xml:space="preserve"> </w:t>
      </w:r>
      <w:r>
        <w:t>investment</w:t>
      </w:r>
      <w:r>
        <w:rPr>
          <w:spacing w:val="-3"/>
        </w:rPr>
        <w:t xml:space="preserve"> </w:t>
      </w:r>
      <w:r>
        <w:t>transactions</w:t>
      </w:r>
      <w:r>
        <w:rPr>
          <w:spacing w:val="-3"/>
        </w:rPr>
        <w:t xml:space="preserve"> </w:t>
      </w:r>
      <w:r>
        <w:t>often</w:t>
      </w:r>
      <w:r>
        <w:rPr>
          <w:spacing w:val="-3"/>
        </w:rPr>
        <w:t xml:space="preserve"> </w:t>
      </w:r>
      <w:r>
        <w:t>require</w:t>
      </w:r>
      <w:r>
        <w:rPr>
          <w:spacing w:val="-3"/>
        </w:rPr>
        <w:t xml:space="preserve"> </w:t>
      </w:r>
      <w:r>
        <w:t>substantial</w:t>
      </w:r>
      <w:r>
        <w:rPr>
          <w:spacing w:val="-3"/>
        </w:rPr>
        <w:t xml:space="preserve"> </w:t>
      </w:r>
      <w:r>
        <w:t>management</w:t>
      </w:r>
      <w:r>
        <w:rPr>
          <w:spacing w:val="-3"/>
        </w:rPr>
        <w:t xml:space="preserve"> </w:t>
      </w:r>
      <w:r>
        <w:t>resources</w:t>
      </w:r>
      <w:r>
        <w:rPr>
          <w:spacing w:val="-3"/>
        </w:rPr>
        <w:t xml:space="preserve"> </w:t>
      </w:r>
      <w:r>
        <w:t>and</w:t>
      </w:r>
      <w:r>
        <w:rPr>
          <w:spacing w:val="-3"/>
        </w:rPr>
        <w:t xml:space="preserve"> </w:t>
      </w:r>
      <w:r>
        <w:t>have the potential to divert our attention from our existing business. Unidentified or identified but uncertain liabilities that are not covered by indemnification or other coverage could adversely affect our future financial results. This is particularly the case in respect of successor liability under procurement laws and regulations such as the False Claims Act or the Truthful Cost or Pricing Data Act (formerly the Truth in Negotiations Act), anti-corruption, environmental, tax, import-export and technology transfer laws, which provide for civil and criminal penalties and the potential for debarment. We also may incur unanticipated costs or expenses, including post-closing asset impairment charges, expenses associated with eliminating duplicate facilities, employee retention, transaction-related or other litigation, and other liabilities. Any of the foregoing could adversely affect our business and results of operations.</w:t>
      </w:r>
    </w:p>
    <w:p w14:paraId="7EB99C65" w14:textId="77777777" w:rsidR="00AE2255" w:rsidRDefault="00AE2255">
      <w:pPr>
        <w:pStyle w:val="BodyText"/>
        <w:rPr>
          <w:sz w:val="18"/>
        </w:rPr>
      </w:pPr>
    </w:p>
    <w:p w14:paraId="31B1CF6B" w14:textId="77777777" w:rsidR="00AE2255" w:rsidRDefault="00000000">
      <w:pPr>
        <w:pStyle w:val="BodyText"/>
        <w:spacing w:line="249" w:lineRule="auto"/>
        <w:ind w:left="610" w:right="428" w:firstLine="360"/>
        <w:jc w:val="both"/>
      </w:pPr>
      <w:r>
        <w:t xml:space="preserve">Joint ventures and other noncontrolling investments operate under shared control with other parties. These investments typically face many of the same risks and uncertainties as we do, but may expose us to additional risks </w:t>
      </w:r>
      <w:proofErr w:type="gramStart"/>
      <w:r>
        <w:t>not present</w:t>
      </w:r>
      <w:proofErr w:type="gramEnd"/>
      <w:r>
        <w:t xml:space="preserve"> if we</w:t>
      </w:r>
      <w:r>
        <w:rPr>
          <w:spacing w:val="40"/>
        </w:rPr>
        <w:t xml:space="preserve"> </w:t>
      </w:r>
      <w:r>
        <w:t>retained full control. A joint venture partner may have economic or other business interests that are inconsistent with ours and we</w:t>
      </w:r>
      <w:r>
        <w:rPr>
          <w:spacing w:val="30"/>
        </w:rPr>
        <w:t xml:space="preserve"> </w:t>
      </w:r>
      <w:r>
        <w:t>may</w:t>
      </w:r>
      <w:r>
        <w:rPr>
          <w:spacing w:val="30"/>
        </w:rPr>
        <w:t xml:space="preserve"> </w:t>
      </w:r>
      <w:r>
        <w:t>be</w:t>
      </w:r>
      <w:r>
        <w:rPr>
          <w:spacing w:val="30"/>
        </w:rPr>
        <w:t xml:space="preserve"> </w:t>
      </w:r>
      <w:r>
        <w:t>unable</w:t>
      </w:r>
      <w:r>
        <w:rPr>
          <w:spacing w:val="30"/>
        </w:rPr>
        <w:t xml:space="preserve"> </w:t>
      </w:r>
      <w:r>
        <w:t>to</w:t>
      </w:r>
      <w:r>
        <w:rPr>
          <w:spacing w:val="30"/>
        </w:rPr>
        <w:t xml:space="preserve"> </w:t>
      </w:r>
      <w:r>
        <w:t>prevent</w:t>
      </w:r>
      <w:r>
        <w:rPr>
          <w:spacing w:val="30"/>
        </w:rPr>
        <w:t xml:space="preserve"> </w:t>
      </w:r>
      <w:r>
        <w:t>strategic</w:t>
      </w:r>
      <w:r>
        <w:rPr>
          <w:spacing w:val="30"/>
        </w:rPr>
        <w:t xml:space="preserve"> </w:t>
      </w:r>
      <w:r>
        <w:t>decisions</w:t>
      </w:r>
      <w:r>
        <w:rPr>
          <w:spacing w:val="30"/>
        </w:rPr>
        <w:t xml:space="preserve"> </w:t>
      </w:r>
      <w:r>
        <w:t>that</w:t>
      </w:r>
      <w:r>
        <w:rPr>
          <w:spacing w:val="30"/>
        </w:rPr>
        <w:t xml:space="preserve"> </w:t>
      </w:r>
      <w:r>
        <w:t>may</w:t>
      </w:r>
      <w:r>
        <w:rPr>
          <w:spacing w:val="30"/>
        </w:rPr>
        <w:t xml:space="preserve"> </w:t>
      </w:r>
      <w:r>
        <w:t>adversely</w:t>
      </w:r>
      <w:r>
        <w:rPr>
          <w:spacing w:val="30"/>
        </w:rPr>
        <w:t xml:space="preserve"> </w:t>
      </w:r>
      <w:r>
        <w:t>affect</w:t>
      </w:r>
      <w:r>
        <w:rPr>
          <w:spacing w:val="30"/>
        </w:rPr>
        <w:t xml:space="preserve"> </w:t>
      </w:r>
      <w:r>
        <w:t>our</w:t>
      </w:r>
      <w:r>
        <w:rPr>
          <w:spacing w:val="30"/>
        </w:rPr>
        <w:t xml:space="preserve"> </w:t>
      </w:r>
      <w:r>
        <w:t>business,</w:t>
      </w:r>
      <w:r>
        <w:rPr>
          <w:spacing w:val="30"/>
        </w:rPr>
        <w:t xml:space="preserve"> </w:t>
      </w:r>
      <w:r>
        <w:t>financial</w:t>
      </w:r>
      <w:r>
        <w:rPr>
          <w:spacing w:val="30"/>
        </w:rPr>
        <w:t xml:space="preserve"> </w:t>
      </w:r>
      <w:proofErr w:type="gramStart"/>
      <w:r>
        <w:t>condition</w:t>
      </w:r>
      <w:proofErr w:type="gramEnd"/>
      <w:r>
        <w:rPr>
          <w:spacing w:val="30"/>
        </w:rPr>
        <w:t xml:space="preserve"> </w:t>
      </w:r>
      <w:r>
        <w:t>and</w:t>
      </w:r>
      <w:r>
        <w:rPr>
          <w:spacing w:val="30"/>
        </w:rPr>
        <w:t xml:space="preserve"> </w:t>
      </w:r>
      <w:r>
        <w:t>results</w:t>
      </w:r>
      <w:r>
        <w:rPr>
          <w:spacing w:val="30"/>
        </w:rPr>
        <w:t xml:space="preserve"> </w:t>
      </w:r>
      <w:r>
        <w:t>of</w:t>
      </w:r>
    </w:p>
    <w:p w14:paraId="0D6F181C" w14:textId="77777777" w:rsidR="00AE2255" w:rsidRDefault="00AE2255">
      <w:pPr>
        <w:spacing w:line="249" w:lineRule="auto"/>
        <w:jc w:val="both"/>
        <w:sectPr w:rsidR="00AE2255">
          <w:pgSz w:w="12240" w:h="15840"/>
          <w:pgMar w:top="440" w:right="560" w:bottom="720" w:left="380" w:header="230" w:footer="531" w:gutter="0"/>
          <w:cols w:space="720"/>
        </w:sectPr>
      </w:pPr>
    </w:p>
    <w:p w14:paraId="79FCB4A6" w14:textId="77777777" w:rsidR="00AE2255" w:rsidRDefault="00AE2255">
      <w:pPr>
        <w:pStyle w:val="BodyText"/>
        <w:spacing w:before="10"/>
        <w:rPr>
          <w:sz w:val="22"/>
        </w:rPr>
      </w:pPr>
    </w:p>
    <w:p w14:paraId="6EAB3345" w14:textId="77777777" w:rsidR="00AE2255" w:rsidRDefault="00000000">
      <w:pPr>
        <w:pStyle w:val="BodyText"/>
        <w:spacing w:before="92" w:line="249" w:lineRule="auto"/>
        <w:ind w:left="610" w:right="430"/>
        <w:jc w:val="both"/>
      </w:pPr>
      <w:r>
        <w:t xml:space="preserve">operations. We also could be adversely affected by, or liable for, actions taken by these joint ventures that we do not control, including violations of anti-corruption, import and export, </w:t>
      </w:r>
      <w:proofErr w:type="gramStart"/>
      <w:r>
        <w:t>taxation</w:t>
      </w:r>
      <w:proofErr w:type="gramEnd"/>
      <w:r>
        <w:t xml:space="preserve"> and anti-boycott laws.</w:t>
      </w:r>
    </w:p>
    <w:p w14:paraId="38DADEB8" w14:textId="77777777" w:rsidR="00AE2255" w:rsidRDefault="00AE2255">
      <w:pPr>
        <w:pStyle w:val="BodyText"/>
        <w:spacing w:before="6"/>
        <w:rPr>
          <w:sz w:val="17"/>
        </w:rPr>
      </w:pPr>
    </w:p>
    <w:p w14:paraId="3F9F0E0A" w14:textId="77777777" w:rsidR="00AE2255" w:rsidRDefault="00000000">
      <w:pPr>
        <w:pStyle w:val="BodyText"/>
        <w:spacing w:line="249" w:lineRule="auto"/>
        <w:ind w:left="610" w:right="429" w:firstLine="360"/>
        <w:jc w:val="both"/>
      </w:pPr>
      <w:r>
        <w:t>Depending on our rights and percentage of ownership, we may consolidate the financial results of such entities or account for our interests under the equity method. Under the equity method of accounting for nonconsolidated ventures and</w:t>
      </w:r>
      <w:r>
        <w:rPr>
          <w:spacing w:val="40"/>
        </w:rPr>
        <w:t xml:space="preserve"> </w:t>
      </w:r>
      <w:r>
        <w:t>investments, we recognize our share of the operating profit or loss of these joint ventures in our results of operations. Our operating results are affected by the conduct and performance of businesses over which we do not exercise control and, as a result, we may not be successful in achieving the growth or other intended benefits of strategic investments.</w:t>
      </w:r>
    </w:p>
    <w:p w14:paraId="53EA5D43" w14:textId="77777777" w:rsidR="00AE2255" w:rsidRDefault="00AE2255">
      <w:pPr>
        <w:pStyle w:val="BodyText"/>
        <w:spacing w:before="8"/>
        <w:rPr>
          <w:sz w:val="17"/>
        </w:rPr>
      </w:pPr>
    </w:p>
    <w:p w14:paraId="6108C60E" w14:textId="77777777" w:rsidR="00AE2255" w:rsidRDefault="00000000">
      <w:pPr>
        <w:pStyle w:val="BodyText"/>
        <w:spacing w:before="1" w:line="249" w:lineRule="auto"/>
        <w:ind w:left="610" w:right="428" w:firstLine="360"/>
        <w:jc w:val="both"/>
      </w:pPr>
      <w:r>
        <w:t>We</w:t>
      </w:r>
      <w:r>
        <w:rPr>
          <w:spacing w:val="-3"/>
        </w:rPr>
        <w:t xml:space="preserve"> </w:t>
      </w:r>
      <w:r>
        <w:t>make</w:t>
      </w:r>
      <w:r>
        <w:rPr>
          <w:spacing w:val="-3"/>
        </w:rPr>
        <w:t xml:space="preserve"> </w:t>
      </w:r>
      <w:r>
        <w:t>investments</w:t>
      </w:r>
      <w:r>
        <w:rPr>
          <w:spacing w:val="-3"/>
        </w:rPr>
        <w:t xml:space="preserve"> </w:t>
      </w:r>
      <w:r>
        <w:t>in</w:t>
      </w:r>
      <w:r>
        <w:rPr>
          <w:spacing w:val="-2"/>
        </w:rPr>
        <w:t xml:space="preserve"> </w:t>
      </w:r>
      <w:r>
        <w:t>certain</w:t>
      </w:r>
      <w:r>
        <w:rPr>
          <w:spacing w:val="-2"/>
        </w:rPr>
        <w:t xml:space="preserve"> </w:t>
      </w:r>
      <w:r>
        <w:t>companies</w:t>
      </w:r>
      <w:r>
        <w:rPr>
          <w:spacing w:val="-3"/>
        </w:rPr>
        <w:t xml:space="preserve"> </w:t>
      </w:r>
      <w:r>
        <w:t>that</w:t>
      </w:r>
      <w:r>
        <w:rPr>
          <w:spacing w:val="-3"/>
        </w:rPr>
        <w:t xml:space="preserve"> </w:t>
      </w:r>
      <w:r>
        <w:t>we</w:t>
      </w:r>
      <w:r>
        <w:rPr>
          <w:spacing w:val="-3"/>
        </w:rPr>
        <w:t xml:space="preserve"> </w:t>
      </w:r>
      <w:r>
        <w:t>believe</w:t>
      </w:r>
      <w:r>
        <w:rPr>
          <w:spacing w:val="-3"/>
        </w:rPr>
        <w:t xml:space="preserve"> </w:t>
      </w:r>
      <w:r>
        <w:t>are</w:t>
      </w:r>
      <w:r>
        <w:rPr>
          <w:spacing w:val="-3"/>
        </w:rPr>
        <w:t xml:space="preserve"> </w:t>
      </w:r>
      <w:r>
        <w:t>advancing</w:t>
      </w:r>
      <w:r>
        <w:rPr>
          <w:spacing w:val="-2"/>
        </w:rPr>
        <w:t xml:space="preserve"> </w:t>
      </w:r>
      <w:r>
        <w:t>or</w:t>
      </w:r>
      <w:r>
        <w:rPr>
          <w:spacing w:val="-2"/>
        </w:rPr>
        <w:t xml:space="preserve"> </w:t>
      </w:r>
      <w:r>
        <w:t>developing</w:t>
      </w:r>
      <w:r>
        <w:rPr>
          <w:spacing w:val="-2"/>
        </w:rPr>
        <w:t xml:space="preserve"> </w:t>
      </w:r>
      <w:r>
        <w:t>new</w:t>
      </w:r>
      <w:r>
        <w:rPr>
          <w:spacing w:val="-3"/>
        </w:rPr>
        <w:t xml:space="preserve"> </w:t>
      </w:r>
      <w:r>
        <w:t>technologies</w:t>
      </w:r>
      <w:r>
        <w:rPr>
          <w:spacing w:val="-3"/>
        </w:rPr>
        <w:t xml:space="preserve"> </w:t>
      </w:r>
      <w:r>
        <w:t>applicable</w:t>
      </w:r>
      <w:r>
        <w:rPr>
          <w:spacing w:val="-3"/>
        </w:rPr>
        <w:t xml:space="preserve"> </w:t>
      </w:r>
      <w:r>
        <w:t>to</w:t>
      </w:r>
      <w:r>
        <w:rPr>
          <w:spacing w:val="-2"/>
        </w:rPr>
        <w:t xml:space="preserve"> </w:t>
      </w:r>
      <w:r>
        <w:t>our core businesses and new initiatives important to us. These investments may be in the forms of common or preferred stock, warrants, convertible debt securities or investments in funds and are generally illiquid at the time of investment, which limits our ability to exit an investment or realize an investment return absent a liquidity event. We generally seek to exit these investments following a liquidity event, such as a public offering and expiration of any applicable lock up or other restrictions, subject to market conditions, although we may not be successful in exiting in a timely manner. Typically, we hold a non- controlling interest and, therefore, are unable to influence strategic decisions by these companies and may have limited</w:t>
      </w:r>
      <w:r>
        <w:rPr>
          <w:spacing w:val="40"/>
        </w:rPr>
        <w:t xml:space="preserve"> </w:t>
      </w:r>
      <w:r>
        <w:t>visibility into their activities, which may result in our not realizing the intended benefits of the investments. For fund investments, we have even less influence and visibility as a non-controlling investor in a fund that invests in other companies. We may recognize significant gains or losses attributable to adjustments of the investments’ fair value, including impairments up to and including the full value of the investment, which can be affected by the success of the companies, market volatility and changes in valuations of our investment holdings. This is particularly the case for investments that involve companies that have become publicly traded since changes in the trading price of securities we hold for investment must be marked to market</w:t>
      </w:r>
      <w:r>
        <w:rPr>
          <w:spacing w:val="40"/>
        </w:rPr>
        <w:t xml:space="preserve"> </w:t>
      </w:r>
      <w:r>
        <w:t>in each financial reporting period.</w:t>
      </w:r>
    </w:p>
    <w:p w14:paraId="28A2E473" w14:textId="77777777" w:rsidR="00AE2255" w:rsidRDefault="00AE2255">
      <w:pPr>
        <w:pStyle w:val="BodyText"/>
        <w:spacing w:before="1"/>
        <w:rPr>
          <w:sz w:val="18"/>
        </w:rPr>
      </w:pPr>
    </w:p>
    <w:p w14:paraId="0C22CFB2" w14:textId="77777777" w:rsidR="00AE2255" w:rsidRDefault="00000000">
      <w:pPr>
        <w:pStyle w:val="Heading2"/>
        <w:spacing w:line="249" w:lineRule="auto"/>
        <w:ind w:right="427"/>
        <w:jc w:val="both"/>
      </w:pPr>
      <w:r>
        <w:t>Risks Related to Significant Contingencies, Uncertainties and Estimates, including Pension, Taxes, Environmental and Litigation Costs</w:t>
      </w:r>
    </w:p>
    <w:p w14:paraId="2E8690D2" w14:textId="77777777" w:rsidR="00AE2255" w:rsidRDefault="00AE2255">
      <w:pPr>
        <w:pStyle w:val="BodyText"/>
        <w:spacing w:before="6"/>
        <w:rPr>
          <w:b/>
          <w:sz w:val="17"/>
        </w:rPr>
      </w:pPr>
    </w:p>
    <w:p w14:paraId="7B6E81C1" w14:textId="77777777" w:rsidR="00AE2255" w:rsidRDefault="00000000">
      <w:pPr>
        <w:pStyle w:val="Heading3"/>
        <w:spacing w:line="249" w:lineRule="auto"/>
        <w:ind w:right="428"/>
        <w:jc w:val="both"/>
      </w:pPr>
      <w:r>
        <w:t>Pension funding requirements and costs are dependent on return on pension assets and other economic and actuarial assumptions which if changed may cause our future earnings and cash flow to fluctuate significantly and affect the affordability of our products and services.</w:t>
      </w:r>
    </w:p>
    <w:p w14:paraId="5974D587" w14:textId="77777777" w:rsidR="00AE2255" w:rsidRDefault="00AE2255">
      <w:pPr>
        <w:pStyle w:val="BodyText"/>
        <w:spacing w:before="10"/>
        <w:rPr>
          <w:b/>
          <w:i/>
          <w:sz w:val="17"/>
        </w:rPr>
      </w:pPr>
    </w:p>
    <w:p w14:paraId="7230852A" w14:textId="77777777" w:rsidR="00AE2255" w:rsidRDefault="00000000">
      <w:pPr>
        <w:pStyle w:val="BodyText"/>
        <w:spacing w:line="249" w:lineRule="auto"/>
        <w:ind w:left="610" w:right="429" w:firstLine="360"/>
        <w:jc w:val="both"/>
      </w:pPr>
      <w:r>
        <w:t>Many of our employees and retirees participate in defined benefit pension plans, retiree medical and life insurance plans, and other postemployment plans (collectively, postretirement benefit plans). The impact of these plans on our earnings may be volatile in that the amount of expense or income we record for our postretirement benefit plans may materially change from</w:t>
      </w:r>
      <w:r>
        <w:rPr>
          <w:spacing w:val="40"/>
        </w:rPr>
        <w:t xml:space="preserve"> </w:t>
      </w:r>
      <w:r>
        <w:t>year to year because the calculations are sensitive to changes in several key economic assumptions including interest rates and rates of return on plan assets, other actuarial assumptions including participant longevity (also known as mortality), as well as the timing of cash funding. Changes in these factors, including actual returns on plan assets, may also affect our plan funding, cash flows and stockholders’ equity. We could be required to make pension contributions earlier and/or in excess than planned if our return on pension assets is less than our assumptions, which would reduce our free cash flow.</w:t>
      </w:r>
    </w:p>
    <w:p w14:paraId="4A719664" w14:textId="77777777" w:rsidR="00AE2255" w:rsidRDefault="00AE2255">
      <w:pPr>
        <w:pStyle w:val="BodyText"/>
        <w:spacing w:before="5"/>
        <w:rPr>
          <w:sz w:val="18"/>
        </w:rPr>
      </w:pPr>
    </w:p>
    <w:p w14:paraId="02A3572B" w14:textId="77777777" w:rsidR="00AE2255" w:rsidRDefault="00000000">
      <w:pPr>
        <w:pStyle w:val="BodyText"/>
        <w:spacing w:line="232" w:lineRule="auto"/>
        <w:ind w:left="610" w:right="427" w:firstLine="360"/>
        <w:jc w:val="both"/>
      </w:pPr>
      <w:proofErr w:type="gramStart"/>
      <w:r>
        <w:t>With regard to</w:t>
      </w:r>
      <w:proofErr w:type="gramEnd"/>
      <w:r>
        <w:t xml:space="preserve"> cash flow, we have made substantial cash contributions to our plans as required by the Employee</w:t>
      </w:r>
      <w:r>
        <w:rPr>
          <w:spacing w:val="40"/>
        </w:rPr>
        <w:t xml:space="preserve"> </w:t>
      </w:r>
      <w:r>
        <w:t>Retirement Income Security Act of 1974 (ERISA), as amended, and expect to make future contributions as required or when deemed prudent. We generally can recover a significant portion of these contributions related to our plans as allowable costs on our U.S. Government contracts, including FMS. However, there is a lag between the time when we contribute cash to our plans under pension funding rules and when we recover pension costs under U.S. Government Cost Accounting Standards (CAS), which can affect the timing of our cash flows. Our business segments’ results of operations include pension expense as calculated under CAS while our consolidated financial statements must present pension income or expense in accordance with</w:t>
      </w:r>
    </w:p>
    <w:p w14:paraId="4F53C21F" w14:textId="77777777" w:rsidR="00AE2255" w:rsidRDefault="00000000">
      <w:pPr>
        <w:pStyle w:val="BodyText"/>
        <w:spacing w:before="7" w:line="232" w:lineRule="auto"/>
        <w:ind w:left="610" w:right="430"/>
        <w:jc w:val="both"/>
      </w:pPr>
      <w:r>
        <w:t>U.S. GAAP Financial Accounting Standards (FAS); differences in these accounting rules may result in significant period adjustments referred to as our FAS/CAS pension adjustments.</w:t>
      </w:r>
    </w:p>
    <w:p w14:paraId="5B4AED43" w14:textId="77777777" w:rsidR="00AE2255" w:rsidRDefault="00AE2255">
      <w:pPr>
        <w:pStyle w:val="BodyText"/>
        <w:spacing w:before="1"/>
        <w:rPr>
          <w:sz w:val="21"/>
        </w:rPr>
      </w:pPr>
    </w:p>
    <w:p w14:paraId="647D178D" w14:textId="77777777" w:rsidR="00AE2255" w:rsidRDefault="00000000">
      <w:pPr>
        <w:pStyle w:val="BodyText"/>
        <w:spacing w:line="249" w:lineRule="auto"/>
        <w:ind w:left="610" w:right="428" w:firstLine="360"/>
        <w:jc w:val="both"/>
      </w:pPr>
      <w:r>
        <w:t xml:space="preserve">In recent years, we have taken actions intended to mitigate the risk related to our defined benefit pension plans through pension risk transfer transactions whereby we purchase group annuity contracts (GACs) from insurance companies using assets from the pension trust. We expect to continue to evaluate such transactions in the future. Although under the majority of the GACs we have purchased we are relieved of all responsibility for the associated pension obligations, we have purchased and may in the future purchase GACs whereby the insurance company reimburses the pension </w:t>
      </w:r>
      <w:proofErr w:type="gramStart"/>
      <w:r>
        <w:t>plans</w:t>
      </w:r>
      <w:proofErr w:type="gramEnd"/>
      <w:r>
        <w:t xml:space="preserve"> but we remain responsible for paying benefits under the plans to covered retirees and beneficiaries and are subject to the risk that the insurance company will default on its obligations to reimburse the pension trusts. While we believe pension risk transfer transactions are beneficial; future transactions, depending on their size, could result in us making additional contributions to the pension trust and/or</w:t>
      </w:r>
      <w:r>
        <w:rPr>
          <w:spacing w:val="40"/>
        </w:rPr>
        <w:t xml:space="preserve"> </w:t>
      </w:r>
      <w:r>
        <w:t>require us to recognize noncash settlement charges in earnings in the applicable reporting period.</w:t>
      </w:r>
    </w:p>
    <w:p w14:paraId="2DFD71DD" w14:textId="77777777" w:rsidR="00AE2255" w:rsidRDefault="00AE2255">
      <w:pPr>
        <w:spacing w:line="249" w:lineRule="auto"/>
        <w:jc w:val="both"/>
        <w:sectPr w:rsidR="00AE2255">
          <w:pgSz w:w="12240" w:h="15840"/>
          <w:pgMar w:top="440" w:right="560" w:bottom="720" w:left="380" w:header="230" w:footer="531" w:gutter="0"/>
          <w:cols w:space="720"/>
        </w:sectPr>
      </w:pPr>
    </w:p>
    <w:p w14:paraId="6F05E580" w14:textId="77777777" w:rsidR="00AE2255" w:rsidRDefault="00AE2255">
      <w:pPr>
        <w:pStyle w:val="BodyText"/>
        <w:spacing w:before="10"/>
        <w:rPr>
          <w:sz w:val="22"/>
        </w:rPr>
      </w:pPr>
    </w:p>
    <w:p w14:paraId="504264DF" w14:textId="77777777" w:rsidR="00AE2255" w:rsidRDefault="00000000">
      <w:pPr>
        <w:pStyle w:val="BodyText"/>
        <w:spacing w:before="92" w:line="249" w:lineRule="auto"/>
        <w:ind w:left="610" w:right="427" w:firstLine="360"/>
        <w:jc w:val="both"/>
      </w:pPr>
      <w:r>
        <w:t>For more information on how these factors could impact earnings, financial position, cash flow and stockholders’ equity, see “Critical Accounting Policies - Postretirement Benefit Plans” in the MD&amp;A and “Note 11 – Postretirement Benefit Plans” included in our Notes to Consolidated Financial Statements.</w:t>
      </w:r>
    </w:p>
    <w:p w14:paraId="1E24A524" w14:textId="77777777" w:rsidR="00AE2255" w:rsidRDefault="00AE2255">
      <w:pPr>
        <w:pStyle w:val="BodyText"/>
        <w:spacing w:before="3"/>
        <w:rPr>
          <w:sz w:val="17"/>
        </w:rPr>
      </w:pPr>
    </w:p>
    <w:p w14:paraId="7EE01FA7" w14:textId="77777777" w:rsidR="00AE2255" w:rsidRDefault="00000000">
      <w:pPr>
        <w:pStyle w:val="Heading3"/>
        <w:spacing w:before="1"/>
      </w:pPr>
      <w:r>
        <w:t>Our</w:t>
      </w:r>
      <w:r>
        <w:rPr>
          <w:spacing w:val="-6"/>
        </w:rPr>
        <w:t xml:space="preserve"> </w:t>
      </w:r>
      <w:r>
        <w:t>estimates</w:t>
      </w:r>
      <w:r>
        <w:rPr>
          <w:spacing w:val="-3"/>
        </w:rPr>
        <w:t xml:space="preserve"> </w:t>
      </w:r>
      <w:r>
        <w:t>and</w:t>
      </w:r>
      <w:r>
        <w:rPr>
          <w:spacing w:val="-3"/>
        </w:rPr>
        <w:t xml:space="preserve"> </w:t>
      </w:r>
      <w:r>
        <w:t>projections</w:t>
      </w:r>
      <w:r>
        <w:rPr>
          <w:spacing w:val="-3"/>
        </w:rPr>
        <w:t xml:space="preserve"> </w:t>
      </w:r>
      <w:r>
        <w:t>may</w:t>
      </w:r>
      <w:r>
        <w:rPr>
          <w:spacing w:val="-3"/>
        </w:rPr>
        <w:t xml:space="preserve"> </w:t>
      </w:r>
      <w:r>
        <w:t>prove</w:t>
      </w:r>
      <w:r>
        <w:rPr>
          <w:spacing w:val="-4"/>
        </w:rPr>
        <w:t xml:space="preserve"> </w:t>
      </w:r>
      <w:r>
        <w:t>to</w:t>
      </w:r>
      <w:r>
        <w:rPr>
          <w:spacing w:val="-2"/>
        </w:rPr>
        <w:t xml:space="preserve"> </w:t>
      </w:r>
      <w:r>
        <w:t>be</w:t>
      </w:r>
      <w:r>
        <w:rPr>
          <w:spacing w:val="-3"/>
        </w:rPr>
        <w:t xml:space="preserve"> </w:t>
      </w:r>
      <w:r>
        <w:t>inaccurate</w:t>
      </w:r>
      <w:r>
        <w:rPr>
          <w:spacing w:val="-4"/>
        </w:rPr>
        <w:t xml:space="preserve"> </w:t>
      </w:r>
      <w:r>
        <w:t>and</w:t>
      </w:r>
      <w:r>
        <w:rPr>
          <w:spacing w:val="-2"/>
        </w:rPr>
        <w:t xml:space="preserve"> </w:t>
      </w:r>
      <w:r>
        <w:t>certain</w:t>
      </w:r>
      <w:r>
        <w:rPr>
          <w:spacing w:val="-3"/>
        </w:rPr>
        <w:t xml:space="preserve"> </w:t>
      </w:r>
      <w:r>
        <w:t>of</w:t>
      </w:r>
      <w:r>
        <w:rPr>
          <w:spacing w:val="-3"/>
        </w:rPr>
        <w:t xml:space="preserve"> </w:t>
      </w:r>
      <w:r>
        <w:t>our</w:t>
      </w:r>
      <w:r>
        <w:rPr>
          <w:spacing w:val="-3"/>
        </w:rPr>
        <w:t xml:space="preserve"> </w:t>
      </w:r>
      <w:r>
        <w:t>assets</w:t>
      </w:r>
      <w:r>
        <w:rPr>
          <w:spacing w:val="-3"/>
        </w:rPr>
        <w:t xml:space="preserve"> </w:t>
      </w:r>
      <w:r>
        <w:t>may</w:t>
      </w:r>
      <w:r>
        <w:rPr>
          <w:spacing w:val="-4"/>
        </w:rPr>
        <w:t xml:space="preserve"> </w:t>
      </w:r>
      <w:r>
        <w:t>be</w:t>
      </w:r>
      <w:r>
        <w:rPr>
          <w:spacing w:val="-3"/>
        </w:rPr>
        <w:t xml:space="preserve"> </w:t>
      </w:r>
      <w:r>
        <w:t>at</w:t>
      </w:r>
      <w:r>
        <w:rPr>
          <w:spacing w:val="-3"/>
        </w:rPr>
        <w:t xml:space="preserve"> </w:t>
      </w:r>
      <w:r>
        <w:t>risk</w:t>
      </w:r>
      <w:r>
        <w:rPr>
          <w:spacing w:val="-3"/>
        </w:rPr>
        <w:t xml:space="preserve"> </w:t>
      </w:r>
      <w:r>
        <w:t>of</w:t>
      </w:r>
      <w:r>
        <w:rPr>
          <w:spacing w:val="-2"/>
        </w:rPr>
        <w:t xml:space="preserve"> </w:t>
      </w:r>
      <w:r>
        <w:t>future</w:t>
      </w:r>
      <w:r>
        <w:rPr>
          <w:spacing w:val="-3"/>
        </w:rPr>
        <w:t xml:space="preserve"> </w:t>
      </w:r>
      <w:r>
        <w:rPr>
          <w:spacing w:val="-2"/>
        </w:rPr>
        <w:t>impairment.</w:t>
      </w:r>
    </w:p>
    <w:p w14:paraId="772B581B" w14:textId="77777777" w:rsidR="00AE2255" w:rsidRDefault="00AE2255">
      <w:pPr>
        <w:pStyle w:val="BodyText"/>
        <w:spacing w:before="6"/>
        <w:rPr>
          <w:b/>
          <w:i/>
          <w:sz w:val="18"/>
        </w:rPr>
      </w:pPr>
    </w:p>
    <w:p w14:paraId="54DFE930" w14:textId="77777777" w:rsidR="00AE2255" w:rsidRDefault="00000000">
      <w:pPr>
        <w:pStyle w:val="BodyText"/>
        <w:spacing w:line="249" w:lineRule="auto"/>
        <w:ind w:left="610" w:right="428" w:firstLine="360"/>
        <w:jc w:val="both"/>
      </w:pPr>
      <w:r>
        <w:t>The accounting for some of our most significant activities is based on judgments and estimates, which are complex and subject</w:t>
      </w:r>
      <w:r>
        <w:rPr>
          <w:spacing w:val="-3"/>
        </w:rPr>
        <w:t xml:space="preserve"> </w:t>
      </w:r>
      <w:r>
        <w:t>to</w:t>
      </w:r>
      <w:r>
        <w:rPr>
          <w:spacing w:val="-2"/>
        </w:rPr>
        <w:t xml:space="preserve"> </w:t>
      </w:r>
      <w:r>
        <w:t>many</w:t>
      </w:r>
      <w:r>
        <w:rPr>
          <w:spacing w:val="-2"/>
        </w:rPr>
        <w:t xml:space="preserve"> </w:t>
      </w:r>
      <w:r>
        <w:t>variables.</w:t>
      </w:r>
      <w:r>
        <w:rPr>
          <w:spacing w:val="-2"/>
        </w:rPr>
        <w:t xml:space="preserve"> </w:t>
      </w:r>
      <w:r>
        <w:t>For</w:t>
      </w:r>
      <w:r>
        <w:rPr>
          <w:spacing w:val="-2"/>
        </w:rPr>
        <w:t xml:space="preserve"> </w:t>
      </w:r>
      <w:r>
        <w:t>example,</w:t>
      </w:r>
      <w:r>
        <w:rPr>
          <w:spacing w:val="-2"/>
        </w:rPr>
        <w:t xml:space="preserve"> </w:t>
      </w:r>
      <w:r>
        <w:t>accounting</w:t>
      </w:r>
      <w:r>
        <w:rPr>
          <w:spacing w:val="-2"/>
        </w:rPr>
        <w:t xml:space="preserve"> </w:t>
      </w:r>
      <w:r>
        <w:t>for</w:t>
      </w:r>
      <w:r>
        <w:rPr>
          <w:spacing w:val="-2"/>
        </w:rPr>
        <w:t xml:space="preserve"> </w:t>
      </w:r>
      <w:r>
        <w:t>sales</w:t>
      </w:r>
      <w:r>
        <w:rPr>
          <w:spacing w:val="-3"/>
        </w:rPr>
        <w:t xml:space="preserve"> </w:t>
      </w:r>
      <w:r>
        <w:t>using</w:t>
      </w:r>
      <w:r>
        <w:rPr>
          <w:spacing w:val="-2"/>
        </w:rPr>
        <w:t xml:space="preserve"> </w:t>
      </w:r>
      <w:r>
        <w:t>the</w:t>
      </w:r>
      <w:r>
        <w:rPr>
          <w:spacing w:val="-3"/>
        </w:rPr>
        <w:t xml:space="preserve"> </w:t>
      </w:r>
      <w:r>
        <w:t>percentage-of-completion</w:t>
      </w:r>
      <w:r>
        <w:rPr>
          <w:spacing w:val="-2"/>
        </w:rPr>
        <w:t xml:space="preserve"> </w:t>
      </w:r>
      <w:r>
        <w:t>method</w:t>
      </w:r>
      <w:r>
        <w:rPr>
          <w:spacing w:val="-2"/>
        </w:rPr>
        <w:t xml:space="preserve"> </w:t>
      </w:r>
      <w:r>
        <w:t>requires</w:t>
      </w:r>
      <w:r>
        <w:rPr>
          <w:spacing w:val="-3"/>
        </w:rPr>
        <w:t xml:space="preserve"> </w:t>
      </w:r>
      <w:r>
        <w:t>that</w:t>
      </w:r>
      <w:r>
        <w:rPr>
          <w:spacing w:val="-3"/>
        </w:rPr>
        <w:t xml:space="preserve"> </w:t>
      </w:r>
      <w:r>
        <w:t>we</w:t>
      </w:r>
      <w:r>
        <w:rPr>
          <w:spacing w:val="-3"/>
        </w:rPr>
        <w:t xml:space="preserve"> </w:t>
      </w:r>
      <w:r>
        <w:t xml:space="preserve">assess risks and make assumptions regarding future schedule, cost, technical and performance issues for thousands of contracts, many of which are long-term in nature. This process can be especially difficult when estimating costs for development programs because of the inherent uncertainty in developing a new product or technology. Additionally, we initially allocate the purchase price of acquired businesses based on a preliminary assessment of the fair value of identifiable assets acquired and liabilities assumed. For significant acquisitions we may use a one-year measurement period to analyze and assess </w:t>
      </w:r>
      <w:proofErr w:type="gramStart"/>
      <w:r>
        <w:t>a number of</w:t>
      </w:r>
      <w:proofErr w:type="gramEnd"/>
      <w:r>
        <w:t xml:space="preserve"> factors</w:t>
      </w:r>
      <w:r>
        <w:rPr>
          <w:spacing w:val="40"/>
        </w:rPr>
        <w:t xml:space="preserve"> </w:t>
      </w:r>
      <w:r>
        <w:t>used in establishing the asset and liability fair values as of the acquisition date which could result in adjustments to asset and liability balances.</w:t>
      </w:r>
    </w:p>
    <w:p w14:paraId="2D01A723" w14:textId="77777777" w:rsidR="00AE2255" w:rsidRDefault="00AE2255">
      <w:pPr>
        <w:pStyle w:val="BodyText"/>
        <w:rPr>
          <w:sz w:val="18"/>
        </w:rPr>
      </w:pPr>
    </w:p>
    <w:p w14:paraId="3375B53E" w14:textId="77777777" w:rsidR="00AE2255" w:rsidRDefault="00000000">
      <w:pPr>
        <w:pStyle w:val="BodyText"/>
        <w:spacing w:line="249" w:lineRule="auto"/>
        <w:ind w:left="610" w:right="428" w:firstLine="360"/>
        <w:jc w:val="both"/>
      </w:pPr>
      <w:r>
        <w:t xml:space="preserve">We have $10.8 billion of goodwill assets recorded on our consolidated balance sheet as of December 31, </w:t>
      </w:r>
      <w:proofErr w:type="gramStart"/>
      <w:r>
        <w:t>2022</w:t>
      </w:r>
      <w:proofErr w:type="gramEnd"/>
      <w:r>
        <w:t xml:space="preserve"> from previous acquisitions, which represents approximately 20% of our total assets. These goodwill assets are subject to annual impairment testing and more frequent testing upon the occurrence of certain events or significant changes in circumstances that indicate goodwill may be impaired. If we experience changes or factors arise that negatively affect the expected cash flows of a reporting</w:t>
      </w:r>
      <w:r>
        <w:rPr>
          <w:spacing w:val="-1"/>
        </w:rPr>
        <w:t xml:space="preserve"> </w:t>
      </w:r>
      <w:r>
        <w:t>unit,</w:t>
      </w:r>
      <w:r>
        <w:rPr>
          <w:spacing w:val="-1"/>
        </w:rPr>
        <w:t xml:space="preserve"> </w:t>
      </w:r>
      <w:r>
        <w:t>we</w:t>
      </w:r>
      <w:r>
        <w:rPr>
          <w:spacing w:val="-1"/>
        </w:rPr>
        <w:t xml:space="preserve"> </w:t>
      </w:r>
      <w:r>
        <w:t>may</w:t>
      </w:r>
      <w:r>
        <w:rPr>
          <w:spacing w:val="-1"/>
        </w:rPr>
        <w:t xml:space="preserve"> </w:t>
      </w:r>
      <w:r>
        <w:t>be</w:t>
      </w:r>
      <w:r>
        <w:rPr>
          <w:spacing w:val="-1"/>
        </w:rPr>
        <w:t xml:space="preserve"> </w:t>
      </w:r>
      <w:r>
        <w:t>required</w:t>
      </w:r>
      <w:r>
        <w:rPr>
          <w:spacing w:val="-1"/>
        </w:rPr>
        <w:t xml:space="preserve"> </w:t>
      </w:r>
      <w:r>
        <w:t>to</w:t>
      </w:r>
      <w:r>
        <w:rPr>
          <w:spacing w:val="-1"/>
        </w:rPr>
        <w:t xml:space="preserve"> </w:t>
      </w:r>
      <w:r>
        <w:t>write</w:t>
      </w:r>
      <w:r>
        <w:rPr>
          <w:spacing w:val="-1"/>
        </w:rPr>
        <w:t xml:space="preserve"> </w:t>
      </w:r>
      <w:r>
        <w:t>off</w:t>
      </w:r>
      <w:r>
        <w:rPr>
          <w:spacing w:val="-1"/>
        </w:rPr>
        <w:t xml:space="preserve"> </w:t>
      </w:r>
      <w:r>
        <w:t>all</w:t>
      </w:r>
      <w:r>
        <w:rPr>
          <w:spacing w:val="-1"/>
        </w:rPr>
        <w:t xml:space="preserve"> </w:t>
      </w:r>
      <w:r>
        <w:t>or</w:t>
      </w:r>
      <w:r>
        <w:rPr>
          <w:spacing w:val="-1"/>
        </w:rPr>
        <w:t xml:space="preserve"> </w:t>
      </w:r>
      <w:r>
        <w:t>a</w:t>
      </w:r>
      <w:r>
        <w:rPr>
          <w:spacing w:val="-1"/>
        </w:rPr>
        <w:t xml:space="preserve"> </w:t>
      </w:r>
      <w:r>
        <w:t>portion</w:t>
      </w:r>
      <w:r>
        <w:rPr>
          <w:spacing w:val="-1"/>
        </w:rPr>
        <w:t xml:space="preserve"> </w:t>
      </w:r>
      <w:r>
        <w:t>of</w:t>
      </w:r>
      <w:r>
        <w:rPr>
          <w:spacing w:val="-1"/>
        </w:rPr>
        <w:t xml:space="preserve"> </w:t>
      </w:r>
      <w:r>
        <w:t>the</w:t>
      </w:r>
      <w:r>
        <w:rPr>
          <w:spacing w:val="-1"/>
        </w:rPr>
        <w:t xml:space="preserve"> </w:t>
      </w:r>
      <w:r>
        <w:t>reporting</w:t>
      </w:r>
      <w:r>
        <w:rPr>
          <w:spacing w:val="-1"/>
        </w:rPr>
        <w:t xml:space="preserve"> </w:t>
      </w:r>
      <w:r>
        <w:t>unit’s</w:t>
      </w:r>
      <w:r>
        <w:rPr>
          <w:spacing w:val="-1"/>
        </w:rPr>
        <w:t xml:space="preserve"> </w:t>
      </w:r>
      <w:r>
        <w:t>related</w:t>
      </w:r>
      <w:r>
        <w:rPr>
          <w:spacing w:val="-1"/>
        </w:rPr>
        <w:t xml:space="preserve"> </w:t>
      </w:r>
      <w:r>
        <w:t>goodwill</w:t>
      </w:r>
      <w:r>
        <w:rPr>
          <w:spacing w:val="-1"/>
        </w:rPr>
        <w:t xml:space="preserve"> </w:t>
      </w:r>
      <w:r>
        <w:t>assets.</w:t>
      </w:r>
      <w:r>
        <w:rPr>
          <w:spacing w:val="-1"/>
        </w:rPr>
        <w:t xml:space="preserve"> </w:t>
      </w:r>
      <w:r>
        <w:t>The</w:t>
      </w:r>
      <w:r>
        <w:rPr>
          <w:spacing w:val="-1"/>
        </w:rPr>
        <w:t xml:space="preserve"> </w:t>
      </w:r>
      <w:r>
        <w:t>carrying</w:t>
      </w:r>
      <w:r>
        <w:rPr>
          <w:spacing w:val="-1"/>
        </w:rPr>
        <w:t xml:space="preserve"> </w:t>
      </w:r>
      <w:r>
        <w:t>value and fair value of our Sikorsky reporting unit are closely aligned. Therefore, any business deterioration, including the outcome</w:t>
      </w:r>
      <w:r>
        <w:rPr>
          <w:spacing w:val="40"/>
        </w:rPr>
        <w:t xml:space="preserve"> </w:t>
      </w:r>
      <w:r>
        <w:t xml:space="preserve">of upcoming contract awards, contract cancellations or terminations, or market pressures could cause our sales, </w:t>
      </w:r>
      <w:proofErr w:type="gramStart"/>
      <w:r>
        <w:t>earnings</w:t>
      </w:r>
      <w:proofErr w:type="gramEnd"/>
      <w:r>
        <w:t xml:space="preserve"> and cash flows to decline below current projections and could cause goodwill and intangible assets to be impaired. Goodwill and trademarks associated with Sikorsky were approximately $3.5 billion as of December 31, 2022. Additionally, Sikorsky may not perform</w:t>
      </w:r>
      <w:r>
        <w:rPr>
          <w:spacing w:val="-2"/>
        </w:rPr>
        <w:t xml:space="preserve"> </w:t>
      </w:r>
      <w:r>
        <w:t>as</w:t>
      </w:r>
      <w:r>
        <w:rPr>
          <w:spacing w:val="-2"/>
        </w:rPr>
        <w:t xml:space="preserve"> </w:t>
      </w:r>
      <w:r>
        <w:t>expected,</w:t>
      </w:r>
      <w:r>
        <w:rPr>
          <w:spacing w:val="-2"/>
        </w:rPr>
        <w:t xml:space="preserve"> </w:t>
      </w:r>
      <w:r>
        <w:t>or</w:t>
      </w:r>
      <w:r>
        <w:rPr>
          <w:spacing w:val="-2"/>
        </w:rPr>
        <w:t xml:space="preserve"> </w:t>
      </w:r>
      <w:r>
        <w:t>demand</w:t>
      </w:r>
      <w:r>
        <w:rPr>
          <w:spacing w:val="-2"/>
        </w:rPr>
        <w:t xml:space="preserve"> </w:t>
      </w:r>
      <w:r>
        <w:t>for</w:t>
      </w:r>
      <w:r>
        <w:rPr>
          <w:spacing w:val="-2"/>
        </w:rPr>
        <w:t xml:space="preserve"> </w:t>
      </w:r>
      <w:r>
        <w:t>its</w:t>
      </w:r>
      <w:r>
        <w:rPr>
          <w:spacing w:val="-2"/>
        </w:rPr>
        <w:t xml:space="preserve"> </w:t>
      </w:r>
      <w:r>
        <w:t>products</w:t>
      </w:r>
      <w:r>
        <w:rPr>
          <w:spacing w:val="-2"/>
        </w:rPr>
        <w:t xml:space="preserve"> </w:t>
      </w:r>
      <w:r>
        <w:t>may</w:t>
      </w:r>
      <w:r>
        <w:rPr>
          <w:spacing w:val="-2"/>
        </w:rPr>
        <w:t xml:space="preserve"> </w:t>
      </w:r>
      <w:r>
        <w:t>be</w:t>
      </w:r>
      <w:r>
        <w:rPr>
          <w:spacing w:val="-2"/>
        </w:rPr>
        <w:t xml:space="preserve"> </w:t>
      </w:r>
      <w:r>
        <w:t>adversely</w:t>
      </w:r>
      <w:r>
        <w:rPr>
          <w:spacing w:val="-2"/>
        </w:rPr>
        <w:t xml:space="preserve"> </w:t>
      </w:r>
      <w:r>
        <w:t>affected</w:t>
      </w:r>
      <w:r>
        <w:rPr>
          <w:spacing w:val="-2"/>
        </w:rPr>
        <w:t xml:space="preserve"> </w:t>
      </w:r>
      <w:r>
        <w:t>by</w:t>
      </w:r>
      <w:r>
        <w:rPr>
          <w:spacing w:val="-2"/>
        </w:rPr>
        <w:t xml:space="preserve"> </w:t>
      </w:r>
      <w:r>
        <w:t>global</w:t>
      </w:r>
      <w:r>
        <w:rPr>
          <w:spacing w:val="-2"/>
        </w:rPr>
        <w:t xml:space="preserve"> </w:t>
      </w:r>
      <w:r>
        <w:t>economic</w:t>
      </w:r>
      <w:r>
        <w:rPr>
          <w:spacing w:val="-2"/>
        </w:rPr>
        <w:t xml:space="preserve"> </w:t>
      </w:r>
      <w:r>
        <w:t>conditions,</w:t>
      </w:r>
      <w:r>
        <w:rPr>
          <w:spacing w:val="-2"/>
        </w:rPr>
        <w:t xml:space="preserve"> </w:t>
      </w:r>
      <w:r>
        <w:t>including</w:t>
      </w:r>
      <w:r>
        <w:rPr>
          <w:spacing w:val="-2"/>
        </w:rPr>
        <w:t xml:space="preserve"> </w:t>
      </w:r>
      <w:r>
        <w:t>oil</w:t>
      </w:r>
      <w:r>
        <w:rPr>
          <w:spacing w:val="-2"/>
        </w:rPr>
        <w:t xml:space="preserve"> </w:t>
      </w:r>
      <w:r>
        <w:t>and</w:t>
      </w:r>
      <w:r>
        <w:rPr>
          <w:spacing w:val="-2"/>
        </w:rPr>
        <w:t xml:space="preserve"> </w:t>
      </w:r>
      <w:r>
        <w:t>gas trends that are outside of our control.</w:t>
      </w:r>
    </w:p>
    <w:p w14:paraId="45B6E8F6" w14:textId="77777777" w:rsidR="00AE2255" w:rsidRDefault="00AE2255">
      <w:pPr>
        <w:pStyle w:val="BodyText"/>
        <w:spacing w:before="2"/>
        <w:rPr>
          <w:sz w:val="18"/>
        </w:rPr>
      </w:pPr>
    </w:p>
    <w:p w14:paraId="1513EC41" w14:textId="77777777" w:rsidR="00AE2255" w:rsidRDefault="00000000">
      <w:pPr>
        <w:pStyle w:val="BodyText"/>
        <w:spacing w:line="249" w:lineRule="auto"/>
        <w:ind w:left="610" w:right="430" w:firstLine="360"/>
        <w:jc w:val="both"/>
      </w:pPr>
      <w:r>
        <w:t>Actual financial results could differ from our judgments and estimates. See “Critical Accounting Policies” in the MD&amp;A and Results of Operations and “Note 1 – Organization and Significant Accounting Policies” included in our Notes to Consolidated Financial Statements for a complete discussion of our significant accounting policies and use of estimates.</w:t>
      </w:r>
    </w:p>
    <w:p w14:paraId="385B26A5" w14:textId="77777777" w:rsidR="00AE2255" w:rsidRDefault="00AE2255">
      <w:pPr>
        <w:pStyle w:val="BodyText"/>
        <w:spacing w:before="4"/>
        <w:rPr>
          <w:sz w:val="17"/>
        </w:rPr>
      </w:pPr>
    </w:p>
    <w:p w14:paraId="1BE66827" w14:textId="77777777" w:rsidR="00AE2255" w:rsidRDefault="00000000">
      <w:pPr>
        <w:pStyle w:val="Heading3"/>
      </w:pPr>
      <w:r>
        <w:t>Changes</w:t>
      </w:r>
      <w:r>
        <w:rPr>
          <w:spacing w:val="-6"/>
        </w:rPr>
        <w:t xml:space="preserve"> </w:t>
      </w:r>
      <w:r>
        <w:t>in</w:t>
      </w:r>
      <w:r>
        <w:rPr>
          <w:spacing w:val="-4"/>
        </w:rPr>
        <w:t xml:space="preserve"> </w:t>
      </w:r>
      <w:r>
        <w:t>tax</w:t>
      </w:r>
      <w:r>
        <w:rPr>
          <w:spacing w:val="-3"/>
        </w:rPr>
        <w:t xml:space="preserve"> </w:t>
      </w:r>
      <w:r>
        <w:t>laws</w:t>
      </w:r>
      <w:r>
        <w:rPr>
          <w:spacing w:val="-4"/>
        </w:rPr>
        <w:t xml:space="preserve"> </w:t>
      </w:r>
      <w:r>
        <w:t>and</w:t>
      </w:r>
      <w:r>
        <w:rPr>
          <w:spacing w:val="-4"/>
        </w:rPr>
        <w:t xml:space="preserve"> </w:t>
      </w:r>
      <w:r>
        <w:t>regulations</w:t>
      </w:r>
      <w:r>
        <w:rPr>
          <w:spacing w:val="-4"/>
        </w:rPr>
        <w:t xml:space="preserve"> </w:t>
      </w:r>
      <w:r>
        <w:t>or</w:t>
      </w:r>
      <w:r>
        <w:rPr>
          <w:spacing w:val="-3"/>
        </w:rPr>
        <w:t xml:space="preserve"> </w:t>
      </w:r>
      <w:r>
        <w:t>exposure</w:t>
      </w:r>
      <w:r>
        <w:rPr>
          <w:spacing w:val="-4"/>
        </w:rPr>
        <w:t xml:space="preserve"> </w:t>
      </w:r>
      <w:r>
        <w:t>to</w:t>
      </w:r>
      <w:r>
        <w:rPr>
          <w:spacing w:val="-4"/>
        </w:rPr>
        <w:t xml:space="preserve"> </w:t>
      </w:r>
      <w:r>
        <w:t>additional</w:t>
      </w:r>
      <w:r>
        <w:rPr>
          <w:spacing w:val="-3"/>
        </w:rPr>
        <w:t xml:space="preserve"> </w:t>
      </w:r>
      <w:r>
        <w:t>tax</w:t>
      </w:r>
      <w:r>
        <w:rPr>
          <w:spacing w:val="-4"/>
        </w:rPr>
        <w:t xml:space="preserve"> </w:t>
      </w:r>
      <w:r>
        <w:t>liabilities</w:t>
      </w:r>
      <w:r>
        <w:rPr>
          <w:spacing w:val="-4"/>
        </w:rPr>
        <w:t xml:space="preserve"> </w:t>
      </w:r>
      <w:r>
        <w:t>could</w:t>
      </w:r>
      <w:r>
        <w:rPr>
          <w:spacing w:val="-3"/>
        </w:rPr>
        <w:t xml:space="preserve"> </w:t>
      </w:r>
      <w:r>
        <w:t>adversely</w:t>
      </w:r>
      <w:r>
        <w:rPr>
          <w:spacing w:val="-4"/>
        </w:rPr>
        <w:t xml:space="preserve"> </w:t>
      </w:r>
      <w:r>
        <w:t>affect</w:t>
      </w:r>
      <w:r>
        <w:rPr>
          <w:spacing w:val="-4"/>
        </w:rPr>
        <w:t xml:space="preserve"> </w:t>
      </w:r>
      <w:r>
        <w:t>our</w:t>
      </w:r>
      <w:r>
        <w:rPr>
          <w:spacing w:val="-4"/>
        </w:rPr>
        <w:t xml:space="preserve"> </w:t>
      </w:r>
      <w:r>
        <w:t>financial</w:t>
      </w:r>
      <w:r>
        <w:rPr>
          <w:spacing w:val="-3"/>
        </w:rPr>
        <w:t xml:space="preserve"> </w:t>
      </w:r>
      <w:r>
        <w:rPr>
          <w:spacing w:val="-2"/>
        </w:rPr>
        <w:t>results.</w:t>
      </w:r>
    </w:p>
    <w:p w14:paraId="71365C55" w14:textId="77777777" w:rsidR="00AE2255" w:rsidRDefault="00AE2255">
      <w:pPr>
        <w:pStyle w:val="BodyText"/>
        <w:rPr>
          <w:b/>
          <w:i/>
          <w:sz w:val="19"/>
        </w:rPr>
      </w:pPr>
    </w:p>
    <w:p w14:paraId="4D81239C" w14:textId="77777777" w:rsidR="00AE2255" w:rsidRDefault="00000000">
      <w:pPr>
        <w:pStyle w:val="BodyText"/>
        <w:spacing w:line="232" w:lineRule="auto"/>
        <w:ind w:left="610" w:right="431" w:firstLine="360"/>
        <w:jc w:val="both"/>
      </w:pPr>
      <w:r>
        <w:t>Changes in U.S. (federal or state) or foreign tax laws and regulations, or their interpretation and application, including</w:t>
      </w:r>
      <w:r>
        <w:rPr>
          <w:spacing w:val="40"/>
        </w:rPr>
        <w:t xml:space="preserve"> </w:t>
      </w:r>
      <w:r>
        <w:t>those with retroactive effect, could result in increases in our tax expense and affect profitability and cash flows. For example, beginning in 2022, the Tax Cuts and Jobs Act of 2017 eliminated the option to deduct research and development expenditures immediately in the year incurred and requires taxpayers to amortize such expenditures over five years for tax purposes. While the most significant impact of this provision is to cash tax liability for 2022, the tax year in which the provision took effect, the impact will decline annually over the five-year amortization period to an immaterial amount in year six.</w:t>
      </w:r>
    </w:p>
    <w:p w14:paraId="6E4005E4" w14:textId="77777777" w:rsidR="00AE2255" w:rsidRDefault="00AE2255">
      <w:pPr>
        <w:pStyle w:val="BodyText"/>
      </w:pPr>
    </w:p>
    <w:p w14:paraId="292EDD16" w14:textId="77777777" w:rsidR="00AE2255" w:rsidRDefault="00000000">
      <w:pPr>
        <w:pStyle w:val="BodyText"/>
        <w:spacing w:line="232" w:lineRule="auto"/>
        <w:ind w:left="610" w:right="428" w:firstLine="360"/>
        <w:jc w:val="both"/>
      </w:pPr>
      <w:r>
        <w:t>The amount of net deferred tax assets will change periodically based on several factors, including the measurement of our postretirement benefit plan obligations, actual cash contributions to our postretirement benefit plans, change in the amount or reevaluation of uncertain tax positions, and future changes in tax laws. In addition, we are regularly under audit or examination by tax authorities, including foreign tax authorities. The final determination of tax audits and any related litigation could similarly result in unanticipated increases in our tax expense and affect profitability and cash flows.</w:t>
      </w:r>
    </w:p>
    <w:p w14:paraId="05E46625" w14:textId="77777777" w:rsidR="00AE2255" w:rsidRDefault="00AE2255">
      <w:pPr>
        <w:pStyle w:val="BodyText"/>
        <w:spacing w:before="1"/>
        <w:rPr>
          <w:sz w:val="19"/>
        </w:rPr>
      </w:pPr>
    </w:p>
    <w:p w14:paraId="262F420E" w14:textId="77777777" w:rsidR="00AE2255" w:rsidRDefault="00000000">
      <w:pPr>
        <w:pStyle w:val="Heading3"/>
      </w:pPr>
      <w:r>
        <w:t>Our</w:t>
      </w:r>
      <w:r>
        <w:rPr>
          <w:spacing w:val="-7"/>
        </w:rPr>
        <w:t xml:space="preserve"> </w:t>
      </w:r>
      <w:r>
        <w:t>business</w:t>
      </w:r>
      <w:r>
        <w:rPr>
          <w:spacing w:val="-4"/>
        </w:rPr>
        <w:t xml:space="preserve"> </w:t>
      </w:r>
      <w:r>
        <w:t>involves</w:t>
      </w:r>
      <w:r>
        <w:rPr>
          <w:spacing w:val="-5"/>
        </w:rPr>
        <w:t xml:space="preserve"> </w:t>
      </w:r>
      <w:r>
        <w:t>significant</w:t>
      </w:r>
      <w:r>
        <w:rPr>
          <w:spacing w:val="-4"/>
        </w:rPr>
        <w:t xml:space="preserve"> </w:t>
      </w:r>
      <w:r>
        <w:t>risks</w:t>
      </w:r>
      <w:r>
        <w:rPr>
          <w:spacing w:val="-5"/>
        </w:rPr>
        <w:t xml:space="preserve"> </w:t>
      </w:r>
      <w:r>
        <w:t>and</w:t>
      </w:r>
      <w:r>
        <w:rPr>
          <w:spacing w:val="-3"/>
        </w:rPr>
        <w:t xml:space="preserve"> </w:t>
      </w:r>
      <w:r>
        <w:t>uncertainties</w:t>
      </w:r>
      <w:r>
        <w:rPr>
          <w:spacing w:val="-5"/>
        </w:rPr>
        <w:t xml:space="preserve"> </w:t>
      </w:r>
      <w:r>
        <w:t>that</w:t>
      </w:r>
      <w:r>
        <w:rPr>
          <w:spacing w:val="-4"/>
        </w:rPr>
        <w:t xml:space="preserve"> </w:t>
      </w:r>
      <w:r>
        <w:t>may</w:t>
      </w:r>
      <w:r>
        <w:rPr>
          <w:spacing w:val="-5"/>
        </w:rPr>
        <w:t xml:space="preserve"> </w:t>
      </w:r>
      <w:r>
        <w:t>not</w:t>
      </w:r>
      <w:r>
        <w:rPr>
          <w:spacing w:val="-4"/>
        </w:rPr>
        <w:t xml:space="preserve"> </w:t>
      </w:r>
      <w:r>
        <w:t>be</w:t>
      </w:r>
      <w:r>
        <w:rPr>
          <w:spacing w:val="-5"/>
        </w:rPr>
        <w:t xml:space="preserve"> </w:t>
      </w:r>
      <w:r>
        <w:t>covered</w:t>
      </w:r>
      <w:r>
        <w:rPr>
          <w:spacing w:val="-3"/>
        </w:rPr>
        <w:t xml:space="preserve"> </w:t>
      </w:r>
      <w:r>
        <w:t>by</w:t>
      </w:r>
      <w:r>
        <w:rPr>
          <w:spacing w:val="-5"/>
        </w:rPr>
        <w:t xml:space="preserve"> </w:t>
      </w:r>
      <w:r>
        <w:t>indemnity</w:t>
      </w:r>
      <w:r>
        <w:rPr>
          <w:spacing w:val="-4"/>
        </w:rPr>
        <w:t xml:space="preserve"> </w:t>
      </w:r>
      <w:r>
        <w:t>or</w:t>
      </w:r>
      <w:r>
        <w:rPr>
          <w:spacing w:val="-4"/>
        </w:rPr>
        <w:t xml:space="preserve"> </w:t>
      </w:r>
      <w:r>
        <w:rPr>
          <w:spacing w:val="-2"/>
        </w:rPr>
        <w:t>insurance.</w:t>
      </w:r>
    </w:p>
    <w:p w14:paraId="7E05D7CB" w14:textId="77777777" w:rsidR="00AE2255" w:rsidRDefault="00AE2255">
      <w:pPr>
        <w:pStyle w:val="BodyText"/>
        <w:spacing w:before="6"/>
        <w:rPr>
          <w:b/>
          <w:i/>
          <w:sz w:val="18"/>
        </w:rPr>
      </w:pPr>
    </w:p>
    <w:p w14:paraId="4134763D" w14:textId="77777777" w:rsidR="00AE2255" w:rsidRDefault="00000000">
      <w:pPr>
        <w:pStyle w:val="BodyText"/>
        <w:spacing w:line="249" w:lineRule="auto"/>
        <w:ind w:left="610" w:right="428" w:firstLine="360"/>
        <w:jc w:val="both"/>
      </w:pPr>
      <w:r>
        <w:t xml:space="preserve">A significant portion of our business relates to designing, </w:t>
      </w:r>
      <w:proofErr w:type="gramStart"/>
      <w:r>
        <w:t>developing</w:t>
      </w:r>
      <w:proofErr w:type="gramEnd"/>
      <w:r>
        <w:t xml:space="preserve"> and manufacturing advanced defense and technology products and systems. New technologies may be untested or unproven. Failure of some of these products and services could result in extensive loss of life or property damage. Accordingly, we may incur liabilities that are unique to our products and services. In some but not all circumstances, we may be entitled to certain legal protections or indemnifications from our customers,</w:t>
      </w:r>
      <w:r>
        <w:rPr>
          <w:spacing w:val="-1"/>
        </w:rPr>
        <w:t xml:space="preserve"> </w:t>
      </w:r>
      <w:r>
        <w:t>either</w:t>
      </w:r>
      <w:r>
        <w:rPr>
          <w:spacing w:val="-1"/>
        </w:rPr>
        <w:t xml:space="preserve"> </w:t>
      </w:r>
      <w:r>
        <w:t>through</w:t>
      </w:r>
      <w:r>
        <w:rPr>
          <w:spacing w:val="-1"/>
        </w:rPr>
        <w:t xml:space="preserve"> </w:t>
      </w:r>
      <w:r>
        <w:t>U.S.</w:t>
      </w:r>
      <w:r>
        <w:rPr>
          <w:spacing w:val="-1"/>
        </w:rPr>
        <w:t xml:space="preserve"> </w:t>
      </w:r>
      <w:r>
        <w:t>Government</w:t>
      </w:r>
      <w:r>
        <w:rPr>
          <w:spacing w:val="-1"/>
        </w:rPr>
        <w:t xml:space="preserve"> </w:t>
      </w:r>
      <w:r>
        <w:t>indemnifications</w:t>
      </w:r>
      <w:r>
        <w:rPr>
          <w:spacing w:val="-1"/>
        </w:rPr>
        <w:t xml:space="preserve"> </w:t>
      </w:r>
      <w:r>
        <w:t>under</w:t>
      </w:r>
      <w:r>
        <w:rPr>
          <w:spacing w:val="-1"/>
        </w:rPr>
        <w:t xml:space="preserve"> </w:t>
      </w:r>
      <w:r>
        <w:t>Public</w:t>
      </w:r>
      <w:r>
        <w:rPr>
          <w:spacing w:val="-1"/>
        </w:rPr>
        <w:t xml:space="preserve"> </w:t>
      </w:r>
      <w:r>
        <w:t>Law</w:t>
      </w:r>
      <w:r>
        <w:rPr>
          <w:spacing w:val="-1"/>
        </w:rPr>
        <w:t xml:space="preserve"> </w:t>
      </w:r>
      <w:r>
        <w:t>85-804,</w:t>
      </w:r>
      <w:r>
        <w:rPr>
          <w:spacing w:val="-1"/>
        </w:rPr>
        <w:t xml:space="preserve"> </w:t>
      </w:r>
      <w:r>
        <w:t>10</w:t>
      </w:r>
      <w:r>
        <w:rPr>
          <w:spacing w:val="-1"/>
        </w:rPr>
        <w:t xml:space="preserve"> </w:t>
      </w:r>
      <w:r>
        <w:t>U.S.C.</w:t>
      </w:r>
      <w:r>
        <w:rPr>
          <w:spacing w:val="-1"/>
        </w:rPr>
        <w:t xml:space="preserve"> </w:t>
      </w:r>
      <w:r>
        <w:t>3861,</w:t>
      </w:r>
      <w:r>
        <w:rPr>
          <w:spacing w:val="-1"/>
        </w:rPr>
        <w:t xml:space="preserve"> </w:t>
      </w:r>
      <w:r>
        <w:t>the</w:t>
      </w:r>
      <w:r>
        <w:rPr>
          <w:spacing w:val="-1"/>
        </w:rPr>
        <w:t xml:space="preserve"> </w:t>
      </w:r>
      <w:r>
        <w:t>Commercial</w:t>
      </w:r>
      <w:r>
        <w:rPr>
          <w:spacing w:val="-1"/>
        </w:rPr>
        <w:t xml:space="preserve"> </w:t>
      </w:r>
      <w:r>
        <w:t>Space Launch Act or the Price-Anderson Act, qualification of our products and services by the Department of Homeland Security under the SAFETY Act provisions of the Homeland Security Act of 2002, contractual provisions or otherwise.</w:t>
      </w:r>
    </w:p>
    <w:p w14:paraId="14A8E6CB" w14:textId="77777777" w:rsidR="00AE2255" w:rsidRDefault="00AE2255">
      <w:pPr>
        <w:pStyle w:val="BodyText"/>
        <w:spacing w:before="10"/>
        <w:rPr>
          <w:sz w:val="17"/>
        </w:rPr>
      </w:pPr>
    </w:p>
    <w:p w14:paraId="2EAAAB0D" w14:textId="77777777" w:rsidR="00AE2255" w:rsidRDefault="00000000">
      <w:pPr>
        <w:pStyle w:val="BodyText"/>
        <w:spacing w:before="1" w:line="249" w:lineRule="auto"/>
        <w:ind w:left="610" w:right="428" w:firstLine="360"/>
        <w:jc w:val="both"/>
      </w:pPr>
      <w:r>
        <w:t xml:space="preserve">We seek to obtain insurance coverage from established and reputable insurance carriers to the extent available </w:t>
      </w:r>
      <w:proofErr w:type="gramStart"/>
      <w:r>
        <w:t>in order to</w:t>
      </w:r>
      <w:proofErr w:type="gramEnd"/>
      <w:r>
        <w:t xml:space="preserve"> cover these risks and liabilities. However, the amount of insurance coverage that we maintain or that is available to purchase in the</w:t>
      </w:r>
      <w:r>
        <w:rPr>
          <w:spacing w:val="-2"/>
        </w:rPr>
        <w:t xml:space="preserve"> </w:t>
      </w:r>
      <w:r>
        <w:t>market</w:t>
      </w:r>
      <w:r>
        <w:rPr>
          <w:spacing w:val="-2"/>
        </w:rPr>
        <w:t xml:space="preserve"> </w:t>
      </w:r>
      <w:r>
        <w:t>may</w:t>
      </w:r>
      <w:r>
        <w:rPr>
          <w:spacing w:val="-2"/>
        </w:rPr>
        <w:t xml:space="preserve"> </w:t>
      </w:r>
      <w:r>
        <w:t>not</w:t>
      </w:r>
      <w:r>
        <w:rPr>
          <w:spacing w:val="-2"/>
        </w:rPr>
        <w:t xml:space="preserve"> </w:t>
      </w:r>
      <w:r>
        <w:t>be</w:t>
      </w:r>
      <w:r>
        <w:rPr>
          <w:spacing w:val="-2"/>
        </w:rPr>
        <w:t xml:space="preserve"> </w:t>
      </w:r>
      <w:r>
        <w:t>adequate</w:t>
      </w:r>
      <w:r>
        <w:rPr>
          <w:spacing w:val="-2"/>
        </w:rPr>
        <w:t xml:space="preserve"> </w:t>
      </w:r>
      <w:r>
        <w:t>to</w:t>
      </w:r>
      <w:r>
        <w:rPr>
          <w:spacing w:val="-2"/>
        </w:rPr>
        <w:t xml:space="preserve"> </w:t>
      </w:r>
      <w:r>
        <w:t>cover</w:t>
      </w:r>
      <w:r>
        <w:rPr>
          <w:spacing w:val="-2"/>
        </w:rPr>
        <w:t xml:space="preserve"> </w:t>
      </w:r>
      <w:r>
        <w:t>all</w:t>
      </w:r>
      <w:r>
        <w:rPr>
          <w:spacing w:val="-2"/>
        </w:rPr>
        <w:t xml:space="preserve"> </w:t>
      </w:r>
      <w:r>
        <w:t>claims</w:t>
      </w:r>
      <w:r>
        <w:rPr>
          <w:spacing w:val="-2"/>
        </w:rPr>
        <w:t xml:space="preserve"> </w:t>
      </w:r>
      <w:r>
        <w:t>or</w:t>
      </w:r>
      <w:r>
        <w:rPr>
          <w:spacing w:val="-2"/>
        </w:rPr>
        <w:t xml:space="preserve"> </w:t>
      </w:r>
      <w:r>
        <w:t>liabilities.</w:t>
      </w:r>
      <w:r>
        <w:rPr>
          <w:spacing w:val="-2"/>
        </w:rPr>
        <w:t xml:space="preserve"> </w:t>
      </w:r>
      <w:r>
        <w:t>Insurance</w:t>
      </w:r>
      <w:r>
        <w:rPr>
          <w:spacing w:val="-2"/>
        </w:rPr>
        <w:t xml:space="preserve"> </w:t>
      </w:r>
      <w:r>
        <w:t>coverage</w:t>
      </w:r>
      <w:r>
        <w:rPr>
          <w:spacing w:val="-2"/>
        </w:rPr>
        <w:t xml:space="preserve"> </w:t>
      </w:r>
      <w:r>
        <w:t>is</w:t>
      </w:r>
      <w:r>
        <w:rPr>
          <w:spacing w:val="-2"/>
        </w:rPr>
        <w:t xml:space="preserve"> </w:t>
      </w:r>
      <w:r>
        <w:t>subject</w:t>
      </w:r>
      <w:r>
        <w:rPr>
          <w:spacing w:val="-2"/>
        </w:rPr>
        <w:t xml:space="preserve"> </w:t>
      </w:r>
      <w:r>
        <w:t>to</w:t>
      </w:r>
      <w:r>
        <w:rPr>
          <w:spacing w:val="-2"/>
        </w:rPr>
        <w:t xml:space="preserve"> </w:t>
      </w:r>
      <w:r>
        <w:t>the</w:t>
      </w:r>
      <w:r>
        <w:rPr>
          <w:spacing w:val="-2"/>
        </w:rPr>
        <w:t xml:space="preserve"> </w:t>
      </w:r>
      <w:r>
        <w:t>terms</w:t>
      </w:r>
      <w:r>
        <w:rPr>
          <w:spacing w:val="-2"/>
        </w:rPr>
        <w:t xml:space="preserve"> </w:t>
      </w:r>
      <w:r>
        <w:t>and</w:t>
      </w:r>
      <w:r>
        <w:rPr>
          <w:spacing w:val="-2"/>
        </w:rPr>
        <w:t xml:space="preserve"> </w:t>
      </w:r>
      <w:r>
        <w:t>conditions</w:t>
      </w:r>
      <w:r>
        <w:rPr>
          <w:spacing w:val="-2"/>
        </w:rPr>
        <w:t xml:space="preserve"> </w:t>
      </w:r>
      <w:r>
        <w:t>of</w:t>
      </w:r>
      <w:r>
        <w:rPr>
          <w:spacing w:val="-2"/>
        </w:rPr>
        <w:t xml:space="preserve"> </w:t>
      </w:r>
      <w:r>
        <w:t>the insurance</w:t>
      </w:r>
      <w:r>
        <w:rPr>
          <w:spacing w:val="-1"/>
        </w:rPr>
        <w:t xml:space="preserve"> </w:t>
      </w:r>
      <w:r>
        <w:t>contract</w:t>
      </w:r>
      <w:r>
        <w:rPr>
          <w:spacing w:val="-1"/>
        </w:rPr>
        <w:t xml:space="preserve"> </w:t>
      </w:r>
      <w:r>
        <w:t>and is</w:t>
      </w:r>
      <w:r>
        <w:rPr>
          <w:spacing w:val="-1"/>
        </w:rPr>
        <w:t xml:space="preserve"> </w:t>
      </w:r>
      <w:r>
        <w:t>further subject</w:t>
      </w:r>
      <w:r>
        <w:rPr>
          <w:spacing w:val="-1"/>
        </w:rPr>
        <w:t xml:space="preserve"> </w:t>
      </w:r>
      <w:r>
        <w:t xml:space="preserve">to any </w:t>
      </w:r>
      <w:proofErr w:type="spellStart"/>
      <w:r>
        <w:t>sublimits</w:t>
      </w:r>
      <w:proofErr w:type="spellEnd"/>
      <w:r>
        <w:t>, exclusions, restrictions, or defenses, including standard exclusions</w:t>
      </w:r>
      <w:r>
        <w:rPr>
          <w:spacing w:val="-1"/>
        </w:rPr>
        <w:t xml:space="preserve"> </w:t>
      </w:r>
      <w:r>
        <w:t>for</w:t>
      </w:r>
    </w:p>
    <w:p w14:paraId="6470D921" w14:textId="77777777" w:rsidR="00AE2255" w:rsidRDefault="00AE2255">
      <w:pPr>
        <w:spacing w:line="249" w:lineRule="auto"/>
        <w:jc w:val="both"/>
        <w:sectPr w:rsidR="00AE2255">
          <w:pgSz w:w="12240" w:h="15840"/>
          <w:pgMar w:top="440" w:right="560" w:bottom="720" w:left="380" w:header="230" w:footer="531" w:gutter="0"/>
          <w:cols w:space="720"/>
        </w:sectPr>
      </w:pPr>
    </w:p>
    <w:p w14:paraId="5846A4CC" w14:textId="77777777" w:rsidR="00AE2255" w:rsidRDefault="00AE2255">
      <w:pPr>
        <w:pStyle w:val="BodyText"/>
        <w:spacing w:before="10"/>
        <w:rPr>
          <w:sz w:val="22"/>
        </w:rPr>
      </w:pPr>
    </w:p>
    <w:p w14:paraId="292D0FD6" w14:textId="77777777" w:rsidR="00AE2255" w:rsidRDefault="00000000">
      <w:pPr>
        <w:pStyle w:val="BodyText"/>
        <w:spacing w:before="92" w:line="249" w:lineRule="auto"/>
        <w:ind w:left="610" w:right="428"/>
        <w:jc w:val="both"/>
      </w:pPr>
      <w:r>
        <w:t xml:space="preserve">acts of war. Existing coverage is renewed annually and may be canceled pursuant to the terms of the policies while we remain exposed to the </w:t>
      </w:r>
      <w:proofErr w:type="gramStart"/>
      <w:r>
        <w:t>risk</w:t>
      </w:r>
      <w:proofErr w:type="gramEnd"/>
      <w:r>
        <w:t xml:space="preserve"> and it is not possible to obtain insurance to protect against all operational risks, natural hazards and liabilities. For example, we are limited in the amount of insurance we can obtain to cover unusually hazardous risks or certain natural</w:t>
      </w:r>
      <w:r>
        <w:rPr>
          <w:spacing w:val="-2"/>
        </w:rPr>
        <w:t xml:space="preserve"> </w:t>
      </w:r>
      <w:r>
        <w:t>hazards</w:t>
      </w:r>
      <w:r>
        <w:rPr>
          <w:spacing w:val="-2"/>
        </w:rPr>
        <w:t xml:space="preserve"> </w:t>
      </w:r>
      <w:r>
        <w:t>such</w:t>
      </w:r>
      <w:r>
        <w:rPr>
          <w:spacing w:val="-2"/>
        </w:rPr>
        <w:t xml:space="preserve"> </w:t>
      </w:r>
      <w:r>
        <w:t>as</w:t>
      </w:r>
      <w:r>
        <w:rPr>
          <w:spacing w:val="-2"/>
        </w:rPr>
        <w:t xml:space="preserve"> </w:t>
      </w:r>
      <w:r>
        <w:t>earthquakes,</w:t>
      </w:r>
      <w:r>
        <w:rPr>
          <w:spacing w:val="-2"/>
        </w:rPr>
        <w:t xml:space="preserve"> </w:t>
      </w:r>
      <w:proofErr w:type="gramStart"/>
      <w:r>
        <w:t>fires</w:t>
      </w:r>
      <w:proofErr w:type="gramEnd"/>
      <w:r>
        <w:rPr>
          <w:spacing w:val="-2"/>
        </w:rPr>
        <w:t xml:space="preserve"> </w:t>
      </w:r>
      <w:r>
        <w:t>or</w:t>
      </w:r>
      <w:r>
        <w:rPr>
          <w:spacing w:val="-2"/>
        </w:rPr>
        <w:t xml:space="preserve"> </w:t>
      </w:r>
      <w:r>
        <w:t>extreme</w:t>
      </w:r>
      <w:r>
        <w:rPr>
          <w:spacing w:val="-2"/>
        </w:rPr>
        <w:t xml:space="preserve"> </w:t>
      </w:r>
      <w:r>
        <w:t>weather</w:t>
      </w:r>
      <w:r>
        <w:rPr>
          <w:spacing w:val="-2"/>
        </w:rPr>
        <w:t xml:space="preserve"> </w:t>
      </w:r>
      <w:r>
        <w:t>conditions,</w:t>
      </w:r>
      <w:r>
        <w:rPr>
          <w:spacing w:val="-2"/>
        </w:rPr>
        <w:t xml:space="preserve"> </w:t>
      </w:r>
      <w:r>
        <w:t>some</w:t>
      </w:r>
      <w:r>
        <w:rPr>
          <w:spacing w:val="-2"/>
        </w:rPr>
        <w:t xml:space="preserve"> </w:t>
      </w:r>
      <w:r>
        <w:t>of</w:t>
      </w:r>
      <w:r>
        <w:rPr>
          <w:spacing w:val="-2"/>
        </w:rPr>
        <w:t xml:space="preserve"> </w:t>
      </w:r>
      <w:r>
        <w:t>which</w:t>
      </w:r>
      <w:r>
        <w:rPr>
          <w:spacing w:val="-2"/>
        </w:rPr>
        <w:t xml:space="preserve"> </w:t>
      </w:r>
      <w:r>
        <w:t>may</w:t>
      </w:r>
      <w:r>
        <w:rPr>
          <w:spacing w:val="-2"/>
        </w:rPr>
        <w:t xml:space="preserve"> </w:t>
      </w:r>
      <w:r>
        <w:t>be</w:t>
      </w:r>
      <w:r>
        <w:rPr>
          <w:spacing w:val="-2"/>
        </w:rPr>
        <w:t xml:space="preserve"> </w:t>
      </w:r>
      <w:r>
        <w:t>exacerbated</w:t>
      </w:r>
      <w:r>
        <w:rPr>
          <w:spacing w:val="-2"/>
        </w:rPr>
        <w:t xml:space="preserve"> </w:t>
      </w:r>
      <w:r>
        <w:t>by</w:t>
      </w:r>
      <w:r>
        <w:rPr>
          <w:spacing w:val="-2"/>
        </w:rPr>
        <w:t xml:space="preserve"> </w:t>
      </w:r>
      <w:r>
        <w:t>climate</w:t>
      </w:r>
      <w:r>
        <w:rPr>
          <w:spacing w:val="-2"/>
        </w:rPr>
        <w:t xml:space="preserve"> </w:t>
      </w:r>
      <w:r>
        <w:t xml:space="preserve">change. We have significant operations in geographic areas prone to these risks, such as in California, </w:t>
      </w:r>
      <w:proofErr w:type="gramStart"/>
      <w:r>
        <w:t>Florida</w:t>
      </w:r>
      <w:proofErr w:type="gramEnd"/>
      <w:r>
        <w:t xml:space="preserve"> and Texas and certain of our properties have suffered damage from natural disasters in the past and may again in the future. We could incur significant costs to improve the climate resiliency of our infrastructure and supply chain and otherwise prepare for, respond to, and</w:t>
      </w:r>
      <w:r>
        <w:rPr>
          <w:spacing w:val="40"/>
        </w:rPr>
        <w:t xml:space="preserve"> </w:t>
      </w:r>
      <w:r>
        <w:t>mitigate the effects of climate change. In addition, under certain classified fixed price development and production contracts,</w:t>
      </w:r>
      <w:r>
        <w:rPr>
          <w:spacing w:val="40"/>
        </w:rPr>
        <w:t xml:space="preserve"> </w:t>
      </w:r>
      <w:r>
        <w:t xml:space="preserve">we are unable to </w:t>
      </w:r>
      <w:proofErr w:type="gramStart"/>
      <w:r>
        <w:t>insure</w:t>
      </w:r>
      <w:proofErr w:type="gramEnd"/>
      <w:r>
        <w:t xml:space="preserve"> risk of loss to government property because of the classified nature of the contracts and the inability to disclose classified information necessary for underwriting and claims to commercial insurers. Even if insurance coverage is available, we may not be able to obtain it in an amount, at a price or on terms acceptable to us. Some insurance providers may be unable or unwilling to provide us insurance given the nature of our business or products. Additionally, disputes with insurance carriers over coverage terms or the insolvency of one or more of our insurance carriers may significantly affect the amount or timing of our cash flows.</w:t>
      </w:r>
    </w:p>
    <w:p w14:paraId="40C54388" w14:textId="77777777" w:rsidR="00AE2255" w:rsidRDefault="00AE2255">
      <w:pPr>
        <w:pStyle w:val="BodyText"/>
        <w:spacing w:before="4"/>
        <w:rPr>
          <w:sz w:val="18"/>
        </w:rPr>
      </w:pPr>
    </w:p>
    <w:p w14:paraId="6ABC9A7C" w14:textId="77777777" w:rsidR="00AE2255" w:rsidRDefault="00000000">
      <w:pPr>
        <w:pStyle w:val="BodyText"/>
        <w:spacing w:line="249" w:lineRule="auto"/>
        <w:ind w:left="610" w:right="427" w:firstLine="360"/>
        <w:jc w:val="both"/>
      </w:pPr>
      <w:r>
        <w:t xml:space="preserve">Substantial costs resulting from an accident; failure of or defect in our products or services; natural catastrophe or other incident; or liability arising from our products and services </w:t>
      </w:r>
      <w:proofErr w:type="gramStart"/>
      <w:r>
        <w:t>in excess of</w:t>
      </w:r>
      <w:proofErr w:type="gramEnd"/>
      <w:r>
        <w:t xml:space="preserve"> any legal protection, indemnity, and our insurance coverage (or for which indemnity or insurance is not available or not obtained) could adversely impact our financial condition, cash flows, and operating results. Any accident, failure of, or defect in our products or services, even if fully indemnified or insured,</w:t>
      </w:r>
      <w:r>
        <w:rPr>
          <w:spacing w:val="-1"/>
        </w:rPr>
        <w:t xml:space="preserve"> </w:t>
      </w:r>
      <w:r>
        <w:t>could</w:t>
      </w:r>
      <w:r>
        <w:rPr>
          <w:spacing w:val="-1"/>
        </w:rPr>
        <w:t xml:space="preserve"> </w:t>
      </w:r>
      <w:r>
        <w:t>negatively</w:t>
      </w:r>
      <w:r>
        <w:rPr>
          <w:spacing w:val="-1"/>
        </w:rPr>
        <w:t xml:space="preserve"> </w:t>
      </w:r>
      <w:r>
        <w:t>affect</w:t>
      </w:r>
      <w:r>
        <w:rPr>
          <w:spacing w:val="-1"/>
        </w:rPr>
        <w:t xml:space="preserve"> </w:t>
      </w:r>
      <w:r>
        <w:t>our</w:t>
      </w:r>
      <w:r>
        <w:rPr>
          <w:spacing w:val="-1"/>
        </w:rPr>
        <w:t xml:space="preserve"> </w:t>
      </w:r>
      <w:r>
        <w:t>reputation</w:t>
      </w:r>
      <w:r>
        <w:rPr>
          <w:spacing w:val="-1"/>
        </w:rPr>
        <w:t xml:space="preserve"> </w:t>
      </w:r>
      <w:r>
        <w:t>among</w:t>
      </w:r>
      <w:r>
        <w:rPr>
          <w:spacing w:val="-1"/>
        </w:rPr>
        <w:t xml:space="preserve"> </w:t>
      </w:r>
      <w:r>
        <w:t>our</w:t>
      </w:r>
      <w:r>
        <w:rPr>
          <w:spacing w:val="-1"/>
        </w:rPr>
        <w:t xml:space="preserve"> </w:t>
      </w:r>
      <w:r>
        <w:t>customers</w:t>
      </w:r>
      <w:r>
        <w:rPr>
          <w:spacing w:val="-1"/>
        </w:rPr>
        <w:t xml:space="preserve"> </w:t>
      </w:r>
      <w:r>
        <w:t>and</w:t>
      </w:r>
      <w:r>
        <w:rPr>
          <w:spacing w:val="-1"/>
        </w:rPr>
        <w:t xml:space="preserve"> </w:t>
      </w:r>
      <w:r>
        <w:t>the</w:t>
      </w:r>
      <w:r>
        <w:rPr>
          <w:spacing w:val="-1"/>
        </w:rPr>
        <w:t xml:space="preserve"> </w:t>
      </w:r>
      <w:r>
        <w:t>public</w:t>
      </w:r>
      <w:r>
        <w:rPr>
          <w:spacing w:val="-1"/>
        </w:rPr>
        <w:t xml:space="preserve"> </w:t>
      </w:r>
      <w:r>
        <w:t>and</w:t>
      </w:r>
      <w:r>
        <w:rPr>
          <w:spacing w:val="-1"/>
        </w:rPr>
        <w:t xml:space="preserve"> </w:t>
      </w:r>
      <w:r>
        <w:t>make</w:t>
      </w:r>
      <w:r>
        <w:rPr>
          <w:spacing w:val="-1"/>
        </w:rPr>
        <w:t xml:space="preserve"> </w:t>
      </w:r>
      <w:r>
        <w:t>it</w:t>
      </w:r>
      <w:r>
        <w:rPr>
          <w:spacing w:val="-1"/>
        </w:rPr>
        <w:t xml:space="preserve"> </w:t>
      </w:r>
      <w:r>
        <w:t>more</w:t>
      </w:r>
      <w:r>
        <w:rPr>
          <w:spacing w:val="-1"/>
        </w:rPr>
        <w:t xml:space="preserve"> </w:t>
      </w:r>
      <w:r>
        <w:t>difficult</w:t>
      </w:r>
      <w:r>
        <w:rPr>
          <w:spacing w:val="-1"/>
        </w:rPr>
        <w:t xml:space="preserve"> </w:t>
      </w:r>
      <w:r>
        <w:t>for</w:t>
      </w:r>
      <w:r>
        <w:rPr>
          <w:spacing w:val="-1"/>
        </w:rPr>
        <w:t xml:space="preserve"> </w:t>
      </w:r>
      <w:r>
        <w:t>us</w:t>
      </w:r>
      <w:r>
        <w:rPr>
          <w:spacing w:val="-1"/>
        </w:rPr>
        <w:t xml:space="preserve"> </w:t>
      </w:r>
      <w:r>
        <w:t>to</w:t>
      </w:r>
      <w:r>
        <w:rPr>
          <w:spacing w:val="-1"/>
        </w:rPr>
        <w:t xml:space="preserve"> </w:t>
      </w:r>
      <w:r>
        <w:t>compete effectively. It also could affect the cost and availability of adequate insurance in the future.</w:t>
      </w:r>
    </w:p>
    <w:p w14:paraId="607F7E55" w14:textId="77777777" w:rsidR="00AE2255" w:rsidRDefault="00AE2255">
      <w:pPr>
        <w:pStyle w:val="BodyText"/>
        <w:spacing w:before="6"/>
        <w:rPr>
          <w:sz w:val="17"/>
        </w:rPr>
      </w:pPr>
    </w:p>
    <w:p w14:paraId="161E6351" w14:textId="77777777" w:rsidR="00AE2255" w:rsidRDefault="00000000">
      <w:pPr>
        <w:pStyle w:val="Heading3"/>
        <w:spacing w:line="249" w:lineRule="auto"/>
        <w:ind w:right="428"/>
        <w:jc w:val="both"/>
      </w:pPr>
      <w:r>
        <w:t>Environmental costs and regulation, including in relation to climate change, could adversely affect our future earnings as well as the affordability of our products and services.</w:t>
      </w:r>
    </w:p>
    <w:p w14:paraId="26D4C523" w14:textId="77777777" w:rsidR="00AE2255" w:rsidRDefault="00AE2255">
      <w:pPr>
        <w:pStyle w:val="BodyText"/>
        <w:spacing w:before="10"/>
        <w:rPr>
          <w:b/>
          <w:i/>
          <w:sz w:val="17"/>
        </w:rPr>
      </w:pPr>
    </w:p>
    <w:p w14:paraId="4B9B97B8" w14:textId="77777777" w:rsidR="00AE2255" w:rsidRDefault="00000000">
      <w:pPr>
        <w:pStyle w:val="BodyText"/>
        <w:spacing w:line="249" w:lineRule="auto"/>
        <w:ind w:left="610" w:right="429" w:firstLine="360"/>
        <w:jc w:val="both"/>
      </w:pPr>
      <w:r>
        <w:t>We are subject to federal, state, local and foreign requirements for the protection of the environment, including those for discharge of hazardous materials and remediation of contaminated sites. Due in part to the complexity and pervasiveness of these requirements, we are a party to or have property subject to various lawsuits, proceedings, and remediation obligations. These</w:t>
      </w:r>
      <w:r>
        <w:rPr>
          <w:spacing w:val="-1"/>
        </w:rPr>
        <w:t xml:space="preserve"> </w:t>
      </w:r>
      <w:r>
        <w:t>types</w:t>
      </w:r>
      <w:r>
        <w:rPr>
          <w:spacing w:val="-1"/>
        </w:rPr>
        <w:t xml:space="preserve"> </w:t>
      </w:r>
      <w:r>
        <w:t>of</w:t>
      </w:r>
      <w:r>
        <w:rPr>
          <w:spacing w:val="-1"/>
        </w:rPr>
        <w:t xml:space="preserve"> </w:t>
      </w:r>
      <w:r>
        <w:t>matters</w:t>
      </w:r>
      <w:r>
        <w:rPr>
          <w:spacing w:val="-1"/>
        </w:rPr>
        <w:t xml:space="preserve"> </w:t>
      </w:r>
      <w:r>
        <w:t>could</w:t>
      </w:r>
      <w:r>
        <w:rPr>
          <w:spacing w:val="-1"/>
        </w:rPr>
        <w:t xml:space="preserve"> </w:t>
      </w:r>
      <w:r>
        <w:t>result</w:t>
      </w:r>
      <w:r>
        <w:rPr>
          <w:spacing w:val="-1"/>
        </w:rPr>
        <w:t xml:space="preserve"> </w:t>
      </w:r>
      <w:r>
        <w:t>in</w:t>
      </w:r>
      <w:r>
        <w:rPr>
          <w:spacing w:val="-1"/>
        </w:rPr>
        <w:t xml:space="preserve"> </w:t>
      </w:r>
      <w:r>
        <w:t>fines,</w:t>
      </w:r>
      <w:r>
        <w:rPr>
          <w:spacing w:val="-1"/>
        </w:rPr>
        <w:t xml:space="preserve"> </w:t>
      </w:r>
      <w:r>
        <w:t>penalties,</w:t>
      </w:r>
      <w:r>
        <w:rPr>
          <w:spacing w:val="-1"/>
        </w:rPr>
        <w:t xml:space="preserve"> </w:t>
      </w:r>
      <w:r>
        <w:t>cost</w:t>
      </w:r>
      <w:r>
        <w:rPr>
          <w:spacing w:val="-1"/>
        </w:rPr>
        <w:t xml:space="preserve"> </w:t>
      </w:r>
      <w:r>
        <w:t>reimbursements</w:t>
      </w:r>
      <w:r>
        <w:rPr>
          <w:spacing w:val="-1"/>
        </w:rPr>
        <w:t xml:space="preserve"> </w:t>
      </w:r>
      <w:r>
        <w:t>or</w:t>
      </w:r>
      <w:r>
        <w:rPr>
          <w:spacing w:val="-1"/>
        </w:rPr>
        <w:t xml:space="preserve"> </w:t>
      </w:r>
      <w:r>
        <w:t>contributions,</w:t>
      </w:r>
      <w:r>
        <w:rPr>
          <w:spacing w:val="-1"/>
        </w:rPr>
        <w:t xml:space="preserve"> </w:t>
      </w:r>
      <w:r>
        <w:t>compensatory</w:t>
      </w:r>
      <w:r>
        <w:rPr>
          <w:spacing w:val="-1"/>
        </w:rPr>
        <w:t xml:space="preserve"> </w:t>
      </w:r>
      <w:r>
        <w:t>or</w:t>
      </w:r>
      <w:r>
        <w:rPr>
          <w:spacing w:val="-1"/>
        </w:rPr>
        <w:t xml:space="preserve"> </w:t>
      </w:r>
      <w:r>
        <w:t>treble</w:t>
      </w:r>
      <w:r>
        <w:rPr>
          <w:spacing w:val="-1"/>
        </w:rPr>
        <w:t xml:space="preserve"> </w:t>
      </w:r>
      <w:r>
        <w:t>damages</w:t>
      </w:r>
      <w:r>
        <w:rPr>
          <w:spacing w:val="-1"/>
        </w:rPr>
        <w:t xml:space="preserve"> </w:t>
      </w:r>
      <w:r>
        <w:t>or non-monetary sanctions or relief. We have incurred and will continue to incur liabilities for environmental remediation at some of</w:t>
      </w:r>
      <w:r>
        <w:rPr>
          <w:spacing w:val="-3"/>
        </w:rPr>
        <w:t xml:space="preserve"> </w:t>
      </w:r>
      <w:r>
        <w:t>our</w:t>
      </w:r>
      <w:r>
        <w:rPr>
          <w:spacing w:val="-3"/>
        </w:rPr>
        <w:t xml:space="preserve"> </w:t>
      </w:r>
      <w:r>
        <w:t>current</w:t>
      </w:r>
      <w:r>
        <w:rPr>
          <w:spacing w:val="-3"/>
        </w:rPr>
        <w:t xml:space="preserve"> </w:t>
      </w:r>
      <w:r>
        <w:t>and</w:t>
      </w:r>
      <w:r>
        <w:rPr>
          <w:spacing w:val="-3"/>
        </w:rPr>
        <w:t xml:space="preserve"> </w:t>
      </w:r>
      <w:r>
        <w:t>former</w:t>
      </w:r>
      <w:r>
        <w:rPr>
          <w:spacing w:val="-3"/>
        </w:rPr>
        <w:t xml:space="preserve"> </w:t>
      </w:r>
      <w:r>
        <w:t>facilities</w:t>
      </w:r>
      <w:r>
        <w:rPr>
          <w:spacing w:val="-3"/>
        </w:rPr>
        <w:t xml:space="preserve"> </w:t>
      </w:r>
      <w:r>
        <w:t>and</w:t>
      </w:r>
      <w:r>
        <w:rPr>
          <w:spacing w:val="-3"/>
        </w:rPr>
        <w:t xml:space="preserve"> </w:t>
      </w:r>
      <w:r>
        <w:t>at</w:t>
      </w:r>
      <w:r>
        <w:rPr>
          <w:spacing w:val="-3"/>
        </w:rPr>
        <w:t xml:space="preserve"> </w:t>
      </w:r>
      <w:proofErr w:type="gramStart"/>
      <w:r>
        <w:t>third-party</w:t>
      </w:r>
      <w:proofErr w:type="gramEnd"/>
      <w:r>
        <w:t>-owned</w:t>
      </w:r>
      <w:r>
        <w:rPr>
          <w:spacing w:val="-3"/>
        </w:rPr>
        <w:t xml:space="preserve"> </w:t>
      </w:r>
      <w:r>
        <w:t>sites</w:t>
      </w:r>
      <w:r>
        <w:rPr>
          <w:spacing w:val="-3"/>
        </w:rPr>
        <w:t xml:space="preserve"> </w:t>
      </w:r>
      <w:r>
        <w:t>where</w:t>
      </w:r>
      <w:r>
        <w:rPr>
          <w:spacing w:val="-3"/>
        </w:rPr>
        <w:t xml:space="preserve"> </w:t>
      </w:r>
      <w:r>
        <w:t>we</w:t>
      </w:r>
      <w:r>
        <w:rPr>
          <w:spacing w:val="-3"/>
        </w:rPr>
        <w:t xml:space="preserve"> </w:t>
      </w:r>
      <w:r>
        <w:t>have</w:t>
      </w:r>
      <w:r>
        <w:rPr>
          <w:spacing w:val="-3"/>
        </w:rPr>
        <w:t xml:space="preserve"> </w:t>
      </w:r>
      <w:r>
        <w:t>been</w:t>
      </w:r>
      <w:r>
        <w:rPr>
          <w:spacing w:val="-3"/>
        </w:rPr>
        <w:t xml:space="preserve"> </w:t>
      </w:r>
      <w:r>
        <w:t>designated</w:t>
      </w:r>
      <w:r>
        <w:rPr>
          <w:spacing w:val="-3"/>
        </w:rPr>
        <w:t xml:space="preserve"> </w:t>
      </w:r>
      <w:r>
        <w:t>a</w:t>
      </w:r>
      <w:r>
        <w:rPr>
          <w:spacing w:val="-3"/>
        </w:rPr>
        <w:t xml:space="preserve"> </w:t>
      </w:r>
      <w:r>
        <w:t>potentially</w:t>
      </w:r>
      <w:r>
        <w:rPr>
          <w:spacing w:val="-3"/>
        </w:rPr>
        <w:t xml:space="preserve"> </w:t>
      </w:r>
      <w:r>
        <w:t>responsible</w:t>
      </w:r>
      <w:r>
        <w:rPr>
          <w:spacing w:val="-3"/>
        </w:rPr>
        <w:t xml:space="preserve"> </w:t>
      </w:r>
      <w:r>
        <w:t>party as</w:t>
      </w:r>
      <w:r>
        <w:rPr>
          <w:spacing w:val="-3"/>
        </w:rPr>
        <w:t xml:space="preserve"> </w:t>
      </w:r>
      <w:r>
        <w:t>a</w:t>
      </w:r>
      <w:r>
        <w:rPr>
          <w:spacing w:val="-3"/>
        </w:rPr>
        <w:t xml:space="preserve"> </w:t>
      </w:r>
      <w:r>
        <w:t>result</w:t>
      </w:r>
      <w:r>
        <w:rPr>
          <w:spacing w:val="-3"/>
        </w:rPr>
        <w:t xml:space="preserve"> </w:t>
      </w:r>
      <w:r>
        <w:t>of</w:t>
      </w:r>
      <w:r>
        <w:rPr>
          <w:spacing w:val="-2"/>
        </w:rPr>
        <w:t xml:space="preserve"> </w:t>
      </w:r>
      <w:r>
        <w:t>our</w:t>
      </w:r>
      <w:r>
        <w:rPr>
          <w:spacing w:val="-2"/>
        </w:rPr>
        <w:t xml:space="preserve"> </w:t>
      </w:r>
      <w:r>
        <w:t>historical</w:t>
      </w:r>
      <w:r>
        <w:rPr>
          <w:spacing w:val="-3"/>
        </w:rPr>
        <w:t xml:space="preserve"> </w:t>
      </w:r>
      <w:r>
        <w:t>activities</w:t>
      </w:r>
      <w:r>
        <w:rPr>
          <w:spacing w:val="-3"/>
        </w:rPr>
        <w:t xml:space="preserve"> </w:t>
      </w:r>
      <w:r>
        <w:t>and</w:t>
      </w:r>
      <w:r>
        <w:rPr>
          <w:spacing w:val="-2"/>
        </w:rPr>
        <w:t xml:space="preserve"> </w:t>
      </w:r>
      <w:r>
        <w:t>those</w:t>
      </w:r>
      <w:r>
        <w:rPr>
          <w:spacing w:val="-3"/>
        </w:rPr>
        <w:t xml:space="preserve"> </w:t>
      </w:r>
      <w:r>
        <w:t>of</w:t>
      </w:r>
      <w:r>
        <w:rPr>
          <w:spacing w:val="-2"/>
        </w:rPr>
        <w:t xml:space="preserve"> </w:t>
      </w:r>
      <w:r>
        <w:t>our</w:t>
      </w:r>
      <w:r>
        <w:rPr>
          <w:spacing w:val="-2"/>
        </w:rPr>
        <w:t xml:space="preserve"> </w:t>
      </w:r>
      <w:r>
        <w:t>predecessor</w:t>
      </w:r>
      <w:r>
        <w:rPr>
          <w:spacing w:val="-2"/>
        </w:rPr>
        <w:t xml:space="preserve"> </w:t>
      </w:r>
      <w:r>
        <w:t>companies.</w:t>
      </w:r>
      <w:r>
        <w:rPr>
          <w:spacing w:val="-2"/>
        </w:rPr>
        <w:t xml:space="preserve"> </w:t>
      </w:r>
      <w:r>
        <w:t>Environmental</w:t>
      </w:r>
      <w:r>
        <w:rPr>
          <w:spacing w:val="-3"/>
        </w:rPr>
        <w:t xml:space="preserve"> </w:t>
      </w:r>
      <w:r>
        <w:t>remediation</w:t>
      </w:r>
      <w:r>
        <w:rPr>
          <w:spacing w:val="-2"/>
        </w:rPr>
        <w:t xml:space="preserve"> </w:t>
      </w:r>
      <w:r>
        <w:t>activities</w:t>
      </w:r>
      <w:r>
        <w:rPr>
          <w:spacing w:val="-3"/>
        </w:rPr>
        <w:t xml:space="preserve"> </w:t>
      </w:r>
      <w:r>
        <w:t>usually</w:t>
      </w:r>
      <w:r>
        <w:rPr>
          <w:spacing w:val="-2"/>
        </w:rPr>
        <w:t xml:space="preserve"> </w:t>
      </w:r>
      <w:r>
        <w:t>span many years, and the extent of financial exposure can be difficult to estimate. Among the variables management must assess in evaluating costs associated with these cases and remediation sites are the status of site assessment, extent of the contamination, impacts</w:t>
      </w:r>
      <w:r>
        <w:rPr>
          <w:spacing w:val="-2"/>
        </w:rPr>
        <w:t xml:space="preserve"> </w:t>
      </w:r>
      <w:r>
        <w:t>on</w:t>
      </w:r>
      <w:r>
        <w:rPr>
          <w:spacing w:val="-2"/>
        </w:rPr>
        <w:t xml:space="preserve"> </w:t>
      </w:r>
      <w:r>
        <w:t>natural</w:t>
      </w:r>
      <w:r>
        <w:rPr>
          <w:spacing w:val="-2"/>
        </w:rPr>
        <w:t xml:space="preserve"> </w:t>
      </w:r>
      <w:r>
        <w:t>resources,</w:t>
      </w:r>
      <w:r>
        <w:rPr>
          <w:spacing w:val="-2"/>
        </w:rPr>
        <w:t xml:space="preserve"> </w:t>
      </w:r>
      <w:r>
        <w:t>changing</w:t>
      </w:r>
      <w:r>
        <w:rPr>
          <w:spacing w:val="-2"/>
        </w:rPr>
        <w:t xml:space="preserve"> </w:t>
      </w:r>
      <w:r>
        <w:t>cost</w:t>
      </w:r>
      <w:r>
        <w:rPr>
          <w:spacing w:val="-2"/>
        </w:rPr>
        <w:t xml:space="preserve"> </w:t>
      </w:r>
      <w:r>
        <w:t>estimates,</w:t>
      </w:r>
      <w:r>
        <w:rPr>
          <w:spacing w:val="-2"/>
        </w:rPr>
        <w:t xml:space="preserve"> </w:t>
      </w:r>
      <w:r>
        <w:t>evolution</w:t>
      </w:r>
      <w:r>
        <w:rPr>
          <w:spacing w:val="-2"/>
        </w:rPr>
        <w:t xml:space="preserve"> </w:t>
      </w:r>
      <w:r>
        <w:t>of</w:t>
      </w:r>
      <w:r>
        <w:rPr>
          <w:spacing w:val="-2"/>
        </w:rPr>
        <w:t xml:space="preserve"> </w:t>
      </w:r>
      <w:r>
        <w:t>technologies</w:t>
      </w:r>
      <w:r>
        <w:rPr>
          <w:spacing w:val="-2"/>
        </w:rPr>
        <w:t xml:space="preserve"> </w:t>
      </w:r>
      <w:r>
        <w:t>used</w:t>
      </w:r>
      <w:r>
        <w:rPr>
          <w:spacing w:val="-2"/>
        </w:rPr>
        <w:t xml:space="preserve"> </w:t>
      </w:r>
      <w:r>
        <w:t>to</w:t>
      </w:r>
      <w:r>
        <w:rPr>
          <w:spacing w:val="-2"/>
        </w:rPr>
        <w:t xml:space="preserve"> </w:t>
      </w:r>
      <w:r>
        <w:t>remediate</w:t>
      </w:r>
      <w:r>
        <w:rPr>
          <w:spacing w:val="-2"/>
        </w:rPr>
        <w:t xml:space="preserve"> </w:t>
      </w:r>
      <w:r>
        <w:t>the</w:t>
      </w:r>
      <w:r>
        <w:rPr>
          <w:spacing w:val="-2"/>
        </w:rPr>
        <w:t xml:space="preserve"> </w:t>
      </w:r>
      <w:r>
        <w:t>site,</w:t>
      </w:r>
      <w:r>
        <w:rPr>
          <w:spacing w:val="-2"/>
        </w:rPr>
        <w:t xml:space="preserve"> </w:t>
      </w:r>
      <w:r>
        <w:t>continually</w:t>
      </w:r>
      <w:r>
        <w:rPr>
          <w:spacing w:val="-2"/>
        </w:rPr>
        <w:t xml:space="preserve"> </w:t>
      </w:r>
      <w:r>
        <w:t>evolving environmental standards, availability of insurance coverage and indemnification under existing agreements and cost</w:t>
      </w:r>
      <w:r>
        <w:rPr>
          <w:spacing w:val="40"/>
        </w:rPr>
        <w:t xml:space="preserve"> </w:t>
      </w:r>
      <w:r>
        <w:t>allowability issues, including varying efforts by the U.S. Government to limit allowability of our costs in resolving liability at third-party-owned sites. Our environmental remediation related liabilities also could increase significantly because of acquisitions, the regulation of new substances, stricter remediation standards for existing regulated substances, changes in the interpretation or enforcement of existing laws and regulations, or the discovery of previously unknown or more extensive contamination or new contaminants. For information regarding these matters, including current estimates of the amounts that</w:t>
      </w:r>
      <w:r>
        <w:rPr>
          <w:spacing w:val="40"/>
        </w:rPr>
        <w:t xml:space="preserve"> </w:t>
      </w:r>
      <w:r>
        <w:t>we believe are required for environmental remediation to the extent probable and estimable, see “Critical Accounting Policies - Environmental Matters” in the MD&amp;A and “Note 14 – Legal Proceedings, Commitments and Contingencies” included in our Notes to Consolidated Financial Statements.</w:t>
      </w:r>
    </w:p>
    <w:p w14:paraId="2B185D0A" w14:textId="77777777" w:rsidR="00AE2255" w:rsidRDefault="00AE2255">
      <w:pPr>
        <w:pStyle w:val="BodyText"/>
        <w:spacing w:before="8"/>
        <w:rPr>
          <w:sz w:val="18"/>
        </w:rPr>
      </w:pPr>
    </w:p>
    <w:p w14:paraId="60B61163" w14:textId="77777777" w:rsidR="00AE2255" w:rsidRDefault="00000000">
      <w:pPr>
        <w:pStyle w:val="BodyText"/>
        <w:spacing w:line="249" w:lineRule="auto"/>
        <w:ind w:left="610" w:right="428" w:firstLine="360"/>
        <w:jc w:val="both"/>
      </w:pPr>
      <w:r>
        <w:t>We manage and have managed various U.S. Government-owned facilities on behalf of the U.S. Government. At such facilities, environmental compliance and remediation costs historically have been the responsibility of the U.S. Government.</w:t>
      </w:r>
      <w:r>
        <w:rPr>
          <w:spacing w:val="40"/>
        </w:rPr>
        <w:t xml:space="preserve"> </w:t>
      </w:r>
      <w:r>
        <w:t>We have relied, and continue to rely with respect to past practices, on U.S. Government funding to pay such costs, notwithstanding efforts by some U.S. Government representatives to limit this responsibility. Although the U.S. Government remains responsible for capital and operating costs associated with environmental compliance, responsibility for fines and penalties associated with environmental noncompliance typically is borne by either the U.S. Government or the contractor, depending on the contract and the relevant facts. Some environmental laws include criminal provisions. A conviction under environmental law could affect our ability to be awarded future or perform under existing U.S. Government contracts.</w:t>
      </w:r>
    </w:p>
    <w:p w14:paraId="43C5EB1E" w14:textId="77777777" w:rsidR="00AE2255" w:rsidRDefault="00AE2255">
      <w:pPr>
        <w:pStyle w:val="BodyText"/>
        <w:spacing w:before="5"/>
        <w:rPr>
          <w:sz w:val="18"/>
        </w:rPr>
      </w:pPr>
    </w:p>
    <w:p w14:paraId="1AD9A3CF" w14:textId="77777777" w:rsidR="00AE2255" w:rsidRDefault="00000000">
      <w:pPr>
        <w:pStyle w:val="BodyText"/>
        <w:spacing w:before="1" w:line="232" w:lineRule="auto"/>
        <w:ind w:left="610" w:right="428" w:firstLine="360"/>
        <w:jc w:val="both"/>
      </w:pPr>
      <w:r>
        <w:t>The increasing global regulatory focus on greenhouse gas (GHG) emissions and their potential impacts relating to climate change</w:t>
      </w:r>
      <w:r>
        <w:rPr>
          <w:spacing w:val="-2"/>
        </w:rPr>
        <w:t xml:space="preserve"> </w:t>
      </w:r>
      <w:r>
        <w:t>could</w:t>
      </w:r>
      <w:r>
        <w:rPr>
          <w:spacing w:val="-2"/>
        </w:rPr>
        <w:t xml:space="preserve"> </w:t>
      </w:r>
      <w:r>
        <w:t>result</w:t>
      </w:r>
      <w:r>
        <w:rPr>
          <w:spacing w:val="-2"/>
        </w:rPr>
        <w:t xml:space="preserve"> </w:t>
      </w:r>
      <w:r>
        <w:t>in</w:t>
      </w:r>
      <w:r>
        <w:rPr>
          <w:spacing w:val="-2"/>
        </w:rPr>
        <w:t xml:space="preserve"> </w:t>
      </w:r>
      <w:r>
        <w:t>laws,</w:t>
      </w:r>
      <w:r>
        <w:rPr>
          <w:spacing w:val="-2"/>
        </w:rPr>
        <w:t xml:space="preserve"> </w:t>
      </w:r>
      <w:r>
        <w:t>regulations</w:t>
      </w:r>
      <w:r>
        <w:rPr>
          <w:spacing w:val="-2"/>
        </w:rPr>
        <w:t xml:space="preserve"> </w:t>
      </w:r>
      <w:r>
        <w:t>or</w:t>
      </w:r>
      <w:r>
        <w:rPr>
          <w:spacing w:val="-2"/>
        </w:rPr>
        <w:t xml:space="preserve"> </w:t>
      </w:r>
      <w:r>
        <w:t>policies</w:t>
      </w:r>
      <w:r>
        <w:rPr>
          <w:spacing w:val="-2"/>
        </w:rPr>
        <w:t xml:space="preserve"> </w:t>
      </w:r>
      <w:r>
        <w:t>that</w:t>
      </w:r>
      <w:r>
        <w:rPr>
          <w:spacing w:val="-2"/>
        </w:rPr>
        <w:t xml:space="preserve"> </w:t>
      </w:r>
      <w:r>
        <w:t>significantly</w:t>
      </w:r>
      <w:r>
        <w:rPr>
          <w:spacing w:val="-2"/>
        </w:rPr>
        <w:t xml:space="preserve"> </w:t>
      </w:r>
      <w:r>
        <w:t>increase</w:t>
      </w:r>
      <w:r>
        <w:rPr>
          <w:spacing w:val="-2"/>
        </w:rPr>
        <w:t xml:space="preserve"> </w:t>
      </w:r>
      <w:r>
        <w:t>our</w:t>
      </w:r>
      <w:r>
        <w:rPr>
          <w:spacing w:val="-2"/>
        </w:rPr>
        <w:t xml:space="preserve"> </w:t>
      </w:r>
      <w:r>
        <w:t>direct</w:t>
      </w:r>
      <w:r>
        <w:rPr>
          <w:spacing w:val="-2"/>
        </w:rPr>
        <w:t xml:space="preserve"> </w:t>
      </w:r>
      <w:r>
        <w:t>and</w:t>
      </w:r>
      <w:r>
        <w:rPr>
          <w:spacing w:val="-2"/>
        </w:rPr>
        <w:t xml:space="preserve"> </w:t>
      </w:r>
      <w:r>
        <w:t>indirect</w:t>
      </w:r>
      <w:r>
        <w:rPr>
          <w:spacing w:val="-2"/>
        </w:rPr>
        <w:t xml:space="preserve"> </w:t>
      </w:r>
      <w:r>
        <w:t>operational</w:t>
      </w:r>
      <w:r>
        <w:rPr>
          <w:spacing w:val="-2"/>
        </w:rPr>
        <w:t xml:space="preserve"> </w:t>
      </w:r>
      <w:r>
        <w:t>and</w:t>
      </w:r>
      <w:r>
        <w:rPr>
          <w:spacing w:val="-2"/>
        </w:rPr>
        <w:t xml:space="preserve"> </w:t>
      </w:r>
      <w:r>
        <w:t>compliance burdens, which could adversely affect our financial condition and results of operations. These laws, regulations or policies</w:t>
      </w:r>
      <w:r>
        <w:rPr>
          <w:spacing w:val="40"/>
        </w:rPr>
        <w:t xml:space="preserve"> </w:t>
      </w:r>
      <w:r>
        <w:t xml:space="preserve">could take many forms, including carbon taxes, cap and trade regimes, increased efficiency standards, GHG reduction commitments, </w:t>
      </w:r>
      <w:proofErr w:type="gramStart"/>
      <w:r>
        <w:t>incentives</w:t>
      </w:r>
      <w:proofErr w:type="gramEnd"/>
      <w:r>
        <w:t xml:space="preserve"> or mandates for particular types of energy or changes in procurement laws. Changes in government procurement</w:t>
      </w:r>
      <w:r>
        <w:rPr>
          <w:spacing w:val="16"/>
        </w:rPr>
        <w:t xml:space="preserve"> </w:t>
      </w:r>
      <w:r>
        <w:t>laws</w:t>
      </w:r>
      <w:r>
        <w:rPr>
          <w:spacing w:val="16"/>
        </w:rPr>
        <w:t xml:space="preserve"> </w:t>
      </w:r>
      <w:r>
        <w:t>that</w:t>
      </w:r>
      <w:r>
        <w:rPr>
          <w:spacing w:val="16"/>
        </w:rPr>
        <w:t xml:space="preserve"> </w:t>
      </w:r>
      <w:r>
        <w:t>mandate</w:t>
      </w:r>
      <w:r>
        <w:rPr>
          <w:spacing w:val="16"/>
        </w:rPr>
        <w:t xml:space="preserve"> </w:t>
      </w:r>
      <w:r>
        <w:t>or</w:t>
      </w:r>
      <w:r>
        <w:rPr>
          <w:spacing w:val="16"/>
        </w:rPr>
        <w:t xml:space="preserve"> </w:t>
      </w:r>
      <w:proofErr w:type="gramStart"/>
      <w:r>
        <w:t>take</w:t>
      </w:r>
      <w:r>
        <w:rPr>
          <w:spacing w:val="16"/>
        </w:rPr>
        <w:t xml:space="preserve"> </w:t>
      </w:r>
      <w:r>
        <w:t>into</w:t>
      </w:r>
      <w:r>
        <w:rPr>
          <w:spacing w:val="16"/>
        </w:rPr>
        <w:t xml:space="preserve"> </w:t>
      </w:r>
      <w:r>
        <w:t>account</w:t>
      </w:r>
      <w:proofErr w:type="gramEnd"/>
      <w:r>
        <w:rPr>
          <w:spacing w:val="16"/>
        </w:rPr>
        <w:t xml:space="preserve"> </w:t>
      </w:r>
      <w:r>
        <w:t>climate</w:t>
      </w:r>
      <w:r>
        <w:rPr>
          <w:spacing w:val="16"/>
        </w:rPr>
        <w:t xml:space="preserve"> </w:t>
      </w:r>
      <w:r>
        <w:t>change</w:t>
      </w:r>
      <w:r>
        <w:rPr>
          <w:spacing w:val="16"/>
        </w:rPr>
        <w:t xml:space="preserve"> </w:t>
      </w:r>
      <w:r>
        <w:t>considerations,</w:t>
      </w:r>
      <w:r>
        <w:rPr>
          <w:spacing w:val="16"/>
        </w:rPr>
        <w:t xml:space="preserve"> </w:t>
      </w:r>
      <w:r>
        <w:t>such</w:t>
      </w:r>
      <w:r>
        <w:rPr>
          <w:spacing w:val="16"/>
        </w:rPr>
        <w:t xml:space="preserve"> </w:t>
      </w:r>
      <w:r>
        <w:t>as</w:t>
      </w:r>
      <w:r>
        <w:rPr>
          <w:spacing w:val="16"/>
        </w:rPr>
        <w:t xml:space="preserve"> </w:t>
      </w:r>
      <w:r>
        <w:t>the</w:t>
      </w:r>
      <w:r>
        <w:rPr>
          <w:spacing w:val="16"/>
        </w:rPr>
        <w:t xml:space="preserve"> </w:t>
      </w:r>
      <w:r>
        <w:t>contractor’s</w:t>
      </w:r>
      <w:r>
        <w:rPr>
          <w:spacing w:val="16"/>
        </w:rPr>
        <w:t xml:space="preserve"> </w:t>
      </w:r>
      <w:r>
        <w:t>GHG</w:t>
      </w:r>
      <w:r>
        <w:rPr>
          <w:spacing w:val="16"/>
        </w:rPr>
        <w:t xml:space="preserve"> </w:t>
      </w:r>
      <w:r>
        <w:t>emissions,</w:t>
      </w:r>
    </w:p>
    <w:p w14:paraId="2A6E01BC" w14:textId="77777777" w:rsidR="00AE2255" w:rsidRDefault="00AE2255">
      <w:pPr>
        <w:spacing w:line="232" w:lineRule="auto"/>
        <w:jc w:val="both"/>
        <w:sectPr w:rsidR="00AE2255">
          <w:pgSz w:w="12240" w:h="15840"/>
          <w:pgMar w:top="440" w:right="560" w:bottom="720" w:left="380" w:header="230" w:footer="531" w:gutter="0"/>
          <w:cols w:space="720"/>
        </w:sectPr>
      </w:pPr>
    </w:p>
    <w:p w14:paraId="5945525A" w14:textId="77777777" w:rsidR="00AE2255" w:rsidRDefault="00AE2255">
      <w:pPr>
        <w:pStyle w:val="BodyText"/>
        <w:spacing w:before="10"/>
        <w:rPr>
          <w:sz w:val="22"/>
        </w:rPr>
      </w:pPr>
    </w:p>
    <w:p w14:paraId="5375245B" w14:textId="77777777" w:rsidR="00AE2255" w:rsidRDefault="00000000">
      <w:pPr>
        <w:pStyle w:val="BodyText"/>
        <w:spacing w:before="97" w:line="232" w:lineRule="auto"/>
        <w:ind w:left="610" w:right="428"/>
        <w:jc w:val="both"/>
      </w:pPr>
      <w:r>
        <w:t xml:space="preserve">GHG emission reduction targets, lower emission products or other climate risks, in evaluating bids could result in costly changes to our operations or affect our competitiveness on future bids, or our ability to bid at all. In addition to incurring direct costs to implement any climate-change related laws, </w:t>
      </w:r>
      <w:proofErr w:type="gramStart"/>
      <w:r>
        <w:t>regulations</w:t>
      </w:r>
      <w:proofErr w:type="gramEnd"/>
      <w:r>
        <w:t xml:space="preserve"> or policies, we may see indirect costs rise, such as increased energy or material costs, as a result of policies affecting other sectors of the economy. Although most of these increased costs likely would be recoverable through pricing, to the extent that the increase in our costs as a result of these policies are greater than our </w:t>
      </w:r>
      <w:proofErr w:type="gramStart"/>
      <w:r>
        <w:t>competitors</w:t>
      </w:r>
      <w:proofErr w:type="gramEnd"/>
      <w:r>
        <w:t xml:space="preserve"> we may be less competitive on future bids or the total increased cost in our industry’s products and services could result in lower demand from our customers. We monitor developments in climate change-related laws, </w:t>
      </w:r>
      <w:proofErr w:type="gramStart"/>
      <w:r>
        <w:t>regulations</w:t>
      </w:r>
      <w:proofErr w:type="gramEnd"/>
      <w:r>
        <w:t xml:space="preserve"> and policies for their potential effect on us, however, we currently are not able to accurately predict the materiality of any potential costs associated with such developments. In addition, climate change-related litigation and investigations have increased in recent years and any claims or investigations against us could be costly to defend and our business could be adversely affected by the outcome.</w:t>
      </w:r>
    </w:p>
    <w:p w14:paraId="500092D8" w14:textId="77777777" w:rsidR="00AE2255" w:rsidRDefault="00AE2255">
      <w:pPr>
        <w:pStyle w:val="BodyText"/>
        <w:spacing w:before="6"/>
        <w:rPr>
          <w:sz w:val="17"/>
        </w:rPr>
      </w:pPr>
    </w:p>
    <w:p w14:paraId="410E55DD" w14:textId="77777777" w:rsidR="00AE2255" w:rsidRDefault="00000000">
      <w:pPr>
        <w:pStyle w:val="Heading3"/>
        <w:spacing w:line="249" w:lineRule="auto"/>
        <w:ind w:right="428"/>
        <w:jc w:val="both"/>
      </w:pPr>
      <w:r>
        <w:t xml:space="preserve">We are involved in </w:t>
      </w:r>
      <w:proofErr w:type="gramStart"/>
      <w:r>
        <w:t>a number of</w:t>
      </w:r>
      <w:proofErr w:type="gramEnd"/>
      <w:r>
        <w:t xml:space="preserve"> legal proceedings. We cannot predict the outcome of litigation and other contingencies with </w:t>
      </w:r>
      <w:r>
        <w:rPr>
          <w:spacing w:val="-2"/>
        </w:rPr>
        <w:t>certainty.</w:t>
      </w:r>
    </w:p>
    <w:p w14:paraId="5E00E09E" w14:textId="77777777" w:rsidR="00AE2255" w:rsidRDefault="00AE2255">
      <w:pPr>
        <w:pStyle w:val="BodyText"/>
        <w:spacing w:before="9"/>
        <w:rPr>
          <w:b/>
          <w:i/>
          <w:sz w:val="17"/>
        </w:rPr>
      </w:pPr>
    </w:p>
    <w:p w14:paraId="62B5E55D" w14:textId="77777777" w:rsidR="00AE2255" w:rsidRDefault="00000000">
      <w:pPr>
        <w:pStyle w:val="BodyText"/>
        <w:spacing w:before="1" w:line="249" w:lineRule="auto"/>
        <w:ind w:left="610" w:right="427" w:firstLine="360"/>
        <w:jc w:val="both"/>
      </w:pPr>
      <w:r>
        <w:t>Our business may be adversely affected by the outcome of legal proceedings and other contingencies that cannot be predicted with certainty. As required by U.S. GAAP, we estimate loss contingencies and establish reserves based on our assessment</w:t>
      </w:r>
      <w:r>
        <w:rPr>
          <w:spacing w:val="-1"/>
        </w:rPr>
        <w:t xml:space="preserve"> </w:t>
      </w:r>
      <w:r>
        <w:t>of</w:t>
      </w:r>
      <w:r>
        <w:rPr>
          <w:spacing w:val="-1"/>
        </w:rPr>
        <w:t xml:space="preserve"> </w:t>
      </w:r>
      <w:r>
        <w:t>contingencies</w:t>
      </w:r>
      <w:r>
        <w:rPr>
          <w:spacing w:val="-1"/>
        </w:rPr>
        <w:t xml:space="preserve"> </w:t>
      </w:r>
      <w:r>
        <w:t>where</w:t>
      </w:r>
      <w:r>
        <w:rPr>
          <w:spacing w:val="-1"/>
        </w:rPr>
        <w:t xml:space="preserve"> </w:t>
      </w:r>
      <w:r>
        <w:t>liability</w:t>
      </w:r>
      <w:r>
        <w:rPr>
          <w:spacing w:val="-1"/>
        </w:rPr>
        <w:t xml:space="preserve"> </w:t>
      </w:r>
      <w:r>
        <w:t>is</w:t>
      </w:r>
      <w:r>
        <w:rPr>
          <w:spacing w:val="-1"/>
        </w:rPr>
        <w:t xml:space="preserve"> </w:t>
      </w:r>
      <w:r>
        <w:t>deemed</w:t>
      </w:r>
      <w:r>
        <w:rPr>
          <w:spacing w:val="-1"/>
        </w:rPr>
        <w:t xml:space="preserve"> </w:t>
      </w:r>
      <w:r>
        <w:t>probable</w:t>
      </w:r>
      <w:r>
        <w:rPr>
          <w:spacing w:val="-1"/>
        </w:rPr>
        <w:t xml:space="preserve"> </w:t>
      </w:r>
      <w:r>
        <w:t>and</w:t>
      </w:r>
      <w:r>
        <w:rPr>
          <w:spacing w:val="-1"/>
        </w:rPr>
        <w:t xml:space="preserve"> </w:t>
      </w:r>
      <w:r>
        <w:t>reasonably</w:t>
      </w:r>
      <w:r>
        <w:rPr>
          <w:spacing w:val="-1"/>
        </w:rPr>
        <w:t xml:space="preserve"> </w:t>
      </w:r>
      <w:r>
        <w:t>estimable</w:t>
      </w:r>
      <w:r>
        <w:rPr>
          <w:spacing w:val="-1"/>
        </w:rPr>
        <w:t xml:space="preserve"> </w:t>
      </w:r>
      <w:proofErr w:type="gramStart"/>
      <w:r>
        <w:t>in</w:t>
      </w:r>
      <w:r>
        <w:rPr>
          <w:spacing w:val="-1"/>
        </w:rPr>
        <w:t xml:space="preserve"> </w:t>
      </w:r>
      <w:r>
        <w:t>light</w:t>
      </w:r>
      <w:r>
        <w:rPr>
          <w:spacing w:val="-1"/>
        </w:rPr>
        <w:t xml:space="preserve"> </w:t>
      </w:r>
      <w:r>
        <w:t>of</w:t>
      </w:r>
      <w:proofErr w:type="gramEnd"/>
      <w:r>
        <w:rPr>
          <w:spacing w:val="-1"/>
        </w:rPr>
        <w:t xml:space="preserve"> </w:t>
      </w:r>
      <w:r>
        <w:t>the</w:t>
      </w:r>
      <w:r>
        <w:rPr>
          <w:spacing w:val="-1"/>
        </w:rPr>
        <w:t xml:space="preserve"> </w:t>
      </w:r>
      <w:r>
        <w:t>facts</w:t>
      </w:r>
      <w:r>
        <w:rPr>
          <w:spacing w:val="-1"/>
        </w:rPr>
        <w:t xml:space="preserve"> </w:t>
      </w:r>
      <w:r>
        <w:t>and</w:t>
      </w:r>
      <w:r>
        <w:rPr>
          <w:spacing w:val="-1"/>
        </w:rPr>
        <w:t xml:space="preserve"> </w:t>
      </w:r>
      <w:r>
        <w:t>circumstances known to us at a particular point in time. Subsequent developments in legal proceedings may affect our assessment and estimates of the loss contingency recorded as a liability or as a reserve against assets in our financial statements. For a description of our current legal proceedings, see Item 3 - Legal Proceedings, “Critical Accounting Policies - Environmental Matters” in Management’s Discussion and Analysis of Financial Condition and Results of Operations and “Note 14 – Legal Proceedings, Commitments and Contingencies” included in our Notes to Consolidated Financial Statements.</w:t>
      </w:r>
    </w:p>
    <w:p w14:paraId="772D0410" w14:textId="77777777" w:rsidR="00AE2255" w:rsidRDefault="00AE2255">
      <w:pPr>
        <w:pStyle w:val="BodyText"/>
        <w:spacing w:before="7"/>
        <w:rPr>
          <w:sz w:val="17"/>
        </w:rPr>
      </w:pPr>
    </w:p>
    <w:p w14:paraId="1501CD81" w14:textId="77777777" w:rsidR="00AE2255" w:rsidRDefault="00000000">
      <w:pPr>
        <w:pStyle w:val="Heading2"/>
      </w:pPr>
      <w:r>
        <w:t>Risks</w:t>
      </w:r>
      <w:r>
        <w:rPr>
          <w:spacing w:val="-6"/>
        </w:rPr>
        <w:t xml:space="preserve"> </w:t>
      </w:r>
      <w:r>
        <w:t>Related</w:t>
      </w:r>
      <w:r>
        <w:rPr>
          <w:spacing w:val="-4"/>
        </w:rPr>
        <w:t xml:space="preserve"> </w:t>
      </w:r>
      <w:r>
        <w:t>to</w:t>
      </w:r>
      <w:r>
        <w:rPr>
          <w:spacing w:val="-2"/>
        </w:rPr>
        <w:t xml:space="preserve"> </w:t>
      </w:r>
      <w:r>
        <w:t>Ownership</w:t>
      </w:r>
      <w:r>
        <w:rPr>
          <w:spacing w:val="-4"/>
        </w:rPr>
        <w:t xml:space="preserve"> </w:t>
      </w:r>
      <w:r>
        <w:t>of</w:t>
      </w:r>
      <w:r>
        <w:rPr>
          <w:spacing w:val="-2"/>
        </w:rPr>
        <w:t xml:space="preserve"> </w:t>
      </w:r>
      <w:r>
        <w:t>our</w:t>
      </w:r>
      <w:r>
        <w:rPr>
          <w:spacing w:val="-4"/>
        </w:rPr>
        <w:t xml:space="preserve"> </w:t>
      </w:r>
      <w:r>
        <w:t>Common</w:t>
      </w:r>
      <w:r>
        <w:rPr>
          <w:spacing w:val="-3"/>
        </w:rPr>
        <w:t xml:space="preserve"> </w:t>
      </w:r>
      <w:r>
        <w:rPr>
          <w:spacing w:val="-4"/>
        </w:rPr>
        <w:t>Stock</w:t>
      </w:r>
    </w:p>
    <w:p w14:paraId="013592BA" w14:textId="77777777" w:rsidR="00AE2255" w:rsidRDefault="00AE2255">
      <w:pPr>
        <w:pStyle w:val="BodyText"/>
        <w:spacing w:before="3"/>
        <w:rPr>
          <w:b/>
          <w:sz w:val="18"/>
        </w:rPr>
      </w:pPr>
    </w:p>
    <w:p w14:paraId="7F4A9A45" w14:textId="77777777" w:rsidR="00AE2255" w:rsidRDefault="00000000">
      <w:pPr>
        <w:pStyle w:val="Heading3"/>
      </w:pPr>
      <w:r>
        <w:t>There</w:t>
      </w:r>
      <w:r>
        <w:rPr>
          <w:spacing w:val="-6"/>
        </w:rPr>
        <w:t xml:space="preserve"> </w:t>
      </w:r>
      <w:r>
        <w:t>can</w:t>
      </w:r>
      <w:r>
        <w:rPr>
          <w:spacing w:val="-4"/>
        </w:rPr>
        <w:t xml:space="preserve"> </w:t>
      </w:r>
      <w:r>
        <w:t>be</w:t>
      </w:r>
      <w:r>
        <w:rPr>
          <w:spacing w:val="-3"/>
        </w:rPr>
        <w:t xml:space="preserve"> </w:t>
      </w:r>
      <w:r>
        <w:t>no</w:t>
      </w:r>
      <w:r>
        <w:rPr>
          <w:spacing w:val="-3"/>
        </w:rPr>
        <w:t xml:space="preserve"> </w:t>
      </w:r>
      <w:r>
        <w:t>assurance</w:t>
      </w:r>
      <w:r>
        <w:rPr>
          <w:spacing w:val="-4"/>
        </w:rPr>
        <w:t xml:space="preserve"> </w:t>
      </w:r>
      <w:r>
        <w:t>that</w:t>
      </w:r>
      <w:r>
        <w:rPr>
          <w:spacing w:val="-3"/>
        </w:rPr>
        <w:t xml:space="preserve"> </w:t>
      </w:r>
      <w:r>
        <w:t>we</w:t>
      </w:r>
      <w:r>
        <w:rPr>
          <w:spacing w:val="-4"/>
        </w:rPr>
        <w:t xml:space="preserve"> </w:t>
      </w:r>
      <w:r>
        <w:t>will</w:t>
      </w:r>
      <w:r>
        <w:rPr>
          <w:spacing w:val="-4"/>
        </w:rPr>
        <w:t xml:space="preserve"> </w:t>
      </w:r>
      <w:r>
        <w:t>continue</w:t>
      </w:r>
      <w:r>
        <w:rPr>
          <w:spacing w:val="-3"/>
        </w:rPr>
        <w:t xml:space="preserve"> </w:t>
      </w:r>
      <w:r>
        <w:t>to</w:t>
      </w:r>
      <w:r>
        <w:rPr>
          <w:spacing w:val="-3"/>
        </w:rPr>
        <w:t xml:space="preserve"> </w:t>
      </w:r>
      <w:r>
        <w:t>increase</w:t>
      </w:r>
      <w:r>
        <w:rPr>
          <w:spacing w:val="-4"/>
        </w:rPr>
        <w:t xml:space="preserve"> </w:t>
      </w:r>
      <w:r>
        <w:t>our</w:t>
      </w:r>
      <w:r>
        <w:rPr>
          <w:spacing w:val="-3"/>
        </w:rPr>
        <w:t xml:space="preserve"> </w:t>
      </w:r>
      <w:r>
        <w:t>dividend</w:t>
      </w:r>
      <w:r>
        <w:rPr>
          <w:spacing w:val="-3"/>
        </w:rPr>
        <w:t xml:space="preserve"> </w:t>
      </w:r>
      <w:r>
        <w:t>or</w:t>
      </w:r>
      <w:r>
        <w:rPr>
          <w:spacing w:val="-4"/>
        </w:rPr>
        <w:t xml:space="preserve"> </w:t>
      </w:r>
      <w:r>
        <w:t>to</w:t>
      </w:r>
      <w:r>
        <w:rPr>
          <w:spacing w:val="-2"/>
        </w:rPr>
        <w:t xml:space="preserve"> </w:t>
      </w:r>
      <w:r>
        <w:t>repurchase</w:t>
      </w:r>
      <w:r>
        <w:rPr>
          <w:spacing w:val="-4"/>
        </w:rPr>
        <w:t xml:space="preserve"> </w:t>
      </w:r>
      <w:r>
        <w:t>shares</w:t>
      </w:r>
      <w:r>
        <w:rPr>
          <w:spacing w:val="-4"/>
        </w:rPr>
        <w:t xml:space="preserve"> </w:t>
      </w:r>
      <w:r>
        <w:t>of</w:t>
      </w:r>
      <w:r>
        <w:rPr>
          <w:spacing w:val="-2"/>
        </w:rPr>
        <w:t xml:space="preserve"> </w:t>
      </w:r>
      <w:r>
        <w:t>our</w:t>
      </w:r>
      <w:r>
        <w:rPr>
          <w:spacing w:val="-4"/>
        </w:rPr>
        <w:t xml:space="preserve"> </w:t>
      </w:r>
      <w:r>
        <w:t>common</w:t>
      </w:r>
      <w:r>
        <w:rPr>
          <w:spacing w:val="-3"/>
        </w:rPr>
        <w:t xml:space="preserve"> </w:t>
      </w:r>
      <w:r>
        <w:rPr>
          <w:spacing w:val="-2"/>
        </w:rPr>
        <w:t>stock.</w:t>
      </w:r>
    </w:p>
    <w:p w14:paraId="6C0D4BD1" w14:textId="77777777" w:rsidR="00AE2255" w:rsidRDefault="00AE2255">
      <w:pPr>
        <w:pStyle w:val="BodyText"/>
        <w:spacing w:before="6"/>
        <w:rPr>
          <w:b/>
          <w:i/>
          <w:sz w:val="18"/>
        </w:rPr>
      </w:pPr>
    </w:p>
    <w:p w14:paraId="552274F4" w14:textId="77777777" w:rsidR="00AE2255" w:rsidRDefault="00000000">
      <w:pPr>
        <w:pStyle w:val="BodyText"/>
        <w:spacing w:before="1" w:line="249" w:lineRule="auto"/>
        <w:ind w:left="610" w:right="428" w:firstLine="360"/>
        <w:jc w:val="both"/>
      </w:pPr>
      <w:r>
        <w:t>Cash dividend payments and share repurchases are subject to limitations under applicable laws and the discretion of our Board of Directors and are determined after considering then-existing conditions, including earnings, other operating results</w:t>
      </w:r>
      <w:r>
        <w:rPr>
          <w:spacing w:val="40"/>
        </w:rPr>
        <w:t xml:space="preserve"> </w:t>
      </w:r>
      <w:r>
        <w:t>and capital requirements and cash deployment alternatives. Our payment of dividends and share repurchases could vary from historical</w:t>
      </w:r>
      <w:r>
        <w:rPr>
          <w:spacing w:val="-2"/>
        </w:rPr>
        <w:t xml:space="preserve"> </w:t>
      </w:r>
      <w:r>
        <w:t>practices</w:t>
      </w:r>
      <w:r>
        <w:rPr>
          <w:spacing w:val="-2"/>
        </w:rPr>
        <w:t xml:space="preserve"> </w:t>
      </w:r>
      <w:r>
        <w:t>or</w:t>
      </w:r>
      <w:r>
        <w:rPr>
          <w:spacing w:val="-2"/>
        </w:rPr>
        <w:t xml:space="preserve"> </w:t>
      </w:r>
      <w:r>
        <w:t>our</w:t>
      </w:r>
      <w:r>
        <w:rPr>
          <w:spacing w:val="-2"/>
        </w:rPr>
        <w:t xml:space="preserve"> </w:t>
      </w:r>
      <w:r>
        <w:t>stated</w:t>
      </w:r>
      <w:r>
        <w:rPr>
          <w:spacing w:val="-2"/>
        </w:rPr>
        <w:t xml:space="preserve"> </w:t>
      </w:r>
      <w:r>
        <w:t>expectations.</w:t>
      </w:r>
      <w:r>
        <w:rPr>
          <w:spacing w:val="-2"/>
        </w:rPr>
        <w:t xml:space="preserve"> </w:t>
      </w:r>
      <w:r>
        <w:t>Decreases</w:t>
      </w:r>
      <w:r>
        <w:rPr>
          <w:spacing w:val="-2"/>
        </w:rPr>
        <w:t xml:space="preserve"> </w:t>
      </w:r>
      <w:r>
        <w:t>in</w:t>
      </w:r>
      <w:r>
        <w:rPr>
          <w:spacing w:val="-2"/>
        </w:rPr>
        <w:t xml:space="preserve"> </w:t>
      </w:r>
      <w:r>
        <w:t>asset</w:t>
      </w:r>
      <w:r>
        <w:rPr>
          <w:spacing w:val="-2"/>
        </w:rPr>
        <w:t xml:space="preserve"> </w:t>
      </w:r>
      <w:r>
        <w:t>values</w:t>
      </w:r>
      <w:r>
        <w:rPr>
          <w:spacing w:val="-2"/>
        </w:rPr>
        <w:t xml:space="preserve"> </w:t>
      </w:r>
      <w:r>
        <w:t>or</w:t>
      </w:r>
      <w:r>
        <w:rPr>
          <w:spacing w:val="-2"/>
        </w:rPr>
        <w:t xml:space="preserve"> </w:t>
      </w:r>
      <w:r>
        <w:t>increases</w:t>
      </w:r>
      <w:r>
        <w:rPr>
          <w:spacing w:val="-2"/>
        </w:rPr>
        <w:t xml:space="preserve"> </w:t>
      </w:r>
      <w:r>
        <w:t>in</w:t>
      </w:r>
      <w:r>
        <w:rPr>
          <w:spacing w:val="-2"/>
        </w:rPr>
        <w:t xml:space="preserve"> </w:t>
      </w:r>
      <w:r>
        <w:t>liabilities,</w:t>
      </w:r>
      <w:r>
        <w:rPr>
          <w:spacing w:val="-2"/>
        </w:rPr>
        <w:t xml:space="preserve"> </w:t>
      </w:r>
      <w:r>
        <w:t>including</w:t>
      </w:r>
      <w:r>
        <w:rPr>
          <w:spacing w:val="-2"/>
        </w:rPr>
        <w:t xml:space="preserve"> </w:t>
      </w:r>
      <w:r>
        <w:t>liabilities</w:t>
      </w:r>
      <w:r>
        <w:rPr>
          <w:spacing w:val="-2"/>
        </w:rPr>
        <w:t xml:space="preserve"> </w:t>
      </w:r>
      <w:r>
        <w:t>associated with employee benefit plans and assets and liabilities associated with taxes, can reduce net earnings and stockholders’ equity. Under certain circumstances, a deficit in stockholders’ equity could limit our ability to pay dividends and make share repurchases under Maryland state law in the future. In addition, the timing and amount of share repurchases under Board of Directors approved share repurchase plans may differ from stated expectations and is within the discretion of management and will depend on many factors, including our ability to generate sufficient cash flows from operations in the future or to borrow money from available financing sources, our results of operations, capital requirements and applicable law.</w:t>
      </w:r>
    </w:p>
    <w:p w14:paraId="25EDA15D" w14:textId="77777777" w:rsidR="00AE2255" w:rsidRDefault="00AE2255">
      <w:pPr>
        <w:pStyle w:val="BodyText"/>
        <w:spacing w:before="3"/>
        <w:rPr>
          <w:sz w:val="21"/>
        </w:rPr>
      </w:pPr>
    </w:p>
    <w:p w14:paraId="285435C4" w14:textId="77777777" w:rsidR="00AE2255" w:rsidRDefault="00000000">
      <w:pPr>
        <w:pStyle w:val="Heading2"/>
        <w:tabs>
          <w:tab w:val="left" w:pos="1869"/>
        </w:tabs>
      </w:pPr>
      <w:bookmarkStart w:id="8" w:name="Item_1B._Unresolved_Staff_Comments"/>
      <w:bookmarkStart w:id="9" w:name="_bookmark3"/>
      <w:bookmarkEnd w:id="8"/>
      <w:bookmarkEnd w:id="9"/>
      <w:r>
        <w:t>ITEM</w:t>
      </w:r>
      <w:r>
        <w:rPr>
          <w:spacing w:val="-4"/>
        </w:rPr>
        <w:t xml:space="preserve"> </w:t>
      </w:r>
      <w:r>
        <w:rPr>
          <w:spacing w:val="-5"/>
        </w:rPr>
        <w:t>1B.</w:t>
      </w:r>
      <w:r>
        <w:tab/>
        <w:t>Unresolved</w:t>
      </w:r>
      <w:r>
        <w:rPr>
          <w:spacing w:val="-5"/>
        </w:rPr>
        <w:t xml:space="preserve"> </w:t>
      </w:r>
      <w:r>
        <w:t>Staff</w:t>
      </w:r>
      <w:r>
        <w:rPr>
          <w:spacing w:val="-4"/>
        </w:rPr>
        <w:t xml:space="preserve"> </w:t>
      </w:r>
      <w:r>
        <w:rPr>
          <w:spacing w:val="-2"/>
        </w:rPr>
        <w:t>Comments</w:t>
      </w:r>
    </w:p>
    <w:p w14:paraId="419F76E5" w14:textId="77777777" w:rsidR="00AE2255" w:rsidRDefault="00AE2255">
      <w:pPr>
        <w:pStyle w:val="BodyText"/>
        <w:rPr>
          <w:b/>
          <w:sz w:val="22"/>
        </w:rPr>
      </w:pPr>
    </w:p>
    <w:p w14:paraId="1DA10F1A" w14:textId="77777777" w:rsidR="00AE2255" w:rsidRDefault="00000000">
      <w:pPr>
        <w:pStyle w:val="BodyText"/>
        <w:ind w:left="970"/>
      </w:pPr>
      <w:r>
        <w:rPr>
          <w:spacing w:val="-2"/>
        </w:rPr>
        <w:t>None.</w:t>
      </w:r>
    </w:p>
    <w:p w14:paraId="46CD1F1A" w14:textId="77777777" w:rsidR="00AE2255" w:rsidRDefault="00AE2255">
      <w:pPr>
        <w:pStyle w:val="BodyText"/>
        <w:spacing w:before="9"/>
        <w:rPr>
          <w:sz w:val="21"/>
        </w:rPr>
      </w:pPr>
    </w:p>
    <w:p w14:paraId="462F0D4C" w14:textId="77777777" w:rsidR="00AE2255" w:rsidRDefault="00000000">
      <w:pPr>
        <w:pStyle w:val="Heading2"/>
        <w:tabs>
          <w:tab w:val="left" w:pos="1869"/>
        </w:tabs>
      </w:pPr>
      <w:bookmarkStart w:id="10" w:name="Item_2._Properties"/>
      <w:bookmarkStart w:id="11" w:name="_bookmark4"/>
      <w:bookmarkEnd w:id="10"/>
      <w:bookmarkEnd w:id="11"/>
      <w:r>
        <w:t>ITEM</w:t>
      </w:r>
      <w:r>
        <w:rPr>
          <w:spacing w:val="-4"/>
        </w:rPr>
        <w:t xml:space="preserve"> </w:t>
      </w:r>
      <w:r>
        <w:rPr>
          <w:spacing w:val="-5"/>
        </w:rPr>
        <w:t>2.</w:t>
      </w:r>
      <w:r>
        <w:tab/>
      </w:r>
      <w:r>
        <w:rPr>
          <w:spacing w:val="-2"/>
        </w:rPr>
        <w:t>Properties</w:t>
      </w:r>
    </w:p>
    <w:p w14:paraId="161E092F" w14:textId="77777777" w:rsidR="00AE2255" w:rsidRDefault="00000000">
      <w:pPr>
        <w:pStyle w:val="BodyText"/>
        <w:spacing w:before="150" w:line="249" w:lineRule="auto"/>
        <w:ind w:left="610" w:right="428" w:firstLine="360"/>
        <w:jc w:val="both"/>
      </w:pPr>
      <w:proofErr w:type="gramStart"/>
      <w:r>
        <w:t>At</w:t>
      </w:r>
      <w:proofErr w:type="gramEnd"/>
      <w:r>
        <w:t xml:space="preserve"> December 31, 2022, we owned or leased building space (including offices, manufacturing plants, warehouses, service centers, laboratories and other facilities) at 339 locations primarily in the U.S. Additionally, we manage or occupy 10 government-owned facilities under lease and other arrangements. </w:t>
      </w:r>
      <w:proofErr w:type="gramStart"/>
      <w:r>
        <w:t>At</w:t>
      </w:r>
      <w:proofErr w:type="gramEnd"/>
      <w:r>
        <w:t xml:space="preserve"> December 31, 2022, we had significant operations in the following locations:</w:t>
      </w:r>
    </w:p>
    <w:p w14:paraId="19530B1F" w14:textId="77777777" w:rsidR="00AE2255" w:rsidRDefault="00000000">
      <w:pPr>
        <w:pStyle w:val="ListParagraph"/>
        <w:numPr>
          <w:ilvl w:val="0"/>
          <w:numId w:val="13"/>
        </w:numPr>
        <w:tabs>
          <w:tab w:val="left" w:pos="969"/>
          <w:tab w:val="left" w:pos="970"/>
        </w:tabs>
        <w:spacing w:before="83"/>
        <w:rPr>
          <w:sz w:val="20"/>
        </w:rPr>
      </w:pPr>
      <w:r>
        <w:rPr>
          <w:b/>
          <w:sz w:val="20"/>
        </w:rPr>
        <w:t>Aeronautics</w:t>
      </w:r>
      <w:r>
        <w:rPr>
          <w:b/>
          <w:spacing w:val="-8"/>
          <w:sz w:val="20"/>
        </w:rPr>
        <w:t xml:space="preserve"> </w:t>
      </w:r>
      <w:r>
        <w:rPr>
          <w:sz w:val="20"/>
        </w:rPr>
        <w:t>-</w:t>
      </w:r>
      <w:r>
        <w:rPr>
          <w:spacing w:val="-4"/>
          <w:sz w:val="20"/>
        </w:rPr>
        <w:t xml:space="preserve"> </w:t>
      </w:r>
      <w:r>
        <w:rPr>
          <w:sz w:val="20"/>
        </w:rPr>
        <w:t>Palmdale,</w:t>
      </w:r>
      <w:r>
        <w:rPr>
          <w:spacing w:val="-4"/>
          <w:sz w:val="20"/>
        </w:rPr>
        <w:t xml:space="preserve"> </w:t>
      </w:r>
      <w:r>
        <w:rPr>
          <w:sz w:val="20"/>
        </w:rPr>
        <w:t>California;</w:t>
      </w:r>
      <w:r>
        <w:rPr>
          <w:spacing w:val="-5"/>
          <w:sz w:val="20"/>
        </w:rPr>
        <w:t xml:space="preserve"> </w:t>
      </w:r>
      <w:r>
        <w:rPr>
          <w:sz w:val="20"/>
        </w:rPr>
        <w:t>Marietta,</w:t>
      </w:r>
      <w:r>
        <w:rPr>
          <w:spacing w:val="-4"/>
          <w:sz w:val="20"/>
        </w:rPr>
        <w:t xml:space="preserve"> </w:t>
      </w:r>
      <w:r>
        <w:rPr>
          <w:sz w:val="20"/>
        </w:rPr>
        <w:t>Georgia;</w:t>
      </w:r>
      <w:r>
        <w:rPr>
          <w:spacing w:val="-5"/>
          <w:sz w:val="20"/>
        </w:rPr>
        <w:t xml:space="preserve"> </w:t>
      </w:r>
      <w:r>
        <w:rPr>
          <w:sz w:val="20"/>
        </w:rPr>
        <w:t>Greenville,</w:t>
      </w:r>
      <w:r>
        <w:rPr>
          <w:spacing w:val="-4"/>
          <w:sz w:val="20"/>
        </w:rPr>
        <w:t xml:space="preserve"> </w:t>
      </w:r>
      <w:r>
        <w:rPr>
          <w:sz w:val="20"/>
        </w:rPr>
        <w:t>South</w:t>
      </w:r>
      <w:r>
        <w:rPr>
          <w:spacing w:val="-4"/>
          <w:sz w:val="20"/>
        </w:rPr>
        <w:t xml:space="preserve"> </w:t>
      </w:r>
      <w:r>
        <w:rPr>
          <w:sz w:val="20"/>
        </w:rPr>
        <w:t>Carolina;</w:t>
      </w:r>
      <w:r>
        <w:rPr>
          <w:spacing w:val="-5"/>
          <w:sz w:val="20"/>
        </w:rPr>
        <w:t xml:space="preserve"> </w:t>
      </w:r>
      <w:r>
        <w:rPr>
          <w:sz w:val="20"/>
        </w:rPr>
        <w:t>and</w:t>
      </w:r>
      <w:r>
        <w:rPr>
          <w:spacing w:val="-4"/>
          <w:sz w:val="20"/>
        </w:rPr>
        <w:t xml:space="preserve"> </w:t>
      </w:r>
      <w:r>
        <w:rPr>
          <w:sz w:val="20"/>
        </w:rPr>
        <w:t>Fort</w:t>
      </w:r>
      <w:r>
        <w:rPr>
          <w:spacing w:val="-5"/>
          <w:sz w:val="20"/>
        </w:rPr>
        <w:t xml:space="preserve"> </w:t>
      </w:r>
      <w:r>
        <w:rPr>
          <w:sz w:val="20"/>
        </w:rPr>
        <w:t>Worth,</w:t>
      </w:r>
      <w:r>
        <w:rPr>
          <w:spacing w:val="-4"/>
          <w:sz w:val="20"/>
        </w:rPr>
        <w:t xml:space="preserve"> </w:t>
      </w:r>
      <w:r>
        <w:rPr>
          <w:spacing w:val="-2"/>
          <w:sz w:val="20"/>
        </w:rPr>
        <w:t>Texas.</w:t>
      </w:r>
    </w:p>
    <w:p w14:paraId="21DE5CD6" w14:textId="77777777" w:rsidR="00AE2255" w:rsidRDefault="00000000">
      <w:pPr>
        <w:pStyle w:val="ListParagraph"/>
        <w:numPr>
          <w:ilvl w:val="0"/>
          <w:numId w:val="13"/>
        </w:numPr>
        <w:tabs>
          <w:tab w:val="left" w:pos="969"/>
          <w:tab w:val="left" w:pos="970"/>
        </w:tabs>
        <w:spacing w:before="10" w:line="249" w:lineRule="auto"/>
        <w:ind w:right="429"/>
        <w:rPr>
          <w:sz w:val="20"/>
        </w:rPr>
      </w:pPr>
      <w:r>
        <w:rPr>
          <w:b/>
          <w:sz w:val="20"/>
        </w:rPr>
        <w:t>Missiles</w:t>
      </w:r>
      <w:r>
        <w:rPr>
          <w:b/>
          <w:spacing w:val="22"/>
          <w:sz w:val="20"/>
        </w:rPr>
        <w:t xml:space="preserve"> </w:t>
      </w:r>
      <w:r>
        <w:rPr>
          <w:b/>
          <w:sz w:val="20"/>
        </w:rPr>
        <w:t>and</w:t>
      </w:r>
      <w:r>
        <w:rPr>
          <w:b/>
          <w:spacing w:val="22"/>
          <w:sz w:val="20"/>
        </w:rPr>
        <w:t xml:space="preserve"> </w:t>
      </w:r>
      <w:r>
        <w:rPr>
          <w:b/>
          <w:sz w:val="20"/>
        </w:rPr>
        <w:t>Fire</w:t>
      </w:r>
      <w:r>
        <w:rPr>
          <w:b/>
          <w:spacing w:val="22"/>
          <w:sz w:val="20"/>
        </w:rPr>
        <w:t xml:space="preserve"> </w:t>
      </w:r>
      <w:r>
        <w:rPr>
          <w:b/>
          <w:sz w:val="20"/>
        </w:rPr>
        <w:t>Control</w:t>
      </w:r>
      <w:r>
        <w:rPr>
          <w:b/>
          <w:spacing w:val="22"/>
          <w:sz w:val="20"/>
        </w:rPr>
        <w:t xml:space="preserve"> </w:t>
      </w:r>
      <w:r>
        <w:rPr>
          <w:sz w:val="20"/>
        </w:rPr>
        <w:t>-</w:t>
      </w:r>
      <w:r>
        <w:rPr>
          <w:spacing w:val="22"/>
          <w:sz w:val="20"/>
        </w:rPr>
        <w:t xml:space="preserve"> </w:t>
      </w:r>
      <w:r>
        <w:rPr>
          <w:sz w:val="20"/>
        </w:rPr>
        <w:t>Camden,</w:t>
      </w:r>
      <w:r>
        <w:rPr>
          <w:spacing w:val="22"/>
          <w:sz w:val="20"/>
        </w:rPr>
        <w:t xml:space="preserve"> </w:t>
      </w:r>
      <w:r>
        <w:rPr>
          <w:sz w:val="20"/>
        </w:rPr>
        <w:t>Arkansas;</w:t>
      </w:r>
      <w:r>
        <w:rPr>
          <w:spacing w:val="22"/>
          <w:sz w:val="20"/>
        </w:rPr>
        <w:t xml:space="preserve"> </w:t>
      </w:r>
      <w:r>
        <w:rPr>
          <w:sz w:val="20"/>
        </w:rPr>
        <w:t>Ocala</w:t>
      </w:r>
      <w:r>
        <w:rPr>
          <w:spacing w:val="22"/>
          <w:sz w:val="20"/>
        </w:rPr>
        <w:t xml:space="preserve"> </w:t>
      </w:r>
      <w:r>
        <w:rPr>
          <w:sz w:val="20"/>
        </w:rPr>
        <w:t>and</w:t>
      </w:r>
      <w:r>
        <w:rPr>
          <w:spacing w:val="22"/>
          <w:sz w:val="20"/>
        </w:rPr>
        <w:t xml:space="preserve"> </w:t>
      </w:r>
      <w:r>
        <w:rPr>
          <w:sz w:val="20"/>
        </w:rPr>
        <w:t>Orlando,</w:t>
      </w:r>
      <w:r>
        <w:rPr>
          <w:spacing w:val="22"/>
          <w:sz w:val="20"/>
        </w:rPr>
        <w:t xml:space="preserve"> </w:t>
      </w:r>
      <w:r>
        <w:rPr>
          <w:sz w:val="20"/>
        </w:rPr>
        <w:t>Florida;</w:t>
      </w:r>
      <w:r>
        <w:rPr>
          <w:spacing w:val="22"/>
          <w:sz w:val="20"/>
        </w:rPr>
        <w:t xml:space="preserve"> </w:t>
      </w:r>
      <w:r>
        <w:rPr>
          <w:sz w:val="20"/>
        </w:rPr>
        <w:t>Lexington,</w:t>
      </w:r>
      <w:r>
        <w:rPr>
          <w:spacing w:val="22"/>
          <w:sz w:val="20"/>
        </w:rPr>
        <w:t xml:space="preserve"> </w:t>
      </w:r>
      <w:r>
        <w:rPr>
          <w:sz w:val="20"/>
        </w:rPr>
        <w:t>Kentucky;</w:t>
      </w:r>
      <w:r>
        <w:rPr>
          <w:spacing w:val="22"/>
          <w:sz w:val="20"/>
        </w:rPr>
        <w:t xml:space="preserve"> </w:t>
      </w:r>
      <w:r>
        <w:rPr>
          <w:sz w:val="20"/>
        </w:rPr>
        <w:t>and</w:t>
      </w:r>
      <w:r>
        <w:rPr>
          <w:spacing w:val="22"/>
          <w:sz w:val="20"/>
        </w:rPr>
        <w:t xml:space="preserve"> </w:t>
      </w:r>
      <w:r>
        <w:rPr>
          <w:sz w:val="20"/>
        </w:rPr>
        <w:t>Grand</w:t>
      </w:r>
      <w:r>
        <w:rPr>
          <w:spacing w:val="22"/>
          <w:sz w:val="20"/>
        </w:rPr>
        <w:t xml:space="preserve"> </w:t>
      </w:r>
      <w:r>
        <w:rPr>
          <w:sz w:val="20"/>
        </w:rPr>
        <w:t xml:space="preserve">Prairie, </w:t>
      </w:r>
      <w:r>
        <w:rPr>
          <w:spacing w:val="-2"/>
          <w:sz w:val="20"/>
        </w:rPr>
        <w:t>Texas.</w:t>
      </w:r>
    </w:p>
    <w:p w14:paraId="6A9C3689" w14:textId="77777777" w:rsidR="00AE2255" w:rsidRDefault="00000000">
      <w:pPr>
        <w:pStyle w:val="ListParagraph"/>
        <w:numPr>
          <w:ilvl w:val="0"/>
          <w:numId w:val="13"/>
        </w:numPr>
        <w:tabs>
          <w:tab w:val="left" w:pos="969"/>
          <w:tab w:val="left" w:pos="970"/>
        </w:tabs>
        <w:spacing w:before="2" w:line="249" w:lineRule="auto"/>
        <w:ind w:right="430"/>
        <w:rPr>
          <w:sz w:val="20"/>
        </w:rPr>
      </w:pPr>
      <w:r>
        <w:rPr>
          <w:b/>
          <w:sz w:val="20"/>
        </w:rPr>
        <w:t>Rotary</w:t>
      </w:r>
      <w:r>
        <w:rPr>
          <w:b/>
          <w:spacing w:val="-2"/>
          <w:sz w:val="20"/>
        </w:rPr>
        <w:t xml:space="preserve"> </w:t>
      </w:r>
      <w:r>
        <w:rPr>
          <w:b/>
          <w:sz w:val="20"/>
        </w:rPr>
        <w:t>and</w:t>
      </w:r>
      <w:r>
        <w:rPr>
          <w:b/>
          <w:spacing w:val="-2"/>
          <w:sz w:val="20"/>
        </w:rPr>
        <w:t xml:space="preserve"> </w:t>
      </w:r>
      <w:r>
        <w:rPr>
          <w:b/>
          <w:sz w:val="20"/>
        </w:rPr>
        <w:t>Mission</w:t>
      </w:r>
      <w:r>
        <w:rPr>
          <w:b/>
          <w:spacing w:val="-2"/>
          <w:sz w:val="20"/>
        </w:rPr>
        <w:t xml:space="preserve"> </w:t>
      </w:r>
      <w:r>
        <w:rPr>
          <w:b/>
          <w:sz w:val="20"/>
        </w:rPr>
        <w:t>Systems</w:t>
      </w:r>
      <w:r>
        <w:rPr>
          <w:b/>
          <w:spacing w:val="-2"/>
          <w:sz w:val="20"/>
        </w:rPr>
        <w:t xml:space="preserve"> </w:t>
      </w:r>
      <w:r>
        <w:rPr>
          <w:sz w:val="20"/>
        </w:rPr>
        <w:t>-</w:t>
      </w:r>
      <w:r>
        <w:rPr>
          <w:spacing w:val="-2"/>
          <w:sz w:val="20"/>
        </w:rPr>
        <w:t xml:space="preserve"> </w:t>
      </w:r>
      <w:r>
        <w:rPr>
          <w:sz w:val="20"/>
        </w:rPr>
        <w:t>Stratford,</w:t>
      </w:r>
      <w:r>
        <w:rPr>
          <w:spacing w:val="-2"/>
          <w:sz w:val="20"/>
        </w:rPr>
        <w:t xml:space="preserve"> </w:t>
      </w:r>
      <w:r>
        <w:rPr>
          <w:sz w:val="20"/>
        </w:rPr>
        <w:t>Connecticut;</w:t>
      </w:r>
      <w:r>
        <w:rPr>
          <w:spacing w:val="-2"/>
          <w:sz w:val="20"/>
        </w:rPr>
        <w:t xml:space="preserve"> </w:t>
      </w:r>
      <w:r>
        <w:rPr>
          <w:sz w:val="20"/>
        </w:rPr>
        <w:t>Orlando,</w:t>
      </w:r>
      <w:r>
        <w:rPr>
          <w:spacing w:val="-2"/>
          <w:sz w:val="20"/>
        </w:rPr>
        <w:t xml:space="preserve"> </w:t>
      </w:r>
      <w:r>
        <w:rPr>
          <w:sz w:val="20"/>
        </w:rPr>
        <w:t>Florida;</w:t>
      </w:r>
      <w:r>
        <w:rPr>
          <w:spacing w:val="-2"/>
          <w:sz w:val="20"/>
        </w:rPr>
        <w:t xml:space="preserve"> </w:t>
      </w:r>
      <w:r>
        <w:rPr>
          <w:sz w:val="20"/>
        </w:rPr>
        <w:t>Moorestown/Mt.</w:t>
      </w:r>
      <w:r>
        <w:rPr>
          <w:spacing w:val="-2"/>
          <w:sz w:val="20"/>
        </w:rPr>
        <w:t xml:space="preserve"> </w:t>
      </w:r>
      <w:r>
        <w:rPr>
          <w:sz w:val="20"/>
        </w:rPr>
        <w:t>Laurel,</w:t>
      </w:r>
      <w:r>
        <w:rPr>
          <w:spacing w:val="-2"/>
          <w:sz w:val="20"/>
        </w:rPr>
        <w:t xml:space="preserve"> </w:t>
      </w:r>
      <w:r>
        <w:rPr>
          <w:sz w:val="20"/>
        </w:rPr>
        <w:t>New</w:t>
      </w:r>
      <w:r>
        <w:rPr>
          <w:spacing w:val="-2"/>
          <w:sz w:val="20"/>
        </w:rPr>
        <w:t xml:space="preserve"> </w:t>
      </w:r>
      <w:r>
        <w:rPr>
          <w:sz w:val="20"/>
        </w:rPr>
        <w:t>Jersey;</w:t>
      </w:r>
      <w:r>
        <w:rPr>
          <w:spacing w:val="-2"/>
          <w:sz w:val="20"/>
        </w:rPr>
        <w:t xml:space="preserve"> </w:t>
      </w:r>
      <w:r>
        <w:rPr>
          <w:sz w:val="20"/>
        </w:rPr>
        <w:t>Owego</w:t>
      </w:r>
      <w:r>
        <w:rPr>
          <w:spacing w:val="-2"/>
          <w:sz w:val="20"/>
        </w:rPr>
        <w:t xml:space="preserve"> </w:t>
      </w:r>
      <w:r>
        <w:rPr>
          <w:sz w:val="20"/>
        </w:rPr>
        <w:t xml:space="preserve">and Syracuse, New York; Manassas, Virginia; and </w:t>
      </w:r>
      <w:proofErr w:type="spellStart"/>
      <w:r>
        <w:rPr>
          <w:sz w:val="20"/>
        </w:rPr>
        <w:t>Mielec</w:t>
      </w:r>
      <w:proofErr w:type="spellEnd"/>
      <w:r>
        <w:rPr>
          <w:sz w:val="20"/>
        </w:rPr>
        <w:t>, Poland.</w:t>
      </w:r>
    </w:p>
    <w:p w14:paraId="05E519D6" w14:textId="77777777" w:rsidR="00AE2255" w:rsidRDefault="00000000">
      <w:pPr>
        <w:pStyle w:val="ListParagraph"/>
        <w:numPr>
          <w:ilvl w:val="0"/>
          <w:numId w:val="13"/>
        </w:numPr>
        <w:tabs>
          <w:tab w:val="left" w:pos="969"/>
          <w:tab w:val="left" w:pos="970"/>
        </w:tabs>
        <w:spacing w:before="2" w:line="249" w:lineRule="auto"/>
        <w:ind w:right="430"/>
        <w:rPr>
          <w:sz w:val="20"/>
        </w:rPr>
      </w:pPr>
      <w:r>
        <w:rPr>
          <w:b/>
          <w:sz w:val="20"/>
        </w:rPr>
        <w:t>Space</w:t>
      </w:r>
      <w:r>
        <w:rPr>
          <w:b/>
          <w:spacing w:val="40"/>
          <w:sz w:val="20"/>
        </w:rPr>
        <w:t xml:space="preserve"> </w:t>
      </w:r>
      <w:r>
        <w:rPr>
          <w:sz w:val="20"/>
        </w:rPr>
        <w:t>-</w:t>
      </w:r>
      <w:r>
        <w:rPr>
          <w:spacing w:val="40"/>
          <w:sz w:val="20"/>
        </w:rPr>
        <w:t xml:space="preserve"> </w:t>
      </w:r>
      <w:r>
        <w:rPr>
          <w:sz w:val="20"/>
        </w:rPr>
        <w:t>Huntsville,</w:t>
      </w:r>
      <w:r>
        <w:rPr>
          <w:spacing w:val="40"/>
          <w:sz w:val="20"/>
        </w:rPr>
        <w:t xml:space="preserve"> </w:t>
      </w:r>
      <w:r>
        <w:rPr>
          <w:sz w:val="20"/>
        </w:rPr>
        <w:t>Alabama;</w:t>
      </w:r>
      <w:r>
        <w:rPr>
          <w:spacing w:val="40"/>
          <w:sz w:val="20"/>
        </w:rPr>
        <w:t xml:space="preserve"> </w:t>
      </w:r>
      <w:r>
        <w:rPr>
          <w:sz w:val="20"/>
        </w:rPr>
        <w:t>Sunnyvale,</w:t>
      </w:r>
      <w:r>
        <w:rPr>
          <w:spacing w:val="40"/>
          <w:sz w:val="20"/>
        </w:rPr>
        <w:t xml:space="preserve"> </w:t>
      </w:r>
      <w:r>
        <w:rPr>
          <w:sz w:val="20"/>
        </w:rPr>
        <w:t>California;</w:t>
      </w:r>
      <w:r>
        <w:rPr>
          <w:spacing w:val="40"/>
          <w:sz w:val="20"/>
        </w:rPr>
        <w:t xml:space="preserve"> </w:t>
      </w:r>
      <w:r>
        <w:rPr>
          <w:sz w:val="20"/>
        </w:rPr>
        <w:t>Denver,</w:t>
      </w:r>
      <w:r>
        <w:rPr>
          <w:spacing w:val="40"/>
          <w:sz w:val="20"/>
        </w:rPr>
        <w:t xml:space="preserve"> </w:t>
      </w:r>
      <w:r>
        <w:rPr>
          <w:sz w:val="20"/>
        </w:rPr>
        <w:t>Colorado;</w:t>
      </w:r>
      <w:r>
        <w:rPr>
          <w:spacing w:val="40"/>
          <w:sz w:val="20"/>
        </w:rPr>
        <w:t xml:space="preserve"> </w:t>
      </w:r>
      <w:r>
        <w:rPr>
          <w:sz w:val="20"/>
        </w:rPr>
        <w:t>Cape</w:t>
      </w:r>
      <w:r>
        <w:rPr>
          <w:spacing w:val="40"/>
          <w:sz w:val="20"/>
        </w:rPr>
        <w:t xml:space="preserve"> </w:t>
      </w:r>
      <w:r>
        <w:rPr>
          <w:sz w:val="20"/>
        </w:rPr>
        <w:t>Canaveral,</w:t>
      </w:r>
      <w:r>
        <w:rPr>
          <w:spacing w:val="40"/>
          <w:sz w:val="20"/>
        </w:rPr>
        <w:t xml:space="preserve"> </w:t>
      </w:r>
      <w:r>
        <w:rPr>
          <w:sz w:val="20"/>
        </w:rPr>
        <w:t>Florida;</w:t>
      </w:r>
      <w:r>
        <w:rPr>
          <w:spacing w:val="40"/>
          <w:sz w:val="20"/>
        </w:rPr>
        <w:t xml:space="preserve"> </w:t>
      </w:r>
      <w:r>
        <w:rPr>
          <w:sz w:val="20"/>
        </w:rPr>
        <w:t>and</w:t>
      </w:r>
      <w:r>
        <w:rPr>
          <w:spacing w:val="40"/>
          <w:sz w:val="20"/>
        </w:rPr>
        <w:t xml:space="preserve"> </w:t>
      </w:r>
      <w:r>
        <w:rPr>
          <w:sz w:val="20"/>
        </w:rPr>
        <w:t>Valley</w:t>
      </w:r>
      <w:r>
        <w:rPr>
          <w:spacing w:val="40"/>
          <w:sz w:val="20"/>
        </w:rPr>
        <w:t xml:space="preserve"> </w:t>
      </w:r>
      <w:r>
        <w:rPr>
          <w:sz w:val="20"/>
        </w:rPr>
        <w:t xml:space="preserve">Forge, </w:t>
      </w:r>
      <w:r>
        <w:rPr>
          <w:spacing w:val="-2"/>
          <w:sz w:val="20"/>
        </w:rPr>
        <w:t>Pennsylvania.</w:t>
      </w:r>
    </w:p>
    <w:p w14:paraId="411CE814" w14:textId="77777777" w:rsidR="00AE2255" w:rsidRDefault="00000000">
      <w:pPr>
        <w:pStyle w:val="ListParagraph"/>
        <w:numPr>
          <w:ilvl w:val="0"/>
          <w:numId w:val="13"/>
        </w:numPr>
        <w:tabs>
          <w:tab w:val="left" w:pos="969"/>
          <w:tab w:val="left" w:pos="970"/>
        </w:tabs>
        <w:spacing w:before="1"/>
        <w:rPr>
          <w:sz w:val="20"/>
        </w:rPr>
      </w:pPr>
      <w:r>
        <w:rPr>
          <w:b/>
          <w:sz w:val="20"/>
        </w:rPr>
        <w:t>Corporate</w:t>
      </w:r>
      <w:r>
        <w:rPr>
          <w:b/>
          <w:spacing w:val="-5"/>
          <w:sz w:val="20"/>
        </w:rPr>
        <w:t xml:space="preserve"> </w:t>
      </w:r>
      <w:r>
        <w:rPr>
          <w:b/>
          <w:sz w:val="20"/>
        </w:rPr>
        <w:t>activities</w:t>
      </w:r>
      <w:r>
        <w:rPr>
          <w:b/>
          <w:spacing w:val="-5"/>
          <w:sz w:val="20"/>
        </w:rPr>
        <w:t xml:space="preserve"> </w:t>
      </w:r>
      <w:r>
        <w:rPr>
          <w:sz w:val="20"/>
        </w:rPr>
        <w:t>-</w:t>
      </w:r>
      <w:r>
        <w:rPr>
          <w:spacing w:val="-4"/>
          <w:sz w:val="20"/>
        </w:rPr>
        <w:t xml:space="preserve"> </w:t>
      </w:r>
      <w:r>
        <w:rPr>
          <w:sz w:val="20"/>
        </w:rPr>
        <w:t>Bethesda,</w:t>
      </w:r>
      <w:r>
        <w:rPr>
          <w:spacing w:val="-3"/>
          <w:sz w:val="20"/>
        </w:rPr>
        <w:t xml:space="preserve"> </w:t>
      </w:r>
      <w:r>
        <w:rPr>
          <w:spacing w:val="-2"/>
          <w:sz w:val="20"/>
        </w:rPr>
        <w:t>Maryland.</w:t>
      </w:r>
    </w:p>
    <w:p w14:paraId="0D003018" w14:textId="77777777" w:rsidR="00AE2255" w:rsidRDefault="00AE2255">
      <w:pPr>
        <w:rPr>
          <w:sz w:val="20"/>
        </w:rPr>
        <w:sectPr w:rsidR="00AE2255">
          <w:pgSz w:w="12240" w:h="15840"/>
          <w:pgMar w:top="440" w:right="560" w:bottom="720" w:left="380" w:header="230" w:footer="531" w:gutter="0"/>
          <w:cols w:space="720"/>
        </w:sectPr>
      </w:pPr>
    </w:p>
    <w:p w14:paraId="5B41C09D" w14:textId="77777777" w:rsidR="00AE2255" w:rsidRDefault="00AE2255">
      <w:pPr>
        <w:pStyle w:val="BodyText"/>
        <w:spacing w:before="10"/>
        <w:rPr>
          <w:sz w:val="22"/>
        </w:rPr>
      </w:pPr>
    </w:p>
    <w:p w14:paraId="04873436" w14:textId="77777777" w:rsidR="00AE2255" w:rsidRDefault="00000000">
      <w:pPr>
        <w:pStyle w:val="BodyText"/>
        <w:spacing w:before="92" w:line="249" w:lineRule="auto"/>
        <w:ind w:left="610" w:right="1086" w:firstLine="360"/>
      </w:pPr>
      <w:r>
        <w:t>The</w:t>
      </w:r>
      <w:r>
        <w:rPr>
          <w:spacing w:val="-3"/>
        </w:rPr>
        <w:t xml:space="preserve"> </w:t>
      </w:r>
      <w:r>
        <w:t>following</w:t>
      </w:r>
      <w:r>
        <w:rPr>
          <w:spacing w:val="-2"/>
        </w:rPr>
        <w:t xml:space="preserve"> </w:t>
      </w:r>
      <w:r>
        <w:t>is</w:t>
      </w:r>
      <w:r>
        <w:rPr>
          <w:spacing w:val="-3"/>
        </w:rPr>
        <w:t xml:space="preserve"> </w:t>
      </w:r>
      <w:r>
        <w:t>a</w:t>
      </w:r>
      <w:r>
        <w:rPr>
          <w:spacing w:val="-3"/>
        </w:rPr>
        <w:t xml:space="preserve"> </w:t>
      </w:r>
      <w:r>
        <w:t>summary</w:t>
      </w:r>
      <w:r>
        <w:rPr>
          <w:spacing w:val="-2"/>
        </w:rPr>
        <w:t xml:space="preserve"> </w:t>
      </w:r>
      <w:r>
        <w:t>of</w:t>
      </w:r>
      <w:r>
        <w:rPr>
          <w:spacing w:val="-2"/>
        </w:rPr>
        <w:t xml:space="preserve"> </w:t>
      </w:r>
      <w:r>
        <w:t>our</w:t>
      </w:r>
      <w:r>
        <w:rPr>
          <w:spacing w:val="-2"/>
        </w:rPr>
        <w:t xml:space="preserve"> </w:t>
      </w:r>
      <w:r>
        <w:t>square</w:t>
      </w:r>
      <w:r>
        <w:rPr>
          <w:spacing w:val="-3"/>
        </w:rPr>
        <w:t xml:space="preserve"> </w:t>
      </w:r>
      <w:r>
        <w:t>feet</w:t>
      </w:r>
      <w:r>
        <w:rPr>
          <w:spacing w:val="-3"/>
        </w:rPr>
        <w:t xml:space="preserve"> </w:t>
      </w:r>
      <w:r>
        <w:t>of</w:t>
      </w:r>
      <w:r>
        <w:rPr>
          <w:spacing w:val="-2"/>
        </w:rPr>
        <w:t xml:space="preserve"> </w:t>
      </w:r>
      <w:r>
        <w:t>floor</w:t>
      </w:r>
      <w:r>
        <w:rPr>
          <w:spacing w:val="-2"/>
        </w:rPr>
        <w:t xml:space="preserve"> </w:t>
      </w:r>
      <w:r>
        <w:t>space</w:t>
      </w:r>
      <w:r>
        <w:rPr>
          <w:spacing w:val="-3"/>
        </w:rPr>
        <w:t xml:space="preserve"> </w:t>
      </w:r>
      <w:r>
        <w:t>owned,</w:t>
      </w:r>
      <w:r>
        <w:rPr>
          <w:spacing w:val="-2"/>
        </w:rPr>
        <w:t xml:space="preserve"> </w:t>
      </w:r>
      <w:r>
        <w:t>leased,</w:t>
      </w:r>
      <w:r>
        <w:rPr>
          <w:spacing w:val="-2"/>
        </w:rPr>
        <w:t xml:space="preserve"> </w:t>
      </w:r>
      <w:r>
        <w:t>or</w:t>
      </w:r>
      <w:r>
        <w:rPr>
          <w:spacing w:val="-2"/>
        </w:rPr>
        <w:t xml:space="preserve"> </w:t>
      </w:r>
      <w:r>
        <w:t>utilized</w:t>
      </w:r>
      <w:r>
        <w:rPr>
          <w:spacing w:val="-2"/>
        </w:rPr>
        <w:t xml:space="preserve"> </w:t>
      </w:r>
      <w:r>
        <w:t>by</w:t>
      </w:r>
      <w:r>
        <w:rPr>
          <w:spacing w:val="-2"/>
        </w:rPr>
        <w:t xml:space="preserve"> </w:t>
      </w:r>
      <w:r>
        <w:t>business</w:t>
      </w:r>
      <w:r>
        <w:rPr>
          <w:spacing w:val="-3"/>
        </w:rPr>
        <w:t xml:space="preserve"> </w:t>
      </w:r>
      <w:r>
        <w:t>segment</w:t>
      </w:r>
      <w:r>
        <w:rPr>
          <w:spacing w:val="-3"/>
        </w:rPr>
        <w:t xml:space="preserve"> </w:t>
      </w:r>
      <w:proofErr w:type="gramStart"/>
      <w:r>
        <w:t>at</w:t>
      </w:r>
      <w:proofErr w:type="gramEnd"/>
      <w:r>
        <w:t xml:space="preserve"> December 31, 2022 (in millions):</w:t>
      </w:r>
    </w:p>
    <w:p w14:paraId="51EAA1AE" w14:textId="77777777" w:rsidR="00AE2255" w:rsidRDefault="00000000">
      <w:pPr>
        <w:pStyle w:val="Heading2"/>
        <w:spacing w:before="55"/>
        <w:ind w:left="0" w:right="1918"/>
        <w:jc w:val="right"/>
      </w:pPr>
      <w:r>
        <w:rPr>
          <w:spacing w:val="-2"/>
        </w:rPr>
        <w:t>Government-</w:t>
      </w:r>
    </w:p>
    <w:tbl>
      <w:tblPr>
        <w:tblW w:w="0" w:type="auto"/>
        <w:tblInd w:w="617" w:type="dxa"/>
        <w:tblLayout w:type="fixed"/>
        <w:tblCellMar>
          <w:left w:w="0" w:type="dxa"/>
          <w:right w:w="0" w:type="dxa"/>
        </w:tblCellMar>
        <w:tblLook w:val="01E0" w:firstRow="1" w:lastRow="1" w:firstColumn="1" w:lastColumn="1" w:noHBand="0" w:noVBand="0"/>
      </w:tblPr>
      <w:tblGrid>
        <w:gridCol w:w="3776"/>
        <w:gridCol w:w="2414"/>
        <w:gridCol w:w="1337"/>
        <w:gridCol w:w="1396"/>
        <w:gridCol w:w="1308"/>
      </w:tblGrid>
      <w:tr w:rsidR="00AE2255" w14:paraId="61F74604" w14:textId="77777777">
        <w:trPr>
          <w:trHeight w:val="241"/>
        </w:trPr>
        <w:tc>
          <w:tcPr>
            <w:tcW w:w="3776" w:type="dxa"/>
            <w:tcBorders>
              <w:bottom w:val="single" w:sz="8" w:space="0" w:color="auto"/>
            </w:tcBorders>
          </w:tcPr>
          <w:p w14:paraId="3149748B" w14:textId="77777777" w:rsidR="00AE2255" w:rsidRDefault="00AE2255">
            <w:pPr>
              <w:pStyle w:val="TableParagraph"/>
              <w:spacing w:before="0"/>
              <w:jc w:val="left"/>
              <w:rPr>
                <w:sz w:val="16"/>
              </w:rPr>
            </w:pPr>
          </w:p>
        </w:tc>
        <w:tc>
          <w:tcPr>
            <w:tcW w:w="2414" w:type="dxa"/>
            <w:tcBorders>
              <w:bottom w:val="single" w:sz="8" w:space="0" w:color="auto"/>
            </w:tcBorders>
          </w:tcPr>
          <w:p w14:paraId="6A08B449" w14:textId="77777777" w:rsidR="00AE2255" w:rsidRDefault="00000000">
            <w:pPr>
              <w:pStyle w:val="TableParagraph"/>
              <w:spacing w:before="0" w:line="200" w:lineRule="exact"/>
              <w:ind w:left="1415" w:right="357"/>
              <w:jc w:val="center"/>
              <w:rPr>
                <w:b/>
                <w:sz w:val="20"/>
              </w:rPr>
            </w:pPr>
            <w:r>
              <w:rPr>
                <w:b/>
                <w:spacing w:val="-2"/>
                <w:sz w:val="20"/>
              </w:rPr>
              <w:t>Owned</w:t>
            </w:r>
          </w:p>
        </w:tc>
        <w:tc>
          <w:tcPr>
            <w:tcW w:w="1337" w:type="dxa"/>
            <w:tcBorders>
              <w:bottom w:val="single" w:sz="8" w:space="0" w:color="auto"/>
            </w:tcBorders>
          </w:tcPr>
          <w:p w14:paraId="6AF952C5" w14:textId="77777777" w:rsidR="00AE2255" w:rsidRDefault="00000000">
            <w:pPr>
              <w:pStyle w:val="TableParagraph"/>
              <w:spacing w:before="0" w:line="200" w:lineRule="exact"/>
              <w:ind w:left="372"/>
              <w:jc w:val="left"/>
              <w:rPr>
                <w:b/>
                <w:sz w:val="20"/>
              </w:rPr>
            </w:pPr>
            <w:r>
              <w:rPr>
                <w:b/>
                <w:spacing w:val="-2"/>
                <w:sz w:val="20"/>
              </w:rPr>
              <w:t>Leased</w:t>
            </w:r>
          </w:p>
        </w:tc>
        <w:tc>
          <w:tcPr>
            <w:tcW w:w="1396" w:type="dxa"/>
            <w:tcBorders>
              <w:bottom w:val="single" w:sz="8" w:space="0" w:color="auto"/>
            </w:tcBorders>
          </w:tcPr>
          <w:p w14:paraId="79E9523D" w14:textId="77777777" w:rsidR="00AE2255" w:rsidRDefault="00000000">
            <w:pPr>
              <w:pStyle w:val="TableParagraph"/>
              <w:spacing w:before="0" w:line="200" w:lineRule="exact"/>
              <w:ind w:left="365"/>
              <w:jc w:val="left"/>
              <w:rPr>
                <w:b/>
                <w:sz w:val="20"/>
              </w:rPr>
            </w:pPr>
            <w:r>
              <w:rPr>
                <w:b/>
                <w:spacing w:val="-2"/>
                <w:sz w:val="20"/>
              </w:rPr>
              <w:t>Owned</w:t>
            </w:r>
          </w:p>
        </w:tc>
        <w:tc>
          <w:tcPr>
            <w:tcW w:w="1308" w:type="dxa"/>
            <w:tcBorders>
              <w:bottom w:val="single" w:sz="8" w:space="0" w:color="auto"/>
            </w:tcBorders>
          </w:tcPr>
          <w:p w14:paraId="0704E5F9" w14:textId="77777777" w:rsidR="00AE2255" w:rsidRDefault="00000000">
            <w:pPr>
              <w:pStyle w:val="TableParagraph"/>
              <w:spacing w:before="0" w:line="200" w:lineRule="exact"/>
              <w:ind w:left="405" w:right="416"/>
              <w:jc w:val="center"/>
              <w:rPr>
                <w:b/>
                <w:sz w:val="20"/>
              </w:rPr>
            </w:pPr>
            <w:r>
              <w:rPr>
                <w:b/>
                <w:spacing w:val="-2"/>
                <w:sz w:val="20"/>
              </w:rPr>
              <w:t>Total</w:t>
            </w:r>
          </w:p>
        </w:tc>
      </w:tr>
      <w:tr w:rsidR="00AE2255" w14:paraId="2A9F86F4" w14:textId="77777777">
        <w:trPr>
          <w:trHeight w:val="275"/>
        </w:trPr>
        <w:tc>
          <w:tcPr>
            <w:tcW w:w="3776" w:type="dxa"/>
            <w:tcBorders>
              <w:top w:val="single" w:sz="8" w:space="0" w:color="CCEDFF"/>
            </w:tcBorders>
            <w:shd w:val="clear" w:color="auto" w:fill="CCEDFF"/>
          </w:tcPr>
          <w:p w14:paraId="6645E902" w14:textId="77777777" w:rsidR="00AE2255" w:rsidRDefault="00000000">
            <w:pPr>
              <w:pStyle w:val="TableParagraph"/>
              <w:spacing w:before="0" w:line="225" w:lineRule="exact"/>
              <w:ind w:left="52"/>
              <w:jc w:val="left"/>
              <w:rPr>
                <w:sz w:val="20"/>
              </w:rPr>
            </w:pPr>
            <w:r>
              <w:rPr>
                <w:spacing w:val="-2"/>
                <w:sz w:val="20"/>
              </w:rPr>
              <w:t>Aeronautics</w:t>
            </w:r>
          </w:p>
        </w:tc>
        <w:tc>
          <w:tcPr>
            <w:tcW w:w="2414" w:type="dxa"/>
            <w:tcBorders>
              <w:top w:val="single" w:sz="8" w:space="0" w:color="CCEDFF"/>
            </w:tcBorders>
            <w:shd w:val="clear" w:color="auto" w:fill="CCEDFF"/>
          </w:tcPr>
          <w:p w14:paraId="2308DE99" w14:textId="77777777" w:rsidR="00AE2255" w:rsidRDefault="00000000">
            <w:pPr>
              <w:pStyle w:val="TableParagraph"/>
              <w:spacing w:before="0" w:line="224" w:lineRule="exact"/>
              <w:ind w:left="1415" w:right="305"/>
              <w:jc w:val="center"/>
              <w:rPr>
                <w:sz w:val="20"/>
              </w:rPr>
            </w:pPr>
            <w:r>
              <w:rPr>
                <w:spacing w:val="-5"/>
                <w:sz w:val="20"/>
              </w:rPr>
              <w:t>5.5</w:t>
            </w:r>
          </w:p>
        </w:tc>
        <w:tc>
          <w:tcPr>
            <w:tcW w:w="1337" w:type="dxa"/>
            <w:tcBorders>
              <w:top w:val="single" w:sz="8" w:space="0" w:color="CCEDFF"/>
            </w:tcBorders>
            <w:shd w:val="clear" w:color="auto" w:fill="CCEDFF"/>
          </w:tcPr>
          <w:p w14:paraId="26506A80" w14:textId="77777777" w:rsidR="00AE2255" w:rsidRDefault="00000000">
            <w:pPr>
              <w:pStyle w:val="TableParagraph"/>
              <w:spacing w:before="0" w:line="224" w:lineRule="exact"/>
              <w:ind w:left="531" w:right="531"/>
              <w:jc w:val="center"/>
              <w:rPr>
                <w:sz w:val="20"/>
              </w:rPr>
            </w:pPr>
            <w:r>
              <w:rPr>
                <w:spacing w:val="-5"/>
                <w:sz w:val="20"/>
              </w:rPr>
              <w:t>3.0</w:t>
            </w:r>
          </w:p>
        </w:tc>
        <w:tc>
          <w:tcPr>
            <w:tcW w:w="1396" w:type="dxa"/>
            <w:tcBorders>
              <w:top w:val="single" w:sz="8" w:space="0" w:color="CCEDFF"/>
            </w:tcBorders>
            <w:shd w:val="clear" w:color="auto" w:fill="CCEDFF"/>
          </w:tcPr>
          <w:p w14:paraId="76127EF2" w14:textId="77777777" w:rsidR="00AE2255" w:rsidRDefault="00000000">
            <w:pPr>
              <w:pStyle w:val="TableParagraph"/>
              <w:spacing w:before="0" w:line="224" w:lineRule="exact"/>
              <w:ind w:left="456"/>
              <w:jc w:val="left"/>
              <w:rPr>
                <w:sz w:val="20"/>
              </w:rPr>
            </w:pPr>
            <w:r>
              <w:rPr>
                <w:spacing w:val="-4"/>
                <w:sz w:val="20"/>
              </w:rPr>
              <w:t>14.7</w:t>
            </w:r>
          </w:p>
        </w:tc>
        <w:tc>
          <w:tcPr>
            <w:tcW w:w="1308" w:type="dxa"/>
            <w:tcBorders>
              <w:top w:val="single" w:sz="8" w:space="0" w:color="CCEDFF"/>
            </w:tcBorders>
            <w:shd w:val="clear" w:color="auto" w:fill="CCEDFF"/>
          </w:tcPr>
          <w:p w14:paraId="3E9D10EF" w14:textId="77777777" w:rsidR="00AE2255" w:rsidRDefault="00000000">
            <w:pPr>
              <w:pStyle w:val="TableParagraph"/>
              <w:spacing w:before="0" w:line="224" w:lineRule="exact"/>
              <w:ind w:left="371" w:right="416"/>
              <w:jc w:val="center"/>
              <w:rPr>
                <w:sz w:val="20"/>
              </w:rPr>
            </w:pPr>
            <w:r>
              <w:rPr>
                <w:spacing w:val="-4"/>
                <w:sz w:val="20"/>
              </w:rPr>
              <w:t>23.2</w:t>
            </w:r>
          </w:p>
        </w:tc>
      </w:tr>
      <w:tr w:rsidR="00AE2255" w14:paraId="74B01C1F" w14:textId="77777777">
        <w:trPr>
          <w:trHeight w:val="285"/>
        </w:trPr>
        <w:tc>
          <w:tcPr>
            <w:tcW w:w="3776" w:type="dxa"/>
          </w:tcPr>
          <w:p w14:paraId="45090838" w14:textId="77777777" w:rsidR="00AE2255" w:rsidRDefault="00000000">
            <w:pPr>
              <w:pStyle w:val="TableParagraph"/>
              <w:spacing w:before="5"/>
              <w:ind w:left="52"/>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414" w:type="dxa"/>
          </w:tcPr>
          <w:p w14:paraId="068D346C" w14:textId="77777777" w:rsidR="00AE2255" w:rsidRDefault="00000000">
            <w:pPr>
              <w:pStyle w:val="TableParagraph"/>
              <w:spacing w:before="4"/>
              <w:ind w:left="1415" w:right="305"/>
              <w:jc w:val="center"/>
              <w:rPr>
                <w:sz w:val="20"/>
              </w:rPr>
            </w:pPr>
            <w:r>
              <w:rPr>
                <w:spacing w:val="-5"/>
                <w:sz w:val="20"/>
              </w:rPr>
              <w:t>7.8</w:t>
            </w:r>
          </w:p>
        </w:tc>
        <w:tc>
          <w:tcPr>
            <w:tcW w:w="1337" w:type="dxa"/>
          </w:tcPr>
          <w:p w14:paraId="7220D22C" w14:textId="77777777" w:rsidR="00AE2255" w:rsidRDefault="00000000">
            <w:pPr>
              <w:pStyle w:val="TableParagraph"/>
              <w:spacing w:before="4"/>
              <w:ind w:left="531" w:right="531"/>
              <w:jc w:val="center"/>
              <w:rPr>
                <w:sz w:val="20"/>
              </w:rPr>
            </w:pPr>
            <w:r>
              <w:rPr>
                <w:spacing w:val="-5"/>
                <w:sz w:val="20"/>
              </w:rPr>
              <w:t>2.6</w:t>
            </w:r>
          </w:p>
        </w:tc>
        <w:tc>
          <w:tcPr>
            <w:tcW w:w="1396" w:type="dxa"/>
          </w:tcPr>
          <w:p w14:paraId="702BD200" w14:textId="77777777" w:rsidR="00AE2255" w:rsidRDefault="00000000">
            <w:pPr>
              <w:pStyle w:val="TableParagraph"/>
              <w:spacing w:before="4"/>
              <w:ind w:left="545" w:right="576"/>
              <w:jc w:val="center"/>
              <w:rPr>
                <w:sz w:val="20"/>
              </w:rPr>
            </w:pPr>
            <w:r>
              <w:rPr>
                <w:spacing w:val="-5"/>
                <w:sz w:val="20"/>
              </w:rPr>
              <w:t>2.2</w:t>
            </w:r>
          </w:p>
        </w:tc>
        <w:tc>
          <w:tcPr>
            <w:tcW w:w="1308" w:type="dxa"/>
          </w:tcPr>
          <w:p w14:paraId="5C24391E" w14:textId="77777777" w:rsidR="00AE2255" w:rsidRDefault="00000000">
            <w:pPr>
              <w:pStyle w:val="TableParagraph"/>
              <w:spacing w:before="4"/>
              <w:ind w:left="371" w:right="416"/>
              <w:jc w:val="center"/>
              <w:rPr>
                <w:sz w:val="20"/>
              </w:rPr>
            </w:pPr>
            <w:r>
              <w:rPr>
                <w:spacing w:val="-4"/>
                <w:sz w:val="20"/>
              </w:rPr>
              <w:t>12.6</w:t>
            </w:r>
          </w:p>
        </w:tc>
      </w:tr>
      <w:tr w:rsidR="00AE2255" w14:paraId="3830BC19" w14:textId="77777777">
        <w:trPr>
          <w:trHeight w:val="285"/>
        </w:trPr>
        <w:tc>
          <w:tcPr>
            <w:tcW w:w="3776" w:type="dxa"/>
            <w:shd w:val="clear" w:color="auto" w:fill="CCEDFF"/>
          </w:tcPr>
          <w:p w14:paraId="2333C481" w14:textId="77777777" w:rsidR="00AE2255" w:rsidRDefault="00000000">
            <w:pPr>
              <w:pStyle w:val="TableParagraph"/>
              <w:spacing w:before="5"/>
              <w:ind w:left="52"/>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414" w:type="dxa"/>
            <w:shd w:val="clear" w:color="auto" w:fill="CCEDFF"/>
          </w:tcPr>
          <w:p w14:paraId="14064A6E" w14:textId="77777777" w:rsidR="00AE2255" w:rsidRDefault="00000000">
            <w:pPr>
              <w:pStyle w:val="TableParagraph"/>
              <w:spacing w:before="4"/>
              <w:ind w:left="1367" w:right="357"/>
              <w:jc w:val="center"/>
              <w:rPr>
                <w:sz w:val="20"/>
              </w:rPr>
            </w:pPr>
            <w:r>
              <w:rPr>
                <w:spacing w:val="-4"/>
                <w:sz w:val="20"/>
              </w:rPr>
              <w:t>11.2</w:t>
            </w:r>
          </w:p>
        </w:tc>
        <w:tc>
          <w:tcPr>
            <w:tcW w:w="1337" w:type="dxa"/>
            <w:shd w:val="clear" w:color="auto" w:fill="CCEDFF"/>
          </w:tcPr>
          <w:p w14:paraId="50620EF7" w14:textId="77777777" w:rsidR="00AE2255" w:rsidRDefault="00000000">
            <w:pPr>
              <w:pStyle w:val="TableParagraph"/>
              <w:spacing w:before="4"/>
              <w:ind w:left="531" w:right="531"/>
              <w:jc w:val="center"/>
              <w:rPr>
                <w:sz w:val="20"/>
              </w:rPr>
            </w:pPr>
            <w:r>
              <w:rPr>
                <w:spacing w:val="-5"/>
                <w:sz w:val="20"/>
              </w:rPr>
              <w:t>4.7</w:t>
            </w:r>
          </w:p>
        </w:tc>
        <w:tc>
          <w:tcPr>
            <w:tcW w:w="1396" w:type="dxa"/>
            <w:shd w:val="clear" w:color="auto" w:fill="CCEDFF"/>
          </w:tcPr>
          <w:p w14:paraId="5CE4EBA0" w14:textId="77777777" w:rsidR="00AE2255" w:rsidRDefault="00000000">
            <w:pPr>
              <w:pStyle w:val="TableParagraph"/>
              <w:spacing w:before="4"/>
              <w:ind w:left="545" w:right="576"/>
              <w:jc w:val="center"/>
              <w:rPr>
                <w:sz w:val="20"/>
              </w:rPr>
            </w:pPr>
            <w:r>
              <w:rPr>
                <w:spacing w:val="-5"/>
                <w:sz w:val="20"/>
              </w:rPr>
              <w:t>0.2</w:t>
            </w:r>
          </w:p>
        </w:tc>
        <w:tc>
          <w:tcPr>
            <w:tcW w:w="1308" w:type="dxa"/>
            <w:shd w:val="clear" w:color="auto" w:fill="CCEDFF"/>
          </w:tcPr>
          <w:p w14:paraId="5530476B" w14:textId="77777777" w:rsidR="00AE2255" w:rsidRDefault="00000000">
            <w:pPr>
              <w:pStyle w:val="TableParagraph"/>
              <w:spacing w:before="4"/>
              <w:ind w:left="371" w:right="416"/>
              <w:jc w:val="center"/>
              <w:rPr>
                <w:sz w:val="20"/>
              </w:rPr>
            </w:pPr>
            <w:r>
              <w:rPr>
                <w:spacing w:val="-4"/>
                <w:sz w:val="20"/>
              </w:rPr>
              <w:t>16.1</w:t>
            </w:r>
          </w:p>
        </w:tc>
      </w:tr>
      <w:tr w:rsidR="00AE2255" w14:paraId="4CD5FCAD" w14:textId="77777777">
        <w:trPr>
          <w:trHeight w:val="285"/>
        </w:trPr>
        <w:tc>
          <w:tcPr>
            <w:tcW w:w="3776" w:type="dxa"/>
          </w:tcPr>
          <w:p w14:paraId="40ACD7F5" w14:textId="77777777" w:rsidR="00AE2255" w:rsidRDefault="00000000">
            <w:pPr>
              <w:pStyle w:val="TableParagraph"/>
              <w:spacing w:before="5"/>
              <w:ind w:left="52"/>
              <w:jc w:val="left"/>
              <w:rPr>
                <w:sz w:val="20"/>
              </w:rPr>
            </w:pPr>
            <w:r>
              <w:rPr>
                <w:spacing w:val="-2"/>
                <w:sz w:val="20"/>
              </w:rPr>
              <w:t>Space</w:t>
            </w:r>
          </w:p>
        </w:tc>
        <w:tc>
          <w:tcPr>
            <w:tcW w:w="2414" w:type="dxa"/>
          </w:tcPr>
          <w:p w14:paraId="41E5B9C8" w14:textId="77777777" w:rsidR="00AE2255" w:rsidRDefault="00000000">
            <w:pPr>
              <w:pStyle w:val="TableParagraph"/>
              <w:spacing w:before="4"/>
              <w:ind w:left="1415" w:right="305"/>
              <w:jc w:val="center"/>
              <w:rPr>
                <w:sz w:val="20"/>
              </w:rPr>
            </w:pPr>
            <w:r>
              <w:rPr>
                <w:spacing w:val="-5"/>
                <w:sz w:val="20"/>
              </w:rPr>
              <w:t>9.3</w:t>
            </w:r>
          </w:p>
        </w:tc>
        <w:tc>
          <w:tcPr>
            <w:tcW w:w="1337" w:type="dxa"/>
          </w:tcPr>
          <w:p w14:paraId="2514F717" w14:textId="77777777" w:rsidR="00AE2255" w:rsidRDefault="00000000">
            <w:pPr>
              <w:pStyle w:val="TableParagraph"/>
              <w:spacing w:before="4"/>
              <w:ind w:left="531" w:right="531"/>
              <w:jc w:val="center"/>
              <w:rPr>
                <w:sz w:val="20"/>
              </w:rPr>
            </w:pPr>
            <w:r>
              <w:rPr>
                <w:spacing w:val="-5"/>
                <w:sz w:val="20"/>
              </w:rPr>
              <w:t>2.9</w:t>
            </w:r>
          </w:p>
        </w:tc>
        <w:tc>
          <w:tcPr>
            <w:tcW w:w="1396" w:type="dxa"/>
          </w:tcPr>
          <w:p w14:paraId="3057E122" w14:textId="77777777" w:rsidR="00AE2255" w:rsidRDefault="00000000">
            <w:pPr>
              <w:pStyle w:val="TableParagraph"/>
              <w:spacing w:before="4"/>
              <w:ind w:left="545" w:right="576"/>
              <w:jc w:val="center"/>
              <w:rPr>
                <w:sz w:val="20"/>
              </w:rPr>
            </w:pPr>
            <w:r>
              <w:rPr>
                <w:spacing w:val="-5"/>
                <w:sz w:val="20"/>
              </w:rPr>
              <w:t>0.9</w:t>
            </w:r>
          </w:p>
        </w:tc>
        <w:tc>
          <w:tcPr>
            <w:tcW w:w="1308" w:type="dxa"/>
          </w:tcPr>
          <w:p w14:paraId="36649C89" w14:textId="77777777" w:rsidR="00AE2255" w:rsidRDefault="00000000">
            <w:pPr>
              <w:pStyle w:val="TableParagraph"/>
              <w:spacing w:before="4"/>
              <w:ind w:left="371" w:right="416"/>
              <w:jc w:val="center"/>
              <w:rPr>
                <w:sz w:val="20"/>
              </w:rPr>
            </w:pPr>
            <w:r>
              <w:rPr>
                <w:spacing w:val="-4"/>
                <w:sz w:val="20"/>
              </w:rPr>
              <w:t>13.1</w:t>
            </w:r>
          </w:p>
        </w:tc>
      </w:tr>
      <w:tr w:rsidR="00AE2255" w14:paraId="51837992" w14:textId="77777777">
        <w:trPr>
          <w:trHeight w:val="275"/>
        </w:trPr>
        <w:tc>
          <w:tcPr>
            <w:tcW w:w="3776" w:type="dxa"/>
            <w:tcBorders>
              <w:bottom w:val="single" w:sz="8" w:space="0" w:color="CCEDFF"/>
            </w:tcBorders>
            <w:shd w:val="clear" w:color="auto" w:fill="CCEDFF"/>
          </w:tcPr>
          <w:p w14:paraId="484B4892" w14:textId="77777777" w:rsidR="00AE2255" w:rsidRDefault="00000000">
            <w:pPr>
              <w:pStyle w:val="TableParagraph"/>
              <w:spacing w:before="5"/>
              <w:ind w:left="52"/>
              <w:jc w:val="left"/>
              <w:rPr>
                <w:sz w:val="20"/>
              </w:rPr>
            </w:pPr>
            <w:r>
              <w:rPr>
                <w:sz w:val="20"/>
              </w:rPr>
              <w:t>Corporate</w:t>
            </w:r>
            <w:r>
              <w:rPr>
                <w:spacing w:val="-4"/>
                <w:sz w:val="20"/>
              </w:rPr>
              <w:t xml:space="preserve"> </w:t>
            </w:r>
            <w:r>
              <w:rPr>
                <w:spacing w:val="-2"/>
                <w:sz w:val="20"/>
              </w:rPr>
              <w:t>activities</w:t>
            </w:r>
          </w:p>
        </w:tc>
        <w:tc>
          <w:tcPr>
            <w:tcW w:w="2414" w:type="dxa"/>
            <w:tcBorders>
              <w:bottom w:val="single" w:sz="8" w:space="0" w:color="CCEDFF"/>
            </w:tcBorders>
            <w:shd w:val="clear" w:color="auto" w:fill="CCEDFF"/>
          </w:tcPr>
          <w:p w14:paraId="0B2BED12" w14:textId="77777777" w:rsidR="00AE2255" w:rsidRDefault="00000000">
            <w:pPr>
              <w:pStyle w:val="TableParagraph"/>
              <w:spacing w:before="4"/>
              <w:ind w:left="1415" w:right="305"/>
              <w:jc w:val="center"/>
              <w:rPr>
                <w:sz w:val="20"/>
              </w:rPr>
            </w:pPr>
            <w:r>
              <w:rPr>
                <w:spacing w:val="-5"/>
                <w:sz w:val="20"/>
              </w:rPr>
              <w:t>2.4</w:t>
            </w:r>
          </w:p>
        </w:tc>
        <w:tc>
          <w:tcPr>
            <w:tcW w:w="1337" w:type="dxa"/>
            <w:tcBorders>
              <w:bottom w:val="single" w:sz="8" w:space="0" w:color="CCEDFF"/>
            </w:tcBorders>
            <w:shd w:val="clear" w:color="auto" w:fill="CCEDFF"/>
          </w:tcPr>
          <w:p w14:paraId="2F3291D3" w14:textId="77777777" w:rsidR="00AE2255" w:rsidRDefault="00000000">
            <w:pPr>
              <w:pStyle w:val="TableParagraph"/>
              <w:spacing w:before="4"/>
              <w:ind w:left="531" w:right="531"/>
              <w:jc w:val="center"/>
              <w:rPr>
                <w:sz w:val="20"/>
              </w:rPr>
            </w:pPr>
            <w:r>
              <w:rPr>
                <w:spacing w:val="-5"/>
                <w:sz w:val="20"/>
              </w:rPr>
              <w:t>0.9</w:t>
            </w:r>
          </w:p>
        </w:tc>
        <w:tc>
          <w:tcPr>
            <w:tcW w:w="1396" w:type="dxa"/>
            <w:tcBorders>
              <w:bottom w:val="single" w:sz="8" w:space="0" w:color="CCEDFF"/>
            </w:tcBorders>
            <w:shd w:val="clear" w:color="auto" w:fill="CCEDFF"/>
          </w:tcPr>
          <w:p w14:paraId="42110DAA" w14:textId="77777777" w:rsidR="00AE2255" w:rsidRDefault="00000000">
            <w:pPr>
              <w:pStyle w:val="TableParagraph"/>
              <w:spacing w:before="4"/>
              <w:ind w:left="16"/>
              <w:jc w:val="center"/>
              <w:rPr>
                <w:sz w:val="20"/>
              </w:rPr>
            </w:pPr>
            <w:r>
              <w:rPr>
                <w:sz w:val="20"/>
              </w:rPr>
              <w:t>—</w:t>
            </w:r>
          </w:p>
        </w:tc>
        <w:tc>
          <w:tcPr>
            <w:tcW w:w="1308" w:type="dxa"/>
            <w:tcBorders>
              <w:bottom w:val="single" w:sz="8" w:space="0" w:color="CCEDFF"/>
            </w:tcBorders>
            <w:shd w:val="clear" w:color="auto" w:fill="CCEDFF"/>
          </w:tcPr>
          <w:p w14:paraId="23460D93" w14:textId="77777777" w:rsidR="00AE2255" w:rsidRDefault="00000000">
            <w:pPr>
              <w:pStyle w:val="TableParagraph"/>
              <w:spacing w:before="4"/>
              <w:ind w:left="405" w:right="353"/>
              <w:jc w:val="center"/>
              <w:rPr>
                <w:sz w:val="20"/>
              </w:rPr>
            </w:pPr>
            <w:r>
              <w:rPr>
                <w:spacing w:val="-5"/>
                <w:sz w:val="20"/>
              </w:rPr>
              <w:t>3.3</w:t>
            </w:r>
          </w:p>
        </w:tc>
      </w:tr>
      <w:tr w:rsidR="00AE2255" w14:paraId="79DE34F4" w14:textId="77777777">
        <w:trPr>
          <w:trHeight w:val="252"/>
        </w:trPr>
        <w:tc>
          <w:tcPr>
            <w:tcW w:w="3776" w:type="dxa"/>
            <w:tcBorders>
              <w:top w:val="single" w:sz="8" w:space="0" w:color="auto"/>
              <w:bottom w:val="single" w:sz="18" w:space="0" w:color="000000"/>
            </w:tcBorders>
          </w:tcPr>
          <w:p w14:paraId="3BDBC695" w14:textId="77777777" w:rsidR="00AE2255" w:rsidRDefault="00000000">
            <w:pPr>
              <w:pStyle w:val="TableParagraph"/>
              <w:spacing w:before="0" w:line="225" w:lineRule="exact"/>
              <w:ind w:left="277"/>
              <w:jc w:val="left"/>
              <w:rPr>
                <w:sz w:val="20"/>
              </w:rPr>
            </w:pPr>
            <w:r>
              <w:rPr>
                <w:spacing w:val="-2"/>
                <w:sz w:val="20"/>
              </w:rPr>
              <w:t>Total</w:t>
            </w:r>
          </w:p>
        </w:tc>
        <w:tc>
          <w:tcPr>
            <w:tcW w:w="2414" w:type="dxa"/>
            <w:tcBorders>
              <w:top w:val="single" w:sz="8" w:space="0" w:color="auto"/>
              <w:bottom w:val="single" w:sz="18" w:space="0" w:color="000000"/>
            </w:tcBorders>
          </w:tcPr>
          <w:p w14:paraId="795E1539" w14:textId="77777777" w:rsidR="00AE2255" w:rsidRDefault="00000000">
            <w:pPr>
              <w:pStyle w:val="TableParagraph"/>
              <w:spacing w:before="0" w:line="224" w:lineRule="exact"/>
              <w:ind w:left="1367" w:right="357"/>
              <w:jc w:val="center"/>
              <w:rPr>
                <w:sz w:val="20"/>
              </w:rPr>
            </w:pPr>
            <w:r>
              <w:rPr>
                <w:spacing w:val="-4"/>
                <w:sz w:val="20"/>
              </w:rPr>
              <w:t>36.2</w:t>
            </w:r>
          </w:p>
        </w:tc>
        <w:tc>
          <w:tcPr>
            <w:tcW w:w="1337" w:type="dxa"/>
            <w:tcBorders>
              <w:top w:val="single" w:sz="8" w:space="0" w:color="auto"/>
              <w:bottom w:val="single" w:sz="18" w:space="0" w:color="000000"/>
            </w:tcBorders>
          </w:tcPr>
          <w:p w14:paraId="29611668" w14:textId="77777777" w:rsidR="00AE2255" w:rsidRDefault="00000000">
            <w:pPr>
              <w:pStyle w:val="TableParagraph"/>
              <w:spacing w:before="0" w:line="224" w:lineRule="exact"/>
              <w:ind w:left="443"/>
              <w:jc w:val="left"/>
              <w:rPr>
                <w:sz w:val="20"/>
              </w:rPr>
            </w:pPr>
            <w:r>
              <w:rPr>
                <w:spacing w:val="-4"/>
                <w:sz w:val="20"/>
              </w:rPr>
              <w:t>14.1</w:t>
            </w:r>
          </w:p>
        </w:tc>
        <w:tc>
          <w:tcPr>
            <w:tcW w:w="1396" w:type="dxa"/>
            <w:tcBorders>
              <w:top w:val="single" w:sz="8" w:space="0" w:color="auto"/>
              <w:bottom w:val="single" w:sz="18" w:space="0" w:color="000000"/>
            </w:tcBorders>
          </w:tcPr>
          <w:p w14:paraId="0CA56070" w14:textId="77777777" w:rsidR="00AE2255" w:rsidRDefault="00000000">
            <w:pPr>
              <w:pStyle w:val="TableParagraph"/>
              <w:spacing w:before="0" w:line="224" w:lineRule="exact"/>
              <w:ind w:left="456"/>
              <w:jc w:val="left"/>
              <w:rPr>
                <w:sz w:val="20"/>
              </w:rPr>
            </w:pPr>
            <w:r>
              <w:rPr>
                <w:spacing w:val="-4"/>
                <w:sz w:val="20"/>
              </w:rPr>
              <w:t>18.0</w:t>
            </w:r>
          </w:p>
        </w:tc>
        <w:tc>
          <w:tcPr>
            <w:tcW w:w="1308" w:type="dxa"/>
            <w:tcBorders>
              <w:top w:val="single" w:sz="8" w:space="0" w:color="auto"/>
              <w:bottom w:val="single" w:sz="18" w:space="0" w:color="000000"/>
            </w:tcBorders>
          </w:tcPr>
          <w:p w14:paraId="3F715532" w14:textId="77777777" w:rsidR="00AE2255" w:rsidRDefault="00000000">
            <w:pPr>
              <w:pStyle w:val="TableParagraph"/>
              <w:spacing w:before="0" w:line="224" w:lineRule="exact"/>
              <w:ind w:left="371" w:right="416"/>
              <w:jc w:val="center"/>
              <w:rPr>
                <w:sz w:val="20"/>
              </w:rPr>
            </w:pPr>
            <w:r>
              <w:rPr>
                <w:spacing w:val="-4"/>
                <w:sz w:val="20"/>
              </w:rPr>
              <w:t>68.3</w:t>
            </w:r>
          </w:p>
        </w:tc>
      </w:tr>
    </w:tbl>
    <w:p w14:paraId="5CA27404" w14:textId="77777777" w:rsidR="00AE2255" w:rsidRDefault="00AE2255">
      <w:pPr>
        <w:pStyle w:val="BodyText"/>
        <w:spacing w:before="1"/>
        <w:rPr>
          <w:b/>
          <w:sz w:val="18"/>
        </w:rPr>
      </w:pPr>
    </w:p>
    <w:p w14:paraId="5F49B590" w14:textId="77777777" w:rsidR="00AE2255" w:rsidRDefault="00000000">
      <w:pPr>
        <w:pStyle w:val="BodyText"/>
        <w:ind w:left="610" w:right="429" w:firstLine="360"/>
        <w:jc w:val="both"/>
      </w:pPr>
      <w:r>
        <w:t xml:space="preserve">We believe our facilities are in good condition and adequate for their current use. We may improve, </w:t>
      </w:r>
      <w:proofErr w:type="gramStart"/>
      <w:r>
        <w:t>replace</w:t>
      </w:r>
      <w:proofErr w:type="gramEnd"/>
      <w:r>
        <w:t xml:space="preserve"> or reduce facilities as considered appropriate to meet the needs of our operations.</w:t>
      </w:r>
    </w:p>
    <w:p w14:paraId="29C735AC" w14:textId="77777777" w:rsidR="00AE2255" w:rsidRDefault="00AE2255">
      <w:pPr>
        <w:pStyle w:val="BodyText"/>
        <w:spacing w:before="10"/>
      </w:pPr>
    </w:p>
    <w:p w14:paraId="5A62D196" w14:textId="77777777" w:rsidR="00AE2255" w:rsidRDefault="00000000">
      <w:pPr>
        <w:pStyle w:val="Heading2"/>
        <w:tabs>
          <w:tab w:val="left" w:pos="1869"/>
        </w:tabs>
      </w:pPr>
      <w:bookmarkStart w:id="12" w:name="Item_3._Legal_Proceedings"/>
      <w:bookmarkStart w:id="13" w:name="_bookmark5"/>
      <w:bookmarkEnd w:id="12"/>
      <w:bookmarkEnd w:id="13"/>
      <w:r>
        <w:t>ITEM</w:t>
      </w:r>
      <w:r>
        <w:rPr>
          <w:spacing w:val="-4"/>
        </w:rPr>
        <w:t xml:space="preserve"> </w:t>
      </w:r>
      <w:r>
        <w:rPr>
          <w:spacing w:val="-5"/>
        </w:rPr>
        <w:t>3.</w:t>
      </w:r>
      <w:r>
        <w:tab/>
        <w:t>Legal</w:t>
      </w:r>
      <w:r>
        <w:rPr>
          <w:spacing w:val="-3"/>
        </w:rPr>
        <w:t xml:space="preserve"> </w:t>
      </w:r>
      <w:r>
        <w:rPr>
          <w:spacing w:val="-2"/>
        </w:rPr>
        <w:t>Proceedings</w:t>
      </w:r>
    </w:p>
    <w:p w14:paraId="1C0F59FC" w14:textId="77777777" w:rsidR="00AE2255" w:rsidRDefault="00AE2255">
      <w:pPr>
        <w:pStyle w:val="BodyText"/>
        <w:spacing w:before="3"/>
        <w:rPr>
          <w:b/>
          <w:sz w:val="18"/>
        </w:rPr>
      </w:pPr>
    </w:p>
    <w:p w14:paraId="13FBE101" w14:textId="77777777" w:rsidR="00AE2255" w:rsidRDefault="00000000">
      <w:pPr>
        <w:pStyle w:val="BodyText"/>
        <w:spacing w:before="1" w:line="249" w:lineRule="auto"/>
        <w:ind w:left="610" w:right="428" w:firstLine="360"/>
        <w:jc w:val="both"/>
      </w:pPr>
      <w:r>
        <w:t>We</w:t>
      </w:r>
      <w:r>
        <w:rPr>
          <w:spacing w:val="-2"/>
        </w:rPr>
        <w:t xml:space="preserve"> </w:t>
      </w:r>
      <w:r>
        <w:t>are</w:t>
      </w:r>
      <w:r>
        <w:rPr>
          <w:spacing w:val="-2"/>
        </w:rPr>
        <w:t xml:space="preserve"> </w:t>
      </w:r>
      <w:r>
        <w:t>a</w:t>
      </w:r>
      <w:r>
        <w:rPr>
          <w:spacing w:val="-2"/>
        </w:rPr>
        <w:t xml:space="preserve"> </w:t>
      </w:r>
      <w:r>
        <w:t>party</w:t>
      </w:r>
      <w:r>
        <w:rPr>
          <w:spacing w:val="-2"/>
        </w:rPr>
        <w:t xml:space="preserve"> </w:t>
      </w:r>
      <w:r>
        <w:t>to</w:t>
      </w:r>
      <w:r>
        <w:rPr>
          <w:spacing w:val="-2"/>
        </w:rPr>
        <w:t xml:space="preserve"> </w:t>
      </w:r>
      <w:r>
        <w:t>litigation</w:t>
      </w:r>
      <w:r>
        <w:rPr>
          <w:spacing w:val="-2"/>
        </w:rPr>
        <w:t xml:space="preserve"> </w:t>
      </w:r>
      <w:r>
        <w:t>and</w:t>
      </w:r>
      <w:r>
        <w:rPr>
          <w:spacing w:val="-2"/>
        </w:rPr>
        <w:t xml:space="preserve"> </w:t>
      </w:r>
      <w:r>
        <w:t>other</w:t>
      </w:r>
      <w:r>
        <w:rPr>
          <w:spacing w:val="-2"/>
        </w:rPr>
        <w:t xml:space="preserve"> </w:t>
      </w:r>
      <w:r>
        <w:t>proceedings</w:t>
      </w:r>
      <w:r>
        <w:rPr>
          <w:spacing w:val="-2"/>
        </w:rPr>
        <w:t xml:space="preserve"> </w:t>
      </w:r>
      <w:r>
        <w:t>that</w:t>
      </w:r>
      <w:r>
        <w:rPr>
          <w:spacing w:val="-2"/>
        </w:rPr>
        <w:t xml:space="preserve"> </w:t>
      </w:r>
      <w:r>
        <w:t>arise</w:t>
      </w:r>
      <w:r>
        <w:rPr>
          <w:spacing w:val="-2"/>
        </w:rPr>
        <w:t xml:space="preserve"> </w:t>
      </w:r>
      <w:r>
        <w:t>in</w:t>
      </w:r>
      <w:r>
        <w:rPr>
          <w:spacing w:val="-2"/>
        </w:rPr>
        <w:t xml:space="preserve"> </w:t>
      </w:r>
      <w:r>
        <w:t>the</w:t>
      </w:r>
      <w:r>
        <w:rPr>
          <w:spacing w:val="-2"/>
        </w:rPr>
        <w:t xml:space="preserve"> </w:t>
      </w:r>
      <w:r>
        <w:t>ordinary</w:t>
      </w:r>
      <w:r>
        <w:rPr>
          <w:spacing w:val="-2"/>
        </w:rPr>
        <w:t xml:space="preserve"> </w:t>
      </w:r>
      <w:r>
        <w:t>course</w:t>
      </w:r>
      <w:r>
        <w:rPr>
          <w:spacing w:val="-2"/>
        </w:rPr>
        <w:t xml:space="preserve"> </w:t>
      </w:r>
      <w:r>
        <w:t>of</w:t>
      </w:r>
      <w:r>
        <w:rPr>
          <w:spacing w:val="-2"/>
        </w:rPr>
        <w:t xml:space="preserve"> </w:t>
      </w:r>
      <w:r>
        <w:t>our</w:t>
      </w:r>
      <w:r>
        <w:rPr>
          <w:spacing w:val="-2"/>
        </w:rPr>
        <w:t xml:space="preserve"> </w:t>
      </w:r>
      <w:r>
        <w:t>business,</w:t>
      </w:r>
      <w:r>
        <w:rPr>
          <w:spacing w:val="-2"/>
        </w:rPr>
        <w:t xml:space="preserve"> </w:t>
      </w:r>
      <w:r>
        <w:t>including</w:t>
      </w:r>
      <w:r>
        <w:rPr>
          <w:spacing w:val="-2"/>
        </w:rPr>
        <w:t xml:space="preserve"> </w:t>
      </w:r>
      <w:r>
        <w:t>matters</w:t>
      </w:r>
      <w:r>
        <w:rPr>
          <w:spacing w:val="-2"/>
        </w:rPr>
        <w:t xml:space="preserve"> </w:t>
      </w:r>
      <w:r>
        <w:t>arising under provisions relating to the protection of the environment, and are subject to contingencies related to certain businesses we previously owned. These types of matters could result in fines, penalties, cost reimbursements or contributions, compensatory</w:t>
      </w:r>
      <w:r>
        <w:rPr>
          <w:spacing w:val="40"/>
        </w:rPr>
        <w:t xml:space="preserve"> </w:t>
      </w:r>
      <w:r>
        <w:t>or treble damages or non-monetary sanctions or relief. We believe the probability is remote that the outcome of each of these matters</w:t>
      </w:r>
      <w:r>
        <w:rPr>
          <w:spacing w:val="-1"/>
        </w:rPr>
        <w:t xml:space="preserve"> </w:t>
      </w:r>
      <w:r>
        <w:t>will</w:t>
      </w:r>
      <w:r>
        <w:rPr>
          <w:spacing w:val="-2"/>
        </w:rPr>
        <w:t xml:space="preserve"> </w:t>
      </w:r>
      <w:r>
        <w:t>have</w:t>
      </w:r>
      <w:r>
        <w:rPr>
          <w:spacing w:val="-1"/>
        </w:rPr>
        <w:t xml:space="preserve"> </w:t>
      </w:r>
      <w:r>
        <w:t>a</w:t>
      </w:r>
      <w:r>
        <w:rPr>
          <w:spacing w:val="-2"/>
        </w:rPr>
        <w:t xml:space="preserve"> </w:t>
      </w:r>
      <w:r>
        <w:t>material</w:t>
      </w:r>
      <w:r>
        <w:rPr>
          <w:spacing w:val="-1"/>
        </w:rPr>
        <w:t xml:space="preserve"> </w:t>
      </w:r>
      <w:r>
        <w:t>adverse</w:t>
      </w:r>
      <w:r>
        <w:rPr>
          <w:spacing w:val="-2"/>
        </w:rPr>
        <w:t xml:space="preserve"> </w:t>
      </w:r>
      <w:r>
        <w:t>effect</w:t>
      </w:r>
      <w:r>
        <w:rPr>
          <w:spacing w:val="-1"/>
        </w:rPr>
        <w:t xml:space="preserve"> </w:t>
      </w:r>
      <w:r>
        <w:t>on</w:t>
      </w:r>
      <w:r>
        <w:rPr>
          <w:spacing w:val="-2"/>
        </w:rPr>
        <w:t xml:space="preserve"> </w:t>
      </w:r>
      <w:r>
        <w:t>the</w:t>
      </w:r>
      <w:r>
        <w:rPr>
          <w:spacing w:val="-1"/>
        </w:rPr>
        <w:t xml:space="preserve"> </w:t>
      </w:r>
      <w:r>
        <w:t>corporation</w:t>
      </w:r>
      <w:r>
        <w:rPr>
          <w:spacing w:val="-2"/>
        </w:rPr>
        <w:t xml:space="preserve"> </w:t>
      </w:r>
      <w:r>
        <w:t>as</w:t>
      </w:r>
      <w:r>
        <w:rPr>
          <w:spacing w:val="-1"/>
        </w:rPr>
        <w:t xml:space="preserve"> </w:t>
      </w:r>
      <w:r>
        <w:t>a</w:t>
      </w:r>
      <w:r>
        <w:rPr>
          <w:spacing w:val="-2"/>
        </w:rPr>
        <w:t xml:space="preserve"> </w:t>
      </w:r>
      <w:r>
        <w:t>whole,</w:t>
      </w:r>
      <w:r>
        <w:rPr>
          <w:spacing w:val="-1"/>
        </w:rPr>
        <w:t xml:space="preserve"> </w:t>
      </w:r>
      <w:r>
        <w:t>notwithstanding</w:t>
      </w:r>
      <w:r>
        <w:rPr>
          <w:spacing w:val="-2"/>
        </w:rPr>
        <w:t xml:space="preserve"> </w:t>
      </w:r>
      <w:r>
        <w:t>that</w:t>
      </w:r>
      <w:r>
        <w:rPr>
          <w:spacing w:val="-1"/>
        </w:rPr>
        <w:t xml:space="preserve"> </w:t>
      </w:r>
      <w:r>
        <w:t>the</w:t>
      </w:r>
      <w:r>
        <w:rPr>
          <w:spacing w:val="-2"/>
        </w:rPr>
        <w:t xml:space="preserve"> </w:t>
      </w:r>
      <w:r>
        <w:t>unfavorable</w:t>
      </w:r>
      <w:r>
        <w:rPr>
          <w:spacing w:val="-1"/>
        </w:rPr>
        <w:t xml:space="preserve"> </w:t>
      </w:r>
      <w:r>
        <w:t>resolution</w:t>
      </w:r>
      <w:r>
        <w:rPr>
          <w:spacing w:val="-2"/>
        </w:rPr>
        <w:t xml:space="preserve"> </w:t>
      </w:r>
      <w:r>
        <w:t>of</w:t>
      </w:r>
      <w:r>
        <w:rPr>
          <w:spacing w:val="-1"/>
        </w:rPr>
        <w:t xml:space="preserve"> </w:t>
      </w:r>
      <w:r>
        <w:t xml:space="preserve">any matter may have a material effect on our net earnings and cash flows in any </w:t>
      </w:r>
      <w:proofErr w:type="gramStart"/>
      <w:r>
        <w:t>particular interim</w:t>
      </w:r>
      <w:proofErr w:type="gramEnd"/>
      <w:r>
        <w:t xml:space="preserve"> reporting period. We cannot predict the outcome of legal or other proceedings with certainty.</w:t>
      </w:r>
    </w:p>
    <w:p w14:paraId="40F3AFA4" w14:textId="77777777" w:rsidR="00AE2255" w:rsidRDefault="00AE2255">
      <w:pPr>
        <w:pStyle w:val="BodyText"/>
        <w:spacing w:before="10"/>
        <w:rPr>
          <w:sz w:val="17"/>
        </w:rPr>
      </w:pPr>
    </w:p>
    <w:p w14:paraId="5FA5FCF8" w14:textId="77777777" w:rsidR="00AE2255" w:rsidRDefault="00000000">
      <w:pPr>
        <w:pStyle w:val="BodyText"/>
        <w:spacing w:line="249" w:lineRule="auto"/>
        <w:ind w:left="610" w:right="428" w:firstLine="360"/>
        <w:jc w:val="both"/>
      </w:pPr>
      <w:r>
        <w:t>We are subject to federal, state, local and foreign requirements for the protection of the environment, including those for discharge of hazardous materials and remediation of contaminated sites. Due in part to the complexity and pervasiveness of these</w:t>
      </w:r>
      <w:r>
        <w:rPr>
          <w:spacing w:val="-1"/>
        </w:rPr>
        <w:t xml:space="preserve"> </w:t>
      </w:r>
      <w:r>
        <w:t>requirements,</w:t>
      </w:r>
      <w:r>
        <w:rPr>
          <w:spacing w:val="-1"/>
        </w:rPr>
        <w:t xml:space="preserve"> </w:t>
      </w:r>
      <w:r>
        <w:t>we</w:t>
      </w:r>
      <w:r>
        <w:rPr>
          <w:spacing w:val="-1"/>
        </w:rPr>
        <w:t xml:space="preserve"> </w:t>
      </w:r>
      <w:r>
        <w:t>are</w:t>
      </w:r>
      <w:r>
        <w:rPr>
          <w:spacing w:val="-1"/>
        </w:rPr>
        <w:t xml:space="preserve"> </w:t>
      </w:r>
      <w:r>
        <w:t>a</w:t>
      </w:r>
      <w:r>
        <w:rPr>
          <w:spacing w:val="-1"/>
        </w:rPr>
        <w:t xml:space="preserve"> </w:t>
      </w:r>
      <w:r>
        <w:t>party</w:t>
      </w:r>
      <w:r>
        <w:rPr>
          <w:spacing w:val="-1"/>
        </w:rPr>
        <w:t xml:space="preserve"> </w:t>
      </w:r>
      <w:r>
        <w:t>to</w:t>
      </w:r>
      <w:r>
        <w:rPr>
          <w:spacing w:val="-1"/>
        </w:rPr>
        <w:t xml:space="preserve"> </w:t>
      </w:r>
      <w:r>
        <w:t>or</w:t>
      </w:r>
      <w:r>
        <w:rPr>
          <w:spacing w:val="-1"/>
        </w:rPr>
        <w:t xml:space="preserve"> </w:t>
      </w:r>
      <w:r>
        <w:t>have</w:t>
      </w:r>
      <w:r>
        <w:rPr>
          <w:spacing w:val="-1"/>
        </w:rPr>
        <w:t xml:space="preserve"> </w:t>
      </w:r>
      <w:r>
        <w:t>property</w:t>
      </w:r>
      <w:r>
        <w:rPr>
          <w:spacing w:val="-1"/>
        </w:rPr>
        <w:t xml:space="preserve"> </w:t>
      </w:r>
      <w:r>
        <w:t>subject</w:t>
      </w:r>
      <w:r>
        <w:rPr>
          <w:spacing w:val="-1"/>
        </w:rPr>
        <w:t xml:space="preserve"> </w:t>
      </w:r>
      <w:r>
        <w:t>to</w:t>
      </w:r>
      <w:r>
        <w:rPr>
          <w:spacing w:val="-1"/>
        </w:rPr>
        <w:t xml:space="preserve"> </w:t>
      </w:r>
      <w:r>
        <w:t>various</w:t>
      </w:r>
      <w:r>
        <w:rPr>
          <w:spacing w:val="-1"/>
        </w:rPr>
        <w:t xml:space="preserve"> </w:t>
      </w:r>
      <w:r>
        <w:t>lawsuits,</w:t>
      </w:r>
      <w:r>
        <w:rPr>
          <w:spacing w:val="-1"/>
        </w:rPr>
        <w:t xml:space="preserve"> </w:t>
      </w:r>
      <w:proofErr w:type="gramStart"/>
      <w:r>
        <w:t>proceedings</w:t>
      </w:r>
      <w:proofErr w:type="gramEnd"/>
      <w:r>
        <w:rPr>
          <w:spacing w:val="-1"/>
        </w:rPr>
        <w:t xml:space="preserve"> </w:t>
      </w:r>
      <w:r>
        <w:t>and</w:t>
      </w:r>
      <w:r>
        <w:rPr>
          <w:spacing w:val="-1"/>
        </w:rPr>
        <w:t xml:space="preserve"> </w:t>
      </w:r>
      <w:r>
        <w:t>remediation</w:t>
      </w:r>
      <w:r>
        <w:rPr>
          <w:spacing w:val="-1"/>
        </w:rPr>
        <w:t xml:space="preserve"> </w:t>
      </w:r>
      <w:r>
        <w:t>obligations.</w:t>
      </w:r>
      <w:r>
        <w:rPr>
          <w:spacing w:val="-1"/>
        </w:rPr>
        <w:t xml:space="preserve"> </w:t>
      </w:r>
      <w:r>
        <w:t>The extent of our financial exposure cannot in all cases be reasonably estimated at this time.</w:t>
      </w:r>
    </w:p>
    <w:p w14:paraId="7DE6A07D" w14:textId="77777777" w:rsidR="00AE2255" w:rsidRDefault="00AE2255">
      <w:pPr>
        <w:pStyle w:val="BodyText"/>
        <w:spacing w:before="7"/>
        <w:rPr>
          <w:sz w:val="17"/>
        </w:rPr>
      </w:pPr>
    </w:p>
    <w:p w14:paraId="13A7D8EB" w14:textId="77777777" w:rsidR="00AE2255" w:rsidRDefault="00000000">
      <w:pPr>
        <w:pStyle w:val="BodyText"/>
        <w:spacing w:before="1" w:line="249" w:lineRule="auto"/>
        <w:ind w:left="610" w:right="428" w:firstLine="360"/>
        <w:jc w:val="both"/>
      </w:pPr>
      <w:r>
        <w:t>For information regarding the matters discussed above, including current estimates of the amounts that we believe are required for remediation or clean-up to the extent estimable, see “Critical Accounting Policies - Environmental Matters” in “Management’s Discussion and Analysis of Financial Condition and Results of Operations” and “Note 14 – Legal Proceedings, Commitments and Contingencies” included in our Notes to Consolidated Financial Statements.</w:t>
      </w:r>
    </w:p>
    <w:p w14:paraId="29396C70" w14:textId="77777777" w:rsidR="00AE2255" w:rsidRDefault="00AE2255">
      <w:pPr>
        <w:pStyle w:val="BodyText"/>
        <w:rPr>
          <w:sz w:val="22"/>
        </w:rPr>
      </w:pPr>
    </w:p>
    <w:p w14:paraId="1B01DFF4" w14:textId="77777777" w:rsidR="00AE2255" w:rsidRDefault="00000000">
      <w:pPr>
        <w:pStyle w:val="Heading2"/>
        <w:tabs>
          <w:tab w:val="left" w:pos="1869"/>
        </w:tabs>
        <w:spacing w:before="187"/>
      </w:pPr>
      <w:bookmarkStart w:id="14" w:name="Item_4._Mine_Safety_Disclosures"/>
      <w:bookmarkStart w:id="15" w:name="_bookmark6"/>
      <w:bookmarkEnd w:id="14"/>
      <w:bookmarkEnd w:id="15"/>
      <w:r>
        <w:t>ITEM</w:t>
      </w:r>
      <w:r>
        <w:rPr>
          <w:spacing w:val="-4"/>
        </w:rPr>
        <w:t xml:space="preserve"> </w:t>
      </w:r>
      <w:r>
        <w:rPr>
          <w:spacing w:val="-5"/>
        </w:rPr>
        <w:t>4.</w:t>
      </w:r>
      <w:r>
        <w:tab/>
        <w:t>Mine</w:t>
      </w:r>
      <w:r>
        <w:rPr>
          <w:spacing w:val="-4"/>
        </w:rPr>
        <w:t xml:space="preserve"> </w:t>
      </w:r>
      <w:r>
        <w:t>Safety</w:t>
      </w:r>
      <w:r>
        <w:rPr>
          <w:spacing w:val="-2"/>
        </w:rPr>
        <w:t xml:space="preserve"> Disclosures</w:t>
      </w:r>
    </w:p>
    <w:p w14:paraId="31F95042" w14:textId="77777777" w:rsidR="00AE2255" w:rsidRDefault="00AE2255">
      <w:pPr>
        <w:pStyle w:val="BodyText"/>
        <w:spacing w:before="6"/>
        <w:rPr>
          <w:b/>
          <w:sz w:val="18"/>
        </w:rPr>
      </w:pPr>
    </w:p>
    <w:p w14:paraId="4488CBCB" w14:textId="77777777" w:rsidR="00AE2255" w:rsidRDefault="00000000">
      <w:pPr>
        <w:pStyle w:val="BodyText"/>
        <w:ind w:left="970"/>
      </w:pPr>
      <w:r>
        <w:t>Not</w:t>
      </w:r>
      <w:r>
        <w:rPr>
          <w:spacing w:val="-2"/>
        </w:rPr>
        <w:t xml:space="preserve"> applicable.</w:t>
      </w:r>
    </w:p>
    <w:p w14:paraId="4EFF0017" w14:textId="77777777" w:rsidR="00AE2255" w:rsidRDefault="00AE2255">
      <w:pPr>
        <w:pStyle w:val="BodyText"/>
        <w:rPr>
          <w:sz w:val="18"/>
        </w:rPr>
      </w:pPr>
    </w:p>
    <w:p w14:paraId="27B347ED" w14:textId="77777777" w:rsidR="00AE2255" w:rsidRDefault="00000000">
      <w:pPr>
        <w:pStyle w:val="Heading2"/>
        <w:tabs>
          <w:tab w:val="left" w:pos="1869"/>
        </w:tabs>
      </w:pPr>
      <w:bookmarkStart w:id="16" w:name="Item_4(a)._Information_about_our_Executi"/>
      <w:bookmarkStart w:id="17" w:name="_bookmark7"/>
      <w:bookmarkEnd w:id="16"/>
      <w:bookmarkEnd w:id="17"/>
      <w:r>
        <w:t>ITEM</w:t>
      </w:r>
      <w:r>
        <w:rPr>
          <w:spacing w:val="-4"/>
        </w:rPr>
        <w:t xml:space="preserve"> </w:t>
      </w:r>
      <w:r>
        <w:rPr>
          <w:spacing w:val="-2"/>
        </w:rPr>
        <w:t>4(a).</w:t>
      </w:r>
      <w:r>
        <w:tab/>
        <w:t>Information</w:t>
      </w:r>
      <w:r>
        <w:rPr>
          <w:spacing w:val="-4"/>
        </w:rPr>
        <w:t xml:space="preserve"> </w:t>
      </w:r>
      <w:r>
        <w:t>about</w:t>
      </w:r>
      <w:r>
        <w:rPr>
          <w:spacing w:val="-4"/>
        </w:rPr>
        <w:t xml:space="preserve"> </w:t>
      </w:r>
      <w:r>
        <w:t>our</w:t>
      </w:r>
      <w:r>
        <w:rPr>
          <w:spacing w:val="-4"/>
        </w:rPr>
        <w:t xml:space="preserve"> </w:t>
      </w:r>
      <w:r>
        <w:t>Executive</w:t>
      </w:r>
      <w:r>
        <w:rPr>
          <w:spacing w:val="-3"/>
        </w:rPr>
        <w:t xml:space="preserve"> </w:t>
      </w:r>
      <w:r>
        <w:rPr>
          <w:spacing w:val="-2"/>
        </w:rPr>
        <w:t>Officers</w:t>
      </w:r>
    </w:p>
    <w:p w14:paraId="23DB1336" w14:textId="77777777" w:rsidR="00AE2255" w:rsidRDefault="00AE2255">
      <w:pPr>
        <w:pStyle w:val="BodyText"/>
        <w:spacing w:before="6"/>
        <w:rPr>
          <w:b/>
          <w:sz w:val="18"/>
        </w:rPr>
      </w:pPr>
    </w:p>
    <w:p w14:paraId="267CB65E" w14:textId="77777777" w:rsidR="00AE2255" w:rsidRDefault="00000000">
      <w:pPr>
        <w:pStyle w:val="BodyText"/>
        <w:spacing w:line="249" w:lineRule="auto"/>
        <w:ind w:left="610" w:right="428" w:firstLine="360"/>
        <w:jc w:val="both"/>
      </w:pPr>
      <w:r>
        <w:t xml:space="preserve">Our executive officers as of January 26, </w:t>
      </w:r>
      <w:proofErr w:type="gramStart"/>
      <w:r>
        <w:t>2023</w:t>
      </w:r>
      <w:proofErr w:type="gramEnd"/>
      <w:r>
        <w:t xml:space="preserve"> are listed below, with their ages on that date, positions and offices currently held, and principal occupation and business experience during at least the last five years. There are no family relationships among any of our executive officers and directors. All executive officers serve at the discretion of the Board of Directors.</w:t>
      </w:r>
    </w:p>
    <w:p w14:paraId="196CED06" w14:textId="77777777" w:rsidR="00AE2255" w:rsidRDefault="00AE2255">
      <w:pPr>
        <w:pStyle w:val="BodyText"/>
        <w:spacing w:before="4"/>
        <w:rPr>
          <w:sz w:val="17"/>
        </w:rPr>
      </w:pPr>
    </w:p>
    <w:p w14:paraId="02CDAD7D" w14:textId="77777777" w:rsidR="00AE2255" w:rsidRDefault="00000000">
      <w:pPr>
        <w:pStyle w:val="Heading2"/>
      </w:pPr>
      <w:r>
        <w:t>Timothy</w:t>
      </w:r>
      <w:r>
        <w:rPr>
          <w:spacing w:val="-5"/>
        </w:rPr>
        <w:t xml:space="preserve"> </w:t>
      </w:r>
      <w:r>
        <w:t>S.</w:t>
      </w:r>
      <w:r>
        <w:rPr>
          <w:spacing w:val="-3"/>
        </w:rPr>
        <w:t xml:space="preserve"> </w:t>
      </w:r>
      <w:r>
        <w:t>Cahill</w:t>
      </w:r>
      <w:r>
        <w:rPr>
          <w:spacing w:val="-4"/>
        </w:rPr>
        <w:t xml:space="preserve"> </w:t>
      </w:r>
      <w:r>
        <w:t>(age</w:t>
      </w:r>
      <w:r>
        <w:rPr>
          <w:spacing w:val="-4"/>
        </w:rPr>
        <w:t xml:space="preserve"> </w:t>
      </w:r>
      <w:r>
        <w:t>57),</w:t>
      </w:r>
      <w:r>
        <w:rPr>
          <w:spacing w:val="-3"/>
        </w:rPr>
        <w:t xml:space="preserve"> </w:t>
      </w:r>
      <w:r>
        <w:t>Executive</w:t>
      </w:r>
      <w:r>
        <w:rPr>
          <w:spacing w:val="-4"/>
        </w:rPr>
        <w:t xml:space="preserve"> </w:t>
      </w:r>
      <w:r>
        <w:t>Vice</w:t>
      </w:r>
      <w:r>
        <w:rPr>
          <w:spacing w:val="-4"/>
        </w:rPr>
        <w:t xml:space="preserve"> </w:t>
      </w:r>
      <w:r>
        <w:t>President</w:t>
      </w:r>
      <w:r>
        <w:rPr>
          <w:spacing w:val="-3"/>
        </w:rPr>
        <w:t xml:space="preserve"> </w:t>
      </w:r>
      <w:r>
        <w:t>–</w:t>
      </w:r>
      <w:r>
        <w:rPr>
          <w:spacing w:val="-3"/>
        </w:rPr>
        <w:t xml:space="preserve"> </w:t>
      </w:r>
      <w:r>
        <w:t>Missiles</w:t>
      </w:r>
      <w:r>
        <w:rPr>
          <w:spacing w:val="-4"/>
        </w:rPr>
        <w:t xml:space="preserve"> </w:t>
      </w:r>
      <w:r>
        <w:t>and</w:t>
      </w:r>
      <w:r>
        <w:rPr>
          <w:spacing w:val="-4"/>
        </w:rPr>
        <w:t xml:space="preserve"> </w:t>
      </w:r>
      <w:r>
        <w:t>Fire</w:t>
      </w:r>
      <w:r>
        <w:rPr>
          <w:spacing w:val="-3"/>
        </w:rPr>
        <w:t xml:space="preserve"> </w:t>
      </w:r>
      <w:r>
        <w:rPr>
          <w:spacing w:val="-2"/>
        </w:rPr>
        <w:t>Control</w:t>
      </w:r>
    </w:p>
    <w:p w14:paraId="278551A1" w14:textId="77777777" w:rsidR="00AE2255" w:rsidRDefault="00AE2255">
      <w:pPr>
        <w:pStyle w:val="BodyText"/>
        <w:spacing w:before="6"/>
        <w:rPr>
          <w:b/>
          <w:sz w:val="18"/>
        </w:rPr>
      </w:pPr>
    </w:p>
    <w:p w14:paraId="40995054" w14:textId="77777777" w:rsidR="00AE2255" w:rsidRDefault="00000000">
      <w:pPr>
        <w:pStyle w:val="BodyText"/>
        <w:spacing w:line="249" w:lineRule="auto"/>
        <w:ind w:left="610" w:right="428" w:firstLine="360"/>
        <w:jc w:val="both"/>
      </w:pPr>
      <w:r>
        <w:t xml:space="preserve">Mr. Cahill has served as Executive Vice President for the Missiles and Fire Control (MFC) business </w:t>
      </w:r>
      <w:proofErr w:type="gramStart"/>
      <w:r>
        <w:t>segment, since</w:t>
      </w:r>
      <w:proofErr w:type="gramEnd"/>
      <w:r>
        <w:t xml:space="preserve"> November 2022. Mr. Cahill previously served as Senior Vice President of Global Business Development &amp; Strategy (GBD&amp;S) from March 2021 to October 2022. Prior to that, Mr. Cahill served as Senior Vice President Lockheed Martin International</w:t>
      </w:r>
      <w:r>
        <w:rPr>
          <w:spacing w:val="40"/>
        </w:rPr>
        <w:t xml:space="preserve"> </w:t>
      </w:r>
      <w:r>
        <w:t>from October 2019 to March 2021; and as Vice President, Integrated Air and Missile Defense (IAMD) Systems for MFC from January 2016 to October 2019.</w:t>
      </w:r>
    </w:p>
    <w:p w14:paraId="54AB71E4" w14:textId="77777777" w:rsidR="00AE2255" w:rsidRDefault="00AE2255">
      <w:pPr>
        <w:pStyle w:val="BodyText"/>
        <w:spacing w:before="5"/>
        <w:rPr>
          <w:sz w:val="17"/>
        </w:rPr>
      </w:pPr>
    </w:p>
    <w:p w14:paraId="503D2DB1" w14:textId="77777777" w:rsidR="00AE2255" w:rsidRDefault="00000000">
      <w:pPr>
        <w:pStyle w:val="Heading2"/>
      </w:pPr>
      <w:r>
        <w:t>Stephanie</w:t>
      </w:r>
      <w:r>
        <w:rPr>
          <w:spacing w:val="-6"/>
        </w:rPr>
        <w:t xml:space="preserve"> </w:t>
      </w:r>
      <w:r>
        <w:t>C.</w:t>
      </w:r>
      <w:r>
        <w:rPr>
          <w:spacing w:val="-3"/>
        </w:rPr>
        <w:t xml:space="preserve"> </w:t>
      </w:r>
      <w:r>
        <w:t>Hill</w:t>
      </w:r>
      <w:r>
        <w:rPr>
          <w:spacing w:val="-4"/>
        </w:rPr>
        <w:t xml:space="preserve"> </w:t>
      </w:r>
      <w:r>
        <w:t>(age</w:t>
      </w:r>
      <w:r>
        <w:rPr>
          <w:spacing w:val="-4"/>
        </w:rPr>
        <w:t xml:space="preserve"> </w:t>
      </w:r>
      <w:r>
        <w:t>58),</w:t>
      </w:r>
      <w:r>
        <w:rPr>
          <w:spacing w:val="-3"/>
        </w:rPr>
        <w:t xml:space="preserve"> </w:t>
      </w:r>
      <w:r>
        <w:t>Executive</w:t>
      </w:r>
      <w:r>
        <w:rPr>
          <w:spacing w:val="-3"/>
        </w:rPr>
        <w:t xml:space="preserve"> </w:t>
      </w:r>
      <w:r>
        <w:t>Vice</w:t>
      </w:r>
      <w:r>
        <w:rPr>
          <w:spacing w:val="-4"/>
        </w:rPr>
        <w:t xml:space="preserve"> </w:t>
      </w:r>
      <w:r>
        <w:t>President</w:t>
      </w:r>
      <w:r>
        <w:rPr>
          <w:spacing w:val="-3"/>
        </w:rPr>
        <w:t xml:space="preserve"> </w:t>
      </w:r>
      <w:r>
        <w:t>–</w:t>
      </w:r>
      <w:r>
        <w:rPr>
          <w:spacing w:val="-3"/>
        </w:rPr>
        <w:t xml:space="preserve"> </w:t>
      </w:r>
      <w:r>
        <w:t>Rotary</w:t>
      </w:r>
      <w:r>
        <w:rPr>
          <w:spacing w:val="-3"/>
        </w:rPr>
        <w:t xml:space="preserve"> </w:t>
      </w:r>
      <w:r>
        <w:t>and</w:t>
      </w:r>
      <w:r>
        <w:rPr>
          <w:spacing w:val="-4"/>
        </w:rPr>
        <w:t xml:space="preserve"> </w:t>
      </w:r>
      <w:r>
        <w:t>Mission</w:t>
      </w:r>
      <w:r>
        <w:rPr>
          <w:spacing w:val="-3"/>
        </w:rPr>
        <w:t xml:space="preserve"> </w:t>
      </w:r>
      <w:r>
        <w:rPr>
          <w:spacing w:val="-2"/>
        </w:rPr>
        <w:t>Systems</w:t>
      </w:r>
    </w:p>
    <w:p w14:paraId="560EAE6D" w14:textId="77777777" w:rsidR="00AE2255" w:rsidRDefault="00AE2255">
      <w:pPr>
        <w:pStyle w:val="BodyText"/>
        <w:spacing w:before="6"/>
        <w:rPr>
          <w:b/>
          <w:sz w:val="18"/>
        </w:rPr>
      </w:pPr>
    </w:p>
    <w:p w14:paraId="0C465E3F" w14:textId="77777777" w:rsidR="00AE2255" w:rsidRDefault="00000000">
      <w:pPr>
        <w:pStyle w:val="BodyText"/>
        <w:spacing w:before="1" w:line="249" w:lineRule="auto"/>
        <w:ind w:left="610" w:right="429" w:firstLine="360"/>
        <w:jc w:val="both"/>
      </w:pPr>
      <w:r>
        <w:t>Ms. Hill has served as Executive Vice President of Rotary and Mission Systems (RMS) since June 2020. She previously served as Senior Vice President, Enterprise Business Transformation from June 2019 to June 2020. Prior to that, she was Deputy Executive Vice President of RMS from October 2018 to June 2019; and Senior Vice President for Corporate Strategy and Business Development from September 2017 to October 2018.</w:t>
      </w:r>
    </w:p>
    <w:p w14:paraId="029A57C7" w14:textId="77777777" w:rsidR="00AE2255" w:rsidRDefault="00AE2255">
      <w:pPr>
        <w:spacing w:line="249" w:lineRule="auto"/>
        <w:jc w:val="both"/>
        <w:sectPr w:rsidR="00AE2255">
          <w:pgSz w:w="12240" w:h="15840"/>
          <w:pgMar w:top="440" w:right="560" w:bottom="720" w:left="380" w:header="230" w:footer="531" w:gutter="0"/>
          <w:cols w:space="720"/>
        </w:sectPr>
      </w:pPr>
    </w:p>
    <w:p w14:paraId="76262C4E" w14:textId="77777777" w:rsidR="00AE2255" w:rsidRDefault="00AE2255">
      <w:pPr>
        <w:pStyle w:val="BodyText"/>
        <w:spacing w:before="7"/>
        <w:rPr>
          <w:sz w:val="22"/>
        </w:rPr>
      </w:pPr>
    </w:p>
    <w:p w14:paraId="317EA353" w14:textId="77777777" w:rsidR="00AE2255" w:rsidRDefault="00000000">
      <w:pPr>
        <w:pStyle w:val="Heading2"/>
        <w:spacing w:before="92"/>
      </w:pPr>
      <w:r>
        <w:t>Maryanne</w:t>
      </w:r>
      <w:r>
        <w:rPr>
          <w:spacing w:val="-6"/>
        </w:rPr>
        <w:t xml:space="preserve"> </w:t>
      </w:r>
      <w:r>
        <w:t>R.</w:t>
      </w:r>
      <w:r>
        <w:rPr>
          <w:spacing w:val="-4"/>
        </w:rPr>
        <w:t xml:space="preserve"> </w:t>
      </w:r>
      <w:proofErr w:type="spellStart"/>
      <w:r>
        <w:t>Lavan</w:t>
      </w:r>
      <w:proofErr w:type="spellEnd"/>
      <w:r>
        <w:rPr>
          <w:spacing w:val="-4"/>
        </w:rPr>
        <w:t xml:space="preserve"> </w:t>
      </w:r>
      <w:r>
        <w:t>(age</w:t>
      </w:r>
      <w:r>
        <w:rPr>
          <w:spacing w:val="-3"/>
        </w:rPr>
        <w:t xml:space="preserve"> </w:t>
      </w:r>
      <w:r>
        <w:t>63),</w:t>
      </w:r>
      <w:r>
        <w:rPr>
          <w:spacing w:val="-4"/>
        </w:rPr>
        <w:t xml:space="preserve"> </w:t>
      </w:r>
      <w:r>
        <w:t>Senior</w:t>
      </w:r>
      <w:r>
        <w:rPr>
          <w:spacing w:val="-4"/>
        </w:rPr>
        <w:t xml:space="preserve"> </w:t>
      </w:r>
      <w:r>
        <w:t>Vice</w:t>
      </w:r>
      <w:r>
        <w:rPr>
          <w:spacing w:val="-4"/>
        </w:rPr>
        <w:t xml:space="preserve"> </w:t>
      </w:r>
      <w:r>
        <w:t>President,</w:t>
      </w:r>
      <w:r>
        <w:rPr>
          <w:spacing w:val="-3"/>
        </w:rPr>
        <w:t xml:space="preserve"> </w:t>
      </w:r>
      <w:r>
        <w:t>General</w:t>
      </w:r>
      <w:r>
        <w:rPr>
          <w:spacing w:val="-4"/>
        </w:rPr>
        <w:t xml:space="preserve"> </w:t>
      </w:r>
      <w:r>
        <w:t>Counsel</w:t>
      </w:r>
      <w:r>
        <w:rPr>
          <w:spacing w:val="-4"/>
        </w:rPr>
        <w:t xml:space="preserve"> </w:t>
      </w:r>
      <w:r>
        <w:t>and</w:t>
      </w:r>
      <w:r>
        <w:rPr>
          <w:spacing w:val="-4"/>
        </w:rPr>
        <w:t xml:space="preserve"> </w:t>
      </w:r>
      <w:r>
        <w:t>Corporate</w:t>
      </w:r>
      <w:r>
        <w:rPr>
          <w:spacing w:val="-3"/>
        </w:rPr>
        <w:t xml:space="preserve"> </w:t>
      </w:r>
      <w:r>
        <w:rPr>
          <w:spacing w:val="-2"/>
        </w:rPr>
        <w:t>Secretary</w:t>
      </w:r>
    </w:p>
    <w:p w14:paraId="624C82CA" w14:textId="77777777" w:rsidR="00AE2255" w:rsidRDefault="00AE2255">
      <w:pPr>
        <w:pStyle w:val="BodyText"/>
        <w:spacing w:before="6"/>
        <w:rPr>
          <w:b/>
          <w:sz w:val="18"/>
        </w:rPr>
      </w:pPr>
    </w:p>
    <w:p w14:paraId="2C425ED8" w14:textId="77777777" w:rsidR="00AE2255" w:rsidRDefault="00000000">
      <w:pPr>
        <w:pStyle w:val="BodyText"/>
        <w:ind w:left="970"/>
      </w:pPr>
      <w:r>
        <w:t>Ms.</w:t>
      </w:r>
      <w:r>
        <w:rPr>
          <w:spacing w:val="-6"/>
        </w:rPr>
        <w:t xml:space="preserve"> </w:t>
      </w:r>
      <w:proofErr w:type="spellStart"/>
      <w:r>
        <w:t>Lavan</w:t>
      </w:r>
      <w:proofErr w:type="spellEnd"/>
      <w:r>
        <w:rPr>
          <w:spacing w:val="-3"/>
        </w:rPr>
        <w:t xml:space="preserve"> </w:t>
      </w:r>
      <w:r>
        <w:t>has</w:t>
      </w:r>
      <w:r>
        <w:rPr>
          <w:spacing w:val="-4"/>
        </w:rPr>
        <w:t xml:space="preserve"> </w:t>
      </w:r>
      <w:r>
        <w:t>served</w:t>
      </w:r>
      <w:r>
        <w:rPr>
          <w:spacing w:val="-3"/>
        </w:rPr>
        <w:t xml:space="preserve"> </w:t>
      </w:r>
      <w:r>
        <w:t>as</w:t>
      </w:r>
      <w:r>
        <w:rPr>
          <w:spacing w:val="-5"/>
        </w:rPr>
        <w:t xml:space="preserve"> </w:t>
      </w:r>
      <w:r>
        <w:t>Senior</w:t>
      </w:r>
      <w:r>
        <w:rPr>
          <w:spacing w:val="-3"/>
        </w:rPr>
        <w:t xml:space="preserve"> </w:t>
      </w:r>
      <w:r>
        <w:t>Vice</w:t>
      </w:r>
      <w:r>
        <w:rPr>
          <w:spacing w:val="-4"/>
        </w:rPr>
        <w:t xml:space="preserve"> </w:t>
      </w:r>
      <w:r>
        <w:t>President,</w:t>
      </w:r>
      <w:r>
        <w:rPr>
          <w:spacing w:val="-3"/>
        </w:rPr>
        <w:t xml:space="preserve"> </w:t>
      </w:r>
      <w:r>
        <w:t>General</w:t>
      </w:r>
      <w:r>
        <w:rPr>
          <w:spacing w:val="-4"/>
        </w:rPr>
        <w:t xml:space="preserve"> </w:t>
      </w:r>
      <w:r>
        <w:t>Counsel</w:t>
      </w:r>
      <w:r>
        <w:rPr>
          <w:spacing w:val="-4"/>
        </w:rPr>
        <w:t xml:space="preserve"> </w:t>
      </w:r>
      <w:r>
        <w:t>and</w:t>
      </w:r>
      <w:r>
        <w:rPr>
          <w:spacing w:val="-4"/>
        </w:rPr>
        <w:t xml:space="preserve"> </w:t>
      </w:r>
      <w:r>
        <w:t>Corporate</w:t>
      </w:r>
      <w:r>
        <w:rPr>
          <w:spacing w:val="-4"/>
        </w:rPr>
        <w:t xml:space="preserve"> </w:t>
      </w:r>
      <w:r>
        <w:t>Secretary</w:t>
      </w:r>
      <w:r>
        <w:rPr>
          <w:spacing w:val="-3"/>
        </w:rPr>
        <w:t xml:space="preserve"> </w:t>
      </w:r>
      <w:r>
        <w:t>since</w:t>
      </w:r>
      <w:r>
        <w:rPr>
          <w:spacing w:val="-4"/>
        </w:rPr>
        <w:t xml:space="preserve"> </w:t>
      </w:r>
      <w:r>
        <w:t>September</w:t>
      </w:r>
      <w:r>
        <w:rPr>
          <w:spacing w:val="-3"/>
        </w:rPr>
        <w:t xml:space="preserve"> </w:t>
      </w:r>
      <w:r>
        <w:rPr>
          <w:spacing w:val="-2"/>
        </w:rPr>
        <w:t>2010.</w:t>
      </w:r>
    </w:p>
    <w:p w14:paraId="093D47AF" w14:textId="77777777" w:rsidR="00AE2255" w:rsidRDefault="00AE2255">
      <w:pPr>
        <w:pStyle w:val="BodyText"/>
        <w:spacing w:before="11"/>
        <w:rPr>
          <w:sz w:val="17"/>
        </w:rPr>
      </w:pPr>
    </w:p>
    <w:p w14:paraId="0EF3B56E" w14:textId="77777777" w:rsidR="00AE2255" w:rsidRDefault="00000000">
      <w:pPr>
        <w:pStyle w:val="Heading2"/>
      </w:pPr>
      <w:r>
        <w:t>Robert</w:t>
      </w:r>
      <w:r>
        <w:rPr>
          <w:spacing w:val="-5"/>
        </w:rPr>
        <w:t xml:space="preserve"> </w:t>
      </w:r>
      <w:r>
        <w:t>M.</w:t>
      </w:r>
      <w:r>
        <w:rPr>
          <w:spacing w:val="-3"/>
        </w:rPr>
        <w:t xml:space="preserve"> </w:t>
      </w:r>
      <w:r>
        <w:t>Lightfoot,</w:t>
      </w:r>
      <w:r>
        <w:rPr>
          <w:spacing w:val="-2"/>
        </w:rPr>
        <w:t xml:space="preserve"> </w:t>
      </w:r>
      <w:r>
        <w:t>Jr.</w:t>
      </w:r>
      <w:r>
        <w:rPr>
          <w:spacing w:val="-3"/>
        </w:rPr>
        <w:t xml:space="preserve"> </w:t>
      </w:r>
      <w:r>
        <w:t>(age</w:t>
      </w:r>
      <w:r>
        <w:rPr>
          <w:spacing w:val="-3"/>
        </w:rPr>
        <w:t xml:space="preserve"> </w:t>
      </w:r>
      <w:r>
        <w:t>59),</w:t>
      </w:r>
      <w:r>
        <w:rPr>
          <w:spacing w:val="-3"/>
        </w:rPr>
        <w:t xml:space="preserve"> </w:t>
      </w:r>
      <w:r>
        <w:t>Executive</w:t>
      </w:r>
      <w:r>
        <w:rPr>
          <w:spacing w:val="-3"/>
        </w:rPr>
        <w:t xml:space="preserve"> </w:t>
      </w:r>
      <w:r>
        <w:t>Vice</w:t>
      </w:r>
      <w:r>
        <w:rPr>
          <w:spacing w:val="-3"/>
        </w:rPr>
        <w:t xml:space="preserve"> </w:t>
      </w:r>
      <w:r>
        <w:t>President</w:t>
      </w:r>
      <w:r>
        <w:rPr>
          <w:spacing w:val="-3"/>
        </w:rPr>
        <w:t xml:space="preserve"> </w:t>
      </w:r>
      <w:r>
        <w:t>–</w:t>
      </w:r>
      <w:r>
        <w:rPr>
          <w:spacing w:val="-2"/>
        </w:rPr>
        <w:t xml:space="preserve"> Space</w:t>
      </w:r>
    </w:p>
    <w:p w14:paraId="368400EC" w14:textId="77777777" w:rsidR="00AE2255" w:rsidRDefault="00AE2255">
      <w:pPr>
        <w:pStyle w:val="BodyText"/>
        <w:spacing w:before="6"/>
        <w:rPr>
          <w:b/>
          <w:sz w:val="18"/>
        </w:rPr>
      </w:pPr>
    </w:p>
    <w:p w14:paraId="01242DE9" w14:textId="77777777" w:rsidR="00AE2255" w:rsidRDefault="00000000">
      <w:pPr>
        <w:pStyle w:val="BodyText"/>
        <w:spacing w:line="249" w:lineRule="auto"/>
        <w:ind w:left="610" w:right="429" w:firstLine="360"/>
        <w:jc w:val="both"/>
      </w:pPr>
      <w:r>
        <w:t>Mr.</w:t>
      </w:r>
      <w:r>
        <w:rPr>
          <w:spacing w:val="-2"/>
        </w:rPr>
        <w:t xml:space="preserve"> </w:t>
      </w:r>
      <w:r>
        <w:t>Lightfoot</w:t>
      </w:r>
      <w:r>
        <w:rPr>
          <w:spacing w:val="-2"/>
        </w:rPr>
        <w:t xml:space="preserve"> </w:t>
      </w:r>
      <w:r>
        <w:t>has</w:t>
      </w:r>
      <w:r>
        <w:rPr>
          <w:spacing w:val="-2"/>
        </w:rPr>
        <w:t xml:space="preserve"> </w:t>
      </w:r>
      <w:r>
        <w:t>served</w:t>
      </w:r>
      <w:r>
        <w:rPr>
          <w:spacing w:val="-2"/>
        </w:rPr>
        <w:t xml:space="preserve"> </w:t>
      </w:r>
      <w:r>
        <w:t>as</w:t>
      </w:r>
      <w:r>
        <w:rPr>
          <w:spacing w:val="-2"/>
        </w:rPr>
        <w:t xml:space="preserve"> </w:t>
      </w:r>
      <w:r>
        <w:t>Executive</w:t>
      </w:r>
      <w:r>
        <w:rPr>
          <w:spacing w:val="-2"/>
        </w:rPr>
        <w:t xml:space="preserve"> </w:t>
      </w:r>
      <w:r>
        <w:t>Vice</w:t>
      </w:r>
      <w:r>
        <w:rPr>
          <w:spacing w:val="-2"/>
        </w:rPr>
        <w:t xml:space="preserve"> </w:t>
      </w:r>
      <w:r>
        <w:t>President</w:t>
      </w:r>
      <w:r>
        <w:rPr>
          <w:spacing w:val="-2"/>
        </w:rPr>
        <w:t xml:space="preserve"> </w:t>
      </w:r>
      <w:r>
        <w:t>of</w:t>
      </w:r>
      <w:r>
        <w:rPr>
          <w:spacing w:val="-2"/>
        </w:rPr>
        <w:t xml:space="preserve"> </w:t>
      </w:r>
      <w:r>
        <w:t>Space</w:t>
      </w:r>
      <w:r>
        <w:rPr>
          <w:spacing w:val="-2"/>
        </w:rPr>
        <w:t xml:space="preserve"> </w:t>
      </w:r>
      <w:r>
        <w:t>since</w:t>
      </w:r>
      <w:r>
        <w:rPr>
          <w:spacing w:val="-2"/>
        </w:rPr>
        <w:t xml:space="preserve"> </w:t>
      </w:r>
      <w:r>
        <w:t>January</w:t>
      </w:r>
      <w:r>
        <w:rPr>
          <w:spacing w:val="-2"/>
        </w:rPr>
        <w:t xml:space="preserve"> </w:t>
      </w:r>
      <w:r>
        <w:t>2022.</w:t>
      </w:r>
      <w:r>
        <w:rPr>
          <w:spacing w:val="-2"/>
        </w:rPr>
        <w:t xml:space="preserve"> </w:t>
      </w:r>
      <w:r>
        <w:t>He</w:t>
      </w:r>
      <w:r>
        <w:rPr>
          <w:spacing w:val="-2"/>
        </w:rPr>
        <w:t xml:space="preserve"> </w:t>
      </w:r>
      <w:r>
        <w:t>previously</w:t>
      </w:r>
      <w:r>
        <w:rPr>
          <w:spacing w:val="-2"/>
        </w:rPr>
        <w:t xml:space="preserve"> </w:t>
      </w:r>
      <w:r>
        <w:t>served</w:t>
      </w:r>
      <w:r>
        <w:rPr>
          <w:spacing w:val="-2"/>
        </w:rPr>
        <w:t xml:space="preserve"> </w:t>
      </w:r>
      <w:r>
        <w:t>as</w:t>
      </w:r>
      <w:r>
        <w:rPr>
          <w:spacing w:val="-2"/>
        </w:rPr>
        <w:t xml:space="preserve"> </w:t>
      </w:r>
      <w:r>
        <w:t>Vice</w:t>
      </w:r>
      <w:r>
        <w:rPr>
          <w:spacing w:val="-2"/>
        </w:rPr>
        <w:t xml:space="preserve"> </w:t>
      </w:r>
      <w:r>
        <w:t>President, Operations of the Space business segment from June 2021 to December 2021. Prior to that, he served as Vice President, Strategy and Business Development of Space from May 2019 to June 2021. Prior to joining Lockheed Martin in 2019, Mr. Lightfoot served as President, LSINC Corporation, a provider of product development and engineering services, from May</w:t>
      </w:r>
      <w:r>
        <w:rPr>
          <w:spacing w:val="40"/>
        </w:rPr>
        <w:t xml:space="preserve"> </w:t>
      </w:r>
      <w:r>
        <w:t>2018 to May 2019. Prior to that, he was Associate Administrator at the National Aeronautics &amp; Space Administration (NASA), the agency’s highest-ranking civil service position, from March 2012 to April 2018.</w:t>
      </w:r>
    </w:p>
    <w:p w14:paraId="640204C1" w14:textId="77777777" w:rsidR="00AE2255" w:rsidRDefault="00AE2255">
      <w:pPr>
        <w:pStyle w:val="BodyText"/>
        <w:spacing w:before="6"/>
        <w:rPr>
          <w:sz w:val="17"/>
        </w:rPr>
      </w:pPr>
    </w:p>
    <w:p w14:paraId="3C7D5A66" w14:textId="77777777" w:rsidR="00AE2255" w:rsidRDefault="00000000">
      <w:pPr>
        <w:pStyle w:val="Heading2"/>
        <w:spacing w:before="1"/>
      </w:pPr>
      <w:r>
        <w:t>Jesus</w:t>
      </w:r>
      <w:r>
        <w:rPr>
          <w:spacing w:val="-4"/>
        </w:rPr>
        <w:t xml:space="preserve"> </w:t>
      </w:r>
      <w:r>
        <w:t>Malave</w:t>
      </w:r>
      <w:r>
        <w:rPr>
          <w:spacing w:val="-3"/>
        </w:rPr>
        <w:t xml:space="preserve"> </w:t>
      </w:r>
      <w:r>
        <w:t>(age</w:t>
      </w:r>
      <w:r>
        <w:rPr>
          <w:spacing w:val="-4"/>
        </w:rPr>
        <w:t xml:space="preserve"> </w:t>
      </w:r>
      <w:r>
        <w:t>54),</w:t>
      </w:r>
      <w:r>
        <w:rPr>
          <w:spacing w:val="-2"/>
        </w:rPr>
        <w:t xml:space="preserve"> </w:t>
      </w:r>
      <w:r>
        <w:t>Chief</w:t>
      </w:r>
      <w:r>
        <w:rPr>
          <w:spacing w:val="-3"/>
        </w:rPr>
        <w:t xml:space="preserve"> </w:t>
      </w:r>
      <w:r>
        <w:t>Financial</w:t>
      </w:r>
      <w:r>
        <w:rPr>
          <w:spacing w:val="-3"/>
        </w:rPr>
        <w:t xml:space="preserve"> </w:t>
      </w:r>
      <w:r>
        <w:rPr>
          <w:spacing w:val="-2"/>
        </w:rPr>
        <w:t>Officer</w:t>
      </w:r>
    </w:p>
    <w:p w14:paraId="3001CAC8" w14:textId="77777777" w:rsidR="00AE2255" w:rsidRDefault="00AE2255">
      <w:pPr>
        <w:pStyle w:val="BodyText"/>
        <w:spacing w:before="6"/>
        <w:rPr>
          <w:b/>
          <w:sz w:val="18"/>
        </w:rPr>
      </w:pPr>
    </w:p>
    <w:p w14:paraId="4FCD1852" w14:textId="77777777" w:rsidR="00AE2255" w:rsidRDefault="00000000">
      <w:pPr>
        <w:pStyle w:val="BodyText"/>
        <w:spacing w:line="249" w:lineRule="auto"/>
        <w:ind w:left="610" w:right="428" w:firstLine="360"/>
        <w:jc w:val="both"/>
      </w:pPr>
      <w:r>
        <w:t>Mr. Malave has served as Chief Financial Officer since January 31, 2022. Prior to joining Lockheed Martin in 2022, Mr. Malave served as Senior Vice President and Chief Financial Officer of L3Harris Technologies, Inc. (L3Harris) from June 2019 to January 2022. Before joining L3Harris, Mr. Malave worked at United Technologies Corporation (UTC) as Vice President</w:t>
      </w:r>
      <w:r>
        <w:rPr>
          <w:spacing w:val="40"/>
        </w:rPr>
        <w:t xml:space="preserve"> </w:t>
      </w:r>
      <w:r>
        <w:t>and Chief Financial Officer of UTC’s Carrier Corporation from April 2018 to June 2019; and as Chief Financial Officer of UTC’s Aerospace Systems from January 2015 to April 2018.</w:t>
      </w:r>
    </w:p>
    <w:p w14:paraId="0A2AEE70" w14:textId="77777777" w:rsidR="00AE2255" w:rsidRDefault="00AE2255">
      <w:pPr>
        <w:pStyle w:val="BodyText"/>
        <w:spacing w:before="5"/>
        <w:rPr>
          <w:sz w:val="17"/>
        </w:rPr>
      </w:pPr>
    </w:p>
    <w:p w14:paraId="2C0A00B3" w14:textId="77777777" w:rsidR="00AE2255" w:rsidRDefault="00000000">
      <w:pPr>
        <w:pStyle w:val="Heading2"/>
      </w:pPr>
      <w:r>
        <w:t>H.</w:t>
      </w:r>
      <w:r>
        <w:rPr>
          <w:spacing w:val="-5"/>
        </w:rPr>
        <w:t xml:space="preserve"> </w:t>
      </w:r>
      <w:r>
        <w:t>Edward</w:t>
      </w:r>
      <w:r>
        <w:rPr>
          <w:spacing w:val="-3"/>
        </w:rPr>
        <w:t xml:space="preserve"> </w:t>
      </w:r>
      <w:r>
        <w:t>Paul,</w:t>
      </w:r>
      <w:r>
        <w:rPr>
          <w:spacing w:val="-3"/>
        </w:rPr>
        <w:t xml:space="preserve"> </w:t>
      </w:r>
      <w:r>
        <w:t>III</w:t>
      </w:r>
      <w:r>
        <w:rPr>
          <w:spacing w:val="-3"/>
        </w:rPr>
        <w:t xml:space="preserve"> </w:t>
      </w:r>
      <w:r>
        <w:t>(age</w:t>
      </w:r>
      <w:r>
        <w:rPr>
          <w:spacing w:val="-4"/>
        </w:rPr>
        <w:t xml:space="preserve"> </w:t>
      </w:r>
      <w:r>
        <w:t>47),</w:t>
      </w:r>
      <w:r>
        <w:rPr>
          <w:spacing w:val="-2"/>
        </w:rPr>
        <w:t xml:space="preserve"> </w:t>
      </w:r>
      <w:r>
        <w:t>Vice</w:t>
      </w:r>
      <w:r>
        <w:rPr>
          <w:spacing w:val="-4"/>
        </w:rPr>
        <w:t xml:space="preserve"> </w:t>
      </w:r>
      <w:r>
        <w:t>President</w:t>
      </w:r>
      <w:r>
        <w:rPr>
          <w:spacing w:val="-2"/>
        </w:rPr>
        <w:t xml:space="preserve"> </w:t>
      </w:r>
      <w:r>
        <w:t>and</w:t>
      </w:r>
      <w:r>
        <w:rPr>
          <w:spacing w:val="-3"/>
        </w:rPr>
        <w:t xml:space="preserve"> </w:t>
      </w:r>
      <w:r>
        <w:rPr>
          <w:spacing w:val="-2"/>
        </w:rPr>
        <w:t>Controller</w:t>
      </w:r>
    </w:p>
    <w:p w14:paraId="16C9ADD8" w14:textId="77777777" w:rsidR="00AE2255" w:rsidRDefault="00AE2255">
      <w:pPr>
        <w:pStyle w:val="BodyText"/>
        <w:spacing w:before="6"/>
        <w:rPr>
          <w:b/>
          <w:sz w:val="18"/>
        </w:rPr>
      </w:pPr>
    </w:p>
    <w:p w14:paraId="521EF0A3" w14:textId="77777777" w:rsidR="00AE2255" w:rsidRDefault="00000000">
      <w:pPr>
        <w:pStyle w:val="BodyText"/>
        <w:spacing w:line="249" w:lineRule="auto"/>
        <w:ind w:left="610" w:right="431" w:firstLine="360"/>
        <w:jc w:val="both"/>
      </w:pPr>
      <w:r>
        <w:t>Mr. Paul has served as Vice President and Controller since June 2022. Previously, he served as Vice President Accounting from March 2015 to June 2022.</w:t>
      </w:r>
    </w:p>
    <w:p w14:paraId="08028DC3" w14:textId="77777777" w:rsidR="00AE2255" w:rsidRDefault="00AE2255">
      <w:pPr>
        <w:pStyle w:val="BodyText"/>
        <w:spacing w:before="3"/>
        <w:rPr>
          <w:sz w:val="17"/>
        </w:rPr>
      </w:pPr>
    </w:p>
    <w:p w14:paraId="65051E92" w14:textId="77777777" w:rsidR="00AE2255" w:rsidRDefault="00000000">
      <w:pPr>
        <w:pStyle w:val="Heading2"/>
      </w:pPr>
      <w:r>
        <w:t>Evan</w:t>
      </w:r>
      <w:r>
        <w:rPr>
          <w:spacing w:val="-3"/>
        </w:rPr>
        <w:t xml:space="preserve"> </w:t>
      </w:r>
      <w:r>
        <w:t>T.</w:t>
      </w:r>
      <w:r>
        <w:rPr>
          <w:spacing w:val="-2"/>
        </w:rPr>
        <w:t xml:space="preserve"> </w:t>
      </w:r>
      <w:r>
        <w:t>Scott</w:t>
      </w:r>
      <w:r>
        <w:rPr>
          <w:spacing w:val="-3"/>
        </w:rPr>
        <w:t xml:space="preserve"> </w:t>
      </w:r>
      <w:r>
        <w:t>(age</w:t>
      </w:r>
      <w:r>
        <w:rPr>
          <w:spacing w:val="-2"/>
        </w:rPr>
        <w:t xml:space="preserve"> </w:t>
      </w:r>
      <w:r>
        <w:t>45),</w:t>
      </w:r>
      <w:r>
        <w:rPr>
          <w:spacing w:val="-3"/>
        </w:rPr>
        <w:t xml:space="preserve"> </w:t>
      </w:r>
      <w:r>
        <w:t>Vice</w:t>
      </w:r>
      <w:r>
        <w:rPr>
          <w:spacing w:val="-2"/>
        </w:rPr>
        <w:t xml:space="preserve"> </w:t>
      </w:r>
      <w:r>
        <w:t>President</w:t>
      </w:r>
      <w:r>
        <w:rPr>
          <w:spacing w:val="-3"/>
        </w:rPr>
        <w:t xml:space="preserve"> </w:t>
      </w:r>
      <w:r>
        <w:t>and</w:t>
      </w:r>
      <w:r>
        <w:rPr>
          <w:spacing w:val="-2"/>
        </w:rPr>
        <w:t xml:space="preserve"> Treasurer</w:t>
      </w:r>
    </w:p>
    <w:p w14:paraId="1072B1BD" w14:textId="77777777" w:rsidR="00AE2255" w:rsidRDefault="00AE2255">
      <w:pPr>
        <w:pStyle w:val="BodyText"/>
        <w:spacing w:before="6"/>
        <w:rPr>
          <w:b/>
          <w:sz w:val="18"/>
        </w:rPr>
      </w:pPr>
    </w:p>
    <w:p w14:paraId="1B196C50" w14:textId="77777777" w:rsidR="00AE2255" w:rsidRDefault="00000000">
      <w:pPr>
        <w:pStyle w:val="BodyText"/>
        <w:spacing w:before="1" w:line="249" w:lineRule="auto"/>
        <w:ind w:left="610" w:right="429" w:firstLine="360"/>
        <w:jc w:val="both"/>
      </w:pPr>
      <w:r>
        <w:t>Mr. Scott has served as Vice President and Treasurer since June 2022. Previously, Mr. Scott served as Vice President and Assistant Treasurer from August 2021 to June 2022. Prior to that, Mr. Scott was Vice President, Finance and Business Operations of the Space business segment from March 2019 to August 2021; and Vice President and Controller of the Missiles and Fire Control business segment from March 2015 to March 2019.</w:t>
      </w:r>
    </w:p>
    <w:p w14:paraId="395D0BEF" w14:textId="77777777" w:rsidR="00AE2255" w:rsidRDefault="00AE2255">
      <w:pPr>
        <w:pStyle w:val="BodyText"/>
        <w:spacing w:before="4"/>
        <w:rPr>
          <w:sz w:val="17"/>
        </w:rPr>
      </w:pPr>
    </w:p>
    <w:p w14:paraId="419FA59E" w14:textId="77777777" w:rsidR="00AE2255" w:rsidRDefault="00000000">
      <w:pPr>
        <w:pStyle w:val="Heading2"/>
      </w:pPr>
      <w:r>
        <w:t>Frank</w:t>
      </w:r>
      <w:r>
        <w:rPr>
          <w:spacing w:val="-3"/>
        </w:rPr>
        <w:t xml:space="preserve"> </w:t>
      </w:r>
      <w:r>
        <w:t>A.</w:t>
      </w:r>
      <w:r>
        <w:rPr>
          <w:spacing w:val="-2"/>
        </w:rPr>
        <w:t xml:space="preserve"> </w:t>
      </w:r>
      <w:r>
        <w:t>St.</w:t>
      </w:r>
      <w:r>
        <w:rPr>
          <w:spacing w:val="-2"/>
        </w:rPr>
        <w:t xml:space="preserve"> </w:t>
      </w:r>
      <w:r>
        <w:t>John</w:t>
      </w:r>
      <w:r>
        <w:rPr>
          <w:spacing w:val="-3"/>
        </w:rPr>
        <w:t xml:space="preserve"> </w:t>
      </w:r>
      <w:r>
        <w:t>(age</w:t>
      </w:r>
      <w:r>
        <w:rPr>
          <w:spacing w:val="-3"/>
        </w:rPr>
        <w:t xml:space="preserve"> </w:t>
      </w:r>
      <w:r>
        <w:t>56),</w:t>
      </w:r>
      <w:r>
        <w:rPr>
          <w:spacing w:val="-2"/>
        </w:rPr>
        <w:t xml:space="preserve"> </w:t>
      </w:r>
      <w:r>
        <w:t>Chief</w:t>
      </w:r>
      <w:r>
        <w:rPr>
          <w:spacing w:val="-2"/>
        </w:rPr>
        <w:t xml:space="preserve"> </w:t>
      </w:r>
      <w:r>
        <w:t>Operating</w:t>
      </w:r>
      <w:r>
        <w:rPr>
          <w:spacing w:val="-2"/>
        </w:rPr>
        <w:t xml:space="preserve"> Officer</w:t>
      </w:r>
    </w:p>
    <w:p w14:paraId="24A1776A" w14:textId="77777777" w:rsidR="00AE2255" w:rsidRDefault="00AE2255">
      <w:pPr>
        <w:pStyle w:val="BodyText"/>
        <w:spacing w:before="6"/>
        <w:rPr>
          <w:b/>
          <w:sz w:val="18"/>
        </w:rPr>
      </w:pPr>
    </w:p>
    <w:p w14:paraId="616EEF41" w14:textId="77777777" w:rsidR="00AE2255" w:rsidRDefault="00000000">
      <w:pPr>
        <w:pStyle w:val="BodyText"/>
        <w:spacing w:before="1" w:line="249" w:lineRule="auto"/>
        <w:ind w:left="610" w:right="428" w:firstLine="360"/>
        <w:jc w:val="both"/>
      </w:pPr>
      <w:r>
        <w:t>Mr. St. John has served as Chief Operating Officer since June 2020. He previously served as Executive Vice President of RMS from August 2019 to June 2020. Prior to that, he served as Executive Vice President of the Missiles and Fire Control (MFC) business segment from January 2018 to August 2019; and as Executive Vice President and Deputy Programs for MFC from June 2017 to January 2018.</w:t>
      </w:r>
    </w:p>
    <w:p w14:paraId="77DD70F8" w14:textId="77777777" w:rsidR="00AE2255" w:rsidRDefault="00AE2255">
      <w:pPr>
        <w:pStyle w:val="BodyText"/>
        <w:spacing w:before="4"/>
        <w:rPr>
          <w:sz w:val="17"/>
        </w:rPr>
      </w:pPr>
    </w:p>
    <w:p w14:paraId="0543CA91" w14:textId="77777777" w:rsidR="00AE2255" w:rsidRDefault="00000000">
      <w:pPr>
        <w:pStyle w:val="Heading2"/>
      </w:pPr>
      <w:r>
        <w:t>James</w:t>
      </w:r>
      <w:r>
        <w:rPr>
          <w:spacing w:val="-6"/>
        </w:rPr>
        <w:t xml:space="preserve"> </w:t>
      </w:r>
      <w:r>
        <w:t>D.</w:t>
      </w:r>
      <w:r>
        <w:rPr>
          <w:spacing w:val="-3"/>
        </w:rPr>
        <w:t xml:space="preserve"> </w:t>
      </w:r>
      <w:proofErr w:type="spellStart"/>
      <w:r>
        <w:t>Taiclet</w:t>
      </w:r>
      <w:proofErr w:type="spellEnd"/>
      <w:r>
        <w:rPr>
          <w:spacing w:val="-4"/>
        </w:rPr>
        <w:t xml:space="preserve"> </w:t>
      </w:r>
      <w:r>
        <w:t>(age</w:t>
      </w:r>
      <w:r>
        <w:rPr>
          <w:spacing w:val="-3"/>
        </w:rPr>
        <w:t xml:space="preserve"> </w:t>
      </w:r>
      <w:r>
        <w:t>62),</w:t>
      </w:r>
      <w:r>
        <w:rPr>
          <w:spacing w:val="-3"/>
        </w:rPr>
        <w:t xml:space="preserve"> </w:t>
      </w:r>
      <w:r>
        <w:t>Chairman,</w:t>
      </w:r>
      <w:r>
        <w:rPr>
          <w:spacing w:val="-4"/>
        </w:rPr>
        <w:t xml:space="preserve"> </w:t>
      </w:r>
      <w:proofErr w:type="gramStart"/>
      <w:r>
        <w:t>President</w:t>
      </w:r>
      <w:proofErr w:type="gramEnd"/>
      <w:r>
        <w:rPr>
          <w:spacing w:val="-3"/>
        </w:rPr>
        <w:t xml:space="preserve"> </w:t>
      </w:r>
      <w:r>
        <w:t>and</w:t>
      </w:r>
      <w:r>
        <w:rPr>
          <w:spacing w:val="-4"/>
        </w:rPr>
        <w:t xml:space="preserve"> </w:t>
      </w:r>
      <w:r>
        <w:t>Chief</w:t>
      </w:r>
      <w:r>
        <w:rPr>
          <w:spacing w:val="-3"/>
        </w:rPr>
        <w:t xml:space="preserve"> </w:t>
      </w:r>
      <w:r>
        <w:t>Executive</w:t>
      </w:r>
      <w:r>
        <w:rPr>
          <w:spacing w:val="-3"/>
        </w:rPr>
        <w:t xml:space="preserve"> </w:t>
      </w:r>
      <w:r>
        <w:rPr>
          <w:spacing w:val="-2"/>
        </w:rPr>
        <w:t>Officer</w:t>
      </w:r>
    </w:p>
    <w:p w14:paraId="14BEC284" w14:textId="77777777" w:rsidR="00AE2255" w:rsidRDefault="00AE2255">
      <w:pPr>
        <w:pStyle w:val="BodyText"/>
        <w:spacing w:before="6"/>
        <w:rPr>
          <w:b/>
          <w:sz w:val="18"/>
        </w:rPr>
      </w:pPr>
    </w:p>
    <w:p w14:paraId="75391160" w14:textId="77777777" w:rsidR="00AE2255" w:rsidRDefault="00000000">
      <w:pPr>
        <w:pStyle w:val="BodyText"/>
        <w:spacing w:line="249" w:lineRule="auto"/>
        <w:ind w:left="610" w:right="428" w:firstLine="360"/>
        <w:jc w:val="both"/>
      </w:pPr>
      <w:r>
        <w:t xml:space="preserve">Mr. </w:t>
      </w:r>
      <w:proofErr w:type="spellStart"/>
      <w:r>
        <w:t>Taiclet</w:t>
      </w:r>
      <w:proofErr w:type="spellEnd"/>
      <w:r>
        <w:t xml:space="preserve"> has served as Chairman since March 2021 and as President and Chief Executive Officer (CEO) of Lockheed Martin since June 2020. He has served on the Lockheed Martin Board of Directors since January 2018. Previously, he was Chairman, </w:t>
      </w:r>
      <w:proofErr w:type="gramStart"/>
      <w:r>
        <w:t>President</w:t>
      </w:r>
      <w:proofErr w:type="gramEnd"/>
      <w:r>
        <w:t xml:space="preserve"> and CEO of American Tower Corporation from February 2004 to March 2020; and Executive Chairman from March 2020 to May 2020.</w:t>
      </w:r>
    </w:p>
    <w:p w14:paraId="295C7E65" w14:textId="77777777" w:rsidR="00AE2255" w:rsidRDefault="00AE2255">
      <w:pPr>
        <w:pStyle w:val="BodyText"/>
        <w:spacing w:before="5"/>
        <w:rPr>
          <w:sz w:val="17"/>
        </w:rPr>
      </w:pPr>
    </w:p>
    <w:p w14:paraId="5C69BF88" w14:textId="77777777" w:rsidR="00AE2255" w:rsidRDefault="00000000">
      <w:pPr>
        <w:pStyle w:val="Heading2"/>
      </w:pPr>
      <w:r>
        <w:t>Gregory</w:t>
      </w:r>
      <w:r>
        <w:rPr>
          <w:spacing w:val="-5"/>
        </w:rPr>
        <w:t xml:space="preserve"> </w:t>
      </w:r>
      <w:r>
        <w:t>M.</w:t>
      </w:r>
      <w:r>
        <w:rPr>
          <w:spacing w:val="-3"/>
        </w:rPr>
        <w:t xml:space="preserve"> </w:t>
      </w:r>
      <w:r>
        <w:t>Ulmer</w:t>
      </w:r>
      <w:r>
        <w:rPr>
          <w:spacing w:val="-4"/>
        </w:rPr>
        <w:t xml:space="preserve"> </w:t>
      </w:r>
      <w:r>
        <w:t>(age</w:t>
      </w:r>
      <w:r>
        <w:rPr>
          <w:spacing w:val="-3"/>
        </w:rPr>
        <w:t xml:space="preserve"> </w:t>
      </w:r>
      <w:r>
        <w:t>58),</w:t>
      </w:r>
      <w:r>
        <w:rPr>
          <w:spacing w:val="-3"/>
        </w:rPr>
        <w:t xml:space="preserve"> </w:t>
      </w:r>
      <w:r>
        <w:t>Executive</w:t>
      </w:r>
      <w:r>
        <w:rPr>
          <w:spacing w:val="-3"/>
        </w:rPr>
        <w:t xml:space="preserve"> </w:t>
      </w:r>
      <w:r>
        <w:t>Vice</w:t>
      </w:r>
      <w:r>
        <w:rPr>
          <w:spacing w:val="-4"/>
        </w:rPr>
        <w:t xml:space="preserve"> </w:t>
      </w:r>
      <w:r>
        <w:t>President</w:t>
      </w:r>
      <w:r>
        <w:rPr>
          <w:spacing w:val="-3"/>
        </w:rPr>
        <w:t xml:space="preserve"> </w:t>
      </w:r>
      <w:r>
        <w:t>–</w:t>
      </w:r>
      <w:r>
        <w:rPr>
          <w:spacing w:val="-2"/>
        </w:rPr>
        <w:t xml:space="preserve"> Aeronautics</w:t>
      </w:r>
    </w:p>
    <w:p w14:paraId="5FE5B240" w14:textId="77777777" w:rsidR="00AE2255" w:rsidRDefault="00AE2255">
      <w:pPr>
        <w:pStyle w:val="BodyText"/>
        <w:spacing w:before="6"/>
        <w:rPr>
          <w:b/>
          <w:sz w:val="18"/>
        </w:rPr>
      </w:pPr>
    </w:p>
    <w:p w14:paraId="09F42608" w14:textId="77777777" w:rsidR="00AE2255" w:rsidRDefault="00000000">
      <w:pPr>
        <w:pStyle w:val="BodyText"/>
        <w:spacing w:line="249" w:lineRule="auto"/>
        <w:ind w:left="610" w:right="429" w:firstLine="360"/>
        <w:jc w:val="both"/>
      </w:pPr>
      <w:r>
        <w:t>Mr. Ulmer has served as Executive Vice President, Aeronautics since February 2021. He served as Vice President and General</w:t>
      </w:r>
      <w:r>
        <w:rPr>
          <w:spacing w:val="-2"/>
        </w:rPr>
        <w:t xml:space="preserve"> </w:t>
      </w:r>
      <w:r>
        <w:t>Manager,</w:t>
      </w:r>
      <w:r>
        <w:rPr>
          <w:spacing w:val="-2"/>
        </w:rPr>
        <w:t xml:space="preserve"> </w:t>
      </w:r>
      <w:r>
        <w:t>F-35</w:t>
      </w:r>
      <w:r>
        <w:rPr>
          <w:spacing w:val="-2"/>
        </w:rPr>
        <w:t xml:space="preserve"> </w:t>
      </w:r>
      <w:r>
        <w:t>Lightning</w:t>
      </w:r>
      <w:r>
        <w:rPr>
          <w:spacing w:val="-2"/>
        </w:rPr>
        <w:t xml:space="preserve"> </w:t>
      </w:r>
      <w:r>
        <w:t>II</w:t>
      </w:r>
      <w:r>
        <w:rPr>
          <w:spacing w:val="-2"/>
        </w:rPr>
        <w:t xml:space="preserve"> </w:t>
      </w:r>
      <w:r>
        <w:t>Program</w:t>
      </w:r>
      <w:r>
        <w:rPr>
          <w:spacing w:val="-2"/>
        </w:rPr>
        <w:t xml:space="preserve"> </w:t>
      </w:r>
      <w:r>
        <w:t>from</w:t>
      </w:r>
      <w:r>
        <w:rPr>
          <w:spacing w:val="-2"/>
        </w:rPr>
        <w:t xml:space="preserve"> </w:t>
      </w:r>
      <w:r>
        <w:t>March</w:t>
      </w:r>
      <w:r>
        <w:rPr>
          <w:spacing w:val="-2"/>
        </w:rPr>
        <w:t xml:space="preserve"> </w:t>
      </w:r>
      <w:r>
        <w:t>2018</w:t>
      </w:r>
      <w:r>
        <w:rPr>
          <w:spacing w:val="-2"/>
        </w:rPr>
        <w:t xml:space="preserve"> </w:t>
      </w:r>
      <w:r>
        <w:t>to</w:t>
      </w:r>
      <w:r>
        <w:rPr>
          <w:spacing w:val="-2"/>
        </w:rPr>
        <w:t xml:space="preserve"> </w:t>
      </w:r>
      <w:r>
        <w:t>January</w:t>
      </w:r>
      <w:r>
        <w:rPr>
          <w:spacing w:val="-2"/>
        </w:rPr>
        <w:t xml:space="preserve"> </w:t>
      </w:r>
      <w:r>
        <w:t>2021.</w:t>
      </w:r>
      <w:r>
        <w:rPr>
          <w:spacing w:val="-2"/>
        </w:rPr>
        <w:t xml:space="preserve"> </w:t>
      </w:r>
      <w:r>
        <w:t>Prior</w:t>
      </w:r>
      <w:r>
        <w:rPr>
          <w:spacing w:val="-2"/>
        </w:rPr>
        <w:t xml:space="preserve"> </w:t>
      </w:r>
      <w:r>
        <w:t>to</w:t>
      </w:r>
      <w:r>
        <w:rPr>
          <w:spacing w:val="-2"/>
        </w:rPr>
        <w:t xml:space="preserve"> </w:t>
      </w:r>
      <w:r>
        <w:t>that,</w:t>
      </w:r>
      <w:r>
        <w:rPr>
          <w:spacing w:val="-2"/>
        </w:rPr>
        <w:t xml:space="preserve"> </w:t>
      </w:r>
      <w:r>
        <w:t>he</w:t>
      </w:r>
      <w:r>
        <w:rPr>
          <w:spacing w:val="-2"/>
        </w:rPr>
        <w:t xml:space="preserve"> </w:t>
      </w:r>
      <w:r>
        <w:t>served</w:t>
      </w:r>
      <w:r>
        <w:rPr>
          <w:spacing w:val="-2"/>
        </w:rPr>
        <w:t xml:space="preserve"> </w:t>
      </w:r>
      <w:r>
        <w:t>as</w:t>
      </w:r>
      <w:r>
        <w:rPr>
          <w:spacing w:val="-2"/>
        </w:rPr>
        <w:t xml:space="preserve"> </w:t>
      </w:r>
      <w:r>
        <w:t>Vice</w:t>
      </w:r>
      <w:r>
        <w:rPr>
          <w:spacing w:val="-2"/>
        </w:rPr>
        <w:t xml:space="preserve"> </w:t>
      </w:r>
      <w:r>
        <w:t>President,</w:t>
      </w:r>
      <w:r>
        <w:rPr>
          <w:spacing w:val="-2"/>
        </w:rPr>
        <w:t xml:space="preserve"> </w:t>
      </w:r>
      <w:r>
        <w:t>F-35 Aircraft Production business unit from March 2016 to March 2018.</w:t>
      </w:r>
    </w:p>
    <w:p w14:paraId="7663C025" w14:textId="77777777" w:rsidR="00AE2255" w:rsidRDefault="00AE2255">
      <w:pPr>
        <w:spacing w:line="249" w:lineRule="auto"/>
        <w:jc w:val="both"/>
        <w:sectPr w:rsidR="00AE2255">
          <w:pgSz w:w="12240" w:h="15840"/>
          <w:pgMar w:top="440" w:right="560" w:bottom="720" w:left="380" w:header="230" w:footer="531" w:gutter="0"/>
          <w:cols w:space="720"/>
        </w:sectPr>
      </w:pPr>
    </w:p>
    <w:p w14:paraId="6BCF30F8" w14:textId="77777777" w:rsidR="00AE2255" w:rsidRDefault="00AE2255">
      <w:pPr>
        <w:pStyle w:val="BodyText"/>
      </w:pPr>
    </w:p>
    <w:p w14:paraId="069678BB" w14:textId="77777777" w:rsidR="00AE2255" w:rsidRDefault="00AE2255">
      <w:pPr>
        <w:pStyle w:val="BodyText"/>
        <w:spacing w:before="5"/>
        <w:rPr>
          <w:sz w:val="23"/>
        </w:rPr>
      </w:pPr>
    </w:p>
    <w:p w14:paraId="55A2614B" w14:textId="77777777" w:rsidR="00AE2255" w:rsidRDefault="00000000">
      <w:pPr>
        <w:pStyle w:val="Heading1"/>
        <w:spacing w:before="92"/>
        <w:ind w:left="517" w:right="337"/>
        <w:jc w:val="center"/>
      </w:pPr>
      <w:bookmarkStart w:id="18" w:name="PART_II"/>
      <w:bookmarkEnd w:id="18"/>
      <w:r>
        <w:t>PART</w:t>
      </w:r>
      <w:r>
        <w:rPr>
          <w:spacing w:val="-4"/>
        </w:rPr>
        <w:t xml:space="preserve"> </w:t>
      </w:r>
      <w:r>
        <w:rPr>
          <w:spacing w:val="-5"/>
        </w:rPr>
        <w:t>II</w:t>
      </w:r>
    </w:p>
    <w:p w14:paraId="517B5F66" w14:textId="77777777" w:rsidR="00AE2255" w:rsidRDefault="00AE2255">
      <w:pPr>
        <w:pStyle w:val="BodyText"/>
        <w:spacing w:before="2"/>
        <w:rPr>
          <w:b/>
          <w:sz w:val="26"/>
        </w:rPr>
      </w:pPr>
    </w:p>
    <w:p w14:paraId="0507AE24" w14:textId="77777777" w:rsidR="00AE2255" w:rsidRDefault="00000000">
      <w:pPr>
        <w:pStyle w:val="Heading2"/>
        <w:tabs>
          <w:tab w:val="left" w:pos="1886"/>
        </w:tabs>
        <w:spacing w:line="247" w:lineRule="auto"/>
        <w:ind w:left="1870" w:right="430" w:hanging="1260"/>
      </w:pPr>
      <w:bookmarkStart w:id="19" w:name="Item_5._Market_for_Registrant’s_Common_E"/>
      <w:bookmarkStart w:id="20" w:name="_bookmark8"/>
      <w:bookmarkEnd w:id="19"/>
      <w:bookmarkEnd w:id="20"/>
      <w:r>
        <w:t>ITEM 5.</w:t>
      </w:r>
      <w:r>
        <w:tab/>
      </w:r>
      <w:r>
        <w:tab/>
        <w:t xml:space="preserve">Market for Registrant’s Common Equity, Related Stockholder Matters and Issuer Purchases of Equity </w:t>
      </w:r>
      <w:r>
        <w:rPr>
          <w:spacing w:val="-2"/>
        </w:rPr>
        <w:t>Securities</w:t>
      </w:r>
    </w:p>
    <w:p w14:paraId="12B045A4" w14:textId="77777777" w:rsidR="00AE2255" w:rsidRDefault="00AE2255">
      <w:pPr>
        <w:pStyle w:val="BodyText"/>
        <w:spacing w:before="11"/>
        <w:rPr>
          <w:b/>
          <w:sz w:val="17"/>
        </w:rPr>
      </w:pPr>
    </w:p>
    <w:p w14:paraId="0F6C5EA7" w14:textId="77777777" w:rsidR="00AE2255" w:rsidRDefault="00000000">
      <w:pPr>
        <w:pStyle w:val="BodyText"/>
        <w:spacing w:line="249" w:lineRule="auto"/>
        <w:ind w:left="610" w:right="157" w:firstLine="360"/>
      </w:pPr>
      <w:proofErr w:type="gramStart"/>
      <w:r>
        <w:t>At</w:t>
      </w:r>
      <w:proofErr w:type="gramEnd"/>
      <w:r>
        <w:t xml:space="preserve"> January 20, 2023, we had 23,358 holders of record of our common stock, par value $1 per share. Our common stock is traded on the New York Stock Exchange (NYSE) under the symbol LMT.</w:t>
      </w:r>
    </w:p>
    <w:p w14:paraId="4B77D760" w14:textId="77777777" w:rsidR="00AE2255" w:rsidRDefault="00AE2255">
      <w:pPr>
        <w:pStyle w:val="BodyText"/>
        <w:spacing w:before="3"/>
        <w:rPr>
          <w:sz w:val="17"/>
        </w:rPr>
      </w:pPr>
    </w:p>
    <w:p w14:paraId="4F8E6C3E" w14:textId="77777777" w:rsidR="00AE2255" w:rsidRDefault="00000000">
      <w:pPr>
        <w:pStyle w:val="Heading2"/>
      </w:pPr>
      <w:r>
        <w:t>Stockholder</w:t>
      </w:r>
      <w:r>
        <w:rPr>
          <w:spacing w:val="-7"/>
        </w:rPr>
        <w:t xml:space="preserve"> </w:t>
      </w:r>
      <w:r>
        <w:t>Return</w:t>
      </w:r>
      <w:r>
        <w:rPr>
          <w:spacing w:val="-7"/>
        </w:rPr>
        <w:t xml:space="preserve"> </w:t>
      </w:r>
      <w:r>
        <w:t>Performance</w:t>
      </w:r>
      <w:r>
        <w:rPr>
          <w:spacing w:val="-6"/>
        </w:rPr>
        <w:t xml:space="preserve"> </w:t>
      </w:r>
      <w:r>
        <w:rPr>
          <w:spacing w:val="-4"/>
        </w:rPr>
        <w:t>Graph</w:t>
      </w:r>
    </w:p>
    <w:p w14:paraId="25DB75B8" w14:textId="77777777" w:rsidR="00AE2255" w:rsidRDefault="00AE2255">
      <w:pPr>
        <w:pStyle w:val="BodyText"/>
        <w:spacing w:before="6"/>
        <w:rPr>
          <w:b/>
          <w:sz w:val="18"/>
        </w:rPr>
      </w:pPr>
    </w:p>
    <w:p w14:paraId="6F3FDC99" w14:textId="77777777" w:rsidR="00AE2255" w:rsidRDefault="00000000">
      <w:pPr>
        <w:pStyle w:val="BodyText"/>
        <w:spacing w:line="249" w:lineRule="auto"/>
        <w:ind w:left="610" w:right="445" w:firstLine="360"/>
      </w:pPr>
      <w:r>
        <w:pict w14:anchorId="28D20047">
          <v:group id="docshapegroup16" o:spid="_x0000_s2228" style="position:absolute;left:0;text-align:left;margin-left:80.75pt;margin-top:56pt;width:475.5pt;height:234pt;z-index:-22649856;mso-position-horizontal-relative:page" coordorigin="1615,1120" coordsize="9510,4680">
            <v:shape id="docshape17" o:spid="_x0000_s2235" style="position:absolute;left:1705;top:1127;width:9375;height:4590" coordorigin="1705,1128" coordsize="9375,4590" o:spt="100" adj="0,,0" path="m1705,5718r9375,m1705,4803r9375,m1705,3888r9375,m1705,2973r9375,m1705,2058r9375,m1705,1128r9375,e" filled="f" strokecolor="#e6e6e6">
              <v:stroke joinstyle="round"/>
              <v:formulas/>
              <v:path arrowok="t" o:connecttype="segments"/>
            </v:shape>
            <v:shape id="docshape18" o:spid="_x0000_s2234" style="position:absolute;left:1615;top:1127;width:9473;height:4673" coordorigin="1615,1128" coordsize="9473,4673" o:spt="100" adj="0,,0" path="m1698,5710r,90m2163,5710r,90m2643,5710r,90m3108,5710r,90m3573,5710r,90m4038,5710r,90m4518,5710r,90m4983,5710r,90m5448,5710r,90m5913,5710r,90m6393,5710r,90m6858,5710r,90m7323,5710r,90m7788,5710r,90m8268,5710r,90m8733,5710r,90m9198,5710r,90m9663,5710r,90m10143,5710r,90m10608,5710r,90m11088,5710r,90m1705,5718r9375,m1705,5718r-90,m1705,4803r-90,m1705,3888r-90,m1705,2973r-90,m1705,2058r-90,m1705,1128r-90,m1698,1135r,4575e" filled="f" strokecolor="#8a8a8a">
              <v:stroke joinstyle="round"/>
              <v:formulas/>
              <v:path arrowok="t" o:connecttype="segments"/>
            </v:shape>
            <v:line id="_x0000_s2233" style="position:absolute" from="1705,5718" to="11080,5718" strokecolor="#585858"/>
            <v:shape id="docshape19" o:spid="_x0000_s2232" style="position:absolute;left:1705;top:2544;width:9375;height:1635" coordorigin="1705,2544" coordsize="9375,1635" path="m1705,3880r156,-193l2018,3690r156,83l2330,3871r156,25l2643,4006r156,-177l2955,3850r156,-148l3268,4004r156,-51l3580,4179r156,-163l3893,3888r156,55l4205,3747r156,-43l4518,3555r156,9l4830,3420r156,-35l5143,3465r156,-100l5455,3375r156,-233l5768,3477r156,187l6080,3361r156,-10l6393,3494r156,-86l6705,3325r156,43l7018,3570r156,-106l7330,3525r156,204l7643,3661r156,-243l7955,3349r156,-26l8268,3347r156,42l8580,3447r156,92l8893,3620r156,-24l9205,3456r156,-214l9518,2941r156,-49l9830,2951r156,-69l10143,2948r156,103l10455,2993r156,219l10768,2562r156,-9l11080,2544e" filled="f" strokecolor="#00497e" strokeweight="3.75pt">
              <v:path arrowok="t"/>
            </v:shape>
            <v:shape id="docshape20" o:spid="_x0000_s2231" style="position:absolute;left:1705;top:2206;width:9375;height:1755" coordorigin="1705,2206" coordsize="9375,1755" path="m1705,3880r156,-105l2018,3847r156,47l2330,3887r156,-44l2643,3832r156,-70l2955,3698r156,-11l3268,3825r156,-38l3580,3960r156,-140l3893,3760r156,-38l4205,3641r156,132l4518,3636r156,-30l4830,3640r156,-39l5143,3555r156,-78l5455,3410r156,1l5768,3600r156,261l6080,3624r156,-100l6393,3481r156,-126l6705,3186r156,96l7018,3346r156,-258l7330,2987r156,28l7643,2940r156,-121l7955,2665r156,-22l8268,2572r156,-75l8580,2400r156,154l8893,2332r156,24l9205,2206r156,181l9518,2487r156,-120l9830,2659r156,-6l10143,2905r156,-258l10455,2772r156,271l10768,2827r156,-162l11080,2841e" filled="f" strokecolor="#ed2624">
              <v:path arrowok="t"/>
            </v:shape>
            <v:shape id="docshape21" o:spid="_x0000_s2230" style="position:absolute;left:1660;top:2155;width:9465;height:1845" coordorigin="1660,2155" coordsize="9465,1845" o:spt="100" adj="0,,0" path="m1750,3925r-45,-90l1660,3925r90,xm1900,3820r-45,-90l1810,3820r90,xm2050,3895r-45,-90l1960,3895r90,xm2215,3940r-45,-90l2125,3940r90,xm2365,3925r-45,-90l2275,3925r90,xm2530,3895r-45,-90l2440,3895r90,xm2680,3880r-45,-90l2590,3880r90,xm2830,3805r-45,-90l2740,3805r90,xm2995,3745r-45,-90l2905,3745r90,xm3145,3730r-45,-90l3055,3730r90,xm3310,3865r-45,-90l3220,3865r90,xm3460,3835r-45,-90l3370,3835r90,xm3625,4000r-45,-90l3535,4000r90,xm3775,3865r-45,-90l3685,3865r90,xm3925,3805r-45,-90l3835,3805r90,xm4090,3760r-45,-90l4000,3760r90,xm4240,3685r-45,-90l4150,3685r90,xm4405,3820r-45,-90l4315,3820r90,xm4555,3685r-45,-90l4465,3685r90,xm4705,3655r-45,-90l4615,3655r90,xm4870,3685r-45,-90l4780,3685r90,xm5020,3640r-45,-90l4930,3640r90,xm5185,3595r-45,-90l5095,3595r90,xm5335,3520r-45,-90l5245,3520r90,xm5500,3460r-45,-90l5410,3460r90,xm5650,3460r-45,-90l5560,3460r90,xm5800,3640r-45,-90l5710,3640r90,xm5965,3910r-45,-90l5875,3910r90,xm6115,3670r-45,-90l6025,3670r90,xm6280,3565r-45,-90l6190,3565r90,xm6430,3520r-45,-90l6340,3520r90,xm6580,3400r-45,-90l6490,3400r90,xm6745,3235r-45,-90l6655,3235r90,xm6895,3325r-45,-90l6805,3325r90,xm7060,3385r-45,-90l6970,3385r90,xm7210,3130r-45,-90l7120,3130r90,xm7375,3025r-45,-90l7285,3025r90,xm7525,3055r-45,-90l7435,3055r90,xm7675,2980r-45,-90l7585,2980r90,xm7840,2860r-45,-90l7750,2860r90,xm7990,2710r-45,-90l7900,2710r90,xm8155,2695r-45,-90l8065,2695r90,xm8305,2620r-45,-90l8215,2620r90,xm8455,2545r-45,-90l8365,2545r90,xm8620,2440r-45,-90l8530,2440r90,xm8770,2605r-45,-90l8680,2605r90,xm8935,2380r-45,-90l8845,2380r90,xm9085,2395r-45,-90l8995,2395r90,xm9250,2245r-45,-90l9160,2245r90,xm9400,2425r-45,-90l9310,2425r90,xm9550,2530r-45,-90l9460,2530r90,xm9715,2410r-45,-90l9625,2410r90,xm9865,2710r-45,-90l9775,2710r90,xm10030,2695r-45,-90l9940,2695r90,xm10180,2950r-45,-90l10090,2950r90,xm10330,2695r-45,-90l10240,2695r90,xm10495,2815r-45,-90l10405,2815r90,xm10645,3085r-45,-90l10555,3085r90,xm10810,2875r-45,-90l10720,2875r90,xm10960,2710r-45,-90l10870,2710r90,xm11125,2890r-45,-90l11035,2890r90,xe" fillcolor="#ed2624" stroked="f">
              <v:stroke joinstyle="round"/>
              <v:formulas/>
              <v:path arrowok="t" o:connecttype="segments"/>
            </v:shape>
            <v:shape id="docshape22" o:spid="_x0000_s2229" style="position:absolute;left:1705;top:3264;width:9375;height:991" coordorigin="1705,3265" coordsize="9375,991" path="m1705,3880r156,-226l2018,3641r156,91l2330,3797r156,-54l2643,3827r156,-125l2955,3739r156,-124l3268,3850r156,-13l3580,4028r156,-232l3893,3617r156,117l4205,3643r156,104l4518,3627r156,-5l4830,3535r156,-56l5143,3542r156,-100l5455,3518r156,-71l5768,3730r156,526l6080,4131r156,-51l6393,4076r156,57l6705,4029r156,81l7018,4221r156,-335l7330,3870r156,146l7643,3896r156,-219l7955,3627r156,-88l8268,3582r156,7l8580,3612r156,24l8893,3643r156,107l9205,3626r156,-31l9518,3346r156,39l9830,3544r156,8l10143,3563r156,-51l10455,3529r156,224l10768,3396r156,-100l11080,3265e" filled="f" strokecolor="#5b9904" strokeweight="2.25pt">
              <v:stroke dashstyle="3 1"/>
              <v:path arrowok="t"/>
            </v:shape>
            <w10:wrap anchorx="page"/>
          </v:group>
        </w:pict>
      </w:r>
      <w:r>
        <w:t>The following graph compares the total return on a cumulative basis through December 31, 2022, assuming reinvestment</w:t>
      </w:r>
      <w:r>
        <w:rPr>
          <w:spacing w:val="40"/>
        </w:rPr>
        <w:t xml:space="preserve"> </w:t>
      </w:r>
      <w:r>
        <w:t>of</w:t>
      </w:r>
      <w:r>
        <w:rPr>
          <w:spacing w:val="-2"/>
        </w:rPr>
        <w:t xml:space="preserve"> </w:t>
      </w:r>
      <w:r>
        <w:t>dividends,</w:t>
      </w:r>
      <w:r>
        <w:rPr>
          <w:spacing w:val="-2"/>
        </w:rPr>
        <w:t xml:space="preserve"> </w:t>
      </w:r>
      <w:r>
        <w:t>of</w:t>
      </w:r>
      <w:r>
        <w:rPr>
          <w:spacing w:val="-2"/>
        </w:rPr>
        <w:t xml:space="preserve"> </w:t>
      </w:r>
      <w:r>
        <w:t>$100</w:t>
      </w:r>
      <w:r>
        <w:rPr>
          <w:spacing w:val="-2"/>
        </w:rPr>
        <w:t xml:space="preserve"> </w:t>
      </w:r>
      <w:r>
        <w:t>invested</w:t>
      </w:r>
      <w:r>
        <w:rPr>
          <w:spacing w:val="-2"/>
        </w:rPr>
        <w:t xml:space="preserve"> </w:t>
      </w:r>
      <w:r>
        <w:t>in</w:t>
      </w:r>
      <w:r>
        <w:rPr>
          <w:spacing w:val="-2"/>
        </w:rPr>
        <w:t xml:space="preserve"> </w:t>
      </w:r>
      <w:r>
        <w:t>Lockheed</w:t>
      </w:r>
      <w:r>
        <w:rPr>
          <w:spacing w:val="-2"/>
        </w:rPr>
        <w:t xml:space="preserve"> </w:t>
      </w:r>
      <w:r>
        <w:t>Martin</w:t>
      </w:r>
      <w:r>
        <w:rPr>
          <w:spacing w:val="-2"/>
        </w:rPr>
        <w:t xml:space="preserve"> </w:t>
      </w:r>
      <w:r>
        <w:t>common</w:t>
      </w:r>
      <w:r>
        <w:rPr>
          <w:spacing w:val="-2"/>
        </w:rPr>
        <w:t xml:space="preserve"> </w:t>
      </w:r>
      <w:r>
        <w:t>stock</w:t>
      </w:r>
      <w:r>
        <w:rPr>
          <w:spacing w:val="-2"/>
        </w:rPr>
        <w:t xml:space="preserve"> </w:t>
      </w:r>
      <w:r>
        <w:t>as</w:t>
      </w:r>
      <w:r>
        <w:rPr>
          <w:spacing w:val="-3"/>
        </w:rPr>
        <w:t xml:space="preserve"> </w:t>
      </w:r>
      <w:r>
        <w:t>of</w:t>
      </w:r>
      <w:r>
        <w:rPr>
          <w:spacing w:val="-2"/>
        </w:rPr>
        <w:t xml:space="preserve"> </w:t>
      </w:r>
      <w:r>
        <w:t>market</w:t>
      </w:r>
      <w:r>
        <w:rPr>
          <w:spacing w:val="-3"/>
        </w:rPr>
        <w:t xml:space="preserve"> </w:t>
      </w:r>
      <w:r>
        <w:t>close</w:t>
      </w:r>
      <w:r>
        <w:rPr>
          <w:spacing w:val="-3"/>
        </w:rPr>
        <w:t xml:space="preserve"> </w:t>
      </w:r>
      <w:r>
        <w:t>on</w:t>
      </w:r>
      <w:r>
        <w:rPr>
          <w:spacing w:val="-2"/>
        </w:rPr>
        <w:t xml:space="preserve"> </w:t>
      </w:r>
      <w:r>
        <w:t>December</w:t>
      </w:r>
      <w:r>
        <w:rPr>
          <w:spacing w:val="-2"/>
        </w:rPr>
        <w:t xml:space="preserve"> </w:t>
      </w:r>
      <w:r>
        <w:t>29,</w:t>
      </w:r>
      <w:r>
        <w:rPr>
          <w:spacing w:val="-2"/>
        </w:rPr>
        <w:t xml:space="preserve"> </w:t>
      </w:r>
      <w:proofErr w:type="gramStart"/>
      <w:r>
        <w:t>2017</w:t>
      </w:r>
      <w:proofErr w:type="gramEnd"/>
      <w:r>
        <w:rPr>
          <w:spacing w:val="-2"/>
        </w:rPr>
        <w:t xml:space="preserve"> </w:t>
      </w:r>
      <w:r>
        <w:t>to</w:t>
      </w:r>
      <w:r>
        <w:rPr>
          <w:spacing w:val="-2"/>
        </w:rPr>
        <w:t xml:space="preserve"> </w:t>
      </w:r>
      <w:r>
        <w:t>the</w:t>
      </w:r>
      <w:r>
        <w:rPr>
          <w:spacing w:val="-3"/>
        </w:rPr>
        <w:t xml:space="preserve"> </w:t>
      </w:r>
      <w:r>
        <w:t>Standard</w:t>
      </w:r>
      <w:r>
        <w:rPr>
          <w:spacing w:val="-2"/>
        </w:rPr>
        <w:t xml:space="preserve"> </w:t>
      </w:r>
      <w:r>
        <w:t>and Poor’s (S&amp;P) 500 Index and the S&amp;P Aerospace &amp; Defense Index.</w:t>
      </w:r>
    </w:p>
    <w:p w14:paraId="7FFEC1BB" w14:textId="77777777" w:rsidR="00AE2255" w:rsidRDefault="00000000">
      <w:pPr>
        <w:pStyle w:val="BodyText"/>
        <w:spacing w:before="2"/>
        <w:rPr>
          <w:sz w:val="21"/>
        </w:rPr>
      </w:pPr>
      <w:r>
        <w:pict w14:anchorId="1B617C23">
          <v:group id="docshapegroup23" o:spid="_x0000_s2223" style="position:absolute;margin-left:50pt;margin-top:13.4pt;width:511.5pt;height:310.5pt;z-index:-15725568;mso-wrap-distance-left:0;mso-wrap-distance-right:0;mso-position-horizontal-relative:page" coordorigin="1000,268" coordsize="10230,6210">
            <v:line id="_x0000_s2227" style="position:absolute" from="1510,6148" to="2110,6148" strokecolor="#00497e" strokeweight="3.75pt"/>
            <v:shape id="docshape24" o:spid="_x0000_s2226" style="position:absolute;left:1810;top:6148;width:2;height:2" coordorigin="1810,6148" coordsize="0,0" path="m1810,6148r,e" fillcolor="#6c0" stroked="f">
              <v:path arrowok="t"/>
            </v:shape>
            <v:shapetype id="_x0000_t202" coordsize="21600,21600" o:spt="202" path="m,l,21600r21600,l21600,xe">
              <v:stroke joinstyle="miter"/>
              <v:path gradientshapeok="t" o:connecttype="rect"/>
            </v:shapetype>
            <v:shape id="docshape25" o:spid="_x0000_s2225" type="#_x0000_t202" style="position:absolute;left:1015;top:283;width:10200;height:6180" filled="f" strokeweight="1.5pt">
              <v:textbox inset="0,0,0,0">
                <w:txbxContent>
                  <w:p w14:paraId="6A108C0E" w14:textId="77777777" w:rsidR="00AE2255" w:rsidRDefault="00000000">
                    <w:pPr>
                      <w:spacing w:before="4"/>
                      <w:ind w:right="9766"/>
                      <w:jc w:val="right"/>
                      <w:rPr>
                        <w:b/>
                        <w:sz w:val="20"/>
                      </w:rPr>
                    </w:pPr>
                    <w:r>
                      <w:rPr>
                        <w:b/>
                        <w:spacing w:val="-5"/>
                        <w:sz w:val="20"/>
                      </w:rPr>
                      <w:t>250</w:t>
                    </w:r>
                  </w:p>
                  <w:p w14:paraId="17D9E88E" w14:textId="77777777" w:rsidR="00AE2255" w:rsidRDefault="00AE2255">
                    <w:pPr>
                      <w:rPr>
                        <w:b/>
                      </w:rPr>
                    </w:pPr>
                  </w:p>
                  <w:p w14:paraId="1DBB3F8B" w14:textId="77777777" w:rsidR="00AE2255" w:rsidRDefault="00AE2255">
                    <w:pPr>
                      <w:rPr>
                        <w:b/>
                      </w:rPr>
                    </w:pPr>
                  </w:p>
                  <w:p w14:paraId="33817490" w14:textId="77777777" w:rsidR="00AE2255" w:rsidRDefault="00000000">
                    <w:pPr>
                      <w:spacing w:before="179"/>
                      <w:ind w:right="9766"/>
                      <w:jc w:val="right"/>
                      <w:rPr>
                        <w:b/>
                        <w:sz w:val="20"/>
                      </w:rPr>
                    </w:pPr>
                    <w:r>
                      <w:rPr>
                        <w:b/>
                        <w:spacing w:val="-5"/>
                        <w:sz w:val="20"/>
                      </w:rPr>
                      <w:t>200</w:t>
                    </w:r>
                  </w:p>
                  <w:p w14:paraId="08619394" w14:textId="77777777" w:rsidR="00AE2255" w:rsidRDefault="00AE2255">
                    <w:pPr>
                      <w:rPr>
                        <w:b/>
                      </w:rPr>
                    </w:pPr>
                  </w:p>
                  <w:p w14:paraId="22675162" w14:textId="77777777" w:rsidR="00AE2255" w:rsidRDefault="00AE2255">
                    <w:pPr>
                      <w:rPr>
                        <w:b/>
                      </w:rPr>
                    </w:pPr>
                  </w:p>
                  <w:p w14:paraId="70A9F46A" w14:textId="77777777" w:rsidR="00AE2255" w:rsidRDefault="00000000">
                    <w:pPr>
                      <w:spacing w:before="179"/>
                      <w:ind w:right="9766"/>
                      <w:jc w:val="right"/>
                      <w:rPr>
                        <w:b/>
                        <w:sz w:val="20"/>
                      </w:rPr>
                    </w:pPr>
                    <w:r>
                      <w:rPr>
                        <w:b/>
                        <w:spacing w:val="-5"/>
                        <w:sz w:val="20"/>
                      </w:rPr>
                      <w:t>150</w:t>
                    </w:r>
                  </w:p>
                  <w:p w14:paraId="43128237" w14:textId="77777777" w:rsidR="00AE2255" w:rsidRDefault="00AE2255">
                    <w:pPr>
                      <w:rPr>
                        <w:b/>
                      </w:rPr>
                    </w:pPr>
                  </w:p>
                  <w:p w14:paraId="381A4DA0" w14:textId="77777777" w:rsidR="00AE2255" w:rsidRDefault="00AE2255">
                    <w:pPr>
                      <w:rPr>
                        <w:b/>
                      </w:rPr>
                    </w:pPr>
                  </w:p>
                  <w:p w14:paraId="6420BE34" w14:textId="77777777" w:rsidR="00AE2255" w:rsidRDefault="00000000">
                    <w:pPr>
                      <w:spacing w:before="179"/>
                      <w:ind w:right="9766"/>
                      <w:jc w:val="right"/>
                      <w:rPr>
                        <w:b/>
                        <w:sz w:val="20"/>
                      </w:rPr>
                    </w:pPr>
                    <w:r>
                      <w:rPr>
                        <w:b/>
                        <w:spacing w:val="-5"/>
                        <w:sz w:val="20"/>
                      </w:rPr>
                      <w:t>100</w:t>
                    </w:r>
                  </w:p>
                  <w:p w14:paraId="572DAAE1" w14:textId="77777777" w:rsidR="00AE2255" w:rsidRDefault="00AE2255">
                    <w:pPr>
                      <w:rPr>
                        <w:b/>
                      </w:rPr>
                    </w:pPr>
                  </w:p>
                  <w:p w14:paraId="0E01595A" w14:textId="77777777" w:rsidR="00AE2255" w:rsidRDefault="00AE2255">
                    <w:pPr>
                      <w:rPr>
                        <w:b/>
                      </w:rPr>
                    </w:pPr>
                  </w:p>
                  <w:p w14:paraId="64CD7C7A" w14:textId="77777777" w:rsidR="00AE2255" w:rsidRDefault="00000000">
                    <w:pPr>
                      <w:spacing w:before="179"/>
                      <w:ind w:right="9755"/>
                      <w:jc w:val="right"/>
                      <w:rPr>
                        <w:b/>
                        <w:sz w:val="20"/>
                      </w:rPr>
                    </w:pPr>
                    <w:r>
                      <w:rPr>
                        <w:b/>
                        <w:spacing w:val="-5"/>
                        <w:sz w:val="20"/>
                      </w:rPr>
                      <w:t>50</w:t>
                    </w:r>
                  </w:p>
                  <w:p w14:paraId="3A2D49A9" w14:textId="77777777" w:rsidR="00AE2255" w:rsidRDefault="00AE2255">
                    <w:pPr>
                      <w:rPr>
                        <w:b/>
                      </w:rPr>
                    </w:pPr>
                  </w:p>
                  <w:p w14:paraId="766F9D1A" w14:textId="77777777" w:rsidR="00AE2255" w:rsidRDefault="00AE2255">
                    <w:pPr>
                      <w:rPr>
                        <w:b/>
                      </w:rPr>
                    </w:pPr>
                  </w:p>
                  <w:p w14:paraId="32EADDF1" w14:textId="77777777" w:rsidR="00AE2255" w:rsidRDefault="00000000">
                    <w:pPr>
                      <w:spacing w:before="179"/>
                      <w:ind w:right="9744"/>
                      <w:jc w:val="right"/>
                      <w:rPr>
                        <w:b/>
                        <w:sz w:val="20"/>
                      </w:rPr>
                    </w:pPr>
                    <w:r>
                      <w:rPr>
                        <w:b/>
                        <w:sz w:val="20"/>
                      </w:rPr>
                      <w:t>0</w:t>
                    </w:r>
                  </w:p>
                </w:txbxContent>
              </v:textbox>
            </v:shape>
            <v:shape id="docshape26" o:spid="_x0000_s2224" type="#_x0000_t202" style="position:absolute;left:1390;top:5923;width:9450;height:405" filled="f" strokeweight="1.5pt">
              <v:textbox inset="0,0,0,0">
                <w:txbxContent>
                  <w:p w14:paraId="7EFE3D97" w14:textId="77777777" w:rsidR="00AE2255" w:rsidRDefault="00000000">
                    <w:pPr>
                      <w:tabs>
                        <w:tab w:val="left" w:pos="4409"/>
                        <w:tab w:val="left" w:pos="6614"/>
                      </w:tabs>
                      <w:spacing w:before="72"/>
                      <w:ind w:left="765"/>
                      <w:rPr>
                        <w:sz w:val="20"/>
                      </w:rPr>
                    </w:pPr>
                    <w:r>
                      <w:rPr>
                        <w:sz w:val="20"/>
                      </w:rPr>
                      <w:t>Lockheed</w:t>
                    </w:r>
                    <w:r>
                      <w:rPr>
                        <w:spacing w:val="-1"/>
                        <w:sz w:val="20"/>
                      </w:rPr>
                      <w:t xml:space="preserve"> </w:t>
                    </w:r>
                    <w:r>
                      <w:rPr>
                        <w:sz w:val="20"/>
                      </w:rPr>
                      <w:t xml:space="preserve">Martin Common </w:t>
                    </w:r>
                    <w:r>
                      <w:rPr>
                        <w:spacing w:val="-2"/>
                        <w:sz w:val="20"/>
                      </w:rPr>
                      <w:t>Stock</w:t>
                    </w:r>
                    <w:r>
                      <w:rPr>
                        <w:sz w:val="20"/>
                      </w:rPr>
                      <w:tab/>
                      <w:t>S&amp;P</w:t>
                    </w:r>
                    <w:r>
                      <w:rPr>
                        <w:spacing w:val="-4"/>
                        <w:sz w:val="20"/>
                      </w:rPr>
                      <w:t xml:space="preserve"> </w:t>
                    </w:r>
                    <w:r>
                      <w:rPr>
                        <w:sz w:val="20"/>
                      </w:rPr>
                      <w:t xml:space="preserve">500 </w:t>
                    </w:r>
                    <w:r>
                      <w:rPr>
                        <w:spacing w:val="-2"/>
                        <w:sz w:val="20"/>
                      </w:rPr>
                      <w:t>Index</w:t>
                    </w:r>
                    <w:r>
                      <w:rPr>
                        <w:sz w:val="20"/>
                      </w:rPr>
                      <w:tab/>
                      <w:t>S&amp;P</w:t>
                    </w:r>
                    <w:r>
                      <w:rPr>
                        <w:spacing w:val="-5"/>
                        <w:sz w:val="20"/>
                      </w:rPr>
                      <w:t xml:space="preserve"> </w:t>
                    </w:r>
                    <w:r>
                      <w:rPr>
                        <w:sz w:val="20"/>
                      </w:rPr>
                      <w:t>Aerospace</w:t>
                    </w:r>
                    <w:r>
                      <w:rPr>
                        <w:spacing w:val="-1"/>
                        <w:sz w:val="20"/>
                      </w:rPr>
                      <w:t xml:space="preserve"> </w:t>
                    </w:r>
                    <w:r>
                      <w:rPr>
                        <w:sz w:val="20"/>
                      </w:rPr>
                      <w:t>&amp;</w:t>
                    </w:r>
                    <w:r>
                      <w:rPr>
                        <w:spacing w:val="-1"/>
                        <w:sz w:val="20"/>
                      </w:rPr>
                      <w:t xml:space="preserve"> </w:t>
                    </w:r>
                    <w:r>
                      <w:rPr>
                        <w:sz w:val="20"/>
                      </w:rPr>
                      <w:t>Defense</w:t>
                    </w:r>
                    <w:r>
                      <w:rPr>
                        <w:spacing w:val="-1"/>
                        <w:sz w:val="20"/>
                      </w:rPr>
                      <w:t xml:space="preserve"> </w:t>
                    </w:r>
                    <w:r>
                      <w:rPr>
                        <w:spacing w:val="-2"/>
                        <w:sz w:val="20"/>
                      </w:rPr>
                      <w:t>Index</w:t>
                    </w:r>
                  </w:p>
                </w:txbxContent>
              </v:textbox>
            </v:shape>
            <w10:wrap type="topAndBottom" anchorx="page"/>
          </v:group>
        </w:pict>
      </w:r>
    </w:p>
    <w:p w14:paraId="6B5B0F5A" w14:textId="77777777" w:rsidR="00AE2255" w:rsidRDefault="00AE2255">
      <w:pPr>
        <w:pStyle w:val="BodyText"/>
        <w:spacing w:before="4"/>
        <w:rPr>
          <w:sz w:val="6"/>
        </w:rPr>
      </w:pPr>
    </w:p>
    <w:p w14:paraId="1F68E99B" w14:textId="77777777" w:rsidR="00AE2255" w:rsidRDefault="00000000">
      <w:pPr>
        <w:pStyle w:val="BodyText"/>
        <w:spacing w:before="92" w:line="249" w:lineRule="auto"/>
        <w:ind w:left="610" w:right="428" w:firstLine="360"/>
        <w:jc w:val="both"/>
      </w:pPr>
      <w:r>
        <w:pict w14:anchorId="05E4041D">
          <v:group id="docshapegroup27" o:spid="_x0000_s2218" style="position:absolute;left:0;text-align:left;margin-left:257.75pt;margin-top:-22.4pt;width:140.25pt;height:4.5pt;z-index:-22649344;mso-position-horizontal-relative:page" coordorigin="5155,-448" coordsize="2805,90">
            <v:line id="_x0000_s2222" style="position:absolute" from="5155,-403" to="5755,-403" strokecolor="#ed2624"/>
            <v:shape id="docshape28" o:spid="_x0000_s2221" style="position:absolute;left:5410;top:-448;width:90;height:90" coordorigin="5410,-448" coordsize="90,90" path="m5455,-448r-45,90l5500,-358r-45,-90xe" fillcolor="#ed2624" stroked="f">
              <v:path arrowok="t"/>
            </v:shape>
            <v:line id="_x0000_s2220" style="position:absolute" from="7360,-403" to="7960,-403" strokecolor="#5b9904" strokeweight="2.25pt">
              <v:stroke dashstyle="3 1"/>
            </v:line>
            <v:shape id="docshape29" o:spid="_x0000_s2219" style="position:absolute;left:7660;top:-403;width:2;height:2" coordorigin="7660,-403" coordsize="0,0" path="m7660,-403r,e" fillcolor="#faac17" stroked="f">
              <v:path arrowok="t"/>
            </v:shape>
            <w10:wrap anchorx="page"/>
          </v:group>
        </w:pict>
      </w:r>
      <w:r>
        <w:pict w14:anchorId="177E85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17" type="#_x0000_t136" style="position:absolute;left:0;text-align:left;margin-left:58.5pt;margin-top:-58.9pt;width:29.55pt;height:10.05pt;rotation:310;z-index:-22648832;mso-position-horizontal-relative:page" fillcolor="black" stroked="f">
            <o:extrusion v:ext="view" autorotationcenter="t"/>
            <v:textpath style="font-family:&quot;Times New Roman&quot;;font-size:10pt;font-weight:bold;v-text-kern:t;mso-text-shadow:auto" string="Dec-17"/>
            <w10:wrap anchorx="page"/>
          </v:shape>
        </w:pict>
      </w:r>
      <w:r>
        <w:pict w14:anchorId="6BCAFBB5">
          <v:shape id="_x0000_s2216" type="#_x0000_t136" style="position:absolute;left:0;text-align:left;margin-left:81.7pt;margin-top:-60.25pt;width:32.35pt;height:10.05pt;rotation:310;z-index:-22648320;mso-position-horizontal-relative:page" fillcolor="black" stroked="f">
            <o:extrusion v:ext="view" autorotationcenter="t"/>
            <v:textpath style="font-family:&quot;Times New Roman&quot;;font-size:10pt;font-weight:bold;v-text-kern:t;mso-text-shadow:auto" string="Mar-18"/>
            <w10:wrap anchorx="page"/>
          </v:shape>
        </w:pict>
      </w:r>
      <w:r>
        <w:pict w14:anchorId="65273A93">
          <v:shape id="_x0000_s2215" type="#_x0000_t136" style="position:absolute;left:0;text-align:left;margin-left:106.2pt;margin-top:-59.9pt;width:29.55pt;height:10.05pt;rotation:310;z-index:-22647808;mso-position-horizontal-relative:page" fillcolor="black" stroked="f">
            <o:extrusion v:ext="view" autorotationcenter="t"/>
            <v:textpath style="font-family:&quot;Times New Roman&quot;;font-size:10pt;font-weight:bold;v-text-kern:t;mso-text-shadow:auto" string="Jun-18"/>
            <w10:wrap anchorx="page"/>
          </v:shape>
        </w:pict>
      </w:r>
      <w:r>
        <w:pict w14:anchorId="2CFF01EE">
          <v:shape id="_x0000_s2214" type="#_x0000_t136" style="position:absolute;left:0;text-align:left;margin-left:129.05pt;margin-top:-58.85pt;width:29pt;height:10.05pt;rotation:310;z-index:-22647296;mso-position-horizontal-relative:page" fillcolor="black" stroked="f">
            <o:extrusion v:ext="view" autorotationcenter="t"/>
            <v:textpath style="font-family:&quot;Times New Roman&quot;;font-size:10pt;font-weight:bold;v-text-kern:t;mso-text-shadow:auto" string="Sep-18"/>
            <w10:wrap anchorx="page"/>
          </v:shape>
        </w:pict>
      </w:r>
      <w:r>
        <w:pict w14:anchorId="4DF9C9D9">
          <v:shape id="_x0000_s2213" type="#_x0000_t136" style="position:absolute;left:0;text-align:left;margin-left:152.25pt;margin-top:-58.9pt;width:29.55pt;height:10.05pt;rotation:310;z-index:-22646784;mso-position-horizontal-relative:page" fillcolor="black" stroked="f">
            <o:extrusion v:ext="view" autorotationcenter="t"/>
            <v:textpath style="font-family:&quot;Times New Roman&quot;;font-size:10pt;font-weight:bold;v-text-kern:t;mso-text-shadow:auto" string="Dec-18"/>
            <w10:wrap anchorx="page"/>
          </v:shape>
        </w:pict>
      </w:r>
      <w:r>
        <w:pict w14:anchorId="02C16121">
          <v:shape id="_x0000_s2212" type="#_x0000_t136" style="position:absolute;left:0;text-align:left;margin-left:175.45pt;margin-top:-60.25pt;width:32.35pt;height:10.05pt;rotation:310;z-index:-22646272;mso-position-horizontal-relative:page" fillcolor="black" stroked="f">
            <o:extrusion v:ext="view" autorotationcenter="t"/>
            <v:textpath style="font-family:&quot;Times New Roman&quot;;font-size:10pt;font-weight:bold;v-text-kern:t;mso-text-shadow:auto" string="Mar-19"/>
            <w10:wrap anchorx="page"/>
          </v:shape>
        </w:pict>
      </w:r>
      <w:r>
        <w:pict w14:anchorId="4FB7D38D">
          <v:shape id="_x0000_s2211" type="#_x0000_t136" style="position:absolute;left:0;text-align:left;margin-left:199.95pt;margin-top:-59.9pt;width:29.55pt;height:10.05pt;rotation:310;z-index:-22645760;mso-position-horizontal-relative:page" fillcolor="black" stroked="f">
            <o:extrusion v:ext="view" autorotationcenter="t"/>
            <v:textpath style="font-family:&quot;Times New Roman&quot;;font-size:10pt;font-weight:bold;v-text-kern:t;mso-text-shadow:auto" string="Jun-19"/>
            <w10:wrap anchorx="page"/>
          </v:shape>
        </w:pict>
      </w:r>
      <w:r>
        <w:pict w14:anchorId="5A3BBAA4">
          <v:shape id="_x0000_s2210" type="#_x0000_t136" style="position:absolute;left:0;text-align:left;margin-left:222.8pt;margin-top:-58.85pt;width:29pt;height:10.05pt;rotation:310;z-index:-22645248;mso-position-horizontal-relative:page" fillcolor="black" stroked="f">
            <o:extrusion v:ext="view" autorotationcenter="t"/>
            <v:textpath style="font-family:&quot;Times New Roman&quot;;font-size:10pt;font-weight:bold;v-text-kern:t;mso-text-shadow:auto" string="Sep-19"/>
            <w10:wrap anchorx="page"/>
          </v:shape>
        </w:pict>
      </w:r>
      <w:r>
        <w:pict w14:anchorId="4073FE12">
          <v:shape id="_x0000_s2209" type="#_x0000_t136" style="position:absolute;left:0;text-align:left;margin-left:246pt;margin-top:-58.9pt;width:29.55pt;height:10.05pt;rotation:310;z-index:-22644736;mso-position-horizontal-relative:page" fillcolor="black" stroked="f">
            <o:extrusion v:ext="view" autorotationcenter="t"/>
            <v:textpath style="font-family:&quot;Times New Roman&quot;;font-size:10pt;font-weight:bold;v-text-kern:t;mso-text-shadow:auto" string="Dec-19"/>
            <w10:wrap anchorx="page"/>
          </v:shape>
        </w:pict>
      </w:r>
      <w:r>
        <w:pict w14:anchorId="3CE6BFDF">
          <v:shape id="_x0000_s2208" type="#_x0000_t136" style="position:absolute;left:0;text-align:left;margin-left:269.2pt;margin-top:-60.25pt;width:32.35pt;height:10.05pt;rotation:310;z-index:-22644224;mso-position-horizontal-relative:page" fillcolor="black" stroked="f">
            <o:extrusion v:ext="view" autorotationcenter="t"/>
            <v:textpath style="font-family:&quot;Times New Roman&quot;;font-size:10pt;font-weight:bold;v-text-kern:t;mso-text-shadow:auto" string="Mar-20"/>
            <w10:wrap anchorx="page"/>
          </v:shape>
        </w:pict>
      </w:r>
      <w:r>
        <w:pict w14:anchorId="7B5BA4DA">
          <v:shape id="_x0000_s2207" type="#_x0000_t136" style="position:absolute;left:0;text-align:left;margin-left:293.7pt;margin-top:-59.9pt;width:29.55pt;height:10.05pt;rotation:310;z-index:-22643712;mso-position-horizontal-relative:page" fillcolor="black" stroked="f">
            <o:extrusion v:ext="view" autorotationcenter="t"/>
            <v:textpath style="font-family:&quot;Times New Roman&quot;;font-size:10pt;font-weight:bold;v-text-kern:t;mso-text-shadow:auto" string="Jun-20"/>
            <w10:wrap anchorx="page"/>
          </v:shape>
        </w:pict>
      </w:r>
      <w:r>
        <w:pict w14:anchorId="05D02D0B">
          <v:shape id="_x0000_s2206" type="#_x0000_t136" style="position:absolute;left:0;text-align:left;margin-left:316.55pt;margin-top:-58.85pt;width:29pt;height:10.05pt;rotation:310;z-index:-22643200;mso-position-horizontal-relative:page" fillcolor="black" stroked="f">
            <o:extrusion v:ext="view" autorotationcenter="t"/>
            <v:textpath style="font-family:&quot;Times New Roman&quot;;font-size:10pt;font-weight:bold;v-text-kern:t;mso-text-shadow:auto" string="Sep-20"/>
            <w10:wrap anchorx="page"/>
          </v:shape>
        </w:pict>
      </w:r>
      <w:r>
        <w:pict w14:anchorId="1E5CBD90">
          <v:shape id="_x0000_s2205" type="#_x0000_t136" style="position:absolute;left:0;text-align:left;margin-left:339.75pt;margin-top:-58.9pt;width:29.55pt;height:10.05pt;rotation:310;z-index:-22642688;mso-position-horizontal-relative:page" fillcolor="black" stroked="f">
            <o:extrusion v:ext="view" autorotationcenter="t"/>
            <v:textpath style="font-family:&quot;Times New Roman&quot;;font-size:10pt;font-weight:bold;v-text-kern:t;mso-text-shadow:auto" string="Dec-20"/>
            <w10:wrap anchorx="page"/>
          </v:shape>
        </w:pict>
      </w:r>
      <w:r>
        <w:pict w14:anchorId="66E10A7D">
          <v:shape id="_x0000_s2204" type="#_x0000_t136" style="position:absolute;left:0;text-align:left;margin-left:362.95pt;margin-top:-60.25pt;width:32.35pt;height:10.05pt;rotation:310;z-index:-22642176;mso-position-horizontal-relative:page" fillcolor="black" stroked="f">
            <o:extrusion v:ext="view" autorotationcenter="t"/>
            <v:textpath style="font-family:&quot;Times New Roman&quot;;font-size:10pt;font-weight:bold;v-text-kern:t;mso-text-shadow:auto" string="Mar-21"/>
            <w10:wrap anchorx="page"/>
          </v:shape>
        </w:pict>
      </w:r>
      <w:r>
        <w:pict w14:anchorId="625C3AB2">
          <v:shape id="_x0000_s2203" type="#_x0000_t136" style="position:absolute;left:0;text-align:left;margin-left:387.45pt;margin-top:-59.9pt;width:29.55pt;height:10.05pt;rotation:310;z-index:-22641664;mso-position-horizontal-relative:page" fillcolor="black" stroked="f">
            <o:extrusion v:ext="view" autorotationcenter="t"/>
            <v:textpath style="font-family:&quot;Times New Roman&quot;;font-size:10pt;font-weight:bold;v-text-kern:t;mso-text-shadow:auto" string="Jun-21"/>
            <w10:wrap anchorx="page"/>
          </v:shape>
        </w:pict>
      </w:r>
      <w:r>
        <w:pict w14:anchorId="07449DFA">
          <v:shape id="_x0000_s2202" type="#_x0000_t136" style="position:absolute;left:0;text-align:left;margin-left:410.3pt;margin-top:-58.85pt;width:29pt;height:10.05pt;rotation:310;z-index:-22641152;mso-position-horizontal-relative:page" fillcolor="black" stroked="f">
            <o:extrusion v:ext="view" autorotationcenter="t"/>
            <v:textpath style="font-family:&quot;Times New Roman&quot;;font-size:10pt;font-weight:bold;v-text-kern:t;mso-text-shadow:auto" string="Sep-21"/>
            <w10:wrap anchorx="page"/>
          </v:shape>
        </w:pict>
      </w:r>
      <w:r>
        <w:pict w14:anchorId="6E6D3518">
          <v:shape id="_x0000_s2201" type="#_x0000_t136" style="position:absolute;left:0;text-align:left;margin-left:433.5pt;margin-top:-58.9pt;width:29.55pt;height:10.05pt;rotation:310;z-index:-22640640;mso-position-horizontal-relative:page" fillcolor="black" stroked="f">
            <o:extrusion v:ext="view" autorotationcenter="t"/>
            <v:textpath style="font-family:&quot;Times New Roman&quot;;font-size:10pt;font-weight:bold;v-text-kern:t;mso-text-shadow:auto" string="Dec-21"/>
            <w10:wrap anchorx="page"/>
          </v:shape>
        </w:pict>
      </w:r>
      <w:r>
        <w:pict w14:anchorId="6E9AB92D">
          <v:shape id="_x0000_s2200" type="#_x0000_t136" style="position:absolute;left:0;text-align:left;margin-left:456.7pt;margin-top:-60.25pt;width:32.35pt;height:10.05pt;rotation:310;z-index:-22640128;mso-position-horizontal-relative:page" fillcolor="black" stroked="f">
            <o:extrusion v:ext="view" autorotationcenter="t"/>
            <v:textpath style="font-family:&quot;Times New Roman&quot;;font-size:10pt;font-weight:bold;v-text-kern:t;mso-text-shadow:auto" string="Mar-22"/>
            <w10:wrap anchorx="page"/>
          </v:shape>
        </w:pict>
      </w:r>
      <w:r>
        <w:pict w14:anchorId="40BEDD12">
          <v:shape id="_x0000_s2199" type="#_x0000_t136" style="position:absolute;left:0;text-align:left;margin-left:481.2pt;margin-top:-59.9pt;width:29.55pt;height:10.05pt;rotation:310;z-index:-22639616;mso-position-horizontal-relative:page" fillcolor="black" stroked="f">
            <o:extrusion v:ext="view" autorotationcenter="t"/>
            <v:textpath style="font-family:&quot;Times New Roman&quot;;font-size:10pt;font-weight:bold;v-text-kern:t;mso-text-shadow:auto" string="Jun-22"/>
            <w10:wrap anchorx="page"/>
          </v:shape>
        </w:pict>
      </w:r>
      <w:r>
        <w:pict w14:anchorId="7533E0C4">
          <v:shape id="_x0000_s2198" type="#_x0000_t136" style="position:absolute;left:0;text-align:left;margin-left:504.05pt;margin-top:-58.85pt;width:29pt;height:10.05pt;rotation:310;z-index:-22639104;mso-position-horizontal-relative:page" fillcolor="black" stroked="f">
            <o:extrusion v:ext="view" autorotationcenter="t"/>
            <v:textpath style="font-family:&quot;Times New Roman&quot;;font-size:10pt;font-weight:bold;v-text-kern:t;mso-text-shadow:auto" string="Sep-22"/>
            <w10:wrap anchorx="page"/>
          </v:shape>
        </w:pict>
      </w:r>
      <w:r>
        <w:pict w14:anchorId="6242A840">
          <v:shape id="_x0000_s2197" type="#_x0000_t136" style="position:absolute;left:0;text-align:left;margin-left:527.25pt;margin-top:-58.9pt;width:29.55pt;height:10.05pt;rotation:310;z-index:-22638592;mso-position-horizontal-relative:page" fillcolor="black" stroked="f">
            <o:extrusion v:ext="view" autorotationcenter="t"/>
            <v:textpath style="font-family:&quot;Times New Roman&quot;;font-size:10pt;font-weight:bold;v-text-kern:t;mso-text-shadow:auto" string="Dec-22"/>
            <w10:wrap anchorx="page"/>
          </v:shape>
        </w:pict>
      </w:r>
      <w:r>
        <w:t xml:space="preserve">The S&amp;P Aerospace &amp; Defense Index comprises The Boeing Company, General Dynamics Corporation, Howmet Aerospace Inc., Huntington Ingalls Industries, L3Harris Technologies, Inc., Lockheed Martin Corporation, Northrop Grumman Corporation, Raytheon Technologies Corporation, Textron </w:t>
      </w:r>
      <w:proofErr w:type="gramStart"/>
      <w:r>
        <w:t>Inc.</w:t>
      </w:r>
      <w:proofErr w:type="gramEnd"/>
      <w:r>
        <w:t xml:space="preserve"> and </w:t>
      </w:r>
      <w:proofErr w:type="spellStart"/>
      <w:r>
        <w:t>Transdigm</w:t>
      </w:r>
      <w:proofErr w:type="spellEnd"/>
      <w:r>
        <w:t xml:space="preserve"> Group Inc. The stockholder return performance indicated on the graph is not a guarantee of future performance.</w:t>
      </w:r>
    </w:p>
    <w:p w14:paraId="16D6A72B" w14:textId="77777777" w:rsidR="00AE2255" w:rsidRDefault="00AE2255">
      <w:pPr>
        <w:pStyle w:val="BodyText"/>
        <w:spacing w:before="7"/>
        <w:rPr>
          <w:sz w:val="17"/>
        </w:rPr>
      </w:pPr>
    </w:p>
    <w:p w14:paraId="43D7D784" w14:textId="77777777" w:rsidR="00AE2255" w:rsidRDefault="00000000">
      <w:pPr>
        <w:pStyle w:val="BodyText"/>
        <w:spacing w:line="249" w:lineRule="auto"/>
        <w:ind w:left="610" w:right="430" w:firstLine="360"/>
        <w:jc w:val="both"/>
      </w:pPr>
      <w:r>
        <w:t>This graph is not deemed to be “filed” with the U.S. Securities and Exchange Commission or subject to the liabilities of Section 18 of the Securities Exchange Act of 1934 (the Exchange Act</w:t>
      </w:r>
      <w:proofErr w:type="gramStart"/>
      <w:r>
        <w:t>), and</w:t>
      </w:r>
      <w:proofErr w:type="gramEnd"/>
      <w:r>
        <w:t xml:space="preserve"> should not be deemed to be incorporated by reference into any of our prior or subsequent filings under the Securities Act of 1933 or the Exchange Act.</w:t>
      </w:r>
    </w:p>
    <w:p w14:paraId="4A73B3F3" w14:textId="77777777" w:rsidR="00AE2255" w:rsidRDefault="00AE2255">
      <w:pPr>
        <w:spacing w:line="249" w:lineRule="auto"/>
        <w:jc w:val="both"/>
        <w:sectPr w:rsidR="00AE2255">
          <w:pgSz w:w="12240" w:h="15840"/>
          <w:pgMar w:top="440" w:right="560" w:bottom="720" w:left="380" w:header="230" w:footer="531" w:gutter="0"/>
          <w:cols w:space="720"/>
        </w:sectPr>
      </w:pPr>
    </w:p>
    <w:p w14:paraId="53CB58AD" w14:textId="77777777" w:rsidR="00AE2255" w:rsidRDefault="00AE2255">
      <w:pPr>
        <w:pStyle w:val="BodyText"/>
        <w:spacing w:before="7"/>
        <w:rPr>
          <w:sz w:val="22"/>
        </w:rPr>
      </w:pPr>
    </w:p>
    <w:p w14:paraId="3B15D82A" w14:textId="77777777" w:rsidR="00AE2255" w:rsidRDefault="00000000">
      <w:pPr>
        <w:pStyle w:val="Heading2"/>
        <w:spacing w:before="92"/>
      </w:pPr>
      <w:r>
        <w:t>Purchases</w:t>
      </w:r>
      <w:r>
        <w:rPr>
          <w:spacing w:val="-5"/>
        </w:rPr>
        <w:t xml:space="preserve"> </w:t>
      </w:r>
      <w:r>
        <w:t>of</w:t>
      </w:r>
      <w:r>
        <w:rPr>
          <w:spacing w:val="-4"/>
        </w:rPr>
        <w:t xml:space="preserve"> </w:t>
      </w:r>
      <w:r>
        <w:t>Equity</w:t>
      </w:r>
      <w:r>
        <w:rPr>
          <w:spacing w:val="-3"/>
        </w:rPr>
        <w:t xml:space="preserve"> </w:t>
      </w:r>
      <w:r>
        <w:rPr>
          <w:spacing w:val="-2"/>
        </w:rPr>
        <w:t>Securities</w:t>
      </w:r>
    </w:p>
    <w:p w14:paraId="50128BA3" w14:textId="77777777" w:rsidR="00AE2255" w:rsidRDefault="00AE2255">
      <w:pPr>
        <w:pStyle w:val="BodyText"/>
        <w:spacing w:before="6"/>
        <w:rPr>
          <w:b/>
          <w:sz w:val="18"/>
        </w:rPr>
      </w:pPr>
    </w:p>
    <w:p w14:paraId="7283D7E2" w14:textId="77777777" w:rsidR="00AE2255" w:rsidRDefault="00000000">
      <w:pPr>
        <w:pStyle w:val="BodyText"/>
        <w:ind w:left="970"/>
      </w:pPr>
      <w:r>
        <w:t>There</w:t>
      </w:r>
      <w:r>
        <w:rPr>
          <w:spacing w:val="-6"/>
        </w:rPr>
        <w:t xml:space="preserve"> </w:t>
      </w:r>
      <w:r>
        <w:t>were</w:t>
      </w:r>
      <w:r>
        <w:rPr>
          <w:spacing w:val="-4"/>
        </w:rPr>
        <w:t xml:space="preserve"> </w:t>
      </w:r>
      <w:r>
        <w:t>no</w:t>
      </w:r>
      <w:r>
        <w:rPr>
          <w:spacing w:val="-2"/>
        </w:rPr>
        <w:t xml:space="preserve"> </w:t>
      </w:r>
      <w:r>
        <w:t>sales</w:t>
      </w:r>
      <w:r>
        <w:rPr>
          <w:spacing w:val="-4"/>
        </w:rPr>
        <w:t xml:space="preserve"> </w:t>
      </w:r>
      <w:r>
        <w:t>of</w:t>
      </w:r>
      <w:r>
        <w:rPr>
          <w:spacing w:val="-3"/>
        </w:rPr>
        <w:t xml:space="preserve"> </w:t>
      </w:r>
      <w:r>
        <w:t>unregistered</w:t>
      </w:r>
      <w:r>
        <w:rPr>
          <w:spacing w:val="-2"/>
        </w:rPr>
        <w:t xml:space="preserve"> </w:t>
      </w:r>
      <w:r>
        <w:t>equity</w:t>
      </w:r>
      <w:r>
        <w:rPr>
          <w:spacing w:val="-3"/>
        </w:rPr>
        <w:t xml:space="preserve"> </w:t>
      </w:r>
      <w:r>
        <w:t>securities</w:t>
      </w:r>
      <w:r>
        <w:rPr>
          <w:spacing w:val="-4"/>
        </w:rPr>
        <w:t xml:space="preserve"> </w:t>
      </w:r>
      <w:r>
        <w:t>during</w:t>
      </w:r>
      <w:r>
        <w:rPr>
          <w:spacing w:val="-2"/>
        </w:rPr>
        <w:t xml:space="preserve"> </w:t>
      </w:r>
      <w:r>
        <w:t>the</w:t>
      </w:r>
      <w:r>
        <w:rPr>
          <w:spacing w:val="-4"/>
        </w:rPr>
        <w:t xml:space="preserve"> </w:t>
      </w:r>
      <w:r>
        <w:t>quarter</w:t>
      </w:r>
      <w:r>
        <w:rPr>
          <w:spacing w:val="-3"/>
        </w:rPr>
        <w:t xml:space="preserve"> </w:t>
      </w:r>
      <w:r>
        <w:t>ended</w:t>
      </w:r>
      <w:r>
        <w:rPr>
          <w:spacing w:val="-2"/>
        </w:rPr>
        <w:t xml:space="preserve"> </w:t>
      </w:r>
      <w:r>
        <w:t>December</w:t>
      </w:r>
      <w:r>
        <w:rPr>
          <w:spacing w:val="-3"/>
        </w:rPr>
        <w:t xml:space="preserve"> </w:t>
      </w:r>
      <w:r>
        <w:t>31,</w:t>
      </w:r>
      <w:r>
        <w:rPr>
          <w:spacing w:val="-2"/>
        </w:rPr>
        <w:t xml:space="preserve"> 2022.</w:t>
      </w:r>
    </w:p>
    <w:p w14:paraId="46FDF9FA" w14:textId="77777777" w:rsidR="00AE2255" w:rsidRDefault="00AE2255">
      <w:pPr>
        <w:pStyle w:val="BodyText"/>
        <w:spacing w:before="3"/>
        <w:rPr>
          <w:sz w:val="18"/>
        </w:rPr>
      </w:pPr>
    </w:p>
    <w:p w14:paraId="186BD5D9" w14:textId="77777777" w:rsidR="00AE2255" w:rsidRDefault="00000000">
      <w:pPr>
        <w:pStyle w:val="BodyText"/>
        <w:spacing w:line="249" w:lineRule="auto"/>
        <w:ind w:left="610" w:right="430" w:firstLine="360"/>
      </w:pPr>
      <w:r>
        <w:t>The</w:t>
      </w:r>
      <w:r>
        <w:rPr>
          <w:spacing w:val="-4"/>
        </w:rPr>
        <w:t xml:space="preserve"> </w:t>
      </w:r>
      <w:r>
        <w:t>following</w:t>
      </w:r>
      <w:r>
        <w:rPr>
          <w:spacing w:val="-3"/>
        </w:rPr>
        <w:t xml:space="preserve"> </w:t>
      </w:r>
      <w:r>
        <w:t>table</w:t>
      </w:r>
      <w:r>
        <w:rPr>
          <w:spacing w:val="-4"/>
        </w:rPr>
        <w:t xml:space="preserve"> </w:t>
      </w:r>
      <w:r>
        <w:t>provides</w:t>
      </w:r>
      <w:r>
        <w:rPr>
          <w:spacing w:val="-4"/>
        </w:rPr>
        <w:t xml:space="preserve"> </w:t>
      </w:r>
      <w:r>
        <w:t>information</w:t>
      </w:r>
      <w:r>
        <w:rPr>
          <w:spacing w:val="-3"/>
        </w:rPr>
        <w:t xml:space="preserve"> </w:t>
      </w:r>
      <w:r>
        <w:t>about</w:t>
      </w:r>
      <w:r>
        <w:rPr>
          <w:spacing w:val="-4"/>
        </w:rPr>
        <w:t xml:space="preserve"> </w:t>
      </w:r>
      <w:r>
        <w:t>our</w:t>
      </w:r>
      <w:r>
        <w:rPr>
          <w:spacing w:val="-3"/>
        </w:rPr>
        <w:t xml:space="preserve"> </w:t>
      </w:r>
      <w:r>
        <w:t>repurchases</w:t>
      </w:r>
      <w:r>
        <w:rPr>
          <w:spacing w:val="-4"/>
        </w:rPr>
        <w:t xml:space="preserve"> </w:t>
      </w:r>
      <w:r>
        <w:t>of</w:t>
      </w:r>
      <w:r>
        <w:rPr>
          <w:spacing w:val="-3"/>
        </w:rPr>
        <w:t xml:space="preserve"> </w:t>
      </w:r>
      <w:r>
        <w:t>our</w:t>
      </w:r>
      <w:r>
        <w:rPr>
          <w:spacing w:val="-3"/>
        </w:rPr>
        <w:t xml:space="preserve"> </w:t>
      </w:r>
      <w:r>
        <w:t>common</w:t>
      </w:r>
      <w:r>
        <w:rPr>
          <w:spacing w:val="-3"/>
        </w:rPr>
        <w:t xml:space="preserve"> </w:t>
      </w:r>
      <w:r>
        <w:t>stock</w:t>
      </w:r>
      <w:r>
        <w:rPr>
          <w:spacing w:val="-3"/>
        </w:rPr>
        <w:t xml:space="preserve"> </w:t>
      </w:r>
      <w:r>
        <w:t>that</w:t>
      </w:r>
      <w:r>
        <w:rPr>
          <w:spacing w:val="-4"/>
        </w:rPr>
        <w:t xml:space="preserve"> </w:t>
      </w:r>
      <w:r>
        <w:t>is</w:t>
      </w:r>
      <w:r>
        <w:rPr>
          <w:spacing w:val="-4"/>
        </w:rPr>
        <w:t xml:space="preserve"> </w:t>
      </w:r>
      <w:r>
        <w:t>registered</w:t>
      </w:r>
      <w:r>
        <w:rPr>
          <w:spacing w:val="-3"/>
        </w:rPr>
        <w:t xml:space="preserve"> </w:t>
      </w:r>
      <w:r>
        <w:t>pursuant</w:t>
      </w:r>
      <w:r>
        <w:rPr>
          <w:spacing w:val="-4"/>
        </w:rPr>
        <w:t xml:space="preserve"> </w:t>
      </w:r>
      <w:r>
        <w:t>to</w:t>
      </w:r>
      <w:r>
        <w:rPr>
          <w:spacing w:val="-3"/>
        </w:rPr>
        <w:t xml:space="preserve"> </w:t>
      </w:r>
      <w:r>
        <w:t>Section 12 of the Securities Exchange Act of 1934 during the quarter ended December 31, 2022.</w:t>
      </w:r>
    </w:p>
    <w:p w14:paraId="7BF79A21" w14:textId="77777777" w:rsidR="00AE2255" w:rsidRDefault="00AE2255">
      <w:pPr>
        <w:pStyle w:val="BodyText"/>
      </w:pPr>
    </w:p>
    <w:p w14:paraId="64E0DBF2" w14:textId="77777777" w:rsidR="00AE2255" w:rsidRDefault="00AE2255">
      <w:pPr>
        <w:sectPr w:rsidR="00AE2255">
          <w:pgSz w:w="12240" w:h="15840"/>
          <w:pgMar w:top="440" w:right="560" w:bottom="720" w:left="380" w:header="230" w:footer="531" w:gutter="0"/>
          <w:cols w:space="720"/>
        </w:sectPr>
      </w:pPr>
    </w:p>
    <w:p w14:paraId="2162CBC7" w14:textId="77777777" w:rsidR="00AE2255" w:rsidRDefault="00AE2255">
      <w:pPr>
        <w:pStyle w:val="BodyText"/>
        <w:rPr>
          <w:sz w:val="22"/>
        </w:rPr>
      </w:pPr>
    </w:p>
    <w:p w14:paraId="6630443E" w14:textId="77777777" w:rsidR="00AE2255" w:rsidRDefault="00AE2255">
      <w:pPr>
        <w:pStyle w:val="BodyText"/>
        <w:rPr>
          <w:sz w:val="22"/>
        </w:rPr>
      </w:pPr>
    </w:p>
    <w:p w14:paraId="64B6EC24" w14:textId="77777777" w:rsidR="00AE2255" w:rsidRDefault="00AE2255">
      <w:pPr>
        <w:pStyle w:val="BodyText"/>
        <w:rPr>
          <w:sz w:val="22"/>
        </w:rPr>
      </w:pPr>
    </w:p>
    <w:p w14:paraId="588E1750" w14:textId="77777777" w:rsidR="00AE2255" w:rsidRDefault="00AE2255">
      <w:pPr>
        <w:pStyle w:val="BodyText"/>
        <w:spacing w:before="3"/>
        <w:rPr>
          <w:sz w:val="22"/>
        </w:rPr>
      </w:pPr>
    </w:p>
    <w:p w14:paraId="5E214A07" w14:textId="77777777" w:rsidR="00AE2255" w:rsidRDefault="00000000">
      <w:pPr>
        <w:ind w:left="762"/>
        <w:rPr>
          <w:sz w:val="20"/>
        </w:rPr>
      </w:pPr>
      <w:r>
        <w:rPr>
          <w:b/>
          <w:sz w:val="20"/>
        </w:rPr>
        <w:t>Period</w:t>
      </w:r>
      <w:r>
        <w:rPr>
          <w:b/>
          <w:spacing w:val="-5"/>
          <w:sz w:val="20"/>
        </w:rPr>
        <w:t xml:space="preserve"> </w:t>
      </w:r>
      <w:r>
        <w:rPr>
          <w:spacing w:val="-5"/>
          <w:sz w:val="20"/>
          <w:vertAlign w:val="superscript"/>
        </w:rPr>
        <w:t>(a)</w:t>
      </w:r>
    </w:p>
    <w:p w14:paraId="3E21D2F3" w14:textId="77777777" w:rsidR="00AE2255" w:rsidRDefault="00000000">
      <w:r>
        <w:br w:type="column"/>
      </w:r>
    </w:p>
    <w:p w14:paraId="32A6770A" w14:textId="77777777" w:rsidR="00AE2255" w:rsidRDefault="00000000">
      <w:pPr>
        <w:pStyle w:val="Heading2"/>
        <w:spacing w:before="186" w:line="208" w:lineRule="auto"/>
        <w:ind w:left="762"/>
        <w:jc w:val="center"/>
      </w:pPr>
      <w:r>
        <w:rPr>
          <w:spacing w:val="-2"/>
        </w:rPr>
        <w:t xml:space="preserve">Total </w:t>
      </w:r>
      <w:r>
        <w:t>Number</w:t>
      </w:r>
      <w:r>
        <w:rPr>
          <w:spacing w:val="-13"/>
        </w:rPr>
        <w:t xml:space="preserve"> </w:t>
      </w:r>
      <w:r>
        <w:t xml:space="preserve">of </w:t>
      </w:r>
      <w:r>
        <w:rPr>
          <w:spacing w:val="-2"/>
        </w:rPr>
        <w:t>Shares Purchased</w:t>
      </w:r>
    </w:p>
    <w:p w14:paraId="37318E67" w14:textId="77777777" w:rsidR="00AE2255" w:rsidRDefault="00000000">
      <w:pPr>
        <w:rPr>
          <w:b/>
        </w:rPr>
      </w:pPr>
      <w:r>
        <w:br w:type="column"/>
      </w:r>
    </w:p>
    <w:p w14:paraId="0330E21C" w14:textId="77777777" w:rsidR="00AE2255" w:rsidRDefault="00AE2255">
      <w:pPr>
        <w:pStyle w:val="BodyText"/>
        <w:rPr>
          <w:b/>
          <w:sz w:val="22"/>
        </w:rPr>
      </w:pPr>
    </w:p>
    <w:p w14:paraId="055EF3BD" w14:textId="77777777" w:rsidR="00AE2255" w:rsidRDefault="00000000">
      <w:pPr>
        <w:pStyle w:val="Heading2"/>
        <w:spacing w:before="133" w:line="208" w:lineRule="auto"/>
        <w:ind w:left="225" w:right="-7" w:firstLine="85"/>
      </w:pPr>
      <w:r>
        <w:rPr>
          <w:spacing w:val="-2"/>
        </w:rPr>
        <w:t xml:space="preserve">Average </w:t>
      </w:r>
      <w:r>
        <w:t>Price</w:t>
      </w:r>
      <w:r>
        <w:rPr>
          <w:spacing w:val="-13"/>
        </w:rPr>
        <w:t xml:space="preserve"> </w:t>
      </w:r>
      <w:r>
        <w:t>Paid Per</w:t>
      </w:r>
      <w:r>
        <w:rPr>
          <w:spacing w:val="-3"/>
        </w:rPr>
        <w:t xml:space="preserve"> </w:t>
      </w:r>
      <w:r>
        <w:rPr>
          <w:spacing w:val="-2"/>
        </w:rPr>
        <w:t>Share</w:t>
      </w:r>
    </w:p>
    <w:p w14:paraId="26B9498B" w14:textId="77777777" w:rsidR="00AE2255" w:rsidRDefault="00000000">
      <w:pPr>
        <w:spacing w:before="9"/>
        <w:rPr>
          <w:b/>
          <w:sz w:val="20"/>
        </w:rPr>
      </w:pPr>
      <w:r>
        <w:br w:type="column"/>
      </w:r>
    </w:p>
    <w:p w14:paraId="2D472697" w14:textId="77777777" w:rsidR="00AE2255" w:rsidRDefault="00000000">
      <w:pPr>
        <w:pStyle w:val="Heading2"/>
        <w:spacing w:line="208" w:lineRule="auto"/>
        <w:ind w:left="188"/>
        <w:jc w:val="center"/>
      </w:pPr>
      <w:r>
        <w:t>Total Number of Shares Purchased as</w:t>
      </w:r>
      <w:r>
        <w:rPr>
          <w:spacing w:val="-13"/>
        </w:rPr>
        <w:t xml:space="preserve"> </w:t>
      </w:r>
      <w:r>
        <w:t>Part</w:t>
      </w:r>
      <w:r>
        <w:rPr>
          <w:spacing w:val="-12"/>
        </w:rPr>
        <w:t xml:space="preserve"> </w:t>
      </w:r>
      <w:r>
        <w:t>of</w:t>
      </w:r>
      <w:r>
        <w:rPr>
          <w:spacing w:val="-13"/>
        </w:rPr>
        <w:t xml:space="preserve"> </w:t>
      </w:r>
      <w:r>
        <w:t>Publicly Announced Plans or Programs</w:t>
      </w:r>
    </w:p>
    <w:p w14:paraId="1DA035ED" w14:textId="77777777" w:rsidR="00AE2255" w:rsidRDefault="00000000">
      <w:pPr>
        <w:spacing w:before="9"/>
        <w:rPr>
          <w:b/>
          <w:sz w:val="20"/>
        </w:rPr>
      </w:pPr>
      <w:r>
        <w:br w:type="column"/>
      </w:r>
    </w:p>
    <w:p w14:paraId="264196BC" w14:textId="77777777" w:rsidR="00AE2255" w:rsidRDefault="00000000">
      <w:pPr>
        <w:pStyle w:val="Heading2"/>
        <w:spacing w:line="208" w:lineRule="auto"/>
        <w:ind w:left="230" w:right="591"/>
        <w:jc w:val="center"/>
        <w:rPr>
          <w:b w:val="0"/>
        </w:rPr>
      </w:pPr>
      <w:r>
        <w:t>Approximate Dollar Value of Shares That May</w:t>
      </w:r>
      <w:r>
        <w:rPr>
          <w:spacing w:val="-13"/>
        </w:rPr>
        <w:t xml:space="preserve"> </w:t>
      </w:r>
      <w:r>
        <w:t>Yet</w:t>
      </w:r>
      <w:r>
        <w:rPr>
          <w:spacing w:val="-12"/>
        </w:rPr>
        <w:t xml:space="preserve"> </w:t>
      </w:r>
      <w:r>
        <w:t>be</w:t>
      </w:r>
      <w:r>
        <w:rPr>
          <w:spacing w:val="-13"/>
        </w:rPr>
        <w:t xml:space="preserve"> </w:t>
      </w:r>
      <w:r>
        <w:t xml:space="preserve">Purchased Under the Plans or Programs </w:t>
      </w:r>
      <w:r>
        <w:rPr>
          <w:b w:val="0"/>
          <w:vertAlign w:val="superscript"/>
        </w:rPr>
        <w:t>(b)</w:t>
      </w:r>
    </w:p>
    <w:p w14:paraId="3D406D05" w14:textId="77777777" w:rsidR="00AE2255" w:rsidRDefault="00AE2255">
      <w:pPr>
        <w:spacing w:line="208" w:lineRule="auto"/>
        <w:jc w:val="center"/>
        <w:sectPr w:rsidR="00AE2255">
          <w:type w:val="continuous"/>
          <w:pgSz w:w="12240" w:h="15840"/>
          <w:pgMar w:top="440" w:right="560" w:bottom="280" w:left="380" w:header="230" w:footer="531" w:gutter="0"/>
          <w:cols w:num="5" w:space="720" w:equalWidth="0">
            <w:col w:w="1549" w:space="2312"/>
            <w:col w:w="1690" w:space="40"/>
            <w:col w:w="1108" w:space="40"/>
            <w:col w:w="1760" w:space="39"/>
            <w:col w:w="2762"/>
          </w:cols>
        </w:sectPr>
      </w:pPr>
    </w:p>
    <w:p w14:paraId="6BA33C48" w14:textId="77777777" w:rsidR="00AE2255" w:rsidRDefault="00AE2255">
      <w:pPr>
        <w:pStyle w:val="BodyText"/>
        <w:spacing w:before="7"/>
        <w:rPr>
          <w:sz w:val="2"/>
        </w:rPr>
      </w:pPr>
    </w:p>
    <w:tbl>
      <w:tblPr>
        <w:tblW w:w="0" w:type="auto"/>
        <w:tblInd w:w="617" w:type="dxa"/>
        <w:tblLayout w:type="fixed"/>
        <w:tblCellMar>
          <w:left w:w="0" w:type="dxa"/>
          <w:right w:w="0" w:type="dxa"/>
        </w:tblCellMar>
        <w:tblLook w:val="01E0" w:firstRow="1" w:lastRow="1" w:firstColumn="1" w:lastColumn="1" w:noHBand="0" w:noVBand="0"/>
      </w:tblPr>
      <w:tblGrid>
        <w:gridCol w:w="3809"/>
        <w:gridCol w:w="1269"/>
        <w:gridCol w:w="330"/>
        <w:gridCol w:w="1175"/>
        <w:gridCol w:w="1404"/>
        <w:gridCol w:w="450"/>
        <w:gridCol w:w="1137"/>
        <w:gridCol w:w="637"/>
      </w:tblGrid>
      <w:tr w:rsidR="00AE2255" w14:paraId="250B148B" w14:textId="77777777">
        <w:trPr>
          <w:trHeight w:val="275"/>
        </w:trPr>
        <w:tc>
          <w:tcPr>
            <w:tcW w:w="8437" w:type="dxa"/>
            <w:gridSpan w:val="6"/>
            <w:tcBorders>
              <w:top w:val="single" w:sz="8" w:space="0" w:color="CCEDFF"/>
            </w:tcBorders>
            <w:shd w:val="clear" w:color="auto" w:fill="CCEDFF"/>
          </w:tcPr>
          <w:p w14:paraId="704C880B" w14:textId="77777777" w:rsidR="00AE2255" w:rsidRDefault="00AE2255">
            <w:pPr>
              <w:pStyle w:val="TableParagraph"/>
              <w:spacing w:before="0"/>
              <w:jc w:val="left"/>
              <w:rPr>
                <w:sz w:val="18"/>
              </w:rPr>
            </w:pPr>
          </w:p>
        </w:tc>
        <w:tc>
          <w:tcPr>
            <w:tcW w:w="1137" w:type="dxa"/>
            <w:tcBorders>
              <w:top w:val="single" w:sz="8" w:space="0" w:color="CCEDFF"/>
            </w:tcBorders>
            <w:shd w:val="clear" w:color="auto" w:fill="CCEDFF"/>
          </w:tcPr>
          <w:p w14:paraId="430C11CC" w14:textId="77777777" w:rsidR="00AE2255" w:rsidRDefault="00000000">
            <w:pPr>
              <w:pStyle w:val="TableParagraph"/>
              <w:spacing w:before="38"/>
              <w:ind w:left="248"/>
              <w:jc w:val="left"/>
              <w:rPr>
                <w:i/>
                <w:sz w:val="18"/>
              </w:rPr>
            </w:pPr>
            <w:r>
              <w:rPr>
                <w:i/>
                <w:sz w:val="18"/>
              </w:rPr>
              <w:t>(</w:t>
            </w:r>
            <w:proofErr w:type="gramStart"/>
            <w:r>
              <w:rPr>
                <w:i/>
                <w:sz w:val="18"/>
              </w:rPr>
              <w:t>in</w:t>
            </w:r>
            <w:proofErr w:type="gramEnd"/>
            <w:r>
              <w:rPr>
                <w:i/>
                <w:sz w:val="18"/>
              </w:rPr>
              <w:t xml:space="preserve"> </w:t>
            </w:r>
            <w:r>
              <w:rPr>
                <w:i/>
                <w:spacing w:val="-2"/>
                <w:sz w:val="18"/>
              </w:rPr>
              <w:t>millions)</w:t>
            </w:r>
          </w:p>
        </w:tc>
        <w:tc>
          <w:tcPr>
            <w:tcW w:w="637" w:type="dxa"/>
            <w:tcBorders>
              <w:top w:val="single" w:sz="8" w:space="0" w:color="CCEDFF"/>
            </w:tcBorders>
            <w:shd w:val="clear" w:color="auto" w:fill="CCEDFF"/>
          </w:tcPr>
          <w:p w14:paraId="41138611" w14:textId="77777777" w:rsidR="00AE2255" w:rsidRDefault="00AE2255">
            <w:pPr>
              <w:pStyle w:val="TableParagraph"/>
              <w:spacing w:before="0"/>
              <w:jc w:val="left"/>
              <w:rPr>
                <w:sz w:val="18"/>
              </w:rPr>
            </w:pPr>
          </w:p>
        </w:tc>
      </w:tr>
      <w:tr w:rsidR="00AE2255" w14:paraId="356CA3EE" w14:textId="77777777">
        <w:trPr>
          <w:trHeight w:val="300"/>
        </w:trPr>
        <w:tc>
          <w:tcPr>
            <w:tcW w:w="3809" w:type="dxa"/>
          </w:tcPr>
          <w:p w14:paraId="351FCE38" w14:textId="77777777" w:rsidR="00AE2255" w:rsidRDefault="00000000">
            <w:pPr>
              <w:pStyle w:val="TableParagraph"/>
              <w:spacing w:before="27"/>
              <w:ind w:left="52"/>
              <w:jc w:val="left"/>
              <w:rPr>
                <w:sz w:val="20"/>
              </w:rPr>
            </w:pPr>
            <w:r>
              <w:rPr>
                <w:sz w:val="20"/>
              </w:rPr>
              <w:t>September</w:t>
            </w:r>
            <w:r>
              <w:rPr>
                <w:spacing w:val="-2"/>
                <w:sz w:val="20"/>
              </w:rPr>
              <w:t xml:space="preserve"> </w:t>
            </w:r>
            <w:r>
              <w:rPr>
                <w:sz w:val="20"/>
              </w:rPr>
              <w:t>26,</w:t>
            </w:r>
            <w:r>
              <w:rPr>
                <w:spacing w:val="-1"/>
                <w:sz w:val="20"/>
              </w:rPr>
              <w:t xml:space="preserve"> </w:t>
            </w:r>
            <w:r>
              <w:rPr>
                <w:sz w:val="20"/>
              </w:rPr>
              <w:t>2022</w:t>
            </w:r>
            <w:r>
              <w:rPr>
                <w:spacing w:val="-2"/>
                <w:sz w:val="20"/>
              </w:rPr>
              <w:t xml:space="preserve"> </w:t>
            </w:r>
            <w:r>
              <w:rPr>
                <w:sz w:val="20"/>
              </w:rPr>
              <w:t>–</w:t>
            </w:r>
            <w:r>
              <w:rPr>
                <w:spacing w:val="-1"/>
                <w:sz w:val="20"/>
              </w:rPr>
              <w:t xml:space="preserve"> </w:t>
            </w:r>
            <w:r>
              <w:rPr>
                <w:sz w:val="20"/>
              </w:rPr>
              <w:t>October</w:t>
            </w:r>
            <w:r>
              <w:rPr>
                <w:spacing w:val="-2"/>
                <w:sz w:val="20"/>
              </w:rPr>
              <w:t xml:space="preserve"> </w:t>
            </w:r>
            <w:r>
              <w:rPr>
                <w:sz w:val="20"/>
              </w:rPr>
              <w:t>30,</w:t>
            </w:r>
            <w:r>
              <w:rPr>
                <w:spacing w:val="-1"/>
                <w:sz w:val="20"/>
              </w:rPr>
              <w:t xml:space="preserve"> </w:t>
            </w:r>
            <w:r>
              <w:rPr>
                <w:sz w:val="20"/>
              </w:rPr>
              <w:t>2022</w:t>
            </w:r>
            <w:r>
              <w:rPr>
                <w:spacing w:val="-1"/>
                <w:sz w:val="20"/>
              </w:rPr>
              <w:t xml:space="preserve"> </w:t>
            </w:r>
            <w:r>
              <w:rPr>
                <w:spacing w:val="-5"/>
                <w:sz w:val="20"/>
                <w:vertAlign w:val="superscript"/>
              </w:rPr>
              <w:t>(c)</w:t>
            </w:r>
          </w:p>
        </w:tc>
        <w:tc>
          <w:tcPr>
            <w:tcW w:w="1269" w:type="dxa"/>
          </w:tcPr>
          <w:p w14:paraId="20371D40" w14:textId="77777777" w:rsidR="00AE2255" w:rsidRDefault="00000000">
            <w:pPr>
              <w:pStyle w:val="TableParagraph"/>
              <w:spacing w:before="40"/>
              <w:ind w:right="102"/>
              <w:rPr>
                <w:sz w:val="20"/>
              </w:rPr>
            </w:pPr>
            <w:r>
              <w:rPr>
                <w:spacing w:val="-2"/>
                <w:sz w:val="20"/>
              </w:rPr>
              <w:t>7,225,959</w:t>
            </w:r>
          </w:p>
        </w:tc>
        <w:tc>
          <w:tcPr>
            <w:tcW w:w="1505" w:type="dxa"/>
            <w:gridSpan w:val="2"/>
          </w:tcPr>
          <w:p w14:paraId="7D69F118" w14:textId="77777777" w:rsidR="00AE2255" w:rsidRDefault="00000000">
            <w:pPr>
              <w:pStyle w:val="TableParagraph"/>
              <w:tabs>
                <w:tab w:val="left" w:pos="455"/>
              </w:tabs>
              <w:spacing w:before="40"/>
              <w:ind w:left="104"/>
              <w:jc w:val="left"/>
              <w:rPr>
                <w:sz w:val="20"/>
              </w:rPr>
            </w:pPr>
            <w:r>
              <w:rPr>
                <w:spacing w:val="-10"/>
                <w:sz w:val="20"/>
              </w:rPr>
              <w:t>$</w:t>
            </w:r>
            <w:r>
              <w:rPr>
                <w:sz w:val="20"/>
              </w:rPr>
              <w:tab/>
            </w:r>
            <w:r>
              <w:rPr>
                <w:spacing w:val="-2"/>
                <w:sz w:val="20"/>
              </w:rPr>
              <w:t>408.50</w:t>
            </w:r>
          </w:p>
        </w:tc>
        <w:tc>
          <w:tcPr>
            <w:tcW w:w="1404" w:type="dxa"/>
          </w:tcPr>
          <w:p w14:paraId="6453258B" w14:textId="77777777" w:rsidR="00AE2255" w:rsidRDefault="00000000">
            <w:pPr>
              <w:pStyle w:val="TableParagraph"/>
              <w:spacing w:before="40"/>
              <w:ind w:right="101"/>
              <w:rPr>
                <w:sz w:val="20"/>
              </w:rPr>
            </w:pPr>
            <w:r>
              <w:rPr>
                <w:spacing w:val="-2"/>
                <w:sz w:val="20"/>
              </w:rPr>
              <w:t>7,224,954</w:t>
            </w:r>
          </w:p>
        </w:tc>
        <w:tc>
          <w:tcPr>
            <w:tcW w:w="450" w:type="dxa"/>
          </w:tcPr>
          <w:p w14:paraId="64D44133" w14:textId="77777777" w:rsidR="00AE2255" w:rsidRDefault="00000000">
            <w:pPr>
              <w:pStyle w:val="TableParagraph"/>
              <w:spacing w:before="40"/>
              <w:ind w:left="105"/>
              <w:jc w:val="left"/>
              <w:rPr>
                <w:sz w:val="20"/>
              </w:rPr>
            </w:pPr>
            <w:r>
              <w:rPr>
                <w:sz w:val="20"/>
              </w:rPr>
              <w:t>$</w:t>
            </w:r>
          </w:p>
        </w:tc>
        <w:tc>
          <w:tcPr>
            <w:tcW w:w="1137" w:type="dxa"/>
          </w:tcPr>
          <w:p w14:paraId="3DD63D76" w14:textId="77777777" w:rsidR="00AE2255" w:rsidRDefault="00AE2255">
            <w:pPr>
              <w:pStyle w:val="TableParagraph"/>
              <w:spacing w:before="0"/>
              <w:jc w:val="left"/>
              <w:rPr>
                <w:sz w:val="18"/>
              </w:rPr>
            </w:pPr>
          </w:p>
        </w:tc>
        <w:tc>
          <w:tcPr>
            <w:tcW w:w="637" w:type="dxa"/>
          </w:tcPr>
          <w:p w14:paraId="5F009BFA" w14:textId="77777777" w:rsidR="00AE2255" w:rsidRDefault="00000000">
            <w:pPr>
              <w:pStyle w:val="TableParagraph"/>
              <w:spacing w:before="40"/>
              <w:ind w:left="9"/>
              <w:jc w:val="left"/>
              <w:rPr>
                <w:sz w:val="20"/>
              </w:rPr>
            </w:pPr>
            <w:r>
              <w:rPr>
                <w:spacing w:val="-2"/>
                <w:sz w:val="20"/>
              </w:rPr>
              <w:t>10,023</w:t>
            </w:r>
          </w:p>
        </w:tc>
      </w:tr>
      <w:tr w:rsidR="00AE2255" w14:paraId="1D6F17C3" w14:textId="77777777">
        <w:trPr>
          <w:trHeight w:val="300"/>
        </w:trPr>
        <w:tc>
          <w:tcPr>
            <w:tcW w:w="3809" w:type="dxa"/>
            <w:shd w:val="clear" w:color="auto" w:fill="CCEDFF"/>
          </w:tcPr>
          <w:p w14:paraId="23D9C0B2" w14:textId="77777777" w:rsidR="00AE2255" w:rsidRDefault="00000000">
            <w:pPr>
              <w:pStyle w:val="TableParagraph"/>
              <w:spacing w:before="27"/>
              <w:ind w:left="52"/>
              <w:jc w:val="left"/>
              <w:rPr>
                <w:sz w:val="20"/>
              </w:rPr>
            </w:pPr>
            <w:r>
              <w:rPr>
                <w:sz w:val="20"/>
              </w:rPr>
              <w:t>October</w:t>
            </w:r>
            <w:r>
              <w:rPr>
                <w:spacing w:val="-2"/>
                <w:sz w:val="20"/>
              </w:rPr>
              <w:t xml:space="preserve"> </w:t>
            </w:r>
            <w:r>
              <w:rPr>
                <w:sz w:val="20"/>
              </w:rPr>
              <w:t>31,</w:t>
            </w:r>
            <w:r>
              <w:rPr>
                <w:spacing w:val="-1"/>
                <w:sz w:val="20"/>
              </w:rPr>
              <w:t xml:space="preserve"> </w:t>
            </w:r>
            <w:r>
              <w:rPr>
                <w:sz w:val="20"/>
              </w:rPr>
              <w:t>2022</w:t>
            </w:r>
            <w:r>
              <w:rPr>
                <w:spacing w:val="-1"/>
                <w:sz w:val="20"/>
              </w:rPr>
              <w:t xml:space="preserve"> </w:t>
            </w:r>
            <w:r>
              <w:rPr>
                <w:sz w:val="20"/>
              </w:rPr>
              <w:t>–</w:t>
            </w:r>
            <w:r>
              <w:rPr>
                <w:spacing w:val="-2"/>
                <w:sz w:val="20"/>
              </w:rPr>
              <w:t xml:space="preserve"> </w:t>
            </w:r>
            <w:r>
              <w:rPr>
                <w:sz w:val="20"/>
              </w:rPr>
              <w:t>November</w:t>
            </w:r>
            <w:r>
              <w:rPr>
                <w:spacing w:val="-1"/>
                <w:sz w:val="20"/>
              </w:rPr>
              <w:t xml:space="preserve"> </w:t>
            </w:r>
            <w:r>
              <w:rPr>
                <w:sz w:val="20"/>
              </w:rPr>
              <w:t>27,</w:t>
            </w:r>
            <w:r>
              <w:rPr>
                <w:spacing w:val="-1"/>
                <w:sz w:val="20"/>
              </w:rPr>
              <w:t xml:space="preserve"> </w:t>
            </w:r>
            <w:r>
              <w:rPr>
                <w:spacing w:val="-4"/>
                <w:sz w:val="20"/>
              </w:rPr>
              <w:t>2022</w:t>
            </w:r>
          </w:p>
        </w:tc>
        <w:tc>
          <w:tcPr>
            <w:tcW w:w="1269" w:type="dxa"/>
            <w:shd w:val="clear" w:color="auto" w:fill="CCEDFF"/>
          </w:tcPr>
          <w:p w14:paraId="73C24155" w14:textId="77777777" w:rsidR="00AE2255" w:rsidRDefault="00000000">
            <w:pPr>
              <w:pStyle w:val="TableParagraph"/>
              <w:spacing w:before="40"/>
              <w:ind w:right="102"/>
              <w:rPr>
                <w:sz w:val="20"/>
              </w:rPr>
            </w:pPr>
            <w:r>
              <w:rPr>
                <w:spacing w:val="-5"/>
                <w:sz w:val="20"/>
              </w:rPr>
              <w:t>961</w:t>
            </w:r>
          </w:p>
        </w:tc>
        <w:tc>
          <w:tcPr>
            <w:tcW w:w="1505" w:type="dxa"/>
            <w:gridSpan w:val="2"/>
            <w:shd w:val="clear" w:color="auto" w:fill="CCEDFF"/>
          </w:tcPr>
          <w:p w14:paraId="7E513D75" w14:textId="77777777" w:rsidR="00AE2255" w:rsidRDefault="00000000">
            <w:pPr>
              <w:pStyle w:val="TableParagraph"/>
              <w:tabs>
                <w:tab w:val="left" w:pos="455"/>
              </w:tabs>
              <w:spacing w:before="40"/>
              <w:ind w:left="104"/>
              <w:jc w:val="left"/>
              <w:rPr>
                <w:sz w:val="20"/>
              </w:rPr>
            </w:pPr>
            <w:r>
              <w:rPr>
                <w:spacing w:val="-10"/>
                <w:sz w:val="20"/>
              </w:rPr>
              <w:t>$</w:t>
            </w:r>
            <w:r>
              <w:rPr>
                <w:sz w:val="20"/>
              </w:rPr>
              <w:tab/>
            </w:r>
            <w:r>
              <w:rPr>
                <w:spacing w:val="-2"/>
                <w:sz w:val="20"/>
              </w:rPr>
              <w:t>474.20</w:t>
            </w:r>
          </w:p>
        </w:tc>
        <w:tc>
          <w:tcPr>
            <w:tcW w:w="1404" w:type="dxa"/>
            <w:shd w:val="clear" w:color="auto" w:fill="CCEDFF"/>
          </w:tcPr>
          <w:p w14:paraId="0DAF9AC8" w14:textId="77777777" w:rsidR="00AE2255" w:rsidRDefault="00000000">
            <w:pPr>
              <w:pStyle w:val="TableParagraph"/>
              <w:spacing w:before="40"/>
              <w:ind w:right="101"/>
              <w:rPr>
                <w:sz w:val="20"/>
              </w:rPr>
            </w:pPr>
            <w:r>
              <w:rPr>
                <w:sz w:val="20"/>
              </w:rPr>
              <w:t>—</w:t>
            </w:r>
          </w:p>
        </w:tc>
        <w:tc>
          <w:tcPr>
            <w:tcW w:w="450" w:type="dxa"/>
            <w:shd w:val="clear" w:color="auto" w:fill="CCEDFF"/>
          </w:tcPr>
          <w:p w14:paraId="24D1A614" w14:textId="77777777" w:rsidR="00AE2255" w:rsidRDefault="00000000">
            <w:pPr>
              <w:pStyle w:val="TableParagraph"/>
              <w:spacing w:before="40"/>
              <w:ind w:left="105"/>
              <w:jc w:val="left"/>
              <w:rPr>
                <w:sz w:val="20"/>
              </w:rPr>
            </w:pPr>
            <w:r>
              <w:rPr>
                <w:sz w:val="20"/>
              </w:rPr>
              <w:t>$</w:t>
            </w:r>
          </w:p>
        </w:tc>
        <w:tc>
          <w:tcPr>
            <w:tcW w:w="1137" w:type="dxa"/>
            <w:shd w:val="clear" w:color="auto" w:fill="CCEDFF"/>
          </w:tcPr>
          <w:p w14:paraId="19DD0251" w14:textId="77777777" w:rsidR="00AE2255" w:rsidRDefault="00AE2255">
            <w:pPr>
              <w:pStyle w:val="TableParagraph"/>
              <w:spacing w:before="0"/>
              <w:jc w:val="left"/>
              <w:rPr>
                <w:sz w:val="18"/>
              </w:rPr>
            </w:pPr>
          </w:p>
        </w:tc>
        <w:tc>
          <w:tcPr>
            <w:tcW w:w="637" w:type="dxa"/>
            <w:shd w:val="clear" w:color="auto" w:fill="CCEDFF"/>
          </w:tcPr>
          <w:p w14:paraId="4EAEA7FB" w14:textId="77777777" w:rsidR="00AE2255" w:rsidRDefault="00000000">
            <w:pPr>
              <w:pStyle w:val="TableParagraph"/>
              <w:spacing w:before="40"/>
              <w:ind w:left="9"/>
              <w:jc w:val="left"/>
              <w:rPr>
                <w:sz w:val="20"/>
              </w:rPr>
            </w:pPr>
            <w:r>
              <w:rPr>
                <w:spacing w:val="-2"/>
                <w:sz w:val="20"/>
              </w:rPr>
              <w:t>10,023</w:t>
            </w:r>
          </w:p>
        </w:tc>
      </w:tr>
      <w:tr w:rsidR="00AE2255" w14:paraId="40A41744" w14:textId="77777777">
        <w:trPr>
          <w:trHeight w:val="290"/>
        </w:trPr>
        <w:tc>
          <w:tcPr>
            <w:tcW w:w="3809" w:type="dxa"/>
          </w:tcPr>
          <w:p w14:paraId="49EF4392" w14:textId="77777777" w:rsidR="00AE2255" w:rsidRDefault="00000000">
            <w:pPr>
              <w:pStyle w:val="TableParagraph"/>
              <w:spacing w:before="27"/>
              <w:ind w:left="52"/>
              <w:jc w:val="left"/>
              <w:rPr>
                <w:sz w:val="20"/>
              </w:rPr>
            </w:pPr>
            <w:r>
              <w:rPr>
                <w:sz w:val="20"/>
              </w:rPr>
              <w:t>November</w:t>
            </w:r>
            <w:r>
              <w:rPr>
                <w:spacing w:val="-2"/>
                <w:sz w:val="20"/>
              </w:rPr>
              <w:t xml:space="preserve"> </w:t>
            </w:r>
            <w:r>
              <w:rPr>
                <w:sz w:val="20"/>
              </w:rPr>
              <w:t>28,</w:t>
            </w:r>
            <w:r>
              <w:rPr>
                <w:spacing w:val="-2"/>
                <w:sz w:val="20"/>
              </w:rPr>
              <w:t xml:space="preserve"> </w:t>
            </w:r>
            <w:r>
              <w:rPr>
                <w:sz w:val="20"/>
              </w:rPr>
              <w:t>2022</w:t>
            </w:r>
            <w:r>
              <w:rPr>
                <w:spacing w:val="-1"/>
                <w:sz w:val="20"/>
              </w:rPr>
              <w:t xml:space="preserve"> </w:t>
            </w:r>
            <w:r>
              <w:rPr>
                <w:sz w:val="20"/>
              </w:rPr>
              <w:t>–</w:t>
            </w:r>
            <w:r>
              <w:rPr>
                <w:spacing w:val="-2"/>
                <w:sz w:val="20"/>
              </w:rPr>
              <w:t xml:space="preserve"> </w:t>
            </w:r>
            <w:r>
              <w:rPr>
                <w:sz w:val="20"/>
              </w:rPr>
              <w:t>December</w:t>
            </w:r>
            <w:r>
              <w:rPr>
                <w:spacing w:val="-2"/>
                <w:sz w:val="20"/>
              </w:rPr>
              <w:t xml:space="preserve"> </w:t>
            </w:r>
            <w:r>
              <w:rPr>
                <w:sz w:val="20"/>
              </w:rPr>
              <w:t>31,</w:t>
            </w:r>
            <w:r>
              <w:rPr>
                <w:spacing w:val="-1"/>
                <w:sz w:val="20"/>
              </w:rPr>
              <w:t xml:space="preserve"> </w:t>
            </w:r>
            <w:r>
              <w:rPr>
                <w:spacing w:val="-4"/>
                <w:sz w:val="20"/>
              </w:rPr>
              <w:t>2022</w:t>
            </w:r>
          </w:p>
        </w:tc>
        <w:tc>
          <w:tcPr>
            <w:tcW w:w="1269" w:type="dxa"/>
          </w:tcPr>
          <w:p w14:paraId="7B000690" w14:textId="77777777" w:rsidR="00AE2255" w:rsidRDefault="00000000">
            <w:pPr>
              <w:pStyle w:val="TableParagraph"/>
              <w:spacing w:before="40" w:line="230" w:lineRule="exact"/>
              <w:ind w:right="102"/>
              <w:rPr>
                <w:sz w:val="20"/>
              </w:rPr>
            </w:pPr>
            <w:r>
              <w:rPr>
                <w:spacing w:val="-2"/>
                <w:sz w:val="20"/>
              </w:rPr>
              <w:t>4,249</w:t>
            </w:r>
          </w:p>
        </w:tc>
        <w:tc>
          <w:tcPr>
            <w:tcW w:w="1505" w:type="dxa"/>
            <w:gridSpan w:val="2"/>
          </w:tcPr>
          <w:p w14:paraId="4B08A9F0" w14:textId="77777777" w:rsidR="00AE2255" w:rsidRDefault="00000000">
            <w:pPr>
              <w:pStyle w:val="TableParagraph"/>
              <w:tabs>
                <w:tab w:val="left" w:pos="455"/>
              </w:tabs>
              <w:spacing w:before="40" w:line="230" w:lineRule="exact"/>
              <w:ind w:left="104"/>
              <w:jc w:val="left"/>
              <w:rPr>
                <w:sz w:val="20"/>
              </w:rPr>
            </w:pPr>
            <w:r>
              <w:rPr>
                <w:spacing w:val="-10"/>
                <w:sz w:val="20"/>
              </w:rPr>
              <w:t>$</w:t>
            </w:r>
            <w:r>
              <w:rPr>
                <w:sz w:val="20"/>
              </w:rPr>
              <w:tab/>
            </w:r>
            <w:r>
              <w:rPr>
                <w:spacing w:val="-2"/>
                <w:sz w:val="20"/>
              </w:rPr>
              <w:t>482.93</w:t>
            </w:r>
          </w:p>
        </w:tc>
        <w:tc>
          <w:tcPr>
            <w:tcW w:w="1404" w:type="dxa"/>
          </w:tcPr>
          <w:p w14:paraId="266C3E1F" w14:textId="77777777" w:rsidR="00AE2255" w:rsidRDefault="00000000">
            <w:pPr>
              <w:pStyle w:val="TableParagraph"/>
              <w:spacing w:before="40" w:line="230" w:lineRule="exact"/>
              <w:ind w:right="101"/>
              <w:rPr>
                <w:sz w:val="20"/>
              </w:rPr>
            </w:pPr>
            <w:r>
              <w:rPr>
                <w:sz w:val="20"/>
              </w:rPr>
              <w:t>—</w:t>
            </w:r>
          </w:p>
        </w:tc>
        <w:tc>
          <w:tcPr>
            <w:tcW w:w="450" w:type="dxa"/>
          </w:tcPr>
          <w:p w14:paraId="2197EE40" w14:textId="77777777" w:rsidR="00AE2255" w:rsidRDefault="00000000">
            <w:pPr>
              <w:pStyle w:val="TableParagraph"/>
              <w:spacing w:before="40" w:line="230" w:lineRule="exact"/>
              <w:ind w:left="105"/>
              <w:jc w:val="left"/>
              <w:rPr>
                <w:sz w:val="20"/>
              </w:rPr>
            </w:pPr>
            <w:r>
              <w:rPr>
                <w:sz w:val="20"/>
              </w:rPr>
              <w:t>$</w:t>
            </w:r>
          </w:p>
        </w:tc>
        <w:tc>
          <w:tcPr>
            <w:tcW w:w="1137" w:type="dxa"/>
          </w:tcPr>
          <w:p w14:paraId="5C9BCF8F" w14:textId="77777777" w:rsidR="00AE2255" w:rsidRDefault="00AE2255">
            <w:pPr>
              <w:pStyle w:val="TableParagraph"/>
              <w:spacing w:before="0"/>
              <w:jc w:val="left"/>
              <w:rPr>
                <w:sz w:val="18"/>
              </w:rPr>
            </w:pPr>
          </w:p>
        </w:tc>
        <w:tc>
          <w:tcPr>
            <w:tcW w:w="637" w:type="dxa"/>
          </w:tcPr>
          <w:p w14:paraId="607697A2" w14:textId="77777777" w:rsidR="00AE2255" w:rsidRDefault="00000000">
            <w:pPr>
              <w:pStyle w:val="TableParagraph"/>
              <w:spacing w:before="40" w:line="230" w:lineRule="exact"/>
              <w:ind w:left="9"/>
              <w:jc w:val="left"/>
              <w:rPr>
                <w:sz w:val="20"/>
              </w:rPr>
            </w:pPr>
            <w:r>
              <w:rPr>
                <w:spacing w:val="-2"/>
                <w:sz w:val="20"/>
              </w:rPr>
              <w:t>10,023</w:t>
            </w:r>
          </w:p>
        </w:tc>
      </w:tr>
      <w:tr w:rsidR="00AE2255" w14:paraId="786BF592" w14:textId="77777777">
        <w:trPr>
          <w:trHeight w:val="282"/>
        </w:trPr>
        <w:tc>
          <w:tcPr>
            <w:tcW w:w="3809" w:type="dxa"/>
            <w:tcBorders>
              <w:bottom w:val="single" w:sz="18" w:space="0" w:color="CCEDFF"/>
            </w:tcBorders>
            <w:shd w:val="clear" w:color="auto" w:fill="CCEDFF"/>
          </w:tcPr>
          <w:p w14:paraId="721D5761" w14:textId="77777777" w:rsidR="00AE2255" w:rsidRDefault="00000000">
            <w:pPr>
              <w:pStyle w:val="TableParagraph"/>
              <w:spacing w:before="16"/>
              <w:ind w:left="772"/>
              <w:jc w:val="left"/>
              <w:rPr>
                <w:sz w:val="11"/>
              </w:rPr>
            </w:pPr>
            <w:r>
              <w:rPr>
                <w:position w:val="-7"/>
                <w:sz w:val="20"/>
              </w:rPr>
              <w:t>Total</w:t>
            </w:r>
            <w:r>
              <w:rPr>
                <w:spacing w:val="-4"/>
                <w:position w:val="-7"/>
                <w:sz w:val="20"/>
              </w:rPr>
              <w:t xml:space="preserve"> </w:t>
            </w:r>
            <w:r>
              <w:rPr>
                <w:spacing w:val="-2"/>
                <w:sz w:val="11"/>
              </w:rPr>
              <w:t>(c)(d)</w:t>
            </w:r>
          </w:p>
        </w:tc>
        <w:tc>
          <w:tcPr>
            <w:tcW w:w="1269" w:type="dxa"/>
            <w:tcBorders>
              <w:top w:val="single" w:sz="8" w:space="0" w:color="000000"/>
              <w:bottom w:val="single" w:sz="18" w:space="0" w:color="CCEDFF"/>
            </w:tcBorders>
            <w:shd w:val="clear" w:color="auto" w:fill="CCEDFF"/>
          </w:tcPr>
          <w:p w14:paraId="6AAE0F9C" w14:textId="77777777" w:rsidR="00AE2255" w:rsidRDefault="00000000">
            <w:pPr>
              <w:pStyle w:val="TableParagraph"/>
              <w:spacing w:before="45" w:line="217" w:lineRule="exact"/>
              <w:ind w:right="102"/>
              <w:rPr>
                <w:sz w:val="20"/>
              </w:rPr>
            </w:pPr>
            <w:r>
              <w:rPr>
                <w:spacing w:val="-2"/>
                <w:sz w:val="20"/>
              </w:rPr>
              <w:t>7,231,169</w:t>
            </w:r>
          </w:p>
        </w:tc>
        <w:tc>
          <w:tcPr>
            <w:tcW w:w="330" w:type="dxa"/>
            <w:tcBorders>
              <w:bottom w:val="single" w:sz="18" w:space="0" w:color="CCEDFF"/>
            </w:tcBorders>
            <w:shd w:val="clear" w:color="auto" w:fill="CCEDFF"/>
          </w:tcPr>
          <w:p w14:paraId="3299B8C0" w14:textId="77777777" w:rsidR="00AE2255" w:rsidRDefault="00000000">
            <w:pPr>
              <w:pStyle w:val="TableParagraph"/>
              <w:spacing w:before="45" w:line="217" w:lineRule="exact"/>
              <w:ind w:left="104"/>
              <w:jc w:val="left"/>
              <w:rPr>
                <w:sz w:val="20"/>
              </w:rPr>
            </w:pPr>
            <w:r>
              <w:rPr>
                <w:sz w:val="20"/>
              </w:rPr>
              <w:t>$</w:t>
            </w:r>
          </w:p>
        </w:tc>
        <w:tc>
          <w:tcPr>
            <w:tcW w:w="1175" w:type="dxa"/>
            <w:tcBorders>
              <w:top w:val="single" w:sz="8" w:space="0" w:color="000000"/>
              <w:bottom w:val="single" w:sz="18" w:space="0" w:color="CCEDFF"/>
            </w:tcBorders>
            <w:shd w:val="clear" w:color="auto" w:fill="CCEDFF"/>
          </w:tcPr>
          <w:p w14:paraId="4E5178DD" w14:textId="77777777" w:rsidR="00AE2255" w:rsidRDefault="00000000">
            <w:pPr>
              <w:pStyle w:val="TableParagraph"/>
              <w:spacing w:before="45" w:line="217" w:lineRule="exact"/>
              <w:ind w:left="125"/>
              <w:jc w:val="left"/>
              <w:rPr>
                <w:sz w:val="20"/>
              </w:rPr>
            </w:pPr>
            <w:r>
              <w:rPr>
                <w:spacing w:val="-2"/>
                <w:sz w:val="20"/>
              </w:rPr>
              <w:t>410.10</w:t>
            </w:r>
          </w:p>
        </w:tc>
        <w:tc>
          <w:tcPr>
            <w:tcW w:w="3628" w:type="dxa"/>
            <w:gridSpan w:val="4"/>
            <w:tcBorders>
              <w:bottom w:val="single" w:sz="18" w:space="0" w:color="CCEDFF"/>
            </w:tcBorders>
            <w:shd w:val="clear" w:color="auto" w:fill="CCEDFF"/>
          </w:tcPr>
          <w:p w14:paraId="26968B55" w14:textId="77777777" w:rsidR="00AE2255" w:rsidRDefault="00000000">
            <w:pPr>
              <w:pStyle w:val="TableParagraph"/>
              <w:spacing w:before="45" w:line="217" w:lineRule="exact"/>
              <w:ind w:left="500"/>
              <w:jc w:val="left"/>
              <w:rPr>
                <w:sz w:val="20"/>
              </w:rPr>
            </w:pPr>
            <w:r>
              <w:rPr>
                <w:spacing w:val="-2"/>
                <w:sz w:val="20"/>
              </w:rPr>
              <w:t>7,224,954</w:t>
            </w:r>
          </w:p>
        </w:tc>
      </w:tr>
    </w:tbl>
    <w:p w14:paraId="60B8DCFF" w14:textId="77777777" w:rsidR="00AE2255" w:rsidRDefault="00AE2255">
      <w:pPr>
        <w:pStyle w:val="BodyText"/>
        <w:spacing w:before="4"/>
        <w:rPr>
          <w:sz w:val="9"/>
        </w:rPr>
      </w:pPr>
    </w:p>
    <w:p w14:paraId="2F02FF53" w14:textId="77777777" w:rsidR="00AE2255" w:rsidRDefault="00000000">
      <w:pPr>
        <w:spacing w:before="117" w:line="249" w:lineRule="auto"/>
        <w:ind w:left="970" w:right="427" w:hanging="360"/>
        <w:jc w:val="both"/>
        <w:rPr>
          <w:sz w:val="18"/>
        </w:rPr>
      </w:pPr>
      <w:r>
        <w:rPr>
          <w:sz w:val="18"/>
          <w:vertAlign w:val="superscript"/>
        </w:rPr>
        <w:t>(a)</w:t>
      </w:r>
      <w:r>
        <w:rPr>
          <w:spacing w:val="68"/>
          <w:sz w:val="18"/>
        </w:rPr>
        <w:t xml:space="preserve">  </w:t>
      </w:r>
      <w:r>
        <w:rPr>
          <w:sz w:val="18"/>
        </w:rPr>
        <w:t>We close our books and records on the last Sunday of each month to align our financial closing with our business processes, except for the month of December, as our fiscal year ends on December 31. As a result, our fiscal months often differ from the calendar months.</w:t>
      </w:r>
      <w:r>
        <w:rPr>
          <w:spacing w:val="40"/>
          <w:sz w:val="18"/>
        </w:rPr>
        <w:t xml:space="preserve"> </w:t>
      </w:r>
      <w:r>
        <w:rPr>
          <w:sz w:val="18"/>
        </w:rPr>
        <w:t xml:space="preserve">For example, November 28, </w:t>
      </w:r>
      <w:proofErr w:type="gramStart"/>
      <w:r>
        <w:rPr>
          <w:sz w:val="18"/>
        </w:rPr>
        <w:t>2022</w:t>
      </w:r>
      <w:proofErr w:type="gramEnd"/>
      <w:r>
        <w:rPr>
          <w:sz w:val="18"/>
        </w:rPr>
        <w:t xml:space="preserve"> was the first day of our December 2022 fiscal month.</w:t>
      </w:r>
    </w:p>
    <w:p w14:paraId="2109E114" w14:textId="77777777" w:rsidR="00AE2255" w:rsidRDefault="00000000">
      <w:pPr>
        <w:spacing w:before="2" w:line="249" w:lineRule="auto"/>
        <w:ind w:left="970" w:right="423" w:hanging="360"/>
        <w:jc w:val="both"/>
        <w:rPr>
          <w:sz w:val="18"/>
        </w:rPr>
      </w:pPr>
      <w:r>
        <w:rPr>
          <w:sz w:val="18"/>
          <w:vertAlign w:val="superscript"/>
        </w:rPr>
        <w:t>(b)</w:t>
      </w:r>
      <w:r>
        <w:rPr>
          <w:spacing w:val="40"/>
          <w:sz w:val="18"/>
        </w:rPr>
        <w:t xml:space="preserve">  </w:t>
      </w:r>
      <w:r>
        <w:rPr>
          <w:sz w:val="18"/>
        </w:rPr>
        <w:t>In 2010, our Board of Directors approved a share repurchase program pursuant to which we are authorized to repurchase our common stock in privately negotiated transactions or in the open market at prices per share not exceeding the then-current market prices. From time to time, our Board of Directors authorizes increases to our share repurchase program. On October 17, 2022, the Board of Directors authorized</w:t>
      </w:r>
      <w:r>
        <w:rPr>
          <w:spacing w:val="-1"/>
          <w:sz w:val="18"/>
        </w:rPr>
        <w:t xml:space="preserve"> </w:t>
      </w:r>
      <w:r>
        <w:rPr>
          <w:sz w:val="18"/>
        </w:rPr>
        <w:t>an</w:t>
      </w:r>
      <w:r>
        <w:rPr>
          <w:spacing w:val="-1"/>
          <w:sz w:val="18"/>
        </w:rPr>
        <w:t xml:space="preserve"> </w:t>
      </w:r>
      <w:r>
        <w:rPr>
          <w:sz w:val="18"/>
        </w:rPr>
        <w:t>increase</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program</w:t>
      </w:r>
      <w:r>
        <w:rPr>
          <w:spacing w:val="-1"/>
          <w:sz w:val="18"/>
        </w:rPr>
        <w:t xml:space="preserve"> </w:t>
      </w:r>
      <w:r>
        <w:rPr>
          <w:sz w:val="18"/>
        </w:rPr>
        <w:t>by</w:t>
      </w:r>
      <w:r>
        <w:rPr>
          <w:spacing w:val="-1"/>
          <w:sz w:val="18"/>
        </w:rPr>
        <w:t xml:space="preserve"> </w:t>
      </w:r>
      <w:r>
        <w:rPr>
          <w:sz w:val="18"/>
        </w:rPr>
        <w:t>$14.0</w:t>
      </w:r>
      <w:r>
        <w:rPr>
          <w:spacing w:val="-1"/>
          <w:sz w:val="18"/>
        </w:rPr>
        <w:t xml:space="preserve"> </w:t>
      </w:r>
      <w:r>
        <w:rPr>
          <w:sz w:val="18"/>
        </w:rPr>
        <w:t>billion.</w:t>
      </w:r>
      <w:r>
        <w:rPr>
          <w:spacing w:val="-1"/>
          <w:sz w:val="18"/>
        </w:rPr>
        <w:t xml:space="preserve"> </w:t>
      </w:r>
      <w:r>
        <w:rPr>
          <w:sz w:val="18"/>
        </w:rPr>
        <w:t>The</w:t>
      </w:r>
      <w:r>
        <w:rPr>
          <w:spacing w:val="-1"/>
          <w:sz w:val="18"/>
        </w:rPr>
        <w:t xml:space="preserve"> </w:t>
      </w:r>
      <w:r>
        <w:rPr>
          <w:sz w:val="18"/>
        </w:rPr>
        <w:t>total</w:t>
      </w:r>
      <w:r>
        <w:rPr>
          <w:spacing w:val="-1"/>
          <w:sz w:val="18"/>
        </w:rPr>
        <w:t xml:space="preserve"> </w:t>
      </w:r>
      <w:r>
        <w:rPr>
          <w:sz w:val="18"/>
        </w:rPr>
        <w:t>remaining</w:t>
      </w:r>
      <w:r>
        <w:rPr>
          <w:spacing w:val="-1"/>
          <w:sz w:val="18"/>
        </w:rPr>
        <w:t xml:space="preserve"> </w:t>
      </w:r>
      <w:r>
        <w:rPr>
          <w:sz w:val="18"/>
        </w:rPr>
        <w:t>authorization</w:t>
      </w:r>
      <w:r>
        <w:rPr>
          <w:spacing w:val="-1"/>
          <w:sz w:val="18"/>
        </w:rPr>
        <w:t xml:space="preserve"> </w:t>
      </w:r>
      <w:r>
        <w:rPr>
          <w:sz w:val="18"/>
        </w:rPr>
        <w:t>for</w:t>
      </w:r>
      <w:r>
        <w:rPr>
          <w:spacing w:val="-1"/>
          <w:sz w:val="18"/>
        </w:rPr>
        <w:t xml:space="preserve"> </w:t>
      </w:r>
      <w:r>
        <w:rPr>
          <w:sz w:val="18"/>
        </w:rPr>
        <w:t>future</w:t>
      </w:r>
      <w:r>
        <w:rPr>
          <w:spacing w:val="-1"/>
          <w:sz w:val="18"/>
        </w:rPr>
        <w:t xml:space="preserve"> </w:t>
      </w:r>
      <w:r>
        <w:rPr>
          <w:sz w:val="18"/>
        </w:rPr>
        <w:t>common</w:t>
      </w:r>
      <w:r>
        <w:rPr>
          <w:spacing w:val="-1"/>
          <w:sz w:val="18"/>
        </w:rPr>
        <w:t xml:space="preserve"> </w:t>
      </w:r>
      <w:r>
        <w:rPr>
          <w:sz w:val="18"/>
        </w:rPr>
        <w:t>share</w:t>
      </w:r>
      <w:r>
        <w:rPr>
          <w:spacing w:val="-1"/>
          <w:sz w:val="18"/>
        </w:rPr>
        <w:t xml:space="preserve"> </w:t>
      </w:r>
      <w:r>
        <w:rPr>
          <w:sz w:val="18"/>
        </w:rPr>
        <w:t>repurchases</w:t>
      </w:r>
      <w:r>
        <w:rPr>
          <w:spacing w:val="-1"/>
          <w:sz w:val="18"/>
        </w:rPr>
        <w:t xml:space="preserve"> </w:t>
      </w:r>
      <w:r>
        <w:rPr>
          <w:sz w:val="18"/>
        </w:rPr>
        <w:t>under</w:t>
      </w:r>
      <w:r>
        <w:rPr>
          <w:spacing w:val="-1"/>
          <w:sz w:val="18"/>
        </w:rPr>
        <w:t xml:space="preserve"> </w:t>
      </w:r>
      <w:r>
        <w:rPr>
          <w:sz w:val="18"/>
        </w:rPr>
        <w:t>our share repurchase program was $10.0 billion as of December 31, 2022. Under the program, management has discretion to determine the dollar amount of shares to be repurchased and the timing of any repurchases in compliance with applicable law and regulation. This includes purchases pursuant to Rule 10b5-1 plans, including accelerated share repurchases. The program does not have an expiration</w:t>
      </w:r>
      <w:r>
        <w:rPr>
          <w:spacing w:val="40"/>
          <w:sz w:val="18"/>
        </w:rPr>
        <w:t xml:space="preserve"> </w:t>
      </w:r>
      <w:r>
        <w:rPr>
          <w:spacing w:val="-2"/>
          <w:sz w:val="18"/>
        </w:rPr>
        <w:t>date.</w:t>
      </w:r>
    </w:p>
    <w:p w14:paraId="130C9283" w14:textId="77777777" w:rsidR="00AE2255" w:rsidRDefault="00000000">
      <w:pPr>
        <w:spacing w:before="6" w:line="249" w:lineRule="auto"/>
        <w:ind w:left="970" w:right="426" w:hanging="360"/>
        <w:jc w:val="both"/>
        <w:rPr>
          <w:sz w:val="18"/>
        </w:rPr>
      </w:pPr>
      <w:r>
        <w:rPr>
          <w:sz w:val="18"/>
          <w:vertAlign w:val="superscript"/>
        </w:rPr>
        <w:t>(c)</w:t>
      </w:r>
      <w:r>
        <w:rPr>
          <w:spacing w:val="80"/>
          <w:sz w:val="18"/>
        </w:rPr>
        <w:t xml:space="preserve"> </w:t>
      </w:r>
      <w:r>
        <w:rPr>
          <w:sz w:val="18"/>
        </w:rPr>
        <w:t xml:space="preserve">During the fourth quarter of 2022, we </w:t>
      </w:r>
      <w:proofErr w:type="gramStart"/>
      <w:r>
        <w:rPr>
          <w:sz w:val="18"/>
        </w:rPr>
        <w:t>entered into</w:t>
      </w:r>
      <w:proofErr w:type="gramEnd"/>
      <w:r>
        <w:rPr>
          <w:sz w:val="18"/>
        </w:rPr>
        <w:t xml:space="preserve"> an accelerated share repurchase (ASR) agreement to repurchase $4.0 billion of our common stock. Under the terms of the ASR agreement, we paid $4.0 billion and received an initial delivery of 6,995,147 shares of our common stock. We expect to receive additional shares upon final settlement, which is expected in March or April 2023. The total</w:t>
      </w:r>
      <w:r>
        <w:rPr>
          <w:spacing w:val="40"/>
          <w:sz w:val="18"/>
        </w:rPr>
        <w:t xml:space="preserve"> </w:t>
      </w:r>
      <w:r>
        <w:rPr>
          <w:sz w:val="18"/>
        </w:rPr>
        <w:t>number of shares of common stock to be received under the ASR agreement</w:t>
      </w:r>
      <w:r>
        <w:rPr>
          <w:spacing w:val="-3"/>
          <w:sz w:val="18"/>
        </w:rPr>
        <w:t xml:space="preserve"> </w:t>
      </w:r>
      <w:r>
        <w:rPr>
          <w:sz w:val="18"/>
        </w:rPr>
        <w:t>will be based on an average volume-weighted average price (VWAP) of our common stock during the term of the ASR agreement, less a discount and subject to adjustments pursuant to the terms and conditions of the ASR agreement. Average Price Paid Per Share in the table above does not include ASR shares.</w:t>
      </w:r>
    </w:p>
    <w:p w14:paraId="645D61B0" w14:textId="77777777" w:rsidR="00AE2255" w:rsidRDefault="00000000">
      <w:pPr>
        <w:spacing w:before="5" w:line="249" w:lineRule="auto"/>
        <w:ind w:left="970" w:right="425" w:hanging="360"/>
        <w:jc w:val="both"/>
        <w:rPr>
          <w:sz w:val="18"/>
        </w:rPr>
      </w:pPr>
      <w:r>
        <w:rPr>
          <w:sz w:val="18"/>
          <w:vertAlign w:val="superscript"/>
        </w:rPr>
        <w:t>(d)</w:t>
      </w:r>
      <w:r>
        <w:rPr>
          <w:spacing w:val="64"/>
          <w:sz w:val="18"/>
        </w:rPr>
        <w:t xml:space="preserve">  </w:t>
      </w:r>
      <w:r>
        <w:rPr>
          <w:sz w:val="18"/>
        </w:rPr>
        <w:t>During the fourth quarter of 2022, the total number of shares purchased included 6,215 shares that were transferred to us by employees</w:t>
      </w:r>
      <w:r>
        <w:rPr>
          <w:spacing w:val="80"/>
          <w:sz w:val="18"/>
        </w:rPr>
        <w:t xml:space="preserve"> </w:t>
      </w:r>
      <w:r>
        <w:rPr>
          <w:sz w:val="18"/>
        </w:rPr>
        <w:t>in</w:t>
      </w:r>
      <w:r>
        <w:rPr>
          <w:spacing w:val="-2"/>
          <w:sz w:val="18"/>
        </w:rPr>
        <w:t xml:space="preserve"> </w:t>
      </w:r>
      <w:r>
        <w:rPr>
          <w:sz w:val="18"/>
        </w:rPr>
        <w:t>satisfaction</w:t>
      </w:r>
      <w:r>
        <w:rPr>
          <w:spacing w:val="-2"/>
          <w:sz w:val="18"/>
        </w:rPr>
        <w:t xml:space="preserve"> </w:t>
      </w:r>
      <w:r>
        <w:rPr>
          <w:sz w:val="18"/>
        </w:rPr>
        <w:t>of</w:t>
      </w:r>
      <w:r>
        <w:rPr>
          <w:spacing w:val="-2"/>
          <w:sz w:val="18"/>
        </w:rPr>
        <w:t xml:space="preserve"> </w:t>
      </w:r>
      <w:r>
        <w:rPr>
          <w:sz w:val="18"/>
        </w:rPr>
        <w:t>tax</w:t>
      </w:r>
      <w:r>
        <w:rPr>
          <w:spacing w:val="-2"/>
          <w:sz w:val="18"/>
        </w:rPr>
        <w:t xml:space="preserve"> </w:t>
      </w:r>
      <w:r>
        <w:rPr>
          <w:sz w:val="18"/>
        </w:rPr>
        <w:t>withholding</w:t>
      </w:r>
      <w:r>
        <w:rPr>
          <w:spacing w:val="-2"/>
          <w:sz w:val="18"/>
        </w:rPr>
        <w:t xml:space="preserve"> </w:t>
      </w:r>
      <w:r>
        <w:rPr>
          <w:sz w:val="18"/>
        </w:rPr>
        <w:t>obligations</w:t>
      </w:r>
      <w:r>
        <w:rPr>
          <w:spacing w:val="-2"/>
          <w:sz w:val="18"/>
        </w:rPr>
        <w:t xml:space="preserve"> </w:t>
      </w:r>
      <w:r>
        <w:rPr>
          <w:sz w:val="18"/>
        </w:rPr>
        <w:t>associated</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vesting</w:t>
      </w:r>
      <w:r>
        <w:rPr>
          <w:spacing w:val="-2"/>
          <w:sz w:val="18"/>
        </w:rPr>
        <w:t xml:space="preserve"> </w:t>
      </w:r>
      <w:r>
        <w:rPr>
          <w:sz w:val="18"/>
        </w:rPr>
        <w:t>of</w:t>
      </w:r>
      <w:r>
        <w:rPr>
          <w:spacing w:val="-2"/>
          <w:sz w:val="18"/>
        </w:rPr>
        <w:t xml:space="preserve"> </w:t>
      </w:r>
      <w:r>
        <w:rPr>
          <w:sz w:val="18"/>
        </w:rPr>
        <w:t>restricted</w:t>
      </w:r>
      <w:r>
        <w:rPr>
          <w:spacing w:val="-2"/>
          <w:sz w:val="18"/>
        </w:rPr>
        <w:t xml:space="preserve"> </w:t>
      </w:r>
      <w:r>
        <w:rPr>
          <w:sz w:val="18"/>
        </w:rPr>
        <w:t>stock</w:t>
      </w:r>
      <w:r>
        <w:rPr>
          <w:spacing w:val="-2"/>
          <w:sz w:val="18"/>
        </w:rPr>
        <w:t xml:space="preserve"> </w:t>
      </w:r>
      <w:r>
        <w:rPr>
          <w:sz w:val="18"/>
        </w:rPr>
        <w:t>units.</w:t>
      </w:r>
      <w:r>
        <w:rPr>
          <w:spacing w:val="-2"/>
          <w:sz w:val="18"/>
        </w:rPr>
        <w:t xml:space="preserve"> </w:t>
      </w:r>
      <w:r>
        <w:rPr>
          <w:sz w:val="18"/>
        </w:rPr>
        <w:t>These</w:t>
      </w:r>
      <w:r>
        <w:rPr>
          <w:spacing w:val="-2"/>
          <w:sz w:val="18"/>
        </w:rPr>
        <w:t xml:space="preserve"> </w:t>
      </w:r>
      <w:r>
        <w:rPr>
          <w:sz w:val="18"/>
        </w:rPr>
        <w:t>purchases</w:t>
      </w:r>
      <w:r>
        <w:rPr>
          <w:spacing w:val="-2"/>
          <w:sz w:val="18"/>
        </w:rPr>
        <w:t xml:space="preserve"> </w:t>
      </w:r>
      <w:r>
        <w:rPr>
          <w:sz w:val="18"/>
        </w:rPr>
        <w:t>were</w:t>
      </w:r>
      <w:r>
        <w:rPr>
          <w:spacing w:val="-2"/>
          <w:sz w:val="18"/>
        </w:rPr>
        <w:t xml:space="preserve"> </w:t>
      </w:r>
      <w:r>
        <w:rPr>
          <w:sz w:val="18"/>
        </w:rPr>
        <w:t>made</w:t>
      </w:r>
      <w:r>
        <w:rPr>
          <w:spacing w:val="-2"/>
          <w:sz w:val="18"/>
        </w:rPr>
        <w:t xml:space="preserve"> </w:t>
      </w:r>
      <w:r>
        <w:rPr>
          <w:sz w:val="18"/>
        </w:rPr>
        <w:t>pursuant</w:t>
      </w:r>
      <w:r>
        <w:rPr>
          <w:spacing w:val="-2"/>
          <w:sz w:val="18"/>
        </w:rPr>
        <w:t xml:space="preserve"> </w:t>
      </w:r>
      <w:r>
        <w:rPr>
          <w:sz w:val="18"/>
        </w:rPr>
        <w:t>to a separate authorization by our Board of Directors and are not included within the share repurchase program described above.</w:t>
      </w:r>
    </w:p>
    <w:p w14:paraId="6D797C52" w14:textId="77777777" w:rsidR="00AE2255" w:rsidRDefault="00AE2255">
      <w:pPr>
        <w:spacing w:line="249" w:lineRule="auto"/>
        <w:jc w:val="both"/>
        <w:rPr>
          <w:sz w:val="18"/>
        </w:rPr>
        <w:sectPr w:rsidR="00AE2255">
          <w:type w:val="continuous"/>
          <w:pgSz w:w="12240" w:h="15840"/>
          <w:pgMar w:top="440" w:right="560" w:bottom="280" w:left="380" w:header="230" w:footer="531" w:gutter="0"/>
          <w:cols w:space="720"/>
        </w:sectPr>
      </w:pPr>
    </w:p>
    <w:p w14:paraId="68A33864" w14:textId="77777777" w:rsidR="00AE2255" w:rsidRDefault="00AE2255">
      <w:pPr>
        <w:pStyle w:val="BodyText"/>
        <w:spacing w:before="10"/>
        <w:rPr>
          <w:sz w:val="22"/>
        </w:rPr>
      </w:pPr>
    </w:p>
    <w:p w14:paraId="58B75607" w14:textId="77777777" w:rsidR="00AE2255" w:rsidRDefault="00000000">
      <w:pPr>
        <w:pStyle w:val="Heading2"/>
        <w:tabs>
          <w:tab w:val="left" w:pos="1869"/>
        </w:tabs>
        <w:spacing w:before="92"/>
      </w:pPr>
      <w:bookmarkStart w:id="21" w:name="Item_6._Selected_Financial_Data"/>
      <w:bookmarkStart w:id="22" w:name="_bookmark9"/>
      <w:bookmarkEnd w:id="21"/>
      <w:bookmarkEnd w:id="22"/>
      <w:r>
        <w:t>ITEM</w:t>
      </w:r>
      <w:r>
        <w:rPr>
          <w:spacing w:val="-4"/>
        </w:rPr>
        <w:t xml:space="preserve"> </w:t>
      </w:r>
      <w:r>
        <w:rPr>
          <w:spacing w:val="-5"/>
        </w:rPr>
        <w:t>6.</w:t>
      </w:r>
      <w:r>
        <w:tab/>
        <w:t>Selected</w:t>
      </w:r>
      <w:r>
        <w:rPr>
          <w:spacing w:val="-7"/>
        </w:rPr>
        <w:t xml:space="preserve"> </w:t>
      </w:r>
      <w:r>
        <w:t>Financial</w:t>
      </w:r>
      <w:r>
        <w:rPr>
          <w:spacing w:val="-7"/>
        </w:rPr>
        <w:t xml:space="preserve"> </w:t>
      </w:r>
      <w:r>
        <w:rPr>
          <w:spacing w:val="-4"/>
        </w:rPr>
        <w:t>Data</w:t>
      </w:r>
    </w:p>
    <w:p w14:paraId="0C6C347F" w14:textId="77777777" w:rsidR="00AE2255" w:rsidRDefault="00AE2255">
      <w:pPr>
        <w:pStyle w:val="BodyText"/>
        <w:spacing w:before="9" w:after="1"/>
        <w:rPr>
          <w:b/>
          <w:sz w:val="28"/>
        </w:rPr>
      </w:pPr>
    </w:p>
    <w:tbl>
      <w:tblPr>
        <w:tblW w:w="0" w:type="auto"/>
        <w:tblInd w:w="617" w:type="dxa"/>
        <w:tblLayout w:type="fixed"/>
        <w:tblCellMar>
          <w:left w:w="0" w:type="dxa"/>
          <w:right w:w="0" w:type="dxa"/>
        </w:tblCellMar>
        <w:tblLook w:val="01E0" w:firstRow="1" w:lastRow="1" w:firstColumn="1" w:lastColumn="1" w:noHBand="0" w:noVBand="0"/>
      </w:tblPr>
      <w:tblGrid>
        <w:gridCol w:w="4838"/>
        <w:gridCol w:w="1143"/>
        <w:gridCol w:w="1080"/>
        <w:gridCol w:w="1095"/>
        <w:gridCol w:w="1080"/>
        <w:gridCol w:w="1024"/>
      </w:tblGrid>
      <w:tr w:rsidR="00AE2255" w14:paraId="2B33A1EA" w14:textId="77777777">
        <w:trPr>
          <w:trHeight w:val="241"/>
        </w:trPr>
        <w:tc>
          <w:tcPr>
            <w:tcW w:w="4838" w:type="dxa"/>
            <w:tcBorders>
              <w:bottom w:val="single" w:sz="8" w:space="0" w:color="auto"/>
            </w:tcBorders>
          </w:tcPr>
          <w:p w14:paraId="2E269978" w14:textId="77777777" w:rsidR="00AE2255" w:rsidRDefault="00000000">
            <w:pPr>
              <w:pStyle w:val="TableParagraph"/>
              <w:spacing w:before="0" w:line="221" w:lineRule="exact"/>
              <w:ind w:left="52"/>
              <w:jc w:val="left"/>
              <w:rPr>
                <w:i/>
                <w:sz w:val="20"/>
              </w:rPr>
            </w:pPr>
            <w:r>
              <w:rPr>
                <w:i/>
                <w:sz w:val="20"/>
              </w:rPr>
              <w:t>(In</w:t>
            </w:r>
            <w:r>
              <w:rPr>
                <w:i/>
                <w:spacing w:val="-3"/>
                <w:sz w:val="20"/>
              </w:rPr>
              <w:t xml:space="preserve"> </w:t>
            </w:r>
            <w:r>
              <w:rPr>
                <w:i/>
                <w:sz w:val="20"/>
              </w:rPr>
              <w:t>millions,</w:t>
            </w:r>
            <w:r>
              <w:rPr>
                <w:i/>
                <w:spacing w:val="-3"/>
                <w:sz w:val="20"/>
              </w:rPr>
              <w:t xml:space="preserve"> </w:t>
            </w:r>
            <w:r>
              <w:rPr>
                <w:i/>
                <w:sz w:val="20"/>
              </w:rPr>
              <w:t>except</w:t>
            </w:r>
            <w:r>
              <w:rPr>
                <w:i/>
                <w:spacing w:val="-3"/>
                <w:sz w:val="20"/>
              </w:rPr>
              <w:t xml:space="preserve"> </w:t>
            </w:r>
            <w:r>
              <w:rPr>
                <w:i/>
                <w:sz w:val="20"/>
              </w:rPr>
              <w:t>per</w:t>
            </w:r>
            <w:r>
              <w:rPr>
                <w:i/>
                <w:spacing w:val="-4"/>
                <w:sz w:val="20"/>
              </w:rPr>
              <w:t xml:space="preserve"> </w:t>
            </w:r>
            <w:r>
              <w:rPr>
                <w:i/>
                <w:sz w:val="20"/>
              </w:rPr>
              <w:t>share</w:t>
            </w:r>
            <w:r>
              <w:rPr>
                <w:i/>
                <w:spacing w:val="-3"/>
                <w:sz w:val="20"/>
              </w:rPr>
              <w:t xml:space="preserve"> </w:t>
            </w:r>
            <w:r>
              <w:rPr>
                <w:i/>
                <w:spacing w:val="-2"/>
                <w:sz w:val="20"/>
              </w:rPr>
              <w:t>data)</w:t>
            </w:r>
          </w:p>
        </w:tc>
        <w:tc>
          <w:tcPr>
            <w:tcW w:w="1143" w:type="dxa"/>
            <w:tcBorders>
              <w:bottom w:val="single" w:sz="8" w:space="0" w:color="auto"/>
            </w:tcBorders>
          </w:tcPr>
          <w:p w14:paraId="19DA6650" w14:textId="77777777" w:rsidR="00AE2255" w:rsidRDefault="00000000">
            <w:pPr>
              <w:pStyle w:val="TableParagraph"/>
              <w:spacing w:before="0" w:line="221" w:lineRule="exact"/>
              <w:ind w:right="106"/>
              <w:rPr>
                <w:b/>
                <w:sz w:val="20"/>
              </w:rPr>
            </w:pPr>
            <w:r>
              <w:rPr>
                <w:b/>
                <w:spacing w:val="-4"/>
                <w:sz w:val="20"/>
              </w:rPr>
              <w:t>2022</w:t>
            </w:r>
          </w:p>
        </w:tc>
        <w:tc>
          <w:tcPr>
            <w:tcW w:w="1080" w:type="dxa"/>
            <w:tcBorders>
              <w:bottom w:val="single" w:sz="8" w:space="0" w:color="auto"/>
            </w:tcBorders>
          </w:tcPr>
          <w:p w14:paraId="6A93DD1B" w14:textId="77777777" w:rsidR="00AE2255" w:rsidRDefault="00000000">
            <w:pPr>
              <w:pStyle w:val="TableParagraph"/>
              <w:spacing w:before="0" w:line="221" w:lineRule="exact"/>
              <w:ind w:right="106"/>
              <w:rPr>
                <w:b/>
                <w:sz w:val="20"/>
              </w:rPr>
            </w:pPr>
            <w:r>
              <w:rPr>
                <w:b/>
                <w:spacing w:val="-4"/>
                <w:sz w:val="20"/>
              </w:rPr>
              <w:t>2021</w:t>
            </w:r>
          </w:p>
        </w:tc>
        <w:tc>
          <w:tcPr>
            <w:tcW w:w="1095" w:type="dxa"/>
            <w:tcBorders>
              <w:bottom w:val="single" w:sz="8" w:space="0" w:color="auto"/>
            </w:tcBorders>
          </w:tcPr>
          <w:p w14:paraId="4596510A" w14:textId="77777777" w:rsidR="00AE2255" w:rsidRDefault="00000000">
            <w:pPr>
              <w:pStyle w:val="TableParagraph"/>
              <w:spacing w:before="0" w:line="221" w:lineRule="exact"/>
              <w:ind w:right="106"/>
              <w:rPr>
                <w:b/>
                <w:sz w:val="20"/>
              </w:rPr>
            </w:pPr>
            <w:r>
              <w:rPr>
                <w:b/>
                <w:spacing w:val="-4"/>
                <w:sz w:val="20"/>
              </w:rPr>
              <w:t>2020</w:t>
            </w:r>
          </w:p>
        </w:tc>
        <w:tc>
          <w:tcPr>
            <w:tcW w:w="1080" w:type="dxa"/>
            <w:tcBorders>
              <w:bottom w:val="single" w:sz="8" w:space="0" w:color="auto"/>
            </w:tcBorders>
          </w:tcPr>
          <w:p w14:paraId="32AFCC9E" w14:textId="77777777" w:rsidR="00AE2255" w:rsidRDefault="00000000">
            <w:pPr>
              <w:pStyle w:val="TableParagraph"/>
              <w:spacing w:before="0" w:line="221" w:lineRule="exact"/>
              <w:ind w:right="106"/>
              <w:rPr>
                <w:b/>
                <w:sz w:val="20"/>
              </w:rPr>
            </w:pPr>
            <w:r>
              <w:rPr>
                <w:b/>
                <w:spacing w:val="-4"/>
                <w:sz w:val="20"/>
              </w:rPr>
              <w:t>2019</w:t>
            </w:r>
          </w:p>
        </w:tc>
        <w:tc>
          <w:tcPr>
            <w:tcW w:w="1024" w:type="dxa"/>
            <w:tcBorders>
              <w:bottom w:val="single" w:sz="8" w:space="0" w:color="auto"/>
            </w:tcBorders>
          </w:tcPr>
          <w:p w14:paraId="1D499707" w14:textId="77777777" w:rsidR="00AE2255" w:rsidRDefault="00000000">
            <w:pPr>
              <w:pStyle w:val="TableParagraph"/>
              <w:spacing w:before="0" w:line="221" w:lineRule="exact"/>
              <w:ind w:right="50"/>
              <w:rPr>
                <w:b/>
                <w:sz w:val="20"/>
              </w:rPr>
            </w:pPr>
            <w:r>
              <w:rPr>
                <w:b/>
                <w:spacing w:val="-4"/>
                <w:sz w:val="20"/>
              </w:rPr>
              <w:t>2018</w:t>
            </w:r>
          </w:p>
        </w:tc>
      </w:tr>
      <w:tr w:rsidR="00AE2255" w14:paraId="21C56C1D" w14:textId="77777777">
        <w:trPr>
          <w:trHeight w:val="275"/>
        </w:trPr>
        <w:tc>
          <w:tcPr>
            <w:tcW w:w="4838" w:type="dxa"/>
            <w:tcBorders>
              <w:top w:val="single" w:sz="8" w:space="0" w:color="CCEDFF"/>
            </w:tcBorders>
            <w:shd w:val="clear" w:color="auto" w:fill="CCEDFF"/>
          </w:tcPr>
          <w:p w14:paraId="76D75496" w14:textId="77777777" w:rsidR="00AE2255" w:rsidRDefault="00000000">
            <w:pPr>
              <w:pStyle w:val="TableParagraph"/>
              <w:spacing w:before="13"/>
              <w:ind w:left="52"/>
              <w:jc w:val="left"/>
              <w:rPr>
                <w:b/>
                <w:sz w:val="20"/>
              </w:rPr>
            </w:pPr>
            <w:r>
              <w:rPr>
                <w:b/>
                <w:sz w:val="20"/>
              </w:rPr>
              <w:t>Operating</w:t>
            </w:r>
            <w:r>
              <w:rPr>
                <w:b/>
                <w:spacing w:val="-6"/>
                <w:sz w:val="20"/>
              </w:rPr>
              <w:t xml:space="preserve"> </w:t>
            </w:r>
            <w:r>
              <w:rPr>
                <w:b/>
                <w:spacing w:val="-2"/>
                <w:sz w:val="20"/>
              </w:rPr>
              <w:t>results</w:t>
            </w:r>
          </w:p>
        </w:tc>
        <w:tc>
          <w:tcPr>
            <w:tcW w:w="1143" w:type="dxa"/>
            <w:tcBorders>
              <w:top w:val="single" w:sz="8" w:space="0" w:color="CCEDFF"/>
            </w:tcBorders>
            <w:shd w:val="clear" w:color="auto" w:fill="CCEDFF"/>
          </w:tcPr>
          <w:p w14:paraId="3DD502BE"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2FD6FD6E" w14:textId="77777777" w:rsidR="00AE2255" w:rsidRDefault="00AE2255">
            <w:pPr>
              <w:pStyle w:val="TableParagraph"/>
              <w:spacing w:before="0"/>
              <w:jc w:val="left"/>
              <w:rPr>
                <w:sz w:val="18"/>
              </w:rPr>
            </w:pPr>
          </w:p>
        </w:tc>
        <w:tc>
          <w:tcPr>
            <w:tcW w:w="1095" w:type="dxa"/>
            <w:tcBorders>
              <w:top w:val="single" w:sz="8" w:space="0" w:color="CCEDFF"/>
            </w:tcBorders>
            <w:shd w:val="clear" w:color="auto" w:fill="CCEDFF"/>
          </w:tcPr>
          <w:p w14:paraId="65C52699"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576699EA" w14:textId="77777777" w:rsidR="00AE2255" w:rsidRDefault="00AE2255">
            <w:pPr>
              <w:pStyle w:val="TableParagraph"/>
              <w:spacing w:before="0"/>
              <w:jc w:val="left"/>
              <w:rPr>
                <w:sz w:val="18"/>
              </w:rPr>
            </w:pPr>
          </w:p>
        </w:tc>
        <w:tc>
          <w:tcPr>
            <w:tcW w:w="1024" w:type="dxa"/>
            <w:tcBorders>
              <w:top w:val="single" w:sz="8" w:space="0" w:color="CCEDFF"/>
            </w:tcBorders>
            <w:shd w:val="clear" w:color="auto" w:fill="CCEDFF"/>
          </w:tcPr>
          <w:p w14:paraId="162B9A26" w14:textId="77777777" w:rsidR="00AE2255" w:rsidRDefault="00AE2255">
            <w:pPr>
              <w:pStyle w:val="TableParagraph"/>
              <w:spacing w:before="0"/>
              <w:jc w:val="left"/>
              <w:rPr>
                <w:sz w:val="18"/>
              </w:rPr>
            </w:pPr>
          </w:p>
        </w:tc>
      </w:tr>
      <w:tr w:rsidR="00AE2255" w14:paraId="341556F0" w14:textId="77777777">
        <w:trPr>
          <w:trHeight w:val="285"/>
        </w:trPr>
        <w:tc>
          <w:tcPr>
            <w:tcW w:w="4838" w:type="dxa"/>
          </w:tcPr>
          <w:p w14:paraId="2DD152E0" w14:textId="77777777" w:rsidR="00AE2255" w:rsidRDefault="00000000">
            <w:pPr>
              <w:pStyle w:val="TableParagraph"/>
              <w:spacing w:before="27"/>
              <w:ind w:left="52"/>
              <w:jc w:val="left"/>
              <w:rPr>
                <w:sz w:val="20"/>
              </w:rPr>
            </w:pPr>
            <w:r>
              <w:rPr>
                <w:sz w:val="20"/>
              </w:rPr>
              <w:t>Net</w:t>
            </w:r>
            <w:r>
              <w:rPr>
                <w:spacing w:val="-3"/>
                <w:sz w:val="20"/>
              </w:rPr>
              <w:t xml:space="preserve"> </w:t>
            </w:r>
            <w:r>
              <w:rPr>
                <w:spacing w:val="-2"/>
                <w:sz w:val="20"/>
              </w:rPr>
              <w:t>sales</w:t>
            </w:r>
          </w:p>
        </w:tc>
        <w:tc>
          <w:tcPr>
            <w:tcW w:w="1143" w:type="dxa"/>
          </w:tcPr>
          <w:p w14:paraId="52653A02" w14:textId="77777777" w:rsidR="00AE2255" w:rsidRDefault="00000000">
            <w:pPr>
              <w:pStyle w:val="TableParagraph"/>
              <w:tabs>
                <w:tab w:val="left" w:pos="455"/>
              </w:tabs>
              <w:ind w:left="134"/>
              <w:jc w:val="left"/>
              <w:rPr>
                <w:b/>
                <w:sz w:val="20"/>
              </w:rPr>
            </w:pPr>
            <w:r>
              <w:rPr>
                <w:b/>
                <w:spacing w:val="-10"/>
                <w:sz w:val="20"/>
              </w:rPr>
              <w:t>$</w:t>
            </w:r>
            <w:r>
              <w:rPr>
                <w:b/>
                <w:sz w:val="20"/>
              </w:rPr>
              <w:tab/>
            </w:r>
            <w:r>
              <w:rPr>
                <w:b/>
                <w:spacing w:val="-2"/>
                <w:sz w:val="20"/>
              </w:rPr>
              <w:t>65,984</w:t>
            </w:r>
          </w:p>
        </w:tc>
        <w:tc>
          <w:tcPr>
            <w:tcW w:w="1080" w:type="dxa"/>
          </w:tcPr>
          <w:p w14:paraId="106F4861" w14:textId="77777777" w:rsidR="00AE2255" w:rsidRDefault="00000000">
            <w:pPr>
              <w:pStyle w:val="TableParagraph"/>
              <w:tabs>
                <w:tab w:val="left" w:pos="320"/>
              </w:tabs>
              <w:ind w:right="135"/>
              <w:rPr>
                <w:sz w:val="20"/>
              </w:rPr>
            </w:pPr>
            <w:r>
              <w:rPr>
                <w:spacing w:val="-10"/>
                <w:sz w:val="20"/>
              </w:rPr>
              <w:t>$</w:t>
            </w:r>
            <w:r>
              <w:rPr>
                <w:sz w:val="20"/>
              </w:rPr>
              <w:tab/>
            </w:r>
            <w:r>
              <w:rPr>
                <w:spacing w:val="-2"/>
                <w:sz w:val="20"/>
              </w:rPr>
              <w:t>67,044</w:t>
            </w:r>
          </w:p>
        </w:tc>
        <w:tc>
          <w:tcPr>
            <w:tcW w:w="1095" w:type="dxa"/>
          </w:tcPr>
          <w:p w14:paraId="18386910" w14:textId="77777777" w:rsidR="00AE2255" w:rsidRDefault="00000000">
            <w:pPr>
              <w:pStyle w:val="TableParagraph"/>
              <w:tabs>
                <w:tab w:val="left" w:pos="335"/>
              </w:tabs>
              <w:ind w:right="135"/>
              <w:rPr>
                <w:sz w:val="20"/>
              </w:rPr>
            </w:pPr>
            <w:r>
              <w:rPr>
                <w:spacing w:val="-10"/>
                <w:sz w:val="20"/>
              </w:rPr>
              <w:t>$</w:t>
            </w:r>
            <w:r>
              <w:rPr>
                <w:sz w:val="20"/>
              </w:rPr>
              <w:tab/>
            </w:r>
            <w:r>
              <w:rPr>
                <w:spacing w:val="-2"/>
                <w:sz w:val="20"/>
              </w:rPr>
              <w:t>65,398</w:t>
            </w:r>
          </w:p>
        </w:tc>
        <w:tc>
          <w:tcPr>
            <w:tcW w:w="1080" w:type="dxa"/>
          </w:tcPr>
          <w:p w14:paraId="47234AA7" w14:textId="77777777" w:rsidR="00AE2255" w:rsidRDefault="00000000">
            <w:pPr>
              <w:pStyle w:val="TableParagraph"/>
              <w:tabs>
                <w:tab w:val="left" w:pos="320"/>
              </w:tabs>
              <w:ind w:right="135"/>
              <w:rPr>
                <w:sz w:val="20"/>
              </w:rPr>
            </w:pPr>
            <w:r>
              <w:rPr>
                <w:spacing w:val="-10"/>
                <w:sz w:val="20"/>
              </w:rPr>
              <w:t>$</w:t>
            </w:r>
            <w:r>
              <w:rPr>
                <w:sz w:val="20"/>
              </w:rPr>
              <w:tab/>
            </w:r>
            <w:r>
              <w:rPr>
                <w:spacing w:val="-2"/>
                <w:sz w:val="20"/>
              </w:rPr>
              <w:t>59,812</w:t>
            </w:r>
          </w:p>
        </w:tc>
        <w:tc>
          <w:tcPr>
            <w:tcW w:w="1024" w:type="dxa"/>
          </w:tcPr>
          <w:p w14:paraId="2FF3B938" w14:textId="77777777" w:rsidR="00AE2255" w:rsidRDefault="00000000">
            <w:pPr>
              <w:pStyle w:val="TableParagraph"/>
              <w:tabs>
                <w:tab w:val="left" w:pos="320"/>
              </w:tabs>
              <w:ind w:right="79"/>
              <w:rPr>
                <w:sz w:val="20"/>
              </w:rPr>
            </w:pPr>
            <w:r>
              <w:rPr>
                <w:spacing w:val="-10"/>
                <w:sz w:val="20"/>
              </w:rPr>
              <w:t>$</w:t>
            </w:r>
            <w:r>
              <w:rPr>
                <w:sz w:val="20"/>
              </w:rPr>
              <w:tab/>
            </w:r>
            <w:r>
              <w:rPr>
                <w:spacing w:val="-2"/>
                <w:sz w:val="20"/>
              </w:rPr>
              <w:t>53,762</w:t>
            </w:r>
          </w:p>
        </w:tc>
      </w:tr>
      <w:tr w:rsidR="00AE2255" w14:paraId="52A87940" w14:textId="77777777">
        <w:trPr>
          <w:trHeight w:val="285"/>
        </w:trPr>
        <w:tc>
          <w:tcPr>
            <w:tcW w:w="4838" w:type="dxa"/>
            <w:shd w:val="clear" w:color="auto" w:fill="CCEDFF"/>
          </w:tcPr>
          <w:p w14:paraId="31B4F481" w14:textId="77777777" w:rsidR="00AE2255" w:rsidRDefault="00000000">
            <w:pPr>
              <w:pStyle w:val="TableParagraph"/>
              <w:ind w:left="52"/>
              <w:jc w:val="left"/>
              <w:rPr>
                <w:sz w:val="20"/>
              </w:rPr>
            </w:pPr>
            <w:r>
              <w:rPr>
                <w:sz w:val="20"/>
              </w:rPr>
              <w:t>Operating</w:t>
            </w:r>
            <w:r>
              <w:rPr>
                <w:spacing w:val="-4"/>
                <w:sz w:val="20"/>
              </w:rPr>
              <w:t xml:space="preserve"> </w:t>
            </w:r>
            <w:r>
              <w:rPr>
                <w:sz w:val="20"/>
              </w:rPr>
              <w:t>profit</w:t>
            </w:r>
            <w:r>
              <w:rPr>
                <w:spacing w:val="-3"/>
                <w:sz w:val="20"/>
              </w:rPr>
              <w:t xml:space="preserve"> </w:t>
            </w:r>
            <w:r>
              <w:rPr>
                <w:spacing w:val="-2"/>
                <w:sz w:val="20"/>
                <w:vertAlign w:val="superscript"/>
              </w:rPr>
              <w:t>(a)(b)</w:t>
            </w:r>
          </w:p>
        </w:tc>
        <w:tc>
          <w:tcPr>
            <w:tcW w:w="1143" w:type="dxa"/>
            <w:shd w:val="clear" w:color="auto" w:fill="CCEDFF"/>
          </w:tcPr>
          <w:p w14:paraId="0614BF00" w14:textId="77777777" w:rsidR="00AE2255" w:rsidRDefault="00000000">
            <w:pPr>
              <w:pStyle w:val="TableParagraph"/>
              <w:ind w:right="135"/>
              <w:rPr>
                <w:b/>
                <w:sz w:val="20"/>
              </w:rPr>
            </w:pPr>
            <w:r>
              <w:rPr>
                <w:b/>
                <w:spacing w:val="-2"/>
                <w:sz w:val="20"/>
              </w:rPr>
              <w:t>8,348</w:t>
            </w:r>
          </w:p>
        </w:tc>
        <w:tc>
          <w:tcPr>
            <w:tcW w:w="1080" w:type="dxa"/>
            <w:shd w:val="clear" w:color="auto" w:fill="CCEDFF"/>
          </w:tcPr>
          <w:p w14:paraId="64F01713" w14:textId="77777777" w:rsidR="00AE2255" w:rsidRDefault="00000000">
            <w:pPr>
              <w:pStyle w:val="TableParagraph"/>
              <w:ind w:right="135"/>
              <w:rPr>
                <w:sz w:val="20"/>
              </w:rPr>
            </w:pPr>
            <w:r>
              <w:rPr>
                <w:spacing w:val="-2"/>
                <w:sz w:val="20"/>
              </w:rPr>
              <w:t>9,123</w:t>
            </w:r>
          </w:p>
        </w:tc>
        <w:tc>
          <w:tcPr>
            <w:tcW w:w="1095" w:type="dxa"/>
            <w:shd w:val="clear" w:color="auto" w:fill="CCEDFF"/>
          </w:tcPr>
          <w:p w14:paraId="69B216F5" w14:textId="77777777" w:rsidR="00AE2255" w:rsidRDefault="00000000">
            <w:pPr>
              <w:pStyle w:val="TableParagraph"/>
              <w:ind w:right="135"/>
              <w:rPr>
                <w:sz w:val="20"/>
              </w:rPr>
            </w:pPr>
            <w:r>
              <w:rPr>
                <w:spacing w:val="-2"/>
                <w:sz w:val="20"/>
              </w:rPr>
              <w:t>8,644</w:t>
            </w:r>
          </w:p>
        </w:tc>
        <w:tc>
          <w:tcPr>
            <w:tcW w:w="1080" w:type="dxa"/>
            <w:shd w:val="clear" w:color="auto" w:fill="CCEDFF"/>
          </w:tcPr>
          <w:p w14:paraId="702793C9" w14:textId="77777777" w:rsidR="00AE2255" w:rsidRDefault="00000000">
            <w:pPr>
              <w:pStyle w:val="TableParagraph"/>
              <w:ind w:right="135"/>
              <w:rPr>
                <w:sz w:val="20"/>
              </w:rPr>
            </w:pPr>
            <w:r>
              <w:rPr>
                <w:spacing w:val="-2"/>
                <w:sz w:val="20"/>
              </w:rPr>
              <w:t>8,545</w:t>
            </w:r>
          </w:p>
        </w:tc>
        <w:tc>
          <w:tcPr>
            <w:tcW w:w="1024" w:type="dxa"/>
            <w:shd w:val="clear" w:color="auto" w:fill="CCEDFF"/>
          </w:tcPr>
          <w:p w14:paraId="395D7D9B" w14:textId="77777777" w:rsidR="00AE2255" w:rsidRDefault="00000000">
            <w:pPr>
              <w:pStyle w:val="TableParagraph"/>
              <w:ind w:right="79"/>
              <w:rPr>
                <w:sz w:val="20"/>
              </w:rPr>
            </w:pPr>
            <w:r>
              <w:rPr>
                <w:spacing w:val="-2"/>
                <w:sz w:val="20"/>
              </w:rPr>
              <w:t>7,334</w:t>
            </w:r>
          </w:p>
        </w:tc>
      </w:tr>
      <w:tr w:rsidR="00AE2255" w14:paraId="0A320B86" w14:textId="77777777">
        <w:trPr>
          <w:trHeight w:val="285"/>
        </w:trPr>
        <w:tc>
          <w:tcPr>
            <w:tcW w:w="4838" w:type="dxa"/>
          </w:tcPr>
          <w:p w14:paraId="24407334" w14:textId="77777777" w:rsidR="00AE2255" w:rsidRDefault="00000000">
            <w:pPr>
              <w:pStyle w:val="TableParagraph"/>
              <w:ind w:left="52"/>
              <w:jc w:val="left"/>
              <w:rPr>
                <w:sz w:val="20"/>
              </w:rPr>
            </w:pPr>
            <w:r>
              <w:rPr>
                <w:sz w:val="20"/>
              </w:rPr>
              <w:t>Net</w:t>
            </w:r>
            <w:r>
              <w:rPr>
                <w:spacing w:val="-4"/>
                <w:sz w:val="20"/>
              </w:rPr>
              <w:t xml:space="preserve"> </w:t>
            </w:r>
            <w:r>
              <w:rPr>
                <w:sz w:val="20"/>
              </w:rPr>
              <w:t>earnings</w:t>
            </w:r>
            <w:r>
              <w:rPr>
                <w:spacing w:val="-4"/>
                <w:sz w:val="20"/>
              </w:rPr>
              <w:t xml:space="preserve"> </w:t>
            </w:r>
            <w:r>
              <w:rPr>
                <w:sz w:val="20"/>
              </w:rPr>
              <w:t>from</w:t>
            </w:r>
            <w:r>
              <w:rPr>
                <w:spacing w:val="-3"/>
                <w:sz w:val="20"/>
              </w:rPr>
              <w:t xml:space="preserve"> </w:t>
            </w:r>
            <w:r>
              <w:rPr>
                <w:sz w:val="20"/>
              </w:rPr>
              <w:t>continuing</w:t>
            </w:r>
            <w:r>
              <w:rPr>
                <w:spacing w:val="-3"/>
                <w:sz w:val="20"/>
              </w:rPr>
              <w:t xml:space="preserve"> </w:t>
            </w:r>
            <w:r>
              <w:rPr>
                <w:sz w:val="20"/>
              </w:rPr>
              <w:t>operations</w:t>
            </w:r>
            <w:r>
              <w:rPr>
                <w:spacing w:val="-3"/>
                <w:sz w:val="20"/>
              </w:rPr>
              <w:t xml:space="preserve"> </w:t>
            </w:r>
            <w:r>
              <w:rPr>
                <w:spacing w:val="-2"/>
                <w:sz w:val="20"/>
                <w:vertAlign w:val="superscript"/>
              </w:rPr>
              <w:t>(a)(b)(c)(d)(e)(f)(g)(h)</w:t>
            </w:r>
          </w:p>
        </w:tc>
        <w:tc>
          <w:tcPr>
            <w:tcW w:w="1143" w:type="dxa"/>
          </w:tcPr>
          <w:p w14:paraId="57905B65" w14:textId="77777777" w:rsidR="00AE2255" w:rsidRDefault="00000000">
            <w:pPr>
              <w:pStyle w:val="TableParagraph"/>
              <w:ind w:right="135"/>
              <w:rPr>
                <w:b/>
                <w:sz w:val="20"/>
              </w:rPr>
            </w:pPr>
            <w:r>
              <w:rPr>
                <w:b/>
                <w:spacing w:val="-2"/>
                <w:sz w:val="20"/>
              </w:rPr>
              <w:t>5,732</w:t>
            </w:r>
          </w:p>
        </w:tc>
        <w:tc>
          <w:tcPr>
            <w:tcW w:w="1080" w:type="dxa"/>
          </w:tcPr>
          <w:p w14:paraId="580F12CC" w14:textId="77777777" w:rsidR="00AE2255" w:rsidRDefault="00000000">
            <w:pPr>
              <w:pStyle w:val="TableParagraph"/>
              <w:ind w:right="135"/>
              <w:rPr>
                <w:sz w:val="20"/>
              </w:rPr>
            </w:pPr>
            <w:r>
              <w:rPr>
                <w:spacing w:val="-2"/>
                <w:sz w:val="20"/>
              </w:rPr>
              <w:t>6,315</w:t>
            </w:r>
          </w:p>
        </w:tc>
        <w:tc>
          <w:tcPr>
            <w:tcW w:w="1095" w:type="dxa"/>
          </w:tcPr>
          <w:p w14:paraId="55510588" w14:textId="77777777" w:rsidR="00AE2255" w:rsidRDefault="00000000">
            <w:pPr>
              <w:pStyle w:val="TableParagraph"/>
              <w:ind w:right="135"/>
              <w:rPr>
                <w:sz w:val="20"/>
              </w:rPr>
            </w:pPr>
            <w:r>
              <w:rPr>
                <w:spacing w:val="-2"/>
                <w:sz w:val="20"/>
              </w:rPr>
              <w:t>6,888</w:t>
            </w:r>
          </w:p>
        </w:tc>
        <w:tc>
          <w:tcPr>
            <w:tcW w:w="1080" w:type="dxa"/>
          </w:tcPr>
          <w:p w14:paraId="204E220D" w14:textId="77777777" w:rsidR="00AE2255" w:rsidRDefault="00000000">
            <w:pPr>
              <w:pStyle w:val="TableParagraph"/>
              <w:ind w:right="135"/>
              <w:rPr>
                <w:sz w:val="20"/>
              </w:rPr>
            </w:pPr>
            <w:r>
              <w:rPr>
                <w:spacing w:val="-2"/>
                <w:sz w:val="20"/>
              </w:rPr>
              <w:t>6,230</w:t>
            </w:r>
          </w:p>
        </w:tc>
        <w:tc>
          <w:tcPr>
            <w:tcW w:w="1024" w:type="dxa"/>
          </w:tcPr>
          <w:p w14:paraId="707D18EC" w14:textId="77777777" w:rsidR="00AE2255" w:rsidRDefault="00000000">
            <w:pPr>
              <w:pStyle w:val="TableParagraph"/>
              <w:ind w:right="79"/>
              <w:rPr>
                <w:sz w:val="20"/>
              </w:rPr>
            </w:pPr>
            <w:r>
              <w:rPr>
                <w:spacing w:val="-2"/>
                <w:sz w:val="20"/>
              </w:rPr>
              <w:t>5,046</w:t>
            </w:r>
          </w:p>
        </w:tc>
      </w:tr>
      <w:tr w:rsidR="00AE2255" w14:paraId="4E9A75FC" w14:textId="77777777">
        <w:trPr>
          <w:trHeight w:val="285"/>
        </w:trPr>
        <w:tc>
          <w:tcPr>
            <w:tcW w:w="4838" w:type="dxa"/>
            <w:shd w:val="clear" w:color="auto" w:fill="CCEDFF"/>
          </w:tcPr>
          <w:p w14:paraId="3CF0DBD6" w14:textId="77777777" w:rsidR="00AE2255" w:rsidRDefault="00000000">
            <w:pPr>
              <w:pStyle w:val="TableParagraph"/>
              <w:ind w:left="52"/>
              <w:jc w:val="left"/>
              <w:rPr>
                <w:sz w:val="20"/>
              </w:rPr>
            </w:pPr>
            <w:r>
              <w:rPr>
                <w:sz w:val="20"/>
              </w:rPr>
              <w:t>Net</w:t>
            </w:r>
            <w:r>
              <w:rPr>
                <w:spacing w:val="-4"/>
                <w:sz w:val="20"/>
              </w:rPr>
              <w:t xml:space="preserve"> </w:t>
            </w:r>
            <w:r>
              <w:rPr>
                <w:sz w:val="20"/>
              </w:rPr>
              <w:t>loss</w:t>
            </w:r>
            <w:r>
              <w:rPr>
                <w:spacing w:val="-3"/>
                <w:sz w:val="20"/>
              </w:rPr>
              <w:t xml:space="preserve"> </w:t>
            </w:r>
            <w:r>
              <w:rPr>
                <w:sz w:val="20"/>
              </w:rPr>
              <w:t>from</w:t>
            </w:r>
            <w:r>
              <w:rPr>
                <w:spacing w:val="-4"/>
                <w:sz w:val="20"/>
              </w:rPr>
              <w:t xml:space="preserve"> </w:t>
            </w:r>
            <w:r>
              <w:rPr>
                <w:sz w:val="20"/>
              </w:rPr>
              <w:t>discontinued</w:t>
            </w:r>
            <w:r>
              <w:rPr>
                <w:spacing w:val="-2"/>
                <w:sz w:val="20"/>
              </w:rPr>
              <w:t xml:space="preserve"> operations</w:t>
            </w:r>
          </w:p>
        </w:tc>
        <w:tc>
          <w:tcPr>
            <w:tcW w:w="1143" w:type="dxa"/>
            <w:shd w:val="clear" w:color="auto" w:fill="CCEDFF"/>
          </w:tcPr>
          <w:p w14:paraId="7F2E7781" w14:textId="77777777" w:rsidR="00AE2255" w:rsidRDefault="00000000">
            <w:pPr>
              <w:pStyle w:val="TableParagraph"/>
              <w:ind w:right="135"/>
              <w:rPr>
                <w:b/>
                <w:sz w:val="20"/>
              </w:rPr>
            </w:pPr>
            <w:r>
              <w:rPr>
                <w:b/>
                <w:sz w:val="20"/>
              </w:rPr>
              <w:t>—</w:t>
            </w:r>
          </w:p>
        </w:tc>
        <w:tc>
          <w:tcPr>
            <w:tcW w:w="1080" w:type="dxa"/>
            <w:shd w:val="clear" w:color="auto" w:fill="CCEDFF"/>
          </w:tcPr>
          <w:p w14:paraId="34AB9D1B" w14:textId="77777777" w:rsidR="00AE2255" w:rsidRDefault="00000000">
            <w:pPr>
              <w:pStyle w:val="TableParagraph"/>
              <w:ind w:right="135"/>
              <w:rPr>
                <w:sz w:val="20"/>
              </w:rPr>
            </w:pPr>
            <w:r>
              <w:rPr>
                <w:sz w:val="20"/>
              </w:rPr>
              <w:t>—</w:t>
            </w:r>
          </w:p>
        </w:tc>
        <w:tc>
          <w:tcPr>
            <w:tcW w:w="1095" w:type="dxa"/>
            <w:shd w:val="clear" w:color="auto" w:fill="CCEDFF"/>
          </w:tcPr>
          <w:p w14:paraId="36B6D76C" w14:textId="77777777" w:rsidR="00AE2255" w:rsidRDefault="00000000">
            <w:pPr>
              <w:pStyle w:val="TableParagraph"/>
              <w:ind w:right="70"/>
              <w:rPr>
                <w:sz w:val="20"/>
              </w:rPr>
            </w:pPr>
            <w:r>
              <w:rPr>
                <w:spacing w:val="-4"/>
                <w:sz w:val="20"/>
              </w:rPr>
              <w:t>(55)</w:t>
            </w:r>
          </w:p>
        </w:tc>
        <w:tc>
          <w:tcPr>
            <w:tcW w:w="1080" w:type="dxa"/>
            <w:shd w:val="clear" w:color="auto" w:fill="CCEDFF"/>
          </w:tcPr>
          <w:p w14:paraId="1F731012" w14:textId="77777777" w:rsidR="00AE2255" w:rsidRDefault="00000000">
            <w:pPr>
              <w:pStyle w:val="TableParagraph"/>
              <w:ind w:right="135"/>
              <w:rPr>
                <w:sz w:val="20"/>
              </w:rPr>
            </w:pPr>
            <w:r>
              <w:rPr>
                <w:sz w:val="20"/>
              </w:rPr>
              <w:t>—</w:t>
            </w:r>
          </w:p>
        </w:tc>
        <w:tc>
          <w:tcPr>
            <w:tcW w:w="1024" w:type="dxa"/>
            <w:shd w:val="clear" w:color="auto" w:fill="CCEDFF"/>
          </w:tcPr>
          <w:p w14:paraId="1C3C411B" w14:textId="77777777" w:rsidR="00AE2255" w:rsidRDefault="00000000">
            <w:pPr>
              <w:pStyle w:val="TableParagraph"/>
              <w:ind w:right="79"/>
              <w:rPr>
                <w:sz w:val="20"/>
              </w:rPr>
            </w:pPr>
            <w:r>
              <w:rPr>
                <w:sz w:val="20"/>
              </w:rPr>
              <w:t>—</w:t>
            </w:r>
          </w:p>
        </w:tc>
      </w:tr>
      <w:tr w:rsidR="00AE2255" w14:paraId="5694F704" w14:textId="77777777">
        <w:trPr>
          <w:trHeight w:val="275"/>
        </w:trPr>
        <w:tc>
          <w:tcPr>
            <w:tcW w:w="4838" w:type="dxa"/>
            <w:tcBorders>
              <w:bottom w:val="single" w:sz="8" w:space="0" w:color="auto"/>
            </w:tcBorders>
          </w:tcPr>
          <w:p w14:paraId="16AD21D6" w14:textId="77777777" w:rsidR="00AE2255" w:rsidRDefault="00000000">
            <w:pPr>
              <w:pStyle w:val="TableParagraph"/>
              <w:ind w:left="52"/>
              <w:jc w:val="left"/>
              <w:rPr>
                <w:sz w:val="11"/>
              </w:rPr>
            </w:pPr>
            <w:r>
              <w:rPr>
                <w:position w:val="-7"/>
                <w:sz w:val="20"/>
              </w:rPr>
              <w:t>Net</w:t>
            </w:r>
            <w:r>
              <w:rPr>
                <w:spacing w:val="-4"/>
                <w:position w:val="-7"/>
                <w:sz w:val="20"/>
              </w:rPr>
              <w:t xml:space="preserve"> </w:t>
            </w:r>
            <w:r>
              <w:rPr>
                <w:position w:val="-7"/>
                <w:sz w:val="20"/>
              </w:rPr>
              <w:t>earnings</w:t>
            </w:r>
            <w:r>
              <w:rPr>
                <w:spacing w:val="-3"/>
                <w:position w:val="-7"/>
                <w:sz w:val="20"/>
              </w:rPr>
              <w:t xml:space="preserve"> </w:t>
            </w:r>
            <w:r>
              <w:rPr>
                <w:spacing w:val="-2"/>
                <w:sz w:val="11"/>
              </w:rPr>
              <w:t>(a)(b)(c)(d)(e)(f)(g)(h)</w:t>
            </w:r>
          </w:p>
        </w:tc>
        <w:tc>
          <w:tcPr>
            <w:tcW w:w="1143" w:type="dxa"/>
            <w:tcBorders>
              <w:bottom w:val="single" w:sz="8" w:space="0" w:color="auto"/>
            </w:tcBorders>
          </w:tcPr>
          <w:p w14:paraId="0AF7C7B1" w14:textId="77777777" w:rsidR="00AE2255" w:rsidRDefault="00000000">
            <w:pPr>
              <w:pStyle w:val="TableParagraph"/>
              <w:spacing w:line="230" w:lineRule="exact"/>
              <w:ind w:right="135"/>
              <w:rPr>
                <w:b/>
                <w:sz w:val="20"/>
              </w:rPr>
            </w:pPr>
            <w:r>
              <w:rPr>
                <w:b/>
                <w:spacing w:val="-2"/>
                <w:sz w:val="20"/>
              </w:rPr>
              <w:t>5,732</w:t>
            </w:r>
          </w:p>
        </w:tc>
        <w:tc>
          <w:tcPr>
            <w:tcW w:w="1080" w:type="dxa"/>
            <w:tcBorders>
              <w:bottom w:val="single" w:sz="8" w:space="0" w:color="auto"/>
            </w:tcBorders>
          </w:tcPr>
          <w:p w14:paraId="5EB48693" w14:textId="77777777" w:rsidR="00AE2255" w:rsidRDefault="00000000">
            <w:pPr>
              <w:pStyle w:val="TableParagraph"/>
              <w:spacing w:line="230" w:lineRule="exact"/>
              <w:ind w:right="135"/>
              <w:rPr>
                <w:sz w:val="20"/>
              </w:rPr>
            </w:pPr>
            <w:r>
              <w:rPr>
                <w:spacing w:val="-2"/>
                <w:sz w:val="20"/>
              </w:rPr>
              <w:t>6,315</w:t>
            </w:r>
          </w:p>
        </w:tc>
        <w:tc>
          <w:tcPr>
            <w:tcW w:w="1095" w:type="dxa"/>
            <w:tcBorders>
              <w:bottom w:val="single" w:sz="8" w:space="0" w:color="auto"/>
            </w:tcBorders>
          </w:tcPr>
          <w:p w14:paraId="4E9B94DC" w14:textId="77777777" w:rsidR="00AE2255" w:rsidRDefault="00000000">
            <w:pPr>
              <w:pStyle w:val="TableParagraph"/>
              <w:spacing w:line="230" w:lineRule="exact"/>
              <w:ind w:right="135"/>
              <w:rPr>
                <w:sz w:val="20"/>
              </w:rPr>
            </w:pPr>
            <w:r>
              <w:rPr>
                <w:spacing w:val="-2"/>
                <w:sz w:val="20"/>
              </w:rPr>
              <w:t>6,833</w:t>
            </w:r>
          </w:p>
        </w:tc>
        <w:tc>
          <w:tcPr>
            <w:tcW w:w="1080" w:type="dxa"/>
            <w:tcBorders>
              <w:bottom w:val="single" w:sz="8" w:space="0" w:color="auto"/>
            </w:tcBorders>
          </w:tcPr>
          <w:p w14:paraId="41AAA57F" w14:textId="77777777" w:rsidR="00AE2255" w:rsidRDefault="00000000">
            <w:pPr>
              <w:pStyle w:val="TableParagraph"/>
              <w:spacing w:line="230" w:lineRule="exact"/>
              <w:ind w:right="135"/>
              <w:rPr>
                <w:sz w:val="20"/>
              </w:rPr>
            </w:pPr>
            <w:r>
              <w:rPr>
                <w:spacing w:val="-2"/>
                <w:sz w:val="20"/>
              </w:rPr>
              <w:t>6,230</w:t>
            </w:r>
          </w:p>
        </w:tc>
        <w:tc>
          <w:tcPr>
            <w:tcW w:w="1024" w:type="dxa"/>
            <w:tcBorders>
              <w:bottom w:val="single" w:sz="8" w:space="0" w:color="auto"/>
            </w:tcBorders>
          </w:tcPr>
          <w:p w14:paraId="4A9BD05A" w14:textId="77777777" w:rsidR="00AE2255" w:rsidRDefault="00000000">
            <w:pPr>
              <w:pStyle w:val="TableParagraph"/>
              <w:spacing w:line="230" w:lineRule="exact"/>
              <w:ind w:right="79"/>
              <w:rPr>
                <w:sz w:val="20"/>
              </w:rPr>
            </w:pPr>
            <w:r>
              <w:rPr>
                <w:spacing w:val="-2"/>
                <w:sz w:val="20"/>
              </w:rPr>
              <w:t>5,046</w:t>
            </w:r>
          </w:p>
        </w:tc>
      </w:tr>
      <w:tr w:rsidR="00AE2255" w14:paraId="1E43F8BB" w14:textId="77777777">
        <w:trPr>
          <w:trHeight w:val="275"/>
        </w:trPr>
        <w:tc>
          <w:tcPr>
            <w:tcW w:w="4838" w:type="dxa"/>
            <w:tcBorders>
              <w:top w:val="single" w:sz="8" w:space="0" w:color="CCEDFF"/>
            </w:tcBorders>
            <w:shd w:val="clear" w:color="auto" w:fill="CCEDFF"/>
          </w:tcPr>
          <w:p w14:paraId="2BD54AFE" w14:textId="77777777" w:rsidR="00AE2255" w:rsidRDefault="00000000">
            <w:pPr>
              <w:pStyle w:val="TableParagraph"/>
              <w:spacing w:before="17"/>
              <w:ind w:left="52"/>
              <w:jc w:val="left"/>
              <w:rPr>
                <w:sz w:val="20"/>
              </w:rPr>
            </w:pPr>
            <w:r>
              <w:rPr>
                <w:sz w:val="20"/>
              </w:rPr>
              <w:t>Earnings</w:t>
            </w:r>
            <w:r>
              <w:rPr>
                <w:spacing w:val="-4"/>
                <w:sz w:val="20"/>
              </w:rPr>
              <w:t xml:space="preserve"> </w:t>
            </w:r>
            <w:r>
              <w:rPr>
                <w:sz w:val="20"/>
              </w:rPr>
              <w:t>from</w:t>
            </w:r>
            <w:r>
              <w:rPr>
                <w:spacing w:val="-3"/>
                <w:sz w:val="20"/>
              </w:rPr>
              <w:t xml:space="preserve"> </w:t>
            </w:r>
            <w:r>
              <w:rPr>
                <w:sz w:val="20"/>
              </w:rPr>
              <w:t>continuing</w:t>
            </w:r>
            <w:r>
              <w:rPr>
                <w:spacing w:val="-3"/>
                <w:sz w:val="20"/>
              </w:rPr>
              <w:t xml:space="preserve"> </w:t>
            </w:r>
            <w:r>
              <w:rPr>
                <w:sz w:val="20"/>
              </w:rPr>
              <w:t>operations</w:t>
            </w:r>
            <w:r>
              <w:rPr>
                <w:spacing w:val="-3"/>
                <w:sz w:val="20"/>
              </w:rPr>
              <w:t xml:space="preserve"> </w:t>
            </w:r>
            <w:r>
              <w:rPr>
                <w:sz w:val="20"/>
              </w:rPr>
              <w:t>per</w:t>
            </w:r>
            <w:r>
              <w:rPr>
                <w:spacing w:val="-3"/>
                <w:sz w:val="20"/>
              </w:rPr>
              <w:t xml:space="preserve"> </w:t>
            </w:r>
            <w:r>
              <w:rPr>
                <w:sz w:val="20"/>
              </w:rPr>
              <w:t>common</w:t>
            </w:r>
            <w:r>
              <w:rPr>
                <w:spacing w:val="-2"/>
                <w:sz w:val="20"/>
              </w:rPr>
              <w:t xml:space="preserve"> </w:t>
            </w:r>
            <w:r>
              <w:rPr>
                <w:spacing w:val="-4"/>
                <w:sz w:val="20"/>
              </w:rPr>
              <w:t>share</w:t>
            </w:r>
          </w:p>
        </w:tc>
        <w:tc>
          <w:tcPr>
            <w:tcW w:w="1143" w:type="dxa"/>
            <w:tcBorders>
              <w:top w:val="single" w:sz="8" w:space="0" w:color="CCEDFF"/>
            </w:tcBorders>
            <w:shd w:val="clear" w:color="auto" w:fill="CCEDFF"/>
          </w:tcPr>
          <w:p w14:paraId="30AAB363"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1FB0B0E3" w14:textId="77777777" w:rsidR="00AE2255" w:rsidRDefault="00AE2255">
            <w:pPr>
              <w:pStyle w:val="TableParagraph"/>
              <w:spacing w:before="0"/>
              <w:jc w:val="left"/>
              <w:rPr>
                <w:sz w:val="18"/>
              </w:rPr>
            </w:pPr>
          </w:p>
        </w:tc>
        <w:tc>
          <w:tcPr>
            <w:tcW w:w="1095" w:type="dxa"/>
            <w:tcBorders>
              <w:top w:val="single" w:sz="8" w:space="0" w:color="CCEDFF"/>
            </w:tcBorders>
            <w:shd w:val="clear" w:color="auto" w:fill="CCEDFF"/>
          </w:tcPr>
          <w:p w14:paraId="587EB8B9"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10817D42" w14:textId="77777777" w:rsidR="00AE2255" w:rsidRDefault="00AE2255">
            <w:pPr>
              <w:pStyle w:val="TableParagraph"/>
              <w:spacing w:before="0"/>
              <w:jc w:val="left"/>
              <w:rPr>
                <w:sz w:val="18"/>
              </w:rPr>
            </w:pPr>
          </w:p>
        </w:tc>
        <w:tc>
          <w:tcPr>
            <w:tcW w:w="1024" w:type="dxa"/>
            <w:tcBorders>
              <w:top w:val="single" w:sz="8" w:space="0" w:color="CCEDFF"/>
            </w:tcBorders>
            <w:shd w:val="clear" w:color="auto" w:fill="CCEDFF"/>
          </w:tcPr>
          <w:p w14:paraId="52AEFD9B" w14:textId="77777777" w:rsidR="00AE2255" w:rsidRDefault="00AE2255">
            <w:pPr>
              <w:pStyle w:val="TableParagraph"/>
              <w:spacing w:before="0"/>
              <w:jc w:val="left"/>
              <w:rPr>
                <w:sz w:val="18"/>
              </w:rPr>
            </w:pPr>
          </w:p>
        </w:tc>
      </w:tr>
      <w:tr w:rsidR="00AE2255" w14:paraId="30522144" w14:textId="77777777">
        <w:trPr>
          <w:trHeight w:val="285"/>
        </w:trPr>
        <w:tc>
          <w:tcPr>
            <w:tcW w:w="4838" w:type="dxa"/>
          </w:tcPr>
          <w:p w14:paraId="30A9D41C" w14:textId="77777777" w:rsidR="00AE2255" w:rsidRDefault="00000000">
            <w:pPr>
              <w:pStyle w:val="TableParagraph"/>
              <w:ind w:left="232"/>
              <w:jc w:val="left"/>
              <w:rPr>
                <w:sz w:val="11"/>
              </w:rPr>
            </w:pPr>
            <w:r>
              <w:rPr>
                <w:position w:val="-7"/>
                <w:sz w:val="20"/>
              </w:rPr>
              <w:t>Basic</w:t>
            </w:r>
            <w:r>
              <w:rPr>
                <w:spacing w:val="-5"/>
                <w:position w:val="-7"/>
                <w:sz w:val="20"/>
              </w:rPr>
              <w:t xml:space="preserve"> </w:t>
            </w:r>
            <w:r>
              <w:rPr>
                <w:spacing w:val="-2"/>
                <w:sz w:val="11"/>
              </w:rPr>
              <w:t>(a)(b)(c)(d)(e)(f)(g)(h)</w:t>
            </w:r>
          </w:p>
        </w:tc>
        <w:tc>
          <w:tcPr>
            <w:tcW w:w="1143" w:type="dxa"/>
          </w:tcPr>
          <w:p w14:paraId="7E3AF628" w14:textId="77777777" w:rsidR="00AE2255" w:rsidRDefault="00000000">
            <w:pPr>
              <w:pStyle w:val="TableParagraph"/>
              <w:ind w:right="135"/>
              <w:rPr>
                <w:b/>
                <w:sz w:val="20"/>
              </w:rPr>
            </w:pPr>
            <w:r>
              <w:rPr>
                <w:b/>
                <w:spacing w:val="-2"/>
                <w:sz w:val="20"/>
              </w:rPr>
              <w:t>21.74</w:t>
            </w:r>
          </w:p>
        </w:tc>
        <w:tc>
          <w:tcPr>
            <w:tcW w:w="1080" w:type="dxa"/>
          </w:tcPr>
          <w:p w14:paraId="37026161" w14:textId="77777777" w:rsidR="00AE2255" w:rsidRDefault="00000000">
            <w:pPr>
              <w:pStyle w:val="TableParagraph"/>
              <w:ind w:right="135"/>
              <w:rPr>
                <w:sz w:val="20"/>
              </w:rPr>
            </w:pPr>
            <w:r>
              <w:rPr>
                <w:spacing w:val="-2"/>
                <w:sz w:val="20"/>
              </w:rPr>
              <w:t>22.85</w:t>
            </w:r>
          </w:p>
        </w:tc>
        <w:tc>
          <w:tcPr>
            <w:tcW w:w="1095" w:type="dxa"/>
          </w:tcPr>
          <w:p w14:paraId="715EA206" w14:textId="77777777" w:rsidR="00AE2255" w:rsidRDefault="00000000">
            <w:pPr>
              <w:pStyle w:val="TableParagraph"/>
              <w:ind w:right="135"/>
              <w:rPr>
                <w:sz w:val="20"/>
              </w:rPr>
            </w:pPr>
            <w:r>
              <w:rPr>
                <w:spacing w:val="-2"/>
                <w:sz w:val="20"/>
              </w:rPr>
              <w:t>24.60</w:t>
            </w:r>
          </w:p>
        </w:tc>
        <w:tc>
          <w:tcPr>
            <w:tcW w:w="1080" w:type="dxa"/>
          </w:tcPr>
          <w:p w14:paraId="567AAD93" w14:textId="77777777" w:rsidR="00AE2255" w:rsidRDefault="00000000">
            <w:pPr>
              <w:pStyle w:val="TableParagraph"/>
              <w:ind w:right="135"/>
              <w:rPr>
                <w:sz w:val="20"/>
              </w:rPr>
            </w:pPr>
            <w:r>
              <w:rPr>
                <w:spacing w:val="-2"/>
                <w:sz w:val="20"/>
              </w:rPr>
              <w:t>22.09</w:t>
            </w:r>
          </w:p>
        </w:tc>
        <w:tc>
          <w:tcPr>
            <w:tcW w:w="1024" w:type="dxa"/>
          </w:tcPr>
          <w:p w14:paraId="3B61C1BC" w14:textId="77777777" w:rsidR="00AE2255" w:rsidRDefault="00000000">
            <w:pPr>
              <w:pStyle w:val="TableParagraph"/>
              <w:ind w:right="79"/>
              <w:rPr>
                <w:sz w:val="20"/>
              </w:rPr>
            </w:pPr>
            <w:r>
              <w:rPr>
                <w:spacing w:val="-2"/>
                <w:sz w:val="20"/>
              </w:rPr>
              <w:t>17.74</w:t>
            </w:r>
          </w:p>
        </w:tc>
      </w:tr>
      <w:tr w:rsidR="00AE2255" w14:paraId="017CF934" w14:textId="77777777">
        <w:trPr>
          <w:trHeight w:val="285"/>
        </w:trPr>
        <w:tc>
          <w:tcPr>
            <w:tcW w:w="4838" w:type="dxa"/>
            <w:shd w:val="clear" w:color="auto" w:fill="CCEDFF"/>
          </w:tcPr>
          <w:p w14:paraId="59D2EA9E" w14:textId="77777777" w:rsidR="00AE2255" w:rsidRDefault="00000000">
            <w:pPr>
              <w:pStyle w:val="TableParagraph"/>
              <w:ind w:left="232"/>
              <w:jc w:val="left"/>
              <w:rPr>
                <w:sz w:val="11"/>
              </w:rPr>
            </w:pPr>
            <w:r>
              <w:rPr>
                <w:position w:val="-7"/>
                <w:sz w:val="20"/>
              </w:rPr>
              <w:t>Diluted</w:t>
            </w:r>
            <w:r>
              <w:rPr>
                <w:spacing w:val="-5"/>
                <w:position w:val="-7"/>
                <w:sz w:val="20"/>
              </w:rPr>
              <w:t xml:space="preserve"> </w:t>
            </w:r>
            <w:r>
              <w:rPr>
                <w:spacing w:val="-2"/>
                <w:sz w:val="11"/>
              </w:rPr>
              <w:t>(a)(b)(c)(d)(e)(f)(g)(h)</w:t>
            </w:r>
          </w:p>
        </w:tc>
        <w:tc>
          <w:tcPr>
            <w:tcW w:w="1143" w:type="dxa"/>
            <w:shd w:val="clear" w:color="auto" w:fill="CCEDFF"/>
          </w:tcPr>
          <w:p w14:paraId="0B7FA317" w14:textId="77777777" w:rsidR="00AE2255" w:rsidRDefault="00000000">
            <w:pPr>
              <w:pStyle w:val="TableParagraph"/>
              <w:ind w:right="135"/>
              <w:rPr>
                <w:b/>
                <w:sz w:val="20"/>
              </w:rPr>
            </w:pPr>
            <w:r>
              <w:rPr>
                <w:b/>
                <w:spacing w:val="-2"/>
                <w:sz w:val="20"/>
              </w:rPr>
              <w:t>21.66</w:t>
            </w:r>
          </w:p>
        </w:tc>
        <w:tc>
          <w:tcPr>
            <w:tcW w:w="1080" w:type="dxa"/>
            <w:shd w:val="clear" w:color="auto" w:fill="CCEDFF"/>
          </w:tcPr>
          <w:p w14:paraId="3AA06E37" w14:textId="77777777" w:rsidR="00AE2255" w:rsidRDefault="00000000">
            <w:pPr>
              <w:pStyle w:val="TableParagraph"/>
              <w:ind w:right="135"/>
              <w:rPr>
                <w:sz w:val="20"/>
              </w:rPr>
            </w:pPr>
            <w:r>
              <w:rPr>
                <w:spacing w:val="-2"/>
                <w:sz w:val="20"/>
              </w:rPr>
              <w:t>22.76</w:t>
            </w:r>
          </w:p>
        </w:tc>
        <w:tc>
          <w:tcPr>
            <w:tcW w:w="1095" w:type="dxa"/>
            <w:shd w:val="clear" w:color="auto" w:fill="CCEDFF"/>
          </w:tcPr>
          <w:p w14:paraId="37B10B0C" w14:textId="77777777" w:rsidR="00AE2255" w:rsidRDefault="00000000">
            <w:pPr>
              <w:pStyle w:val="TableParagraph"/>
              <w:ind w:right="135"/>
              <w:rPr>
                <w:sz w:val="20"/>
              </w:rPr>
            </w:pPr>
            <w:r>
              <w:rPr>
                <w:spacing w:val="-2"/>
                <w:sz w:val="20"/>
              </w:rPr>
              <w:t>24.50</w:t>
            </w:r>
          </w:p>
        </w:tc>
        <w:tc>
          <w:tcPr>
            <w:tcW w:w="1080" w:type="dxa"/>
            <w:shd w:val="clear" w:color="auto" w:fill="CCEDFF"/>
          </w:tcPr>
          <w:p w14:paraId="1E01A7C0" w14:textId="77777777" w:rsidR="00AE2255" w:rsidRDefault="00000000">
            <w:pPr>
              <w:pStyle w:val="TableParagraph"/>
              <w:ind w:right="135"/>
              <w:rPr>
                <w:sz w:val="20"/>
              </w:rPr>
            </w:pPr>
            <w:r>
              <w:rPr>
                <w:spacing w:val="-2"/>
                <w:sz w:val="20"/>
              </w:rPr>
              <w:t>21.95</w:t>
            </w:r>
          </w:p>
        </w:tc>
        <w:tc>
          <w:tcPr>
            <w:tcW w:w="1024" w:type="dxa"/>
            <w:shd w:val="clear" w:color="auto" w:fill="CCEDFF"/>
          </w:tcPr>
          <w:p w14:paraId="408D22CD" w14:textId="77777777" w:rsidR="00AE2255" w:rsidRDefault="00000000">
            <w:pPr>
              <w:pStyle w:val="TableParagraph"/>
              <w:ind w:right="79"/>
              <w:rPr>
                <w:sz w:val="20"/>
              </w:rPr>
            </w:pPr>
            <w:r>
              <w:rPr>
                <w:spacing w:val="-2"/>
                <w:sz w:val="20"/>
              </w:rPr>
              <w:t>17.59</w:t>
            </w:r>
          </w:p>
        </w:tc>
      </w:tr>
      <w:tr w:rsidR="00AE2255" w14:paraId="661421F2" w14:textId="77777777">
        <w:trPr>
          <w:trHeight w:val="495"/>
        </w:trPr>
        <w:tc>
          <w:tcPr>
            <w:tcW w:w="4838" w:type="dxa"/>
          </w:tcPr>
          <w:p w14:paraId="3270F47E" w14:textId="77777777" w:rsidR="00AE2255" w:rsidRDefault="00000000">
            <w:pPr>
              <w:pStyle w:val="TableParagraph"/>
              <w:spacing w:before="51" w:line="208" w:lineRule="auto"/>
              <w:ind w:left="52"/>
              <w:jc w:val="left"/>
              <w:rPr>
                <w:sz w:val="20"/>
              </w:rPr>
            </w:pPr>
            <w:r>
              <w:rPr>
                <w:sz w:val="20"/>
              </w:rPr>
              <w:t>Earnings</w:t>
            </w:r>
            <w:r>
              <w:rPr>
                <w:spacing w:val="-8"/>
                <w:sz w:val="20"/>
              </w:rPr>
              <w:t xml:space="preserve"> </w:t>
            </w:r>
            <w:r>
              <w:rPr>
                <w:sz w:val="20"/>
              </w:rPr>
              <w:t>(loss)</w:t>
            </w:r>
            <w:r>
              <w:rPr>
                <w:spacing w:val="-7"/>
                <w:sz w:val="20"/>
              </w:rPr>
              <w:t xml:space="preserve"> </w:t>
            </w:r>
            <w:r>
              <w:rPr>
                <w:sz w:val="20"/>
              </w:rPr>
              <w:t>from</w:t>
            </w:r>
            <w:r>
              <w:rPr>
                <w:spacing w:val="-8"/>
                <w:sz w:val="20"/>
              </w:rPr>
              <w:t xml:space="preserve"> </w:t>
            </w:r>
            <w:r>
              <w:rPr>
                <w:sz w:val="20"/>
              </w:rPr>
              <w:t>discontinued</w:t>
            </w:r>
            <w:r>
              <w:rPr>
                <w:spacing w:val="-7"/>
                <w:sz w:val="20"/>
              </w:rPr>
              <w:t xml:space="preserve"> </w:t>
            </w:r>
            <w:r>
              <w:rPr>
                <w:sz w:val="20"/>
              </w:rPr>
              <w:t>operations</w:t>
            </w:r>
            <w:r>
              <w:rPr>
                <w:spacing w:val="-8"/>
                <w:sz w:val="20"/>
              </w:rPr>
              <w:t xml:space="preserve"> </w:t>
            </w:r>
            <w:r>
              <w:rPr>
                <w:sz w:val="20"/>
              </w:rPr>
              <w:t>per</w:t>
            </w:r>
            <w:r>
              <w:rPr>
                <w:spacing w:val="-7"/>
                <w:sz w:val="20"/>
              </w:rPr>
              <w:t xml:space="preserve"> </w:t>
            </w:r>
            <w:r>
              <w:rPr>
                <w:sz w:val="20"/>
              </w:rPr>
              <w:t xml:space="preserve">common </w:t>
            </w:r>
            <w:r>
              <w:rPr>
                <w:spacing w:val="-2"/>
                <w:sz w:val="20"/>
              </w:rPr>
              <w:t>share</w:t>
            </w:r>
          </w:p>
        </w:tc>
        <w:tc>
          <w:tcPr>
            <w:tcW w:w="1143" w:type="dxa"/>
          </w:tcPr>
          <w:p w14:paraId="32604CE2" w14:textId="77777777" w:rsidR="00AE2255" w:rsidRDefault="00AE2255">
            <w:pPr>
              <w:pStyle w:val="TableParagraph"/>
              <w:spacing w:before="0"/>
              <w:jc w:val="left"/>
              <w:rPr>
                <w:sz w:val="18"/>
              </w:rPr>
            </w:pPr>
          </w:p>
        </w:tc>
        <w:tc>
          <w:tcPr>
            <w:tcW w:w="1080" w:type="dxa"/>
          </w:tcPr>
          <w:p w14:paraId="3372478B" w14:textId="77777777" w:rsidR="00AE2255" w:rsidRDefault="00AE2255">
            <w:pPr>
              <w:pStyle w:val="TableParagraph"/>
              <w:spacing w:before="0"/>
              <w:jc w:val="left"/>
              <w:rPr>
                <w:sz w:val="18"/>
              </w:rPr>
            </w:pPr>
          </w:p>
        </w:tc>
        <w:tc>
          <w:tcPr>
            <w:tcW w:w="1095" w:type="dxa"/>
          </w:tcPr>
          <w:p w14:paraId="422F5BA0" w14:textId="77777777" w:rsidR="00AE2255" w:rsidRDefault="00AE2255">
            <w:pPr>
              <w:pStyle w:val="TableParagraph"/>
              <w:spacing w:before="0"/>
              <w:jc w:val="left"/>
              <w:rPr>
                <w:sz w:val="18"/>
              </w:rPr>
            </w:pPr>
          </w:p>
        </w:tc>
        <w:tc>
          <w:tcPr>
            <w:tcW w:w="1080" w:type="dxa"/>
          </w:tcPr>
          <w:p w14:paraId="2DDAED31" w14:textId="77777777" w:rsidR="00AE2255" w:rsidRDefault="00AE2255">
            <w:pPr>
              <w:pStyle w:val="TableParagraph"/>
              <w:spacing w:before="0"/>
              <w:jc w:val="left"/>
              <w:rPr>
                <w:sz w:val="18"/>
              </w:rPr>
            </w:pPr>
          </w:p>
        </w:tc>
        <w:tc>
          <w:tcPr>
            <w:tcW w:w="1024" w:type="dxa"/>
          </w:tcPr>
          <w:p w14:paraId="42CA4DB6" w14:textId="77777777" w:rsidR="00AE2255" w:rsidRDefault="00AE2255">
            <w:pPr>
              <w:pStyle w:val="TableParagraph"/>
              <w:spacing w:before="0"/>
              <w:jc w:val="left"/>
              <w:rPr>
                <w:sz w:val="18"/>
              </w:rPr>
            </w:pPr>
          </w:p>
        </w:tc>
      </w:tr>
      <w:tr w:rsidR="00AE2255" w14:paraId="5422E346" w14:textId="77777777">
        <w:trPr>
          <w:trHeight w:val="285"/>
        </w:trPr>
        <w:tc>
          <w:tcPr>
            <w:tcW w:w="4838" w:type="dxa"/>
            <w:shd w:val="clear" w:color="auto" w:fill="CCEDFF"/>
          </w:tcPr>
          <w:p w14:paraId="2D673128" w14:textId="77777777" w:rsidR="00AE2255" w:rsidRDefault="00000000">
            <w:pPr>
              <w:pStyle w:val="TableParagraph"/>
              <w:spacing w:before="27"/>
              <w:ind w:left="187"/>
              <w:jc w:val="left"/>
              <w:rPr>
                <w:sz w:val="20"/>
              </w:rPr>
            </w:pPr>
            <w:r>
              <w:rPr>
                <w:spacing w:val="-2"/>
                <w:sz w:val="20"/>
              </w:rPr>
              <w:t>Basic</w:t>
            </w:r>
          </w:p>
        </w:tc>
        <w:tc>
          <w:tcPr>
            <w:tcW w:w="1143" w:type="dxa"/>
            <w:shd w:val="clear" w:color="auto" w:fill="CCEDFF"/>
          </w:tcPr>
          <w:p w14:paraId="6AD5A91D" w14:textId="77777777" w:rsidR="00AE2255" w:rsidRDefault="00000000">
            <w:pPr>
              <w:pStyle w:val="TableParagraph"/>
              <w:ind w:right="135"/>
              <w:rPr>
                <w:b/>
                <w:sz w:val="20"/>
              </w:rPr>
            </w:pPr>
            <w:r>
              <w:rPr>
                <w:b/>
                <w:sz w:val="20"/>
              </w:rPr>
              <w:t>—</w:t>
            </w:r>
          </w:p>
        </w:tc>
        <w:tc>
          <w:tcPr>
            <w:tcW w:w="1080" w:type="dxa"/>
            <w:shd w:val="clear" w:color="auto" w:fill="CCEDFF"/>
          </w:tcPr>
          <w:p w14:paraId="21C5B8B8" w14:textId="77777777" w:rsidR="00AE2255" w:rsidRDefault="00000000">
            <w:pPr>
              <w:pStyle w:val="TableParagraph"/>
              <w:ind w:right="135"/>
              <w:rPr>
                <w:sz w:val="20"/>
              </w:rPr>
            </w:pPr>
            <w:r>
              <w:rPr>
                <w:sz w:val="20"/>
              </w:rPr>
              <w:t>—</w:t>
            </w:r>
          </w:p>
        </w:tc>
        <w:tc>
          <w:tcPr>
            <w:tcW w:w="1095" w:type="dxa"/>
            <w:shd w:val="clear" w:color="auto" w:fill="CCEDFF"/>
          </w:tcPr>
          <w:p w14:paraId="394C35FF" w14:textId="77777777" w:rsidR="00AE2255" w:rsidRDefault="00000000">
            <w:pPr>
              <w:pStyle w:val="TableParagraph"/>
              <w:ind w:right="70"/>
              <w:rPr>
                <w:sz w:val="20"/>
              </w:rPr>
            </w:pPr>
            <w:r>
              <w:rPr>
                <w:spacing w:val="-2"/>
                <w:sz w:val="20"/>
              </w:rPr>
              <w:t>(0.20)</w:t>
            </w:r>
          </w:p>
        </w:tc>
        <w:tc>
          <w:tcPr>
            <w:tcW w:w="1080" w:type="dxa"/>
            <w:shd w:val="clear" w:color="auto" w:fill="CCEDFF"/>
          </w:tcPr>
          <w:p w14:paraId="3BC05898" w14:textId="77777777" w:rsidR="00AE2255" w:rsidRDefault="00000000">
            <w:pPr>
              <w:pStyle w:val="TableParagraph"/>
              <w:ind w:right="135"/>
              <w:rPr>
                <w:sz w:val="20"/>
              </w:rPr>
            </w:pPr>
            <w:r>
              <w:rPr>
                <w:sz w:val="20"/>
              </w:rPr>
              <w:t>—</w:t>
            </w:r>
          </w:p>
        </w:tc>
        <w:tc>
          <w:tcPr>
            <w:tcW w:w="1024" w:type="dxa"/>
            <w:shd w:val="clear" w:color="auto" w:fill="CCEDFF"/>
          </w:tcPr>
          <w:p w14:paraId="5D139AB4" w14:textId="77777777" w:rsidR="00AE2255" w:rsidRDefault="00000000">
            <w:pPr>
              <w:pStyle w:val="TableParagraph"/>
              <w:ind w:right="79"/>
              <w:rPr>
                <w:sz w:val="20"/>
              </w:rPr>
            </w:pPr>
            <w:r>
              <w:rPr>
                <w:sz w:val="20"/>
              </w:rPr>
              <w:t>—</w:t>
            </w:r>
          </w:p>
        </w:tc>
      </w:tr>
      <w:tr w:rsidR="00AE2255" w14:paraId="1FB84E48" w14:textId="77777777">
        <w:trPr>
          <w:trHeight w:val="285"/>
        </w:trPr>
        <w:tc>
          <w:tcPr>
            <w:tcW w:w="4838" w:type="dxa"/>
          </w:tcPr>
          <w:p w14:paraId="5975E63F" w14:textId="77777777" w:rsidR="00AE2255" w:rsidRDefault="00000000">
            <w:pPr>
              <w:pStyle w:val="TableParagraph"/>
              <w:spacing w:before="27"/>
              <w:ind w:left="187"/>
              <w:jc w:val="left"/>
              <w:rPr>
                <w:sz w:val="20"/>
              </w:rPr>
            </w:pPr>
            <w:r>
              <w:rPr>
                <w:spacing w:val="-2"/>
                <w:sz w:val="20"/>
              </w:rPr>
              <w:t>Diluted</w:t>
            </w:r>
          </w:p>
        </w:tc>
        <w:tc>
          <w:tcPr>
            <w:tcW w:w="1143" w:type="dxa"/>
          </w:tcPr>
          <w:p w14:paraId="1B0ED55B" w14:textId="77777777" w:rsidR="00AE2255" w:rsidRDefault="00000000">
            <w:pPr>
              <w:pStyle w:val="TableParagraph"/>
              <w:ind w:right="135"/>
              <w:rPr>
                <w:b/>
                <w:sz w:val="20"/>
              </w:rPr>
            </w:pPr>
            <w:r>
              <w:rPr>
                <w:b/>
                <w:sz w:val="20"/>
              </w:rPr>
              <w:t>—</w:t>
            </w:r>
          </w:p>
        </w:tc>
        <w:tc>
          <w:tcPr>
            <w:tcW w:w="1080" w:type="dxa"/>
          </w:tcPr>
          <w:p w14:paraId="231BCF10" w14:textId="77777777" w:rsidR="00AE2255" w:rsidRDefault="00000000">
            <w:pPr>
              <w:pStyle w:val="TableParagraph"/>
              <w:ind w:right="135"/>
              <w:rPr>
                <w:sz w:val="20"/>
              </w:rPr>
            </w:pPr>
            <w:r>
              <w:rPr>
                <w:sz w:val="20"/>
              </w:rPr>
              <w:t>—</w:t>
            </w:r>
          </w:p>
        </w:tc>
        <w:tc>
          <w:tcPr>
            <w:tcW w:w="1095" w:type="dxa"/>
          </w:tcPr>
          <w:p w14:paraId="7CE36BD4" w14:textId="77777777" w:rsidR="00AE2255" w:rsidRDefault="00000000">
            <w:pPr>
              <w:pStyle w:val="TableParagraph"/>
              <w:ind w:right="70"/>
              <w:rPr>
                <w:sz w:val="20"/>
              </w:rPr>
            </w:pPr>
            <w:r>
              <w:rPr>
                <w:spacing w:val="-2"/>
                <w:sz w:val="20"/>
              </w:rPr>
              <w:t>(0.20)</w:t>
            </w:r>
          </w:p>
        </w:tc>
        <w:tc>
          <w:tcPr>
            <w:tcW w:w="1080" w:type="dxa"/>
          </w:tcPr>
          <w:p w14:paraId="3BACAE1C" w14:textId="77777777" w:rsidR="00AE2255" w:rsidRDefault="00000000">
            <w:pPr>
              <w:pStyle w:val="TableParagraph"/>
              <w:ind w:right="135"/>
              <w:rPr>
                <w:sz w:val="20"/>
              </w:rPr>
            </w:pPr>
            <w:r>
              <w:rPr>
                <w:sz w:val="20"/>
              </w:rPr>
              <w:t>—</w:t>
            </w:r>
          </w:p>
        </w:tc>
        <w:tc>
          <w:tcPr>
            <w:tcW w:w="1024" w:type="dxa"/>
          </w:tcPr>
          <w:p w14:paraId="6AA03904" w14:textId="77777777" w:rsidR="00AE2255" w:rsidRDefault="00000000">
            <w:pPr>
              <w:pStyle w:val="TableParagraph"/>
              <w:ind w:right="79"/>
              <w:rPr>
                <w:sz w:val="20"/>
              </w:rPr>
            </w:pPr>
            <w:r>
              <w:rPr>
                <w:sz w:val="20"/>
              </w:rPr>
              <w:t>—</w:t>
            </w:r>
          </w:p>
        </w:tc>
      </w:tr>
      <w:tr w:rsidR="00AE2255" w14:paraId="1908F872" w14:textId="77777777">
        <w:trPr>
          <w:trHeight w:val="285"/>
        </w:trPr>
        <w:tc>
          <w:tcPr>
            <w:tcW w:w="4838" w:type="dxa"/>
            <w:shd w:val="clear" w:color="auto" w:fill="CCEDFF"/>
          </w:tcPr>
          <w:p w14:paraId="7C9FF559" w14:textId="77777777" w:rsidR="00AE2255" w:rsidRDefault="00000000">
            <w:pPr>
              <w:pStyle w:val="TableParagraph"/>
              <w:spacing w:before="27"/>
              <w:ind w:left="52"/>
              <w:jc w:val="left"/>
              <w:rPr>
                <w:sz w:val="20"/>
              </w:rPr>
            </w:pPr>
            <w:r>
              <w:rPr>
                <w:sz w:val="20"/>
              </w:rPr>
              <w:t>Earnings</w:t>
            </w:r>
            <w:r>
              <w:rPr>
                <w:spacing w:val="-4"/>
                <w:sz w:val="20"/>
              </w:rPr>
              <w:t xml:space="preserve"> </w:t>
            </w:r>
            <w:r>
              <w:rPr>
                <w:sz w:val="20"/>
              </w:rPr>
              <w:t>per</w:t>
            </w:r>
            <w:r>
              <w:rPr>
                <w:spacing w:val="-2"/>
                <w:sz w:val="20"/>
              </w:rPr>
              <w:t xml:space="preserve"> </w:t>
            </w:r>
            <w:r>
              <w:rPr>
                <w:sz w:val="20"/>
              </w:rPr>
              <w:t>common</w:t>
            </w:r>
            <w:r>
              <w:rPr>
                <w:spacing w:val="-2"/>
                <w:sz w:val="20"/>
              </w:rPr>
              <w:t xml:space="preserve"> </w:t>
            </w:r>
            <w:r>
              <w:rPr>
                <w:spacing w:val="-4"/>
                <w:sz w:val="20"/>
              </w:rPr>
              <w:t>share</w:t>
            </w:r>
          </w:p>
        </w:tc>
        <w:tc>
          <w:tcPr>
            <w:tcW w:w="1143" w:type="dxa"/>
            <w:shd w:val="clear" w:color="auto" w:fill="CCEDFF"/>
          </w:tcPr>
          <w:p w14:paraId="1F944554" w14:textId="77777777" w:rsidR="00AE2255" w:rsidRDefault="00AE2255">
            <w:pPr>
              <w:pStyle w:val="TableParagraph"/>
              <w:spacing w:before="0"/>
              <w:jc w:val="left"/>
              <w:rPr>
                <w:sz w:val="18"/>
              </w:rPr>
            </w:pPr>
          </w:p>
        </w:tc>
        <w:tc>
          <w:tcPr>
            <w:tcW w:w="1080" w:type="dxa"/>
            <w:shd w:val="clear" w:color="auto" w:fill="CCEDFF"/>
          </w:tcPr>
          <w:p w14:paraId="163473DF" w14:textId="77777777" w:rsidR="00AE2255" w:rsidRDefault="00AE2255">
            <w:pPr>
              <w:pStyle w:val="TableParagraph"/>
              <w:spacing w:before="0"/>
              <w:jc w:val="left"/>
              <w:rPr>
                <w:sz w:val="18"/>
              </w:rPr>
            </w:pPr>
          </w:p>
        </w:tc>
        <w:tc>
          <w:tcPr>
            <w:tcW w:w="1095" w:type="dxa"/>
            <w:shd w:val="clear" w:color="auto" w:fill="CCEDFF"/>
          </w:tcPr>
          <w:p w14:paraId="754DE902" w14:textId="77777777" w:rsidR="00AE2255" w:rsidRDefault="00AE2255">
            <w:pPr>
              <w:pStyle w:val="TableParagraph"/>
              <w:spacing w:before="0"/>
              <w:jc w:val="left"/>
              <w:rPr>
                <w:sz w:val="18"/>
              </w:rPr>
            </w:pPr>
          </w:p>
        </w:tc>
        <w:tc>
          <w:tcPr>
            <w:tcW w:w="1080" w:type="dxa"/>
            <w:shd w:val="clear" w:color="auto" w:fill="CCEDFF"/>
          </w:tcPr>
          <w:p w14:paraId="48F0D801" w14:textId="77777777" w:rsidR="00AE2255" w:rsidRDefault="00AE2255">
            <w:pPr>
              <w:pStyle w:val="TableParagraph"/>
              <w:spacing w:before="0"/>
              <w:jc w:val="left"/>
              <w:rPr>
                <w:sz w:val="18"/>
              </w:rPr>
            </w:pPr>
          </w:p>
        </w:tc>
        <w:tc>
          <w:tcPr>
            <w:tcW w:w="1024" w:type="dxa"/>
            <w:shd w:val="clear" w:color="auto" w:fill="CCEDFF"/>
          </w:tcPr>
          <w:p w14:paraId="5A9B75F4" w14:textId="77777777" w:rsidR="00AE2255" w:rsidRDefault="00AE2255">
            <w:pPr>
              <w:pStyle w:val="TableParagraph"/>
              <w:spacing w:before="0"/>
              <w:jc w:val="left"/>
              <w:rPr>
                <w:sz w:val="18"/>
              </w:rPr>
            </w:pPr>
          </w:p>
        </w:tc>
      </w:tr>
      <w:tr w:rsidR="00AE2255" w14:paraId="526E4F31" w14:textId="77777777">
        <w:trPr>
          <w:trHeight w:val="285"/>
        </w:trPr>
        <w:tc>
          <w:tcPr>
            <w:tcW w:w="4838" w:type="dxa"/>
          </w:tcPr>
          <w:p w14:paraId="082FE8FC" w14:textId="77777777" w:rsidR="00AE2255" w:rsidRDefault="00000000">
            <w:pPr>
              <w:pStyle w:val="TableParagraph"/>
              <w:ind w:left="232"/>
              <w:jc w:val="left"/>
              <w:rPr>
                <w:sz w:val="11"/>
              </w:rPr>
            </w:pPr>
            <w:r>
              <w:rPr>
                <w:position w:val="-7"/>
                <w:sz w:val="20"/>
              </w:rPr>
              <w:t>Basic</w:t>
            </w:r>
            <w:r>
              <w:rPr>
                <w:spacing w:val="-5"/>
                <w:position w:val="-7"/>
                <w:sz w:val="20"/>
              </w:rPr>
              <w:t xml:space="preserve"> </w:t>
            </w:r>
            <w:r>
              <w:rPr>
                <w:spacing w:val="-2"/>
                <w:sz w:val="11"/>
              </w:rPr>
              <w:t>(a)(b)(c)(d)(e)(f)(g)(h)</w:t>
            </w:r>
          </w:p>
        </w:tc>
        <w:tc>
          <w:tcPr>
            <w:tcW w:w="1143" w:type="dxa"/>
          </w:tcPr>
          <w:p w14:paraId="3109CE89" w14:textId="77777777" w:rsidR="00AE2255" w:rsidRDefault="00000000">
            <w:pPr>
              <w:pStyle w:val="TableParagraph"/>
              <w:ind w:right="135"/>
              <w:rPr>
                <w:b/>
                <w:sz w:val="20"/>
              </w:rPr>
            </w:pPr>
            <w:r>
              <w:rPr>
                <w:b/>
                <w:spacing w:val="-2"/>
                <w:sz w:val="20"/>
              </w:rPr>
              <w:t>21.74</w:t>
            </w:r>
          </w:p>
        </w:tc>
        <w:tc>
          <w:tcPr>
            <w:tcW w:w="1080" w:type="dxa"/>
          </w:tcPr>
          <w:p w14:paraId="60452014" w14:textId="77777777" w:rsidR="00AE2255" w:rsidRDefault="00000000">
            <w:pPr>
              <w:pStyle w:val="TableParagraph"/>
              <w:ind w:right="135"/>
              <w:rPr>
                <w:sz w:val="20"/>
              </w:rPr>
            </w:pPr>
            <w:r>
              <w:rPr>
                <w:spacing w:val="-2"/>
                <w:sz w:val="20"/>
              </w:rPr>
              <w:t>22.85</w:t>
            </w:r>
          </w:p>
        </w:tc>
        <w:tc>
          <w:tcPr>
            <w:tcW w:w="1095" w:type="dxa"/>
          </w:tcPr>
          <w:p w14:paraId="56EC95F3" w14:textId="77777777" w:rsidR="00AE2255" w:rsidRDefault="00000000">
            <w:pPr>
              <w:pStyle w:val="TableParagraph"/>
              <w:ind w:right="135"/>
              <w:rPr>
                <w:sz w:val="20"/>
              </w:rPr>
            </w:pPr>
            <w:r>
              <w:rPr>
                <w:spacing w:val="-2"/>
                <w:sz w:val="20"/>
              </w:rPr>
              <w:t>24.40</w:t>
            </w:r>
          </w:p>
        </w:tc>
        <w:tc>
          <w:tcPr>
            <w:tcW w:w="1080" w:type="dxa"/>
          </w:tcPr>
          <w:p w14:paraId="4D4180B1" w14:textId="77777777" w:rsidR="00AE2255" w:rsidRDefault="00000000">
            <w:pPr>
              <w:pStyle w:val="TableParagraph"/>
              <w:ind w:right="135"/>
              <w:rPr>
                <w:sz w:val="20"/>
              </w:rPr>
            </w:pPr>
            <w:r>
              <w:rPr>
                <w:spacing w:val="-2"/>
                <w:sz w:val="20"/>
              </w:rPr>
              <w:t>22.09</w:t>
            </w:r>
          </w:p>
        </w:tc>
        <w:tc>
          <w:tcPr>
            <w:tcW w:w="1024" w:type="dxa"/>
          </w:tcPr>
          <w:p w14:paraId="64F2D1FA" w14:textId="77777777" w:rsidR="00AE2255" w:rsidRDefault="00000000">
            <w:pPr>
              <w:pStyle w:val="TableParagraph"/>
              <w:ind w:right="79"/>
              <w:rPr>
                <w:sz w:val="20"/>
              </w:rPr>
            </w:pPr>
            <w:r>
              <w:rPr>
                <w:spacing w:val="-2"/>
                <w:sz w:val="20"/>
              </w:rPr>
              <w:t>17.74</w:t>
            </w:r>
          </w:p>
        </w:tc>
      </w:tr>
      <w:tr w:rsidR="00AE2255" w14:paraId="2A774AA5" w14:textId="77777777">
        <w:trPr>
          <w:trHeight w:val="275"/>
        </w:trPr>
        <w:tc>
          <w:tcPr>
            <w:tcW w:w="4838" w:type="dxa"/>
            <w:tcBorders>
              <w:bottom w:val="single" w:sz="8" w:space="0" w:color="CCEDFF"/>
            </w:tcBorders>
            <w:shd w:val="clear" w:color="auto" w:fill="CCEDFF"/>
          </w:tcPr>
          <w:p w14:paraId="6CE0EFCD" w14:textId="77777777" w:rsidR="00AE2255" w:rsidRDefault="00000000">
            <w:pPr>
              <w:pStyle w:val="TableParagraph"/>
              <w:ind w:left="232"/>
              <w:jc w:val="left"/>
              <w:rPr>
                <w:sz w:val="11"/>
              </w:rPr>
            </w:pPr>
            <w:r>
              <w:rPr>
                <w:position w:val="-7"/>
                <w:sz w:val="20"/>
              </w:rPr>
              <w:t>Diluted</w:t>
            </w:r>
            <w:r>
              <w:rPr>
                <w:spacing w:val="-5"/>
                <w:position w:val="-7"/>
                <w:sz w:val="20"/>
              </w:rPr>
              <w:t xml:space="preserve"> </w:t>
            </w:r>
            <w:r>
              <w:rPr>
                <w:spacing w:val="-2"/>
                <w:sz w:val="11"/>
              </w:rPr>
              <w:t>(a)(b)(c)(d)(e)(f)(g)(h)</w:t>
            </w:r>
          </w:p>
        </w:tc>
        <w:tc>
          <w:tcPr>
            <w:tcW w:w="1143" w:type="dxa"/>
            <w:tcBorders>
              <w:bottom w:val="single" w:sz="8" w:space="0" w:color="CCEDFF"/>
            </w:tcBorders>
            <w:shd w:val="clear" w:color="auto" w:fill="CCEDFF"/>
          </w:tcPr>
          <w:p w14:paraId="0C5C85FC" w14:textId="77777777" w:rsidR="00AE2255" w:rsidRDefault="00000000">
            <w:pPr>
              <w:pStyle w:val="TableParagraph"/>
              <w:spacing w:line="230" w:lineRule="exact"/>
              <w:ind w:right="135"/>
              <w:rPr>
                <w:b/>
                <w:sz w:val="20"/>
              </w:rPr>
            </w:pPr>
            <w:r>
              <w:rPr>
                <w:b/>
                <w:spacing w:val="-2"/>
                <w:sz w:val="20"/>
              </w:rPr>
              <w:t>21.66</w:t>
            </w:r>
          </w:p>
        </w:tc>
        <w:tc>
          <w:tcPr>
            <w:tcW w:w="1080" w:type="dxa"/>
            <w:tcBorders>
              <w:bottom w:val="single" w:sz="8" w:space="0" w:color="CCEDFF"/>
            </w:tcBorders>
            <w:shd w:val="clear" w:color="auto" w:fill="CCEDFF"/>
          </w:tcPr>
          <w:p w14:paraId="548CC76C" w14:textId="77777777" w:rsidR="00AE2255" w:rsidRDefault="00000000">
            <w:pPr>
              <w:pStyle w:val="TableParagraph"/>
              <w:spacing w:line="230" w:lineRule="exact"/>
              <w:ind w:right="135"/>
              <w:rPr>
                <w:sz w:val="20"/>
              </w:rPr>
            </w:pPr>
            <w:r>
              <w:rPr>
                <w:spacing w:val="-2"/>
                <w:sz w:val="20"/>
              </w:rPr>
              <w:t>22.76</w:t>
            </w:r>
          </w:p>
        </w:tc>
        <w:tc>
          <w:tcPr>
            <w:tcW w:w="1095" w:type="dxa"/>
            <w:tcBorders>
              <w:bottom w:val="single" w:sz="8" w:space="0" w:color="CCEDFF"/>
            </w:tcBorders>
            <w:shd w:val="clear" w:color="auto" w:fill="CCEDFF"/>
          </w:tcPr>
          <w:p w14:paraId="37CB60E3" w14:textId="77777777" w:rsidR="00AE2255" w:rsidRDefault="00000000">
            <w:pPr>
              <w:pStyle w:val="TableParagraph"/>
              <w:spacing w:line="230" w:lineRule="exact"/>
              <w:ind w:right="135"/>
              <w:rPr>
                <w:sz w:val="20"/>
              </w:rPr>
            </w:pPr>
            <w:r>
              <w:rPr>
                <w:spacing w:val="-2"/>
                <w:sz w:val="20"/>
              </w:rPr>
              <w:t>24.30</w:t>
            </w:r>
          </w:p>
        </w:tc>
        <w:tc>
          <w:tcPr>
            <w:tcW w:w="1080" w:type="dxa"/>
            <w:tcBorders>
              <w:bottom w:val="single" w:sz="8" w:space="0" w:color="CCEDFF"/>
            </w:tcBorders>
            <w:shd w:val="clear" w:color="auto" w:fill="CCEDFF"/>
          </w:tcPr>
          <w:p w14:paraId="1050B876" w14:textId="77777777" w:rsidR="00AE2255" w:rsidRDefault="00000000">
            <w:pPr>
              <w:pStyle w:val="TableParagraph"/>
              <w:spacing w:line="230" w:lineRule="exact"/>
              <w:ind w:right="135"/>
              <w:rPr>
                <w:sz w:val="20"/>
              </w:rPr>
            </w:pPr>
            <w:r>
              <w:rPr>
                <w:spacing w:val="-2"/>
                <w:sz w:val="20"/>
              </w:rPr>
              <w:t>21.95</w:t>
            </w:r>
          </w:p>
        </w:tc>
        <w:tc>
          <w:tcPr>
            <w:tcW w:w="1024" w:type="dxa"/>
            <w:tcBorders>
              <w:bottom w:val="single" w:sz="8" w:space="0" w:color="CCEDFF"/>
            </w:tcBorders>
            <w:shd w:val="clear" w:color="auto" w:fill="CCEDFF"/>
          </w:tcPr>
          <w:p w14:paraId="03C15219" w14:textId="77777777" w:rsidR="00AE2255" w:rsidRDefault="00000000">
            <w:pPr>
              <w:pStyle w:val="TableParagraph"/>
              <w:spacing w:line="230" w:lineRule="exact"/>
              <w:ind w:right="79"/>
              <w:rPr>
                <w:sz w:val="20"/>
              </w:rPr>
            </w:pPr>
            <w:r>
              <w:rPr>
                <w:spacing w:val="-2"/>
                <w:sz w:val="20"/>
              </w:rPr>
              <w:t>17.59</w:t>
            </w:r>
          </w:p>
        </w:tc>
      </w:tr>
      <w:tr w:rsidR="00AE2255" w14:paraId="6F6B43AD" w14:textId="77777777">
        <w:trPr>
          <w:trHeight w:val="265"/>
        </w:trPr>
        <w:tc>
          <w:tcPr>
            <w:tcW w:w="4838" w:type="dxa"/>
            <w:tcBorders>
              <w:top w:val="single" w:sz="8" w:space="0" w:color="auto"/>
              <w:bottom w:val="single" w:sz="8" w:space="0" w:color="auto"/>
            </w:tcBorders>
          </w:tcPr>
          <w:p w14:paraId="3D77734F" w14:textId="77777777" w:rsidR="00AE2255" w:rsidRDefault="00000000">
            <w:pPr>
              <w:pStyle w:val="TableParagraph"/>
              <w:spacing w:before="13"/>
              <w:ind w:left="52"/>
              <w:jc w:val="left"/>
              <w:rPr>
                <w:b/>
                <w:sz w:val="20"/>
              </w:rPr>
            </w:pPr>
            <w:r>
              <w:rPr>
                <w:b/>
                <w:sz w:val="20"/>
              </w:rPr>
              <w:t>Cash</w:t>
            </w:r>
            <w:r>
              <w:rPr>
                <w:b/>
                <w:spacing w:val="-5"/>
                <w:sz w:val="20"/>
              </w:rPr>
              <w:t xml:space="preserve"> </w:t>
            </w:r>
            <w:r>
              <w:rPr>
                <w:b/>
                <w:sz w:val="20"/>
              </w:rPr>
              <w:t>dividends</w:t>
            </w:r>
            <w:r>
              <w:rPr>
                <w:b/>
                <w:spacing w:val="-5"/>
                <w:sz w:val="20"/>
              </w:rPr>
              <w:t xml:space="preserve"> </w:t>
            </w:r>
            <w:r>
              <w:rPr>
                <w:b/>
                <w:sz w:val="20"/>
              </w:rPr>
              <w:t>declared</w:t>
            </w:r>
            <w:r>
              <w:rPr>
                <w:b/>
                <w:spacing w:val="-4"/>
                <w:sz w:val="20"/>
              </w:rPr>
              <w:t xml:space="preserve"> </w:t>
            </w:r>
            <w:r>
              <w:rPr>
                <w:b/>
                <w:sz w:val="20"/>
              </w:rPr>
              <w:t>per</w:t>
            </w:r>
            <w:r>
              <w:rPr>
                <w:b/>
                <w:spacing w:val="-5"/>
                <w:sz w:val="20"/>
              </w:rPr>
              <w:t xml:space="preserve"> </w:t>
            </w:r>
            <w:r>
              <w:rPr>
                <w:b/>
                <w:sz w:val="20"/>
              </w:rPr>
              <w:t>common</w:t>
            </w:r>
            <w:r>
              <w:rPr>
                <w:b/>
                <w:spacing w:val="-4"/>
                <w:sz w:val="20"/>
              </w:rPr>
              <w:t xml:space="preserve"> share</w:t>
            </w:r>
          </w:p>
        </w:tc>
        <w:tc>
          <w:tcPr>
            <w:tcW w:w="1143" w:type="dxa"/>
            <w:tcBorders>
              <w:top w:val="single" w:sz="8" w:space="0" w:color="auto"/>
              <w:bottom w:val="single" w:sz="8" w:space="0" w:color="auto"/>
            </w:tcBorders>
          </w:tcPr>
          <w:p w14:paraId="2A8F6F99" w14:textId="77777777" w:rsidR="00AE2255" w:rsidRDefault="00000000">
            <w:pPr>
              <w:pStyle w:val="TableParagraph"/>
              <w:tabs>
                <w:tab w:val="left" w:pos="555"/>
              </w:tabs>
              <w:spacing w:before="15" w:line="230" w:lineRule="exact"/>
              <w:ind w:left="134"/>
              <w:jc w:val="left"/>
              <w:rPr>
                <w:b/>
                <w:sz w:val="20"/>
              </w:rPr>
            </w:pPr>
            <w:r>
              <w:rPr>
                <w:b/>
                <w:spacing w:val="-10"/>
                <w:sz w:val="20"/>
              </w:rPr>
              <w:t>$</w:t>
            </w:r>
            <w:r>
              <w:rPr>
                <w:b/>
                <w:sz w:val="20"/>
              </w:rPr>
              <w:tab/>
            </w:r>
            <w:r>
              <w:rPr>
                <w:b/>
                <w:spacing w:val="-2"/>
                <w:sz w:val="20"/>
              </w:rPr>
              <w:t>11.40</w:t>
            </w:r>
          </w:p>
        </w:tc>
        <w:tc>
          <w:tcPr>
            <w:tcW w:w="1080" w:type="dxa"/>
            <w:tcBorders>
              <w:top w:val="single" w:sz="8" w:space="0" w:color="auto"/>
              <w:bottom w:val="single" w:sz="8" w:space="0" w:color="auto"/>
            </w:tcBorders>
          </w:tcPr>
          <w:p w14:paraId="5BB90883" w14:textId="77777777" w:rsidR="00AE2255" w:rsidRDefault="00000000">
            <w:pPr>
              <w:pStyle w:val="TableParagraph"/>
              <w:tabs>
                <w:tab w:val="left" w:pos="420"/>
              </w:tabs>
              <w:spacing w:before="15" w:line="230" w:lineRule="exact"/>
              <w:ind w:right="135"/>
              <w:rPr>
                <w:sz w:val="20"/>
              </w:rPr>
            </w:pPr>
            <w:r>
              <w:rPr>
                <w:spacing w:val="-10"/>
                <w:sz w:val="20"/>
              </w:rPr>
              <w:t>$</w:t>
            </w:r>
            <w:r>
              <w:rPr>
                <w:sz w:val="20"/>
              </w:rPr>
              <w:tab/>
            </w:r>
            <w:r>
              <w:rPr>
                <w:spacing w:val="-2"/>
                <w:sz w:val="20"/>
              </w:rPr>
              <w:t>10.60</w:t>
            </w:r>
          </w:p>
        </w:tc>
        <w:tc>
          <w:tcPr>
            <w:tcW w:w="1095" w:type="dxa"/>
            <w:tcBorders>
              <w:top w:val="single" w:sz="8" w:space="0" w:color="auto"/>
              <w:bottom w:val="single" w:sz="8" w:space="0" w:color="auto"/>
            </w:tcBorders>
          </w:tcPr>
          <w:p w14:paraId="648871D0" w14:textId="77777777" w:rsidR="00AE2255" w:rsidRDefault="00000000">
            <w:pPr>
              <w:pStyle w:val="TableParagraph"/>
              <w:tabs>
                <w:tab w:val="left" w:pos="535"/>
              </w:tabs>
              <w:spacing w:before="15" w:line="230" w:lineRule="exact"/>
              <w:ind w:right="135"/>
              <w:rPr>
                <w:sz w:val="20"/>
              </w:rPr>
            </w:pPr>
            <w:r>
              <w:rPr>
                <w:spacing w:val="-10"/>
                <w:sz w:val="20"/>
              </w:rPr>
              <w:t>$</w:t>
            </w:r>
            <w:r>
              <w:rPr>
                <w:sz w:val="20"/>
              </w:rPr>
              <w:tab/>
            </w:r>
            <w:r>
              <w:rPr>
                <w:spacing w:val="-4"/>
                <w:sz w:val="20"/>
              </w:rPr>
              <w:t>9.80</w:t>
            </w:r>
          </w:p>
        </w:tc>
        <w:tc>
          <w:tcPr>
            <w:tcW w:w="1080" w:type="dxa"/>
            <w:tcBorders>
              <w:top w:val="single" w:sz="8" w:space="0" w:color="auto"/>
              <w:bottom w:val="single" w:sz="8" w:space="0" w:color="auto"/>
            </w:tcBorders>
          </w:tcPr>
          <w:p w14:paraId="61832BCD" w14:textId="77777777" w:rsidR="00AE2255" w:rsidRDefault="00000000">
            <w:pPr>
              <w:pStyle w:val="TableParagraph"/>
              <w:tabs>
                <w:tab w:val="left" w:pos="520"/>
              </w:tabs>
              <w:spacing w:before="15" w:line="230" w:lineRule="exact"/>
              <w:ind w:right="135"/>
              <w:rPr>
                <w:sz w:val="20"/>
              </w:rPr>
            </w:pPr>
            <w:r>
              <w:rPr>
                <w:spacing w:val="-10"/>
                <w:sz w:val="20"/>
              </w:rPr>
              <w:t>$</w:t>
            </w:r>
            <w:r>
              <w:rPr>
                <w:sz w:val="20"/>
              </w:rPr>
              <w:tab/>
            </w:r>
            <w:r>
              <w:rPr>
                <w:spacing w:val="-4"/>
                <w:sz w:val="20"/>
              </w:rPr>
              <w:t>9.00</w:t>
            </w:r>
          </w:p>
        </w:tc>
        <w:tc>
          <w:tcPr>
            <w:tcW w:w="1024" w:type="dxa"/>
            <w:tcBorders>
              <w:top w:val="single" w:sz="8" w:space="0" w:color="auto"/>
              <w:bottom w:val="single" w:sz="8" w:space="0" w:color="auto"/>
            </w:tcBorders>
          </w:tcPr>
          <w:p w14:paraId="00343F41" w14:textId="77777777" w:rsidR="00AE2255" w:rsidRDefault="00000000">
            <w:pPr>
              <w:pStyle w:val="TableParagraph"/>
              <w:tabs>
                <w:tab w:val="left" w:pos="520"/>
              </w:tabs>
              <w:spacing w:before="15" w:line="230" w:lineRule="exact"/>
              <w:ind w:right="79"/>
              <w:rPr>
                <w:sz w:val="20"/>
              </w:rPr>
            </w:pPr>
            <w:r>
              <w:rPr>
                <w:spacing w:val="-10"/>
                <w:sz w:val="20"/>
              </w:rPr>
              <w:t>$</w:t>
            </w:r>
            <w:r>
              <w:rPr>
                <w:sz w:val="20"/>
              </w:rPr>
              <w:tab/>
            </w:r>
            <w:r>
              <w:rPr>
                <w:spacing w:val="-4"/>
                <w:sz w:val="20"/>
              </w:rPr>
              <w:t>8.20</w:t>
            </w:r>
          </w:p>
        </w:tc>
      </w:tr>
      <w:tr w:rsidR="00AE2255" w14:paraId="0B0C51C1" w14:textId="77777777">
        <w:trPr>
          <w:trHeight w:val="275"/>
        </w:trPr>
        <w:tc>
          <w:tcPr>
            <w:tcW w:w="4838" w:type="dxa"/>
            <w:tcBorders>
              <w:top w:val="single" w:sz="8" w:space="0" w:color="CCEDFF"/>
            </w:tcBorders>
            <w:shd w:val="clear" w:color="auto" w:fill="CCEDFF"/>
          </w:tcPr>
          <w:p w14:paraId="0110445B" w14:textId="77777777" w:rsidR="00AE2255" w:rsidRDefault="00000000">
            <w:pPr>
              <w:pStyle w:val="TableParagraph"/>
              <w:spacing w:before="15"/>
              <w:ind w:left="52"/>
              <w:jc w:val="left"/>
              <w:rPr>
                <w:b/>
                <w:sz w:val="20"/>
              </w:rPr>
            </w:pPr>
            <w:r>
              <w:rPr>
                <w:b/>
                <w:sz w:val="20"/>
              </w:rPr>
              <w:t>Balance</w:t>
            </w:r>
            <w:r>
              <w:rPr>
                <w:b/>
                <w:spacing w:val="-5"/>
                <w:sz w:val="20"/>
              </w:rPr>
              <w:t xml:space="preserve"> </w:t>
            </w:r>
            <w:r>
              <w:rPr>
                <w:b/>
                <w:spacing w:val="-2"/>
                <w:sz w:val="20"/>
              </w:rPr>
              <w:t>sheet</w:t>
            </w:r>
          </w:p>
        </w:tc>
        <w:tc>
          <w:tcPr>
            <w:tcW w:w="1143" w:type="dxa"/>
            <w:tcBorders>
              <w:top w:val="single" w:sz="8" w:space="0" w:color="CCEDFF"/>
            </w:tcBorders>
            <w:shd w:val="clear" w:color="auto" w:fill="CCEDFF"/>
          </w:tcPr>
          <w:p w14:paraId="681B0656"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6FCF02AF" w14:textId="77777777" w:rsidR="00AE2255" w:rsidRDefault="00AE2255">
            <w:pPr>
              <w:pStyle w:val="TableParagraph"/>
              <w:spacing w:before="0"/>
              <w:jc w:val="left"/>
              <w:rPr>
                <w:sz w:val="18"/>
              </w:rPr>
            </w:pPr>
          </w:p>
        </w:tc>
        <w:tc>
          <w:tcPr>
            <w:tcW w:w="1095" w:type="dxa"/>
            <w:tcBorders>
              <w:top w:val="single" w:sz="8" w:space="0" w:color="CCEDFF"/>
            </w:tcBorders>
            <w:shd w:val="clear" w:color="auto" w:fill="CCEDFF"/>
          </w:tcPr>
          <w:p w14:paraId="73A6D906"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62E0B948" w14:textId="77777777" w:rsidR="00AE2255" w:rsidRDefault="00AE2255">
            <w:pPr>
              <w:pStyle w:val="TableParagraph"/>
              <w:spacing w:before="0"/>
              <w:jc w:val="left"/>
              <w:rPr>
                <w:sz w:val="18"/>
              </w:rPr>
            </w:pPr>
          </w:p>
        </w:tc>
        <w:tc>
          <w:tcPr>
            <w:tcW w:w="1024" w:type="dxa"/>
            <w:tcBorders>
              <w:top w:val="single" w:sz="8" w:space="0" w:color="CCEDFF"/>
            </w:tcBorders>
            <w:shd w:val="clear" w:color="auto" w:fill="CCEDFF"/>
          </w:tcPr>
          <w:p w14:paraId="6230F3F8" w14:textId="77777777" w:rsidR="00AE2255" w:rsidRDefault="00AE2255">
            <w:pPr>
              <w:pStyle w:val="TableParagraph"/>
              <w:spacing w:before="0"/>
              <w:jc w:val="left"/>
              <w:rPr>
                <w:sz w:val="18"/>
              </w:rPr>
            </w:pPr>
          </w:p>
        </w:tc>
      </w:tr>
      <w:tr w:rsidR="00AE2255" w14:paraId="7A248C03" w14:textId="77777777">
        <w:trPr>
          <w:trHeight w:val="285"/>
        </w:trPr>
        <w:tc>
          <w:tcPr>
            <w:tcW w:w="4838" w:type="dxa"/>
          </w:tcPr>
          <w:p w14:paraId="72A918BA" w14:textId="77777777" w:rsidR="00AE2255" w:rsidRDefault="00000000">
            <w:pPr>
              <w:pStyle w:val="TableParagraph"/>
              <w:ind w:left="52"/>
              <w:jc w:val="left"/>
              <w:rPr>
                <w:sz w:val="20"/>
              </w:rPr>
            </w:pPr>
            <w:r>
              <w:rPr>
                <w:sz w:val="20"/>
              </w:rPr>
              <w:t>Cash,</w:t>
            </w:r>
            <w:r>
              <w:rPr>
                <w:spacing w:val="-4"/>
                <w:sz w:val="20"/>
              </w:rPr>
              <w:t xml:space="preserve"> </w:t>
            </w:r>
            <w:r>
              <w:rPr>
                <w:sz w:val="20"/>
              </w:rPr>
              <w:t>cash</w:t>
            </w:r>
            <w:r>
              <w:rPr>
                <w:spacing w:val="-3"/>
                <w:sz w:val="20"/>
              </w:rPr>
              <w:t xml:space="preserve"> </w:t>
            </w:r>
            <w:r>
              <w:rPr>
                <w:sz w:val="20"/>
              </w:rPr>
              <w:t>equivalents</w:t>
            </w:r>
            <w:r>
              <w:rPr>
                <w:spacing w:val="-5"/>
                <w:sz w:val="20"/>
              </w:rPr>
              <w:t xml:space="preserve"> </w:t>
            </w:r>
            <w:r>
              <w:rPr>
                <w:sz w:val="20"/>
              </w:rPr>
              <w:t>and</w:t>
            </w:r>
            <w:r>
              <w:rPr>
                <w:spacing w:val="-3"/>
                <w:sz w:val="20"/>
              </w:rPr>
              <w:t xml:space="preserve"> </w:t>
            </w:r>
            <w:r>
              <w:rPr>
                <w:sz w:val="20"/>
              </w:rPr>
              <w:t>short-term</w:t>
            </w:r>
            <w:r>
              <w:rPr>
                <w:spacing w:val="-4"/>
                <w:sz w:val="20"/>
              </w:rPr>
              <w:t xml:space="preserve"> </w:t>
            </w:r>
            <w:r>
              <w:rPr>
                <w:spacing w:val="-2"/>
                <w:sz w:val="20"/>
              </w:rPr>
              <w:t>investments</w:t>
            </w:r>
          </w:p>
        </w:tc>
        <w:tc>
          <w:tcPr>
            <w:tcW w:w="1143" w:type="dxa"/>
          </w:tcPr>
          <w:p w14:paraId="5C267993" w14:textId="77777777" w:rsidR="00AE2255" w:rsidRDefault="00000000">
            <w:pPr>
              <w:pStyle w:val="TableParagraph"/>
              <w:tabs>
                <w:tab w:val="left" w:pos="555"/>
              </w:tabs>
              <w:ind w:left="134"/>
              <w:jc w:val="left"/>
              <w:rPr>
                <w:b/>
                <w:sz w:val="20"/>
              </w:rPr>
            </w:pPr>
            <w:r>
              <w:rPr>
                <w:b/>
                <w:spacing w:val="-10"/>
                <w:sz w:val="20"/>
              </w:rPr>
              <w:t>$</w:t>
            </w:r>
            <w:r>
              <w:rPr>
                <w:b/>
                <w:sz w:val="20"/>
              </w:rPr>
              <w:tab/>
            </w:r>
            <w:r>
              <w:rPr>
                <w:b/>
                <w:spacing w:val="-2"/>
                <w:sz w:val="20"/>
              </w:rPr>
              <w:t>2,547</w:t>
            </w:r>
          </w:p>
        </w:tc>
        <w:tc>
          <w:tcPr>
            <w:tcW w:w="1080" w:type="dxa"/>
          </w:tcPr>
          <w:p w14:paraId="4B12ECB8"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3,604</w:t>
            </w:r>
          </w:p>
        </w:tc>
        <w:tc>
          <w:tcPr>
            <w:tcW w:w="1095" w:type="dxa"/>
          </w:tcPr>
          <w:p w14:paraId="30103366" w14:textId="77777777" w:rsidR="00AE2255" w:rsidRDefault="00000000">
            <w:pPr>
              <w:pStyle w:val="TableParagraph"/>
              <w:tabs>
                <w:tab w:val="left" w:pos="435"/>
              </w:tabs>
              <w:ind w:right="135"/>
              <w:rPr>
                <w:sz w:val="20"/>
              </w:rPr>
            </w:pPr>
            <w:r>
              <w:rPr>
                <w:spacing w:val="-10"/>
                <w:sz w:val="20"/>
              </w:rPr>
              <w:t>$</w:t>
            </w:r>
            <w:r>
              <w:rPr>
                <w:sz w:val="20"/>
              </w:rPr>
              <w:tab/>
            </w:r>
            <w:r>
              <w:rPr>
                <w:spacing w:val="-2"/>
                <w:sz w:val="20"/>
              </w:rPr>
              <w:t>3,160</w:t>
            </w:r>
          </w:p>
        </w:tc>
        <w:tc>
          <w:tcPr>
            <w:tcW w:w="1080" w:type="dxa"/>
          </w:tcPr>
          <w:p w14:paraId="7890A0C0"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1,514</w:t>
            </w:r>
          </w:p>
        </w:tc>
        <w:tc>
          <w:tcPr>
            <w:tcW w:w="1024" w:type="dxa"/>
          </w:tcPr>
          <w:p w14:paraId="5F73D7A4" w14:textId="77777777" w:rsidR="00AE2255" w:rsidRDefault="00000000">
            <w:pPr>
              <w:pStyle w:val="TableParagraph"/>
              <w:tabs>
                <w:tab w:val="left" w:pos="570"/>
              </w:tabs>
              <w:ind w:right="79"/>
              <w:rPr>
                <w:sz w:val="20"/>
              </w:rPr>
            </w:pPr>
            <w:r>
              <w:rPr>
                <w:spacing w:val="-10"/>
                <w:sz w:val="20"/>
              </w:rPr>
              <w:t>$</w:t>
            </w:r>
            <w:r>
              <w:rPr>
                <w:sz w:val="20"/>
              </w:rPr>
              <w:tab/>
            </w:r>
            <w:r>
              <w:rPr>
                <w:spacing w:val="-5"/>
                <w:sz w:val="20"/>
              </w:rPr>
              <w:t>772</w:t>
            </w:r>
          </w:p>
        </w:tc>
      </w:tr>
      <w:tr w:rsidR="00AE2255" w14:paraId="2145554F" w14:textId="77777777">
        <w:trPr>
          <w:trHeight w:val="285"/>
        </w:trPr>
        <w:tc>
          <w:tcPr>
            <w:tcW w:w="4838" w:type="dxa"/>
            <w:shd w:val="clear" w:color="auto" w:fill="CCEDFF"/>
          </w:tcPr>
          <w:p w14:paraId="671C3C55" w14:textId="77777777" w:rsidR="00AE2255" w:rsidRDefault="00000000">
            <w:pPr>
              <w:pStyle w:val="TableParagraph"/>
              <w:ind w:left="52"/>
              <w:jc w:val="left"/>
              <w:rPr>
                <w:sz w:val="20"/>
              </w:rPr>
            </w:pPr>
            <w:r>
              <w:rPr>
                <w:sz w:val="20"/>
              </w:rPr>
              <w:t>Total</w:t>
            </w:r>
            <w:r>
              <w:rPr>
                <w:spacing w:val="-4"/>
                <w:sz w:val="20"/>
              </w:rPr>
              <w:t xml:space="preserve"> </w:t>
            </w:r>
            <w:r>
              <w:rPr>
                <w:sz w:val="20"/>
              </w:rPr>
              <w:t>current</w:t>
            </w:r>
            <w:r>
              <w:rPr>
                <w:spacing w:val="-3"/>
                <w:sz w:val="20"/>
              </w:rPr>
              <w:t xml:space="preserve"> </w:t>
            </w:r>
            <w:r>
              <w:rPr>
                <w:spacing w:val="-2"/>
                <w:sz w:val="20"/>
              </w:rPr>
              <w:t>assets</w:t>
            </w:r>
          </w:p>
        </w:tc>
        <w:tc>
          <w:tcPr>
            <w:tcW w:w="1143" w:type="dxa"/>
            <w:shd w:val="clear" w:color="auto" w:fill="CCEDFF"/>
          </w:tcPr>
          <w:p w14:paraId="414382CA" w14:textId="77777777" w:rsidR="00AE2255" w:rsidRDefault="00000000">
            <w:pPr>
              <w:pStyle w:val="TableParagraph"/>
              <w:ind w:right="135"/>
              <w:rPr>
                <w:b/>
                <w:sz w:val="20"/>
              </w:rPr>
            </w:pPr>
            <w:r>
              <w:rPr>
                <w:b/>
                <w:spacing w:val="-2"/>
                <w:sz w:val="20"/>
              </w:rPr>
              <w:t>20,991</w:t>
            </w:r>
          </w:p>
        </w:tc>
        <w:tc>
          <w:tcPr>
            <w:tcW w:w="1080" w:type="dxa"/>
            <w:shd w:val="clear" w:color="auto" w:fill="CCEDFF"/>
          </w:tcPr>
          <w:p w14:paraId="55FD472A" w14:textId="77777777" w:rsidR="00AE2255" w:rsidRDefault="00000000">
            <w:pPr>
              <w:pStyle w:val="TableParagraph"/>
              <w:ind w:right="135"/>
              <w:rPr>
                <w:sz w:val="20"/>
              </w:rPr>
            </w:pPr>
            <w:r>
              <w:rPr>
                <w:spacing w:val="-2"/>
                <w:sz w:val="20"/>
              </w:rPr>
              <w:t>19,815</w:t>
            </w:r>
          </w:p>
        </w:tc>
        <w:tc>
          <w:tcPr>
            <w:tcW w:w="1095" w:type="dxa"/>
            <w:shd w:val="clear" w:color="auto" w:fill="CCEDFF"/>
          </w:tcPr>
          <w:p w14:paraId="709FF08B" w14:textId="77777777" w:rsidR="00AE2255" w:rsidRDefault="00000000">
            <w:pPr>
              <w:pStyle w:val="TableParagraph"/>
              <w:ind w:right="135"/>
              <w:rPr>
                <w:sz w:val="20"/>
              </w:rPr>
            </w:pPr>
            <w:r>
              <w:rPr>
                <w:spacing w:val="-2"/>
                <w:sz w:val="20"/>
              </w:rPr>
              <w:t>19,378</w:t>
            </w:r>
          </w:p>
        </w:tc>
        <w:tc>
          <w:tcPr>
            <w:tcW w:w="1080" w:type="dxa"/>
            <w:shd w:val="clear" w:color="auto" w:fill="CCEDFF"/>
          </w:tcPr>
          <w:p w14:paraId="42DBFFFA" w14:textId="77777777" w:rsidR="00AE2255" w:rsidRDefault="00000000">
            <w:pPr>
              <w:pStyle w:val="TableParagraph"/>
              <w:ind w:right="135"/>
              <w:rPr>
                <w:sz w:val="20"/>
              </w:rPr>
            </w:pPr>
            <w:r>
              <w:rPr>
                <w:spacing w:val="-2"/>
                <w:sz w:val="20"/>
              </w:rPr>
              <w:t>17,095</w:t>
            </w:r>
          </w:p>
        </w:tc>
        <w:tc>
          <w:tcPr>
            <w:tcW w:w="1024" w:type="dxa"/>
            <w:shd w:val="clear" w:color="auto" w:fill="CCEDFF"/>
          </w:tcPr>
          <w:p w14:paraId="0CF800DA" w14:textId="77777777" w:rsidR="00AE2255" w:rsidRDefault="00000000">
            <w:pPr>
              <w:pStyle w:val="TableParagraph"/>
              <w:ind w:right="79"/>
              <w:rPr>
                <w:sz w:val="20"/>
              </w:rPr>
            </w:pPr>
            <w:r>
              <w:rPr>
                <w:spacing w:val="-2"/>
                <w:sz w:val="20"/>
              </w:rPr>
              <w:t>16,103</w:t>
            </w:r>
          </w:p>
        </w:tc>
      </w:tr>
      <w:tr w:rsidR="00AE2255" w14:paraId="38309621" w14:textId="77777777">
        <w:trPr>
          <w:trHeight w:val="285"/>
        </w:trPr>
        <w:tc>
          <w:tcPr>
            <w:tcW w:w="4838" w:type="dxa"/>
          </w:tcPr>
          <w:p w14:paraId="7BE66E52" w14:textId="77777777" w:rsidR="00AE2255" w:rsidRDefault="00000000">
            <w:pPr>
              <w:pStyle w:val="TableParagraph"/>
              <w:ind w:left="52"/>
              <w:jc w:val="left"/>
              <w:rPr>
                <w:sz w:val="20"/>
              </w:rPr>
            </w:pPr>
            <w:r>
              <w:rPr>
                <w:spacing w:val="-2"/>
                <w:sz w:val="20"/>
              </w:rPr>
              <w:t>Goodwill</w:t>
            </w:r>
          </w:p>
        </w:tc>
        <w:tc>
          <w:tcPr>
            <w:tcW w:w="1143" w:type="dxa"/>
          </w:tcPr>
          <w:p w14:paraId="52232996" w14:textId="77777777" w:rsidR="00AE2255" w:rsidRDefault="00000000">
            <w:pPr>
              <w:pStyle w:val="TableParagraph"/>
              <w:ind w:right="135"/>
              <w:rPr>
                <w:b/>
                <w:sz w:val="20"/>
              </w:rPr>
            </w:pPr>
            <w:r>
              <w:rPr>
                <w:b/>
                <w:spacing w:val="-2"/>
                <w:sz w:val="20"/>
              </w:rPr>
              <w:t>10,780</w:t>
            </w:r>
          </w:p>
        </w:tc>
        <w:tc>
          <w:tcPr>
            <w:tcW w:w="1080" w:type="dxa"/>
          </w:tcPr>
          <w:p w14:paraId="29FF4B9E" w14:textId="77777777" w:rsidR="00AE2255" w:rsidRDefault="00000000">
            <w:pPr>
              <w:pStyle w:val="TableParagraph"/>
              <w:ind w:right="135"/>
              <w:rPr>
                <w:sz w:val="20"/>
              </w:rPr>
            </w:pPr>
            <w:r>
              <w:rPr>
                <w:spacing w:val="-2"/>
                <w:sz w:val="20"/>
              </w:rPr>
              <w:t>10,813</w:t>
            </w:r>
          </w:p>
        </w:tc>
        <w:tc>
          <w:tcPr>
            <w:tcW w:w="1095" w:type="dxa"/>
          </w:tcPr>
          <w:p w14:paraId="4204A3FF" w14:textId="77777777" w:rsidR="00AE2255" w:rsidRDefault="00000000">
            <w:pPr>
              <w:pStyle w:val="TableParagraph"/>
              <w:ind w:right="135"/>
              <w:rPr>
                <w:sz w:val="20"/>
              </w:rPr>
            </w:pPr>
            <w:r>
              <w:rPr>
                <w:spacing w:val="-2"/>
                <w:sz w:val="20"/>
              </w:rPr>
              <w:t>10,806</w:t>
            </w:r>
          </w:p>
        </w:tc>
        <w:tc>
          <w:tcPr>
            <w:tcW w:w="1080" w:type="dxa"/>
          </w:tcPr>
          <w:p w14:paraId="47143EEF" w14:textId="77777777" w:rsidR="00AE2255" w:rsidRDefault="00000000">
            <w:pPr>
              <w:pStyle w:val="TableParagraph"/>
              <w:ind w:right="135"/>
              <w:rPr>
                <w:sz w:val="20"/>
              </w:rPr>
            </w:pPr>
            <w:r>
              <w:rPr>
                <w:spacing w:val="-2"/>
                <w:sz w:val="20"/>
              </w:rPr>
              <w:t>10,604</w:t>
            </w:r>
          </w:p>
        </w:tc>
        <w:tc>
          <w:tcPr>
            <w:tcW w:w="1024" w:type="dxa"/>
          </w:tcPr>
          <w:p w14:paraId="6EBF33BC" w14:textId="77777777" w:rsidR="00AE2255" w:rsidRDefault="00000000">
            <w:pPr>
              <w:pStyle w:val="TableParagraph"/>
              <w:ind w:right="79"/>
              <w:rPr>
                <w:sz w:val="20"/>
              </w:rPr>
            </w:pPr>
            <w:r>
              <w:rPr>
                <w:spacing w:val="-2"/>
                <w:sz w:val="20"/>
              </w:rPr>
              <w:t>10,769</w:t>
            </w:r>
          </w:p>
        </w:tc>
      </w:tr>
      <w:tr w:rsidR="00AE2255" w14:paraId="4BB3AD68" w14:textId="77777777">
        <w:trPr>
          <w:trHeight w:val="285"/>
        </w:trPr>
        <w:tc>
          <w:tcPr>
            <w:tcW w:w="4838" w:type="dxa"/>
            <w:shd w:val="clear" w:color="auto" w:fill="CCEDFF"/>
          </w:tcPr>
          <w:p w14:paraId="3AFC39F1" w14:textId="77777777" w:rsidR="00AE2255" w:rsidRDefault="00000000">
            <w:pPr>
              <w:pStyle w:val="TableParagraph"/>
              <w:ind w:left="52"/>
              <w:jc w:val="left"/>
              <w:rPr>
                <w:sz w:val="20"/>
              </w:rPr>
            </w:pPr>
            <w:r>
              <w:rPr>
                <w:sz w:val="20"/>
              </w:rPr>
              <w:t>Total</w:t>
            </w:r>
            <w:r>
              <w:rPr>
                <w:spacing w:val="-5"/>
                <w:sz w:val="20"/>
              </w:rPr>
              <w:t xml:space="preserve"> </w:t>
            </w:r>
            <w:r>
              <w:rPr>
                <w:sz w:val="20"/>
              </w:rPr>
              <w:t>assets</w:t>
            </w:r>
            <w:r>
              <w:rPr>
                <w:spacing w:val="-5"/>
                <w:sz w:val="20"/>
              </w:rPr>
              <w:t xml:space="preserve"> </w:t>
            </w:r>
            <w:r>
              <w:rPr>
                <w:spacing w:val="-5"/>
                <w:sz w:val="20"/>
                <w:vertAlign w:val="superscript"/>
              </w:rPr>
              <w:t>(</w:t>
            </w:r>
            <w:proofErr w:type="spellStart"/>
            <w:r>
              <w:rPr>
                <w:spacing w:val="-5"/>
                <w:sz w:val="20"/>
                <w:vertAlign w:val="superscript"/>
              </w:rPr>
              <w:t>i</w:t>
            </w:r>
            <w:proofErr w:type="spellEnd"/>
            <w:r>
              <w:rPr>
                <w:spacing w:val="-5"/>
                <w:sz w:val="20"/>
                <w:vertAlign w:val="superscript"/>
              </w:rPr>
              <w:t>)</w:t>
            </w:r>
          </w:p>
        </w:tc>
        <w:tc>
          <w:tcPr>
            <w:tcW w:w="1143" w:type="dxa"/>
            <w:shd w:val="clear" w:color="auto" w:fill="CCEDFF"/>
          </w:tcPr>
          <w:p w14:paraId="7947B71A" w14:textId="77777777" w:rsidR="00AE2255" w:rsidRDefault="00000000">
            <w:pPr>
              <w:pStyle w:val="TableParagraph"/>
              <w:ind w:right="135"/>
              <w:rPr>
                <w:b/>
                <w:sz w:val="20"/>
              </w:rPr>
            </w:pPr>
            <w:r>
              <w:rPr>
                <w:b/>
                <w:spacing w:val="-2"/>
                <w:sz w:val="20"/>
              </w:rPr>
              <w:t>52,880</w:t>
            </w:r>
          </w:p>
        </w:tc>
        <w:tc>
          <w:tcPr>
            <w:tcW w:w="1080" w:type="dxa"/>
            <w:shd w:val="clear" w:color="auto" w:fill="CCEDFF"/>
          </w:tcPr>
          <w:p w14:paraId="4F485781" w14:textId="77777777" w:rsidR="00AE2255" w:rsidRDefault="00000000">
            <w:pPr>
              <w:pStyle w:val="TableParagraph"/>
              <w:ind w:right="135"/>
              <w:rPr>
                <w:sz w:val="20"/>
              </w:rPr>
            </w:pPr>
            <w:r>
              <w:rPr>
                <w:spacing w:val="-2"/>
                <w:sz w:val="20"/>
              </w:rPr>
              <w:t>50,873</w:t>
            </w:r>
          </w:p>
        </w:tc>
        <w:tc>
          <w:tcPr>
            <w:tcW w:w="1095" w:type="dxa"/>
            <w:shd w:val="clear" w:color="auto" w:fill="CCEDFF"/>
          </w:tcPr>
          <w:p w14:paraId="2551E1D5" w14:textId="77777777" w:rsidR="00AE2255" w:rsidRDefault="00000000">
            <w:pPr>
              <w:pStyle w:val="TableParagraph"/>
              <w:ind w:right="135"/>
              <w:rPr>
                <w:sz w:val="20"/>
              </w:rPr>
            </w:pPr>
            <w:r>
              <w:rPr>
                <w:spacing w:val="-2"/>
                <w:sz w:val="20"/>
              </w:rPr>
              <w:t>50,710</w:t>
            </w:r>
          </w:p>
        </w:tc>
        <w:tc>
          <w:tcPr>
            <w:tcW w:w="1080" w:type="dxa"/>
            <w:shd w:val="clear" w:color="auto" w:fill="CCEDFF"/>
          </w:tcPr>
          <w:p w14:paraId="5151666B" w14:textId="77777777" w:rsidR="00AE2255" w:rsidRDefault="00000000">
            <w:pPr>
              <w:pStyle w:val="TableParagraph"/>
              <w:ind w:right="135"/>
              <w:rPr>
                <w:sz w:val="20"/>
              </w:rPr>
            </w:pPr>
            <w:r>
              <w:rPr>
                <w:spacing w:val="-2"/>
                <w:sz w:val="20"/>
              </w:rPr>
              <w:t>47,528</w:t>
            </w:r>
          </w:p>
        </w:tc>
        <w:tc>
          <w:tcPr>
            <w:tcW w:w="1024" w:type="dxa"/>
            <w:shd w:val="clear" w:color="auto" w:fill="CCEDFF"/>
          </w:tcPr>
          <w:p w14:paraId="3AD2FFFF" w14:textId="77777777" w:rsidR="00AE2255" w:rsidRDefault="00000000">
            <w:pPr>
              <w:pStyle w:val="TableParagraph"/>
              <w:ind w:right="79"/>
              <w:rPr>
                <w:sz w:val="20"/>
              </w:rPr>
            </w:pPr>
            <w:r>
              <w:rPr>
                <w:spacing w:val="-2"/>
                <w:sz w:val="20"/>
              </w:rPr>
              <w:t>44,876</w:t>
            </w:r>
          </w:p>
        </w:tc>
      </w:tr>
      <w:tr w:rsidR="00AE2255" w14:paraId="0B1AD5A5" w14:textId="77777777">
        <w:trPr>
          <w:trHeight w:val="285"/>
        </w:trPr>
        <w:tc>
          <w:tcPr>
            <w:tcW w:w="4838" w:type="dxa"/>
          </w:tcPr>
          <w:p w14:paraId="47104B78" w14:textId="77777777" w:rsidR="00AE2255" w:rsidRDefault="00000000">
            <w:pPr>
              <w:pStyle w:val="TableParagraph"/>
              <w:ind w:left="52"/>
              <w:jc w:val="left"/>
              <w:rPr>
                <w:sz w:val="20"/>
              </w:rPr>
            </w:pPr>
            <w:r>
              <w:rPr>
                <w:sz w:val="20"/>
              </w:rPr>
              <w:t>Total</w:t>
            </w:r>
            <w:r>
              <w:rPr>
                <w:spacing w:val="-4"/>
                <w:sz w:val="20"/>
              </w:rPr>
              <w:t xml:space="preserve"> </w:t>
            </w:r>
            <w:r>
              <w:rPr>
                <w:sz w:val="20"/>
              </w:rPr>
              <w:t>current</w:t>
            </w:r>
            <w:r>
              <w:rPr>
                <w:spacing w:val="-3"/>
                <w:sz w:val="20"/>
              </w:rPr>
              <w:t xml:space="preserve"> </w:t>
            </w:r>
            <w:r>
              <w:rPr>
                <w:spacing w:val="-2"/>
                <w:sz w:val="20"/>
              </w:rPr>
              <w:t>liabilities</w:t>
            </w:r>
          </w:p>
        </w:tc>
        <w:tc>
          <w:tcPr>
            <w:tcW w:w="1143" w:type="dxa"/>
          </w:tcPr>
          <w:p w14:paraId="572C0885" w14:textId="77777777" w:rsidR="00AE2255" w:rsidRDefault="00000000">
            <w:pPr>
              <w:pStyle w:val="TableParagraph"/>
              <w:ind w:right="135"/>
              <w:rPr>
                <w:b/>
                <w:sz w:val="20"/>
              </w:rPr>
            </w:pPr>
            <w:r>
              <w:rPr>
                <w:b/>
                <w:spacing w:val="-2"/>
                <w:sz w:val="20"/>
              </w:rPr>
              <w:t>15,887</w:t>
            </w:r>
          </w:p>
        </w:tc>
        <w:tc>
          <w:tcPr>
            <w:tcW w:w="1080" w:type="dxa"/>
          </w:tcPr>
          <w:p w14:paraId="4F4FAC8F" w14:textId="77777777" w:rsidR="00AE2255" w:rsidRDefault="00000000">
            <w:pPr>
              <w:pStyle w:val="TableParagraph"/>
              <w:ind w:right="135"/>
              <w:rPr>
                <w:sz w:val="20"/>
              </w:rPr>
            </w:pPr>
            <w:r>
              <w:rPr>
                <w:spacing w:val="-2"/>
                <w:sz w:val="20"/>
              </w:rPr>
              <w:t>13,997</w:t>
            </w:r>
          </w:p>
        </w:tc>
        <w:tc>
          <w:tcPr>
            <w:tcW w:w="1095" w:type="dxa"/>
          </w:tcPr>
          <w:p w14:paraId="3E9BC669" w14:textId="77777777" w:rsidR="00AE2255" w:rsidRDefault="00000000">
            <w:pPr>
              <w:pStyle w:val="TableParagraph"/>
              <w:ind w:right="135"/>
              <w:rPr>
                <w:sz w:val="20"/>
              </w:rPr>
            </w:pPr>
            <w:r>
              <w:rPr>
                <w:spacing w:val="-2"/>
                <w:sz w:val="20"/>
              </w:rPr>
              <w:t>13,933</w:t>
            </w:r>
          </w:p>
        </w:tc>
        <w:tc>
          <w:tcPr>
            <w:tcW w:w="1080" w:type="dxa"/>
          </w:tcPr>
          <w:p w14:paraId="79178986" w14:textId="77777777" w:rsidR="00AE2255" w:rsidRDefault="00000000">
            <w:pPr>
              <w:pStyle w:val="TableParagraph"/>
              <w:ind w:right="135"/>
              <w:rPr>
                <w:sz w:val="20"/>
              </w:rPr>
            </w:pPr>
            <w:r>
              <w:rPr>
                <w:spacing w:val="-2"/>
                <w:sz w:val="20"/>
              </w:rPr>
              <w:t>13,972</w:t>
            </w:r>
          </w:p>
        </w:tc>
        <w:tc>
          <w:tcPr>
            <w:tcW w:w="1024" w:type="dxa"/>
          </w:tcPr>
          <w:p w14:paraId="1703E2A7" w14:textId="77777777" w:rsidR="00AE2255" w:rsidRDefault="00000000">
            <w:pPr>
              <w:pStyle w:val="TableParagraph"/>
              <w:ind w:right="79"/>
              <w:rPr>
                <w:sz w:val="20"/>
              </w:rPr>
            </w:pPr>
            <w:r>
              <w:rPr>
                <w:spacing w:val="-2"/>
                <w:sz w:val="20"/>
              </w:rPr>
              <w:t>14,398</w:t>
            </w:r>
          </w:p>
        </w:tc>
      </w:tr>
      <w:tr w:rsidR="00AE2255" w14:paraId="675481E7" w14:textId="77777777">
        <w:trPr>
          <w:trHeight w:val="285"/>
        </w:trPr>
        <w:tc>
          <w:tcPr>
            <w:tcW w:w="4838" w:type="dxa"/>
            <w:shd w:val="clear" w:color="auto" w:fill="CCEDFF"/>
          </w:tcPr>
          <w:p w14:paraId="1F82DE87" w14:textId="77777777" w:rsidR="00AE2255" w:rsidRDefault="00000000">
            <w:pPr>
              <w:pStyle w:val="TableParagraph"/>
              <w:ind w:left="52"/>
              <w:jc w:val="left"/>
              <w:rPr>
                <w:sz w:val="20"/>
              </w:rPr>
            </w:pPr>
            <w:r>
              <w:rPr>
                <w:sz w:val="20"/>
              </w:rPr>
              <w:t>Total</w:t>
            </w:r>
            <w:r>
              <w:rPr>
                <w:spacing w:val="-4"/>
                <w:sz w:val="20"/>
              </w:rPr>
              <w:t xml:space="preserve"> </w:t>
            </w:r>
            <w:r>
              <w:rPr>
                <w:sz w:val="20"/>
              </w:rPr>
              <w:t>debt,</w:t>
            </w:r>
            <w:r>
              <w:rPr>
                <w:spacing w:val="-2"/>
                <w:sz w:val="20"/>
              </w:rPr>
              <w:t xml:space="preserve"> </w:t>
            </w:r>
            <w:r>
              <w:rPr>
                <w:spacing w:val="-5"/>
                <w:sz w:val="20"/>
              </w:rPr>
              <w:t>net</w:t>
            </w:r>
          </w:p>
        </w:tc>
        <w:tc>
          <w:tcPr>
            <w:tcW w:w="1143" w:type="dxa"/>
            <w:shd w:val="clear" w:color="auto" w:fill="CCEDFF"/>
          </w:tcPr>
          <w:p w14:paraId="7A9FB4BC" w14:textId="77777777" w:rsidR="00AE2255" w:rsidRDefault="00000000">
            <w:pPr>
              <w:pStyle w:val="TableParagraph"/>
              <w:ind w:right="135"/>
              <w:rPr>
                <w:b/>
                <w:sz w:val="20"/>
              </w:rPr>
            </w:pPr>
            <w:r>
              <w:rPr>
                <w:b/>
                <w:spacing w:val="-2"/>
                <w:sz w:val="20"/>
              </w:rPr>
              <w:t>15,547</w:t>
            </w:r>
          </w:p>
        </w:tc>
        <w:tc>
          <w:tcPr>
            <w:tcW w:w="1080" w:type="dxa"/>
            <w:shd w:val="clear" w:color="auto" w:fill="CCEDFF"/>
          </w:tcPr>
          <w:p w14:paraId="5BE58C60" w14:textId="77777777" w:rsidR="00AE2255" w:rsidRDefault="00000000">
            <w:pPr>
              <w:pStyle w:val="TableParagraph"/>
              <w:ind w:right="135"/>
              <w:rPr>
                <w:sz w:val="20"/>
              </w:rPr>
            </w:pPr>
            <w:r>
              <w:rPr>
                <w:spacing w:val="-2"/>
                <w:sz w:val="20"/>
              </w:rPr>
              <w:t>11,676</w:t>
            </w:r>
          </w:p>
        </w:tc>
        <w:tc>
          <w:tcPr>
            <w:tcW w:w="1095" w:type="dxa"/>
            <w:shd w:val="clear" w:color="auto" w:fill="CCEDFF"/>
          </w:tcPr>
          <w:p w14:paraId="1047374A" w14:textId="77777777" w:rsidR="00AE2255" w:rsidRDefault="00000000">
            <w:pPr>
              <w:pStyle w:val="TableParagraph"/>
              <w:ind w:right="135"/>
              <w:rPr>
                <w:sz w:val="20"/>
              </w:rPr>
            </w:pPr>
            <w:r>
              <w:rPr>
                <w:spacing w:val="-2"/>
                <w:sz w:val="20"/>
              </w:rPr>
              <w:t>12,169</w:t>
            </w:r>
          </w:p>
        </w:tc>
        <w:tc>
          <w:tcPr>
            <w:tcW w:w="1080" w:type="dxa"/>
            <w:shd w:val="clear" w:color="auto" w:fill="CCEDFF"/>
          </w:tcPr>
          <w:p w14:paraId="1720C164" w14:textId="77777777" w:rsidR="00AE2255" w:rsidRDefault="00000000">
            <w:pPr>
              <w:pStyle w:val="TableParagraph"/>
              <w:ind w:right="135"/>
              <w:rPr>
                <w:sz w:val="20"/>
              </w:rPr>
            </w:pPr>
            <w:r>
              <w:rPr>
                <w:spacing w:val="-2"/>
                <w:sz w:val="20"/>
              </w:rPr>
              <w:t>12,654</w:t>
            </w:r>
          </w:p>
        </w:tc>
        <w:tc>
          <w:tcPr>
            <w:tcW w:w="1024" w:type="dxa"/>
            <w:shd w:val="clear" w:color="auto" w:fill="CCEDFF"/>
          </w:tcPr>
          <w:p w14:paraId="5EA7D2F2" w14:textId="77777777" w:rsidR="00AE2255" w:rsidRDefault="00000000">
            <w:pPr>
              <w:pStyle w:val="TableParagraph"/>
              <w:ind w:right="79"/>
              <w:rPr>
                <w:sz w:val="20"/>
              </w:rPr>
            </w:pPr>
            <w:r>
              <w:rPr>
                <w:spacing w:val="-2"/>
                <w:sz w:val="20"/>
              </w:rPr>
              <w:t>14,104</w:t>
            </w:r>
          </w:p>
        </w:tc>
      </w:tr>
      <w:tr w:rsidR="00AE2255" w14:paraId="7DC2DD45" w14:textId="77777777">
        <w:trPr>
          <w:trHeight w:val="285"/>
        </w:trPr>
        <w:tc>
          <w:tcPr>
            <w:tcW w:w="4838" w:type="dxa"/>
          </w:tcPr>
          <w:p w14:paraId="30085BA7" w14:textId="77777777" w:rsidR="00AE2255" w:rsidRDefault="00000000">
            <w:pPr>
              <w:pStyle w:val="TableParagraph"/>
              <w:ind w:left="52"/>
              <w:jc w:val="left"/>
              <w:rPr>
                <w:sz w:val="20"/>
              </w:rPr>
            </w:pPr>
            <w:r>
              <w:rPr>
                <w:sz w:val="20"/>
              </w:rPr>
              <w:t>Total</w:t>
            </w:r>
            <w:r>
              <w:rPr>
                <w:spacing w:val="-7"/>
                <w:sz w:val="20"/>
              </w:rPr>
              <w:t xml:space="preserve"> </w:t>
            </w:r>
            <w:r>
              <w:rPr>
                <w:sz w:val="20"/>
              </w:rPr>
              <w:t>liabilities</w:t>
            </w:r>
            <w:r>
              <w:rPr>
                <w:spacing w:val="-7"/>
                <w:sz w:val="20"/>
              </w:rPr>
              <w:t xml:space="preserve"> </w:t>
            </w:r>
            <w:r>
              <w:rPr>
                <w:spacing w:val="-2"/>
                <w:sz w:val="20"/>
                <w:vertAlign w:val="superscript"/>
              </w:rPr>
              <w:t>(c)(</w:t>
            </w:r>
            <w:proofErr w:type="spellStart"/>
            <w:r>
              <w:rPr>
                <w:spacing w:val="-2"/>
                <w:sz w:val="20"/>
                <w:vertAlign w:val="superscript"/>
              </w:rPr>
              <w:t>i</w:t>
            </w:r>
            <w:proofErr w:type="spellEnd"/>
            <w:r>
              <w:rPr>
                <w:spacing w:val="-2"/>
                <w:sz w:val="20"/>
                <w:vertAlign w:val="superscript"/>
              </w:rPr>
              <w:t>)</w:t>
            </w:r>
          </w:p>
        </w:tc>
        <w:tc>
          <w:tcPr>
            <w:tcW w:w="1143" w:type="dxa"/>
          </w:tcPr>
          <w:p w14:paraId="4BB0DC40" w14:textId="77777777" w:rsidR="00AE2255" w:rsidRDefault="00000000">
            <w:pPr>
              <w:pStyle w:val="TableParagraph"/>
              <w:ind w:right="135"/>
              <w:rPr>
                <w:b/>
                <w:sz w:val="20"/>
              </w:rPr>
            </w:pPr>
            <w:r>
              <w:rPr>
                <w:b/>
                <w:spacing w:val="-2"/>
                <w:sz w:val="20"/>
              </w:rPr>
              <w:t>43,614</w:t>
            </w:r>
          </w:p>
        </w:tc>
        <w:tc>
          <w:tcPr>
            <w:tcW w:w="1080" w:type="dxa"/>
          </w:tcPr>
          <w:p w14:paraId="5AFE6122" w14:textId="77777777" w:rsidR="00AE2255" w:rsidRDefault="00000000">
            <w:pPr>
              <w:pStyle w:val="TableParagraph"/>
              <w:ind w:right="135"/>
              <w:rPr>
                <w:sz w:val="20"/>
              </w:rPr>
            </w:pPr>
            <w:r>
              <w:rPr>
                <w:spacing w:val="-2"/>
                <w:sz w:val="20"/>
              </w:rPr>
              <w:t>39,914</w:t>
            </w:r>
          </w:p>
        </w:tc>
        <w:tc>
          <w:tcPr>
            <w:tcW w:w="1095" w:type="dxa"/>
          </w:tcPr>
          <w:p w14:paraId="6BE1460B" w14:textId="77777777" w:rsidR="00AE2255" w:rsidRDefault="00000000">
            <w:pPr>
              <w:pStyle w:val="TableParagraph"/>
              <w:ind w:right="135"/>
              <w:rPr>
                <w:sz w:val="20"/>
              </w:rPr>
            </w:pPr>
            <w:r>
              <w:rPr>
                <w:spacing w:val="-2"/>
                <w:sz w:val="20"/>
              </w:rPr>
              <w:t>44,672</w:t>
            </w:r>
          </w:p>
        </w:tc>
        <w:tc>
          <w:tcPr>
            <w:tcW w:w="1080" w:type="dxa"/>
          </w:tcPr>
          <w:p w14:paraId="3C48F507" w14:textId="77777777" w:rsidR="00AE2255" w:rsidRDefault="00000000">
            <w:pPr>
              <w:pStyle w:val="TableParagraph"/>
              <w:ind w:right="135"/>
              <w:rPr>
                <w:sz w:val="20"/>
              </w:rPr>
            </w:pPr>
            <w:r>
              <w:rPr>
                <w:spacing w:val="-2"/>
                <w:sz w:val="20"/>
              </w:rPr>
              <w:t>44,357</w:t>
            </w:r>
          </w:p>
        </w:tc>
        <w:tc>
          <w:tcPr>
            <w:tcW w:w="1024" w:type="dxa"/>
          </w:tcPr>
          <w:p w14:paraId="55ECF013" w14:textId="77777777" w:rsidR="00AE2255" w:rsidRDefault="00000000">
            <w:pPr>
              <w:pStyle w:val="TableParagraph"/>
              <w:ind w:right="79"/>
              <w:rPr>
                <w:sz w:val="20"/>
              </w:rPr>
            </w:pPr>
            <w:r>
              <w:rPr>
                <w:spacing w:val="-2"/>
                <w:sz w:val="20"/>
              </w:rPr>
              <w:t>43,427</w:t>
            </w:r>
          </w:p>
        </w:tc>
      </w:tr>
      <w:tr w:rsidR="00AE2255" w14:paraId="7CD35C82" w14:textId="77777777">
        <w:trPr>
          <w:trHeight w:val="275"/>
        </w:trPr>
        <w:tc>
          <w:tcPr>
            <w:tcW w:w="4838" w:type="dxa"/>
            <w:tcBorders>
              <w:bottom w:val="single" w:sz="8" w:space="0" w:color="CCEDFF"/>
            </w:tcBorders>
            <w:shd w:val="clear" w:color="auto" w:fill="CCEDFF"/>
          </w:tcPr>
          <w:p w14:paraId="37AF8E23" w14:textId="77777777" w:rsidR="00AE2255" w:rsidRDefault="00000000">
            <w:pPr>
              <w:pStyle w:val="TableParagraph"/>
              <w:spacing w:line="230" w:lineRule="exact"/>
              <w:ind w:left="52"/>
              <w:jc w:val="left"/>
              <w:rPr>
                <w:sz w:val="20"/>
              </w:rPr>
            </w:pPr>
            <w:r>
              <w:rPr>
                <w:sz w:val="20"/>
              </w:rPr>
              <w:t>Total</w:t>
            </w:r>
            <w:r>
              <w:rPr>
                <w:spacing w:val="-4"/>
                <w:sz w:val="20"/>
              </w:rPr>
              <w:t xml:space="preserve"> </w:t>
            </w:r>
            <w:r>
              <w:rPr>
                <w:spacing w:val="-2"/>
                <w:sz w:val="20"/>
              </w:rPr>
              <w:t>equity</w:t>
            </w:r>
          </w:p>
        </w:tc>
        <w:tc>
          <w:tcPr>
            <w:tcW w:w="1143" w:type="dxa"/>
            <w:tcBorders>
              <w:bottom w:val="single" w:sz="8" w:space="0" w:color="CCEDFF"/>
            </w:tcBorders>
            <w:shd w:val="clear" w:color="auto" w:fill="CCEDFF"/>
          </w:tcPr>
          <w:p w14:paraId="64ECA81C" w14:textId="77777777" w:rsidR="00AE2255" w:rsidRDefault="00000000">
            <w:pPr>
              <w:pStyle w:val="TableParagraph"/>
              <w:spacing w:line="230" w:lineRule="exact"/>
              <w:ind w:right="135"/>
              <w:rPr>
                <w:b/>
                <w:sz w:val="20"/>
              </w:rPr>
            </w:pPr>
            <w:r>
              <w:rPr>
                <w:b/>
                <w:spacing w:val="-2"/>
                <w:sz w:val="20"/>
              </w:rPr>
              <w:t>9,266</w:t>
            </w:r>
          </w:p>
        </w:tc>
        <w:tc>
          <w:tcPr>
            <w:tcW w:w="1080" w:type="dxa"/>
            <w:tcBorders>
              <w:bottom w:val="single" w:sz="8" w:space="0" w:color="CCEDFF"/>
            </w:tcBorders>
            <w:shd w:val="clear" w:color="auto" w:fill="CCEDFF"/>
          </w:tcPr>
          <w:p w14:paraId="65FA1A61" w14:textId="77777777" w:rsidR="00AE2255" w:rsidRDefault="00000000">
            <w:pPr>
              <w:pStyle w:val="TableParagraph"/>
              <w:spacing w:line="230" w:lineRule="exact"/>
              <w:ind w:right="135"/>
              <w:rPr>
                <w:sz w:val="20"/>
              </w:rPr>
            </w:pPr>
            <w:r>
              <w:rPr>
                <w:spacing w:val="-2"/>
                <w:sz w:val="20"/>
              </w:rPr>
              <w:t>10,959</w:t>
            </w:r>
          </w:p>
        </w:tc>
        <w:tc>
          <w:tcPr>
            <w:tcW w:w="1095" w:type="dxa"/>
            <w:tcBorders>
              <w:bottom w:val="single" w:sz="8" w:space="0" w:color="CCEDFF"/>
            </w:tcBorders>
            <w:shd w:val="clear" w:color="auto" w:fill="CCEDFF"/>
          </w:tcPr>
          <w:p w14:paraId="46D2DDC5" w14:textId="77777777" w:rsidR="00AE2255" w:rsidRDefault="00000000">
            <w:pPr>
              <w:pStyle w:val="TableParagraph"/>
              <w:spacing w:line="230" w:lineRule="exact"/>
              <w:ind w:right="135"/>
              <w:rPr>
                <w:sz w:val="20"/>
              </w:rPr>
            </w:pPr>
            <w:r>
              <w:rPr>
                <w:spacing w:val="-2"/>
                <w:sz w:val="20"/>
              </w:rPr>
              <w:t>6,038</w:t>
            </w:r>
          </w:p>
        </w:tc>
        <w:tc>
          <w:tcPr>
            <w:tcW w:w="1080" w:type="dxa"/>
            <w:tcBorders>
              <w:bottom w:val="single" w:sz="8" w:space="0" w:color="CCEDFF"/>
            </w:tcBorders>
            <w:shd w:val="clear" w:color="auto" w:fill="CCEDFF"/>
          </w:tcPr>
          <w:p w14:paraId="2292A2F0" w14:textId="77777777" w:rsidR="00AE2255" w:rsidRDefault="00000000">
            <w:pPr>
              <w:pStyle w:val="TableParagraph"/>
              <w:spacing w:line="230" w:lineRule="exact"/>
              <w:ind w:right="135"/>
              <w:rPr>
                <w:sz w:val="20"/>
              </w:rPr>
            </w:pPr>
            <w:r>
              <w:rPr>
                <w:spacing w:val="-2"/>
                <w:sz w:val="20"/>
              </w:rPr>
              <w:t>3,171</w:t>
            </w:r>
          </w:p>
        </w:tc>
        <w:tc>
          <w:tcPr>
            <w:tcW w:w="1024" w:type="dxa"/>
            <w:tcBorders>
              <w:bottom w:val="single" w:sz="8" w:space="0" w:color="CCEDFF"/>
            </w:tcBorders>
            <w:shd w:val="clear" w:color="auto" w:fill="CCEDFF"/>
          </w:tcPr>
          <w:p w14:paraId="6E8198E4" w14:textId="77777777" w:rsidR="00AE2255" w:rsidRDefault="00000000">
            <w:pPr>
              <w:pStyle w:val="TableParagraph"/>
              <w:spacing w:line="230" w:lineRule="exact"/>
              <w:ind w:right="79"/>
              <w:rPr>
                <w:sz w:val="20"/>
              </w:rPr>
            </w:pPr>
            <w:r>
              <w:rPr>
                <w:spacing w:val="-2"/>
                <w:sz w:val="20"/>
              </w:rPr>
              <w:t>1,449</w:t>
            </w:r>
          </w:p>
        </w:tc>
      </w:tr>
      <w:tr w:rsidR="00AE2255" w14:paraId="6B81E410" w14:textId="77777777">
        <w:trPr>
          <w:trHeight w:val="265"/>
        </w:trPr>
        <w:tc>
          <w:tcPr>
            <w:tcW w:w="4838" w:type="dxa"/>
            <w:tcBorders>
              <w:top w:val="single" w:sz="8" w:space="0" w:color="auto"/>
              <w:bottom w:val="single" w:sz="8" w:space="0" w:color="auto"/>
            </w:tcBorders>
          </w:tcPr>
          <w:p w14:paraId="5390E6D4" w14:textId="77777777" w:rsidR="00AE2255" w:rsidRDefault="00000000">
            <w:pPr>
              <w:pStyle w:val="TableParagraph"/>
              <w:spacing w:before="15" w:line="230" w:lineRule="exact"/>
              <w:ind w:left="52"/>
              <w:jc w:val="left"/>
              <w:rPr>
                <w:b/>
                <w:sz w:val="20"/>
              </w:rPr>
            </w:pPr>
            <w:r>
              <w:rPr>
                <w:b/>
                <w:sz w:val="20"/>
              </w:rPr>
              <w:t>Common</w:t>
            </w:r>
            <w:r>
              <w:rPr>
                <w:b/>
                <w:spacing w:val="-5"/>
                <w:sz w:val="20"/>
              </w:rPr>
              <w:t xml:space="preserve"> </w:t>
            </w:r>
            <w:r>
              <w:rPr>
                <w:b/>
                <w:sz w:val="20"/>
              </w:rPr>
              <w:t>shares</w:t>
            </w:r>
            <w:r>
              <w:rPr>
                <w:b/>
                <w:spacing w:val="-4"/>
                <w:sz w:val="20"/>
              </w:rPr>
              <w:t xml:space="preserve"> </w:t>
            </w:r>
            <w:r>
              <w:rPr>
                <w:b/>
                <w:sz w:val="20"/>
              </w:rPr>
              <w:t>in</w:t>
            </w:r>
            <w:r>
              <w:rPr>
                <w:b/>
                <w:spacing w:val="-5"/>
                <w:sz w:val="20"/>
              </w:rPr>
              <w:t xml:space="preserve"> </w:t>
            </w:r>
            <w:r>
              <w:rPr>
                <w:b/>
                <w:sz w:val="20"/>
              </w:rPr>
              <w:t>stockholders’</w:t>
            </w:r>
            <w:r>
              <w:rPr>
                <w:b/>
                <w:spacing w:val="-3"/>
                <w:sz w:val="20"/>
              </w:rPr>
              <w:t xml:space="preserve"> </w:t>
            </w:r>
            <w:r>
              <w:rPr>
                <w:b/>
                <w:sz w:val="20"/>
              </w:rPr>
              <w:t>equity</w:t>
            </w:r>
            <w:r>
              <w:rPr>
                <w:b/>
                <w:spacing w:val="-4"/>
                <w:sz w:val="20"/>
              </w:rPr>
              <w:t xml:space="preserve"> </w:t>
            </w:r>
            <w:r>
              <w:rPr>
                <w:b/>
                <w:sz w:val="20"/>
              </w:rPr>
              <w:t>at</w:t>
            </w:r>
            <w:r>
              <w:rPr>
                <w:b/>
                <w:spacing w:val="-3"/>
                <w:sz w:val="20"/>
              </w:rPr>
              <w:t xml:space="preserve"> </w:t>
            </w:r>
            <w:r>
              <w:rPr>
                <w:b/>
                <w:sz w:val="20"/>
              </w:rPr>
              <w:t>year-</w:t>
            </w:r>
            <w:r>
              <w:rPr>
                <w:b/>
                <w:spacing w:val="-5"/>
                <w:sz w:val="20"/>
              </w:rPr>
              <w:t>end</w:t>
            </w:r>
          </w:p>
        </w:tc>
        <w:tc>
          <w:tcPr>
            <w:tcW w:w="1143" w:type="dxa"/>
            <w:tcBorders>
              <w:top w:val="single" w:sz="8" w:space="0" w:color="auto"/>
              <w:bottom w:val="single" w:sz="8" w:space="0" w:color="auto"/>
            </w:tcBorders>
          </w:tcPr>
          <w:p w14:paraId="78F439BD" w14:textId="77777777" w:rsidR="00AE2255" w:rsidRDefault="00000000">
            <w:pPr>
              <w:pStyle w:val="TableParagraph"/>
              <w:spacing w:before="15" w:line="230" w:lineRule="exact"/>
              <w:ind w:right="135"/>
              <w:rPr>
                <w:b/>
                <w:sz w:val="20"/>
              </w:rPr>
            </w:pPr>
            <w:r>
              <w:rPr>
                <w:b/>
                <w:spacing w:val="-5"/>
                <w:sz w:val="20"/>
              </w:rPr>
              <w:t>254</w:t>
            </w:r>
          </w:p>
        </w:tc>
        <w:tc>
          <w:tcPr>
            <w:tcW w:w="1080" w:type="dxa"/>
            <w:tcBorders>
              <w:top w:val="single" w:sz="8" w:space="0" w:color="auto"/>
              <w:bottom w:val="single" w:sz="8" w:space="0" w:color="auto"/>
            </w:tcBorders>
          </w:tcPr>
          <w:p w14:paraId="4C5808FC" w14:textId="77777777" w:rsidR="00AE2255" w:rsidRDefault="00000000">
            <w:pPr>
              <w:pStyle w:val="TableParagraph"/>
              <w:spacing w:before="15" w:line="230" w:lineRule="exact"/>
              <w:ind w:right="135"/>
              <w:rPr>
                <w:sz w:val="20"/>
              </w:rPr>
            </w:pPr>
            <w:r>
              <w:rPr>
                <w:spacing w:val="-5"/>
                <w:sz w:val="20"/>
              </w:rPr>
              <w:t>271</w:t>
            </w:r>
          </w:p>
        </w:tc>
        <w:tc>
          <w:tcPr>
            <w:tcW w:w="1095" w:type="dxa"/>
            <w:tcBorders>
              <w:top w:val="single" w:sz="8" w:space="0" w:color="auto"/>
              <w:bottom w:val="single" w:sz="8" w:space="0" w:color="auto"/>
            </w:tcBorders>
          </w:tcPr>
          <w:p w14:paraId="685D992A" w14:textId="77777777" w:rsidR="00AE2255" w:rsidRDefault="00000000">
            <w:pPr>
              <w:pStyle w:val="TableParagraph"/>
              <w:spacing w:before="15" w:line="230" w:lineRule="exact"/>
              <w:ind w:right="135"/>
              <w:rPr>
                <w:sz w:val="20"/>
              </w:rPr>
            </w:pPr>
            <w:r>
              <w:rPr>
                <w:spacing w:val="-5"/>
                <w:sz w:val="20"/>
              </w:rPr>
              <w:t>279</w:t>
            </w:r>
          </w:p>
        </w:tc>
        <w:tc>
          <w:tcPr>
            <w:tcW w:w="1080" w:type="dxa"/>
            <w:tcBorders>
              <w:top w:val="single" w:sz="8" w:space="0" w:color="auto"/>
              <w:bottom w:val="single" w:sz="8" w:space="0" w:color="auto"/>
            </w:tcBorders>
          </w:tcPr>
          <w:p w14:paraId="69C9D67E" w14:textId="77777777" w:rsidR="00AE2255" w:rsidRDefault="00000000">
            <w:pPr>
              <w:pStyle w:val="TableParagraph"/>
              <w:spacing w:before="15" w:line="230" w:lineRule="exact"/>
              <w:ind w:right="135"/>
              <w:rPr>
                <w:sz w:val="20"/>
              </w:rPr>
            </w:pPr>
            <w:r>
              <w:rPr>
                <w:spacing w:val="-5"/>
                <w:sz w:val="20"/>
              </w:rPr>
              <w:t>280</w:t>
            </w:r>
          </w:p>
        </w:tc>
        <w:tc>
          <w:tcPr>
            <w:tcW w:w="1024" w:type="dxa"/>
            <w:tcBorders>
              <w:top w:val="single" w:sz="8" w:space="0" w:color="auto"/>
              <w:bottom w:val="single" w:sz="8" w:space="0" w:color="auto"/>
            </w:tcBorders>
          </w:tcPr>
          <w:p w14:paraId="7F3691BC" w14:textId="77777777" w:rsidR="00AE2255" w:rsidRDefault="00000000">
            <w:pPr>
              <w:pStyle w:val="TableParagraph"/>
              <w:spacing w:before="15" w:line="230" w:lineRule="exact"/>
              <w:ind w:right="79"/>
              <w:rPr>
                <w:sz w:val="20"/>
              </w:rPr>
            </w:pPr>
            <w:r>
              <w:rPr>
                <w:spacing w:val="-5"/>
                <w:sz w:val="20"/>
              </w:rPr>
              <w:t>281</w:t>
            </w:r>
          </w:p>
        </w:tc>
      </w:tr>
      <w:tr w:rsidR="00AE2255" w14:paraId="00EBB120" w14:textId="77777777">
        <w:trPr>
          <w:trHeight w:val="275"/>
        </w:trPr>
        <w:tc>
          <w:tcPr>
            <w:tcW w:w="4838" w:type="dxa"/>
            <w:tcBorders>
              <w:top w:val="single" w:sz="8" w:space="0" w:color="CCEDFF"/>
            </w:tcBorders>
            <w:shd w:val="clear" w:color="auto" w:fill="CCEDFF"/>
          </w:tcPr>
          <w:p w14:paraId="711722EF" w14:textId="77777777" w:rsidR="00AE2255" w:rsidRDefault="00000000">
            <w:pPr>
              <w:pStyle w:val="TableParagraph"/>
              <w:spacing w:before="13"/>
              <w:ind w:left="52"/>
              <w:jc w:val="left"/>
              <w:rPr>
                <w:b/>
                <w:sz w:val="20"/>
              </w:rPr>
            </w:pPr>
            <w:r>
              <w:rPr>
                <w:b/>
                <w:sz w:val="20"/>
              </w:rPr>
              <w:t>Cash</w:t>
            </w:r>
            <w:r>
              <w:rPr>
                <w:b/>
                <w:spacing w:val="-3"/>
                <w:sz w:val="20"/>
              </w:rPr>
              <w:t xml:space="preserve"> </w:t>
            </w:r>
            <w:r>
              <w:rPr>
                <w:b/>
                <w:sz w:val="20"/>
              </w:rPr>
              <w:t>flow</w:t>
            </w:r>
            <w:r>
              <w:rPr>
                <w:b/>
                <w:spacing w:val="-2"/>
                <w:sz w:val="20"/>
              </w:rPr>
              <w:t xml:space="preserve"> information</w:t>
            </w:r>
          </w:p>
        </w:tc>
        <w:tc>
          <w:tcPr>
            <w:tcW w:w="1143" w:type="dxa"/>
            <w:tcBorders>
              <w:top w:val="single" w:sz="8" w:space="0" w:color="CCEDFF"/>
            </w:tcBorders>
            <w:shd w:val="clear" w:color="auto" w:fill="CCEDFF"/>
          </w:tcPr>
          <w:p w14:paraId="1FA42509"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772D87A2" w14:textId="77777777" w:rsidR="00AE2255" w:rsidRDefault="00AE2255">
            <w:pPr>
              <w:pStyle w:val="TableParagraph"/>
              <w:spacing w:before="0"/>
              <w:jc w:val="left"/>
              <w:rPr>
                <w:sz w:val="18"/>
              </w:rPr>
            </w:pPr>
          </w:p>
        </w:tc>
        <w:tc>
          <w:tcPr>
            <w:tcW w:w="1095" w:type="dxa"/>
            <w:tcBorders>
              <w:top w:val="single" w:sz="8" w:space="0" w:color="CCEDFF"/>
            </w:tcBorders>
            <w:shd w:val="clear" w:color="auto" w:fill="CCEDFF"/>
          </w:tcPr>
          <w:p w14:paraId="28B948FD"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6731E48E" w14:textId="77777777" w:rsidR="00AE2255" w:rsidRDefault="00AE2255">
            <w:pPr>
              <w:pStyle w:val="TableParagraph"/>
              <w:spacing w:before="0"/>
              <w:jc w:val="left"/>
              <w:rPr>
                <w:sz w:val="18"/>
              </w:rPr>
            </w:pPr>
          </w:p>
        </w:tc>
        <w:tc>
          <w:tcPr>
            <w:tcW w:w="1024" w:type="dxa"/>
            <w:tcBorders>
              <w:top w:val="single" w:sz="8" w:space="0" w:color="CCEDFF"/>
            </w:tcBorders>
            <w:shd w:val="clear" w:color="auto" w:fill="CCEDFF"/>
          </w:tcPr>
          <w:p w14:paraId="001A02D7" w14:textId="77777777" w:rsidR="00AE2255" w:rsidRDefault="00AE2255">
            <w:pPr>
              <w:pStyle w:val="TableParagraph"/>
              <w:spacing w:before="0"/>
              <w:jc w:val="left"/>
              <w:rPr>
                <w:sz w:val="18"/>
              </w:rPr>
            </w:pPr>
          </w:p>
        </w:tc>
      </w:tr>
      <w:tr w:rsidR="00AE2255" w14:paraId="1312B255" w14:textId="77777777">
        <w:trPr>
          <w:trHeight w:val="285"/>
        </w:trPr>
        <w:tc>
          <w:tcPr>
            <w:tcW w:w="4838" w:type="dxa"/>
          </w:tcPr>
          <w:p w14:paraId="6CF6C2E2" w14:textId="77777777" w:rsidR="00AE2255" w:rsidRDefault="00000000">
            <w:pPr>
              <w:pStyle w:val="TableParagraph"/>
              <w:ind w:left="52"/>
              <w:jc w:val="left"/>
              <w:rPr>
                <w:sz w:val="20"/>
              </w:rPr>
            </w:pPr>
            <w:r>
              <w:rPr>
                <w:sz w:val="20"/>
              </w:rPr>
              <w:t>Net</w:t>
            </w:r>
            <w:r>
              <w:rPr>
                <w:spacing w:val="-5"/>
                <w:sz w:val="20"/>
              </w:rPr>
              <w:t xml:space="preserve"> </w:t>
            </w:r>
            <w:r>
              <w:rPr>
                <w:sz w:val="20"/>
              </w:rPr>
              <w:t>cash</w:t>
            </w:r>
            <w:r>
              <w:rPr>
                <w:spacing w:val="-3"/>
                <w:sz w:val="20"/>
              </w:rPr>
              <w:t xml:space="preserve"> </w:t>
            </w:r>
            <w:r>
              <w:rPr>
                <w:sz w:val="20"/>
              </w:rPr>
              <w:t>provided</w:t>
            </w:r>
            <w:r>
              <w:rPr>
                <w:spacing w:val="-3"/>
                <w:sz w:val="20"/>
              </w:rPr>
              <w:t xml:space="preserve"> </w:t>
            </w:r>
            <w:r>
              <w:rPr>
                <w:sz w:val="20"/>
              </w:rPr>
              <w:t>by</w:t>
            </w:r>
            <w:r>
              <w:rPr>
                <w:spacing w:val="-3"/>
                <w:sz w:val="20"/>
              </w:rPr>
              <w:t xml:space="preserve"> </w:t>
            </w:r>
            <w:r>
              <w:rPr>
                <w:sz w:val="20"/>
              </w:rPr>
              <w:t>operating</w:t>
            </w:r>
            <w:r>
              <w:rPr>
                <w:spacing w:val="-3"/>
                <w:sz w:val="20"/>
              </w:rPr>
              <w:t xml:space="preserve"> </w:t>
            </w:r>
            <w:r>
              <w:rPr>
                <w:sz w:val="20"/>
              </w:rPr>
              <w:t>activities</w:t>
            </w:r>
            <w:r>
              <w:rPr>
                <w:spacing w:val="-4"/>
                <w:sz w:val="20"/>
              </w:rPr>
              <w:t xml:space="preserve"> </w:t>
            </w:r>
            <w:r>
              <w:rPr>
                <w:spacing w:val="-5"/>
                <w:sz w:val="20"/>
                <w:vertAlign w:val="superscript"/>
              </w:rPr>
              <w:t>(b)</w:t>
            </w:r>
          </w:p>
        </w:tc>
        <w:tc>
          <w:tcPr>
            <w:tcW w:w="1143" w:type="dxa"/>
          </w:tcPr>
          <w:p w14:paraId="519F5166" w14:textId="77777777" w:rsidR="00AE2255" w:rsidRDefault="00000000">
            <w:pPr>
              <w:pStyle w:val="TableParagraph"/>
              <w:tabs>
                <w:tab w:val="left" w:pos="555"/>
              </w:tabs>
              <w:ind w:left="134"/>
              <w:jc w:val="left"/>
              <w:rPr>
                <w:b/>
                <w:sz w:val="20"/>
              </w:rPr>
            </w:pPr>
            <w:r>
              <w:rPr>
                <w:b/>
                <w:spacing w:val="-10"/>
                <w:sz w:val="20"/>
              </w:rPr>
              <w:t>$</w:t>
            </w:r>
            <w:r>
              <w:rPr>
                <w:b/>
                <w:sz w:val="20"/>
              </w:rPr>
              <w:tab/>
            </w:r>
            <w:r>
              <w:rPr>
                <w:b/>
                <w:spacing w:val="-2"/>
                <w:sz w:val="20"/>
              </w:rPr>
              <w:t>7,802</w:t>
            </w:r>
          </w:p>
        </w:tc>
        <w:tc>
          <w:tcPr>
            <w:tcW w:w="1080" w:type="dxa"/>
          </w:tcPr>
          <w:p w14:paraId="68028780"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9,221</w:t>
            </w:r>
          </w:p>
        </w:tc>
        <w:tc>
          <w:tcPr>
            <w:tcW w:w="1095" w:type="dxa"/>
          </w:tcPr>
          <w:p w14:paraId="44152459" w14:textId="77777777" w:rsidR="00AE2255" w:rsidRDefault="00000000">
            <w:pPr>
              <w:pStyle w:val="TableParagraph"/>
              <w:tabs>
                <w:tab w:val="left" w:pos="435"/>
              </w:tabs>
              <w:ind w:right="135"/>
              <w:rPr>
                <w:sz w:val="20"/>
              </w:rPr>
            </w:pPr>
            <w:r>
              <w:rPr>
                <w:spacing w:val="-10"/>
                <w:sz w:val="20"/>
              </w:rPr>
              <w:t>$</w:t>
            </w:r>
            <w:r>
              <w:rPr>
                <w:sz w:val="20"/>
              </w:rPr>
              <w:tab/>
            </w:r>
            <w:r>
              <w:rPr>
                <w:spacing w:val="-2"/>
                <w:sz w:val="20"/>
              </w:rPr>
              <w:t>8,183</w:t>
            </w:r>
          </w:p>
        </w:tc>
        <w:tc>
          <w:tcPr>
            <w:tcW w:w="1080" w:type="dxa"/>
          </w:tcPr>
          <w:p w14:paraId="7A2044EB"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7,311</w:t>
            </w:r>
          </w:p>
        </w:tc>
        <w:tc>
          <w:tcPr>
            <w:tcW w:w="1024" w:type="dxa"/>
          </w:tcPr>
          <w:p w14:paraId="4300DC5D" w14:textId="77777777" w:rsidR="00AE2255" w:rsidRDefault="00000000">
            <w:pPr>
              <w:pStyle w:val="TableParagraph"/>
              <w:tabs>
                <w:tab w:val="left" w:pos="420"/>
              </w:tabs>
              <w:ind w:right="79"/>
              <w:rPr>
                <w:sz w:val="20"/>
              </w:rPr>
            </w:pPr>
            <w:r>
              <w:rPr>
                <w:spacing w:val="-10"/>
                <w:sz w:val="20"/>
              </w:rPr>
              <w:t>$</w:t>
            </w:r>
            <w:r>
              <w:rPr>
                <w:sz w:val="20"/>
              </w:rPr>
              <w:tab/>
            </w:r>
            <w:r>
              <w:rPr>
                <w:spacing w:val="-2"/>
                <w:sz w:val="20"/>
              </w:rPr>
              <w:t>3,138</w:t>
            </w:r>
          </w:p>
        </w:tc>
      </w:tr>
      <w:tr w:rsidR="00AE2255" w14:paraId="281A24CF" w14:textId="77777777">
        <w:trPr>
          <w:trHeight w:val="285"/>
        </w:trPr>
        <w:tc>
          <w:tcPr>
            <w:tcW w:w="4838" w:type="dxa"/>
            <w:shd w:val="clear" w:color="auto" w:fill="CCEDFF"/>
          </w:tcPr>
          <w:p w14:paraId="4F50127D" w14:textId="77777777" w:rsidR="00AE2255" w:rsidRDefault="00000000">
            <w:pPr>
              <w:pStyle w:val="TableParagraph"/>
              <w:ind w:left="52"/>
              <w:jc w:val="left"/>
              <w:rPr>
                <w:sz w:val="20"/>
              </w:rPr>
            </w:pPr>
            <w:r>
              <w:rPr>
                <w:sz w:val="20"/>
              </w:rPr>
              <w:t>Net</w:t>
            </w:r>
            <w:r>
              <w:rPr>
                <w:spacing w:val="-6"/>
                <w:sz w:val="20"/>
              </w:rPr>
              <w:t xml:space="preserve"> </w:t>
            </w:r>
            <w:r>
              <w:rPr>
                <w:sz w:val="20"/>
              </w:rPr>
              <w:t>cash</w:t>
            </w:r>
            <w:r>
              <w:rPr>
                <w:spacing w:val="-2"/>
                <w:sz w:val="20"/>
              </w:rPr>
              <w:t xml:space="preserve"> </w:t>
            </w:r>
            <w:r>
              <w:rPr>
                <w:sz w:val="20"/>
              </w:rPr>
              <w:t>used</w:t>
            </w:r>
            <w:r>
              <w:rPr>
                <w:spacing w:val="-3"/>
                <w:sz w:val="20"/>
              </w:rPr>
              <w:t xml:space="preserve"> </w:t>
            </w:r>
            <w:r>
              <w:rPr>
                <w:sz w:val="20"/>
              </w:rPr>
              <w:t>for</w:t>
            </w:r>
            <w:r>
              <w:rPr>
                <w:spacing w:val="-2"/>
                <w:sz w:val="20"/>
              </w:rPr>
              <w:t xml:space="preserve"> </w:t>
            </w:r>
            <w:r>
              <w:rPr>
                <w:sz w:val="20"/>
              </w:rPr>
              <w:t>investing</w:t>
            </w:r>
            <w:r>
              <w:rPr>
                <w:spacing w:val="-2"/>
                <w:sz w:val="20"/>
              </w:rPr>
              <w:t xml:space="preserve"> activities</w:t>
            </w:r>
          </w:p>
        </w:tc>
        <w:tc>
          <w:tcPr>
            <w:tcW w:w="1143" w:type="dxa"/>
            <w:shd w:val="clear" w:color="auto" w:fill="CCEDFF"/>
          </w:tcPr>
          <w:p w14:paraId="4DE2144F" w14:textId="77777777" w:rsidR="00AE2255" w:rsidRDefault="00000000">
            <w:pPr>
              <w:pStyle w:val="TableParagraph"/>
              <w:ind w:right="70"/>
              <w:rPr>
                <w:b/>
                <w:sz w:val="20"/>
              </w:rPr>
            </w:pPr>
            <w:r>
              <w:rPr>
                <w:b/>
                <w:spacing w:val="-2"/>
                <w:sz w:val="20"/>
              </w:rPr>
              <w:t>(1,789)</w:t>
            </w:r>
          </w:p>
        </w:tc>
        <w:tc>
          <w:tcPr>
            <w:tcW w:w="1080" w:type="dxa"/>
            <w:shd w:val="clear" w:color="auto" w:fill="CCEDFF"/>
          </w:tcPr>
          <w:p w14:paraId="7531FECD" w14:textId="77777777" w:rsidR="00AE2255" w:rsidRDefault="00000000">
            <w:pPr>
              <w:pStyle w:val="TableParagraph"/>
              <w:ind w:right="70"/>
              <w:rPr>
                <w:sz w:val="20"/>
              </w:rPr>
            </w:pPr>
            <w:r>
              <w:rPr>
                <w:spacing w:val="-2"/>
                <w:sz w:val="20"/>
              </w:rPr>
              <w:t>(1,161)</w:t>
            </w:r>
          </w:p>
        </w:tc>
        <w:tc>
          <w:tcPr>
            <w:tcW w:w="1095" w:type="dxa"/>
            <w:shd w:val="clear" w:color="auto" w:fill="CCEDFF"/>
          </w:tcPr>
          <w:p w14:paraId="1A08F217" w14:textId="77777777" w:rsidR="00AE2255" w:rsidRDefault="00000000">
            <w:pPr>
              <w:pStyle w:val="TableParagraph"/>
              <w:ind w:right="70"/>
              <w:rPr>
                <w:sz w:val="20"/>
              </w:rPr>
            </w:pPr>
            <w:r>
              <w:rPr>
                <w:spacing w:val="-2"/>
                <w:sz w:val="20"/>
              </w:rPr>
              <w:t>(2,010)</w:t>
            </w:r>
          </w:p>
        </w:tc>
        <w:tc>
          <w:tcPr>
            <w:tcW w:w="1080" w:type="dxa"/>
            <w:shd w:val="clear" w:color="auto" w:fill="CCEDFF"/>
          </w:tcPr>
          <w:p w14:paraId="643C1A52" w14:textId="77777777" w:rsidR="00AE2255" w:rsidRDefault="00000000">
            <w:pPr>
              <w:pStyle w:val="TableParagraph"/>
              <w:ind w:right="70"/>
              <w:rPr>
                <w:sz w:val="20"/>
              </w:rPr>
            </w:pPr>
            <w:r>
              <w:rPr>
                <w:spacing w:val="-2"/>
                <w:sz w:val="20"/>
              </w:rPr>
              <w:t>(1,241)</w:t>
            </w:r>
          </w:p>
        </w:tc>
        <w:tc>
          <w:tcPr>
            <w:tcW w:w="1024" w:type="dxa"/>
            <w:shd w:val="clear" w:color="auto" w:fill="CCEDFF"/>
          </w:tcPr>
          <w:p w14:paraId="70CA9DF1" w14:textId="77777777" w:rsidR="00AE2255" w:rsidRDefault="00000000">
            <w:pPr>
              <w:pStyle w:val="TableParagraph"/>
              <w:ind w:right="14"/>
              <w:rPr>
                <w:sz w:val="20"/>
              </w:rPr>
            </w:pPr>
            <w:r>
              <w:rPr>
                <w:spacing w:val="-2"/>
                <w:sz w:val="20"/>
              </w:rPr>
              <w:t>(1,075)</w:t>
            </w:r>
          </w:p>
        </w:tc>
      </w:tr>
      <w:tr w:rsidR="00AE2255" w14:paraId="5B081A64" w14:textId="77777777">
        <w:trPr>
          <w:trHeight w:val="275"/>
        </w:trPr>
        <w:tc>
          <w:tcPr>
            <w:tcW w:w="4838" w:type="dxa"/>
            <w:tcBorders>
              <w:bottom w:val="single" w:sz="8" w:space="0" w:color="auto"/>
            </w:tcBorders>
          </w:tcPr>
          <w:p w14:paraId="0E02CF3A" w14:textId="77777777" w:rsidR="00AE2255" w:rsidRDefault="00000000">
            <w:pPr>
              <w:pStyle w:val="TableParagraph"/>
              <w:spacing w:line="230" w:lineRule="exact"/>
              <w:ind w:left="52"/>
              <w:jc w:val="left"/>
              <w:rPr>
                <w:sz w:val="20"/>
              </w:rPr>
            </w:pPr>
            <w:r>
              <w:rPr>
                <w:sz w:val="20"/>
              </w:rPr>
              <w:t>Net</w:t>
            </w:r>
            <w:r>
              <w:rPr>
                <w:spacing w:val="-4"/>
                <w:sz w:val="20"/>
              </w:rPr>
              <w:t xml:space="preserve"> </w:t>
            </w:r>
            <w:r>
              <w:rPr>
                <w:sz w:val="20"/>
              </w:rPr>
              <w:t>cash</w:t>
            </w:r>
            <w:r>
              <w:rPr>
                <w:spacing w:val="-2"/>
                <w:sz w:val="20"/>
              </w:rPr>
              <w:t xml:space="preserve"> </w:t>
            </w:r>
            <w:r>
              <w:rPr>
                <w:sz w:val="20"/>
              </w:rPr>
              <w:t>used</w:t>
            </w:r>
            <w:r>
              <w:rPr>
                <w:spacing w:val="-2"/>
                <w:sz w:val="20"/>
              </w:rPr>
              <w:t xml:space="preserve"> </w:t>
            </w:r>
            <w:r>
              <w:rPr>
                <w:sz w:val="20"/>
              </w:rPr>
              <w:t>for</w:t>
            </w:r>
            <w:r>
              <w:rPr>
                <w:spacing w:val="-2"/>
                <w:sz w:val="20"/>
              </w:rPr>
              <w:t xml:space="preserve"> </w:t>
            </w:r>
            <w:r>
              <w:rPr>
                <w:sz w:val="20"/>
              </w:rPr>
              <w:t>financing</w:t>
            </w:r>
            <w:r>
              <w:rPr>
                <w:spacing w:val="-2"/>
                <w:sz w:val="20"/>
              </w:rPr>
              <w:t xml:space="preserve"> activities</w:t>
            </w:r>
          </w:p>
        </w:tc>
        <w:tc>
          <w:tcPr>
            <w:tcW w:w="1143" w:type="dxa"/>
            <w:tcBorders>
              <w:bottom w:val="single" w:sz="8" w:space="0" w:color="auto"/>
            </w:tcBorders>
          </w:tcPr>
          <w:p w14:paraId="1CD49620" w14:textId="77777777" w:rsidR="00AE2255" w:rsidRDefault="00000000">
            <w:pPr>
              <w:pStyle w:val="TableParagraph"/>
              <w:spacing w:line="230" w:lineRule="exact"/>
              <w:ind w:right="70"/>
              <w:rPr>
                <w:b/>
                <w:sz w:val="20"/>
              </w:rPr>
            </w:pPr>
            <w:r>
              <w:rPr>
                <w:b/>
                <w:spacing w:val="-2"/>
                <w:sz w:val="20"/>
              </w:rPr>
              <w:t>(7,070)</w:t>
            </w:r>
          </w:p>
        </w:tc>
        <w:tc>
          <w:tcPr>
            <w:tcW w:w="1080" w:type="dxa"/>
            <w:tcBorders>
              <w:bottom w:val="single" w:sz="8" w:space="0" w:color="auto"/>
            </w:tcBorders>
          </w:tcPr>
          <w:p w14:paraId="229009FE" w14:textId="77777777" w:rsidR="00AE2255" w:rsidRDefault="00000000">
            <w:pPr>
              <w:pStyle w:val="TableParagraph"/>
              <w:spacing w:line="230" w:lineRule="exact"/>
              <w:ind w:right="70"/>
              <w:rPr>
                <w:sz w:val="20"/>
              </w:rPr>
            </w:pPr>
            <w:r>
              <w:rPr>
                <w:spacing w:val="-2"/>
                <w:sz w:val="20"/>
              </w:rPr>
              <w:t>(7,616)</w:t>
            </w:r>
          </w:p>
        </w:tc>
        <w:tc>
          <w:tcPr>
            <w:tcW w:w="1095" w:type="dxa"/>
            <w:tcBorders>
              <w:bottom w:val="single" w:sz="8" w:space="0" w:color="auto"/>
            </w:tcBorders>
          </w:tcPr>
          <w:p w14:paraId="0ADC09E0" w14:textId="77777777" w:rsidR="00AE2255" w:rsidRDefault="00000000">
            <w:pPr>
              <w:pStyle w:val="TableParagraph"/>
              <w:spacing w:line="230" w:lineRule="exact"/>
              <w:ind w:right="70"/>
              <w:rPr>
                <w:sz w:val="20"/>
              </w:rPr>
            </w:pPr>
            <w:r>
              <w:rPr>
                <w:spacing w:val="-2"/>
                <w:sz w:val="20"/>
              </w:rPr>
              <w:t>(4,527)</w:t>
            </w:r>
          </w:p>
        </w:tc>
        <w:tc>
          <w:tcPr>
            <w:tcW w:w="1080" w:type="dxa"/>
            <w:tcBorders>
              <w:bottom w:val="single" w:sz="8" w:space="0" w:color="auto"/>
            </w:tcBorders>
          </w:tcPr>
          <w:p w14:paraId="36739D7C" w14:textId="77777777" w:rsidR="00AE2255" w:rsidRDefault="00000000">
            <w:pPr>
              <w:pStyle w:val="TableParagraph"/>
              <w:spacing w:line="230" w:lineRule="exact"/>
              <w:ind w:right="70"/>
              <w:rPr>
                <w:sz w:val="20"/>
              </w:rPr>
            </w:pPr>
            <w:r>
              <w:rPr>
                <w:spacing w:val="-2"/>
                <w:sz w:val="20"/>
              </w:rPr>
              <w:t>(5,328)</w:t>
            </w:r>
          </w:p>
        </w:tc>
        <w:tc>
          <w:tcPr>
            <w:tcW w:w="1024" w:type="dxa"/>
            <w:tcBorders>
              <w:bottom w:val="single" w:sz="8" w:space="0" w:color="auto"/>
            </w:tcBorders>
          </w:tcPr>
          <w:p w14:paraId="0C6D5FFD" w14:textId="77777777" w:rsidR="00AE2255" w:rsidRDefault="00000000">
            <w:pPr>
              <w:pStyle w:val="TableParagraph"/>
              <w:spacing w:line="230" w:lineRule="exact"/>
              <w:ind w:right="14"/>
              <w:rPr>
                <w:sz w:val="20"/>
              </w:rPr>
            </w:pPr>
            <w:r>
              <w:rPr>
                <w:spacing w:val="-2"/>
                <w:sz w:val="20"/>
              </w:rPr>
              <w:t>(4,152)</w:t>
            </w:r>
          </w:p>
        </w:tc>
      </w:tr>
      <w:tr w:rsidR="00AE2255" w14:paraId="6B3358AD" w14:textId="77777777">
        <w:trPr>
          <w:trHeight w:val="252"/>
        </w:trPr>
        <w:tc>
          <w:tcPr>
            <w:tcW w:w="4838" w:type="dxa"/>
            <w:tcBorders>
              <w:top w:val="single" w:sz="8" w:space="0" w:color="CCEDFF"/>
              <w:bottom w:val="single" w:sz="18" w:space="0" w:color="CCEDFF"/>
            </w:tcBorders>
            <w:shd w:val="clear" w:color="auto" w:fill="CCEDFF"/>
          </w:tcPr>
          <w:p w14:paraId="60E951FB" w14:textId="77777777" w:rsidR="00AE2255" w:rsidRDefault="00000000">
            <w:pPr>
              <w:pStyle w:val="TableParagraph"/>
              <w:spacing w:before="15" w:line="217" w:lineRule="exact"/>
              <w:ind w:left="52"/>
              <w:jc w:val="left"/>
              <w:rPr>
                <w:b/>
                <w:sz w:val="20"/>
              </w:rPr>
            </w:pPr>
            <w:r>
              <w:rPr>
                <w:b/>
                <w:spacing w:val="-2"/>
                <w:sz w:val="20"/>
              </w:rPr>
              <w:t>Backlog</w:t>
            </w:r>
          </w:p>
        </w:tc>
        <w:tc>
          <w:tcPr>
            <w:tcW w:w="1143" w:type="dxa"/>
            <w:tcBorders>
              <w:top w:val="single" w:sz="8" w:space="0" w:color="CCEDFF"/>
              <w:bottom w:val="single" w:sz="18" w:space="0" w:color="CCEDFF"/>
            </w:tcBorders>
            <w:shd w:val="clear" w:color="auto" w:fill="CCEDFF"/>
          </w:tcPr>
          <w:p w14:paraId="71FAFA59" w14:textId="77777777" w:rsidR="00AE2255" w:rsidRDefault="00000000">
            <w:pPr>
              <w:pStyle w:val="TableParagraph"/>
              <w:spacing w:before="15" w:line="217" w:lineRule="exact"/>
              <w:ind w:left="134"/>
              <w:jc w:val="left"/>
              <w:rPr>
                <w:b/>
                <w:sz w:val="20"/>
              </w:rPr>
            </w:pPr>
            <w:r>
              <w:rPr>
                <w:b/>
                <w:sz w:val="20"/>
              </w:rPr>
              <w:t>$</w:t>
            </w:r>
            <w:r>
              <w:rPr>
                <w:b/>
                <w:spacing w:val="70"/>
                <w:sz w:val="20"/>
              </w:rPr>
              <w:t xml:space="preserve"> </w:t>
            </w:r>
            <w:r>
              <w:rPr>
                <w:b/>
                <w:spacing w:val="-2"/>
                <w:sz w:val="20"/>
              </w:rPr>
              <w:t>149,998</w:t>
            </w:r>
          </w:p>
        </w:tc>
        <w:tc>
          <w:tcPr>
            <w:tcW w:w="1080" w:type="dxa"/>
            <w:tcBorders>
              <w:top w:val="single" w:sz="8" w:space="0" w:color="CCEDFF"/>
              <w:bottom w:val="single" w:sz="18" w:space="0" w:color="CCEDFF"/>
            </w:tcBorders>
            <w:shd w:val="clear" w:color="auto" w:fill="CCEDFF"/>
          </w:tcPr>
          <w:p w14:paraId="44632550" w14:textId="77777777" w:rsidR="00AE2255" w:rsidRDefault="00000000">
            <w:pPr>
              <w:pStyle w:val="TableParagraph"/>
              <w:spacing w:before="15" w:line="217" w:lineRule="exact"/>
              <w:ind w:right="135"/>
              <w:rPr>
                <w:sz w:val="20"/>
              </w:rPr>
            </w:pPr>
            <w:r>
              <w:rPr>
                <w:sz w:val="20"/>
              </w:rPr>
              <w:t>$</w:t>
            </w:r>
            <w:r>
              <w:rPr>
                <w:spacing w:val="70"/>
                <w:sz w:val="20"/>
              </w:rPr>
              <w:t xml:space="preserve"> </w:t>
            </w:r>
            <w:r>
              <w:rPr>
                <w:spacing w:val="-2"/>
                <w:sz w:val="20"/>
              </w:rPr>
              <w:t>135,355</w:t>
            </w:r>
          </w:p>
        </w:tc>
        <w:tc>
          <w:tcPr>
            <w:tcW w:w="1095" w:type="dxa"/>
            <w:tcBorders>
              <w:top w:val="single" w:sz="8" w:space="0" w:color="CCEDFF"/>
              <w:bottom w:val="single" w:sz="18" w:space="0" w:color="CCEDFF"/>
            </w:tcBorders>
            <w:shd w:val="clear" w:color="auto" w:fill="CCEDFF"/>
          </w:tcPr>
          <w:p w14:paraId="2A9B4701" w14:textId="77777777" w:rsidR="00AE2255" w:rsidRDefault="00000000">
            <w:pPr>
              <w:pStyle w:val="TableParagraph"/>
              <w:spacing w:before="15" w:line="217" w:lineRule="exact"/>
              <w:ind w:right="135"/>
              <w:rPr>
                <w:sz w:val="20"/>
              </w:rPr>
            </w:pPr>
            <w:r>
              <w:rPr>
                <w:sz w:val="20"/>
              </w:rPr>
              <w:t>$</w:t>
            </w:r>
            <w:r>
              <w:rPr>
                <w:spacing w:val="60"/>
                <w:w w:val="150"/>
                <w:sz w:val="20"/>
              </w:rPr>
              <w:t xml:space="preserve"> </w:t>
            </w:r>
            <w:r>
              <w:rPr>
                <w:spacing w:val="-2"/>
                <w:sz w:val="20"/>
              </w:rPr>
              <w:t>147,131</w:t>
            </w:r>
          </w:p>
        </w:tc>
        <w:tc>
          <w:tcPr>
            <w:tcW w:w="1080" w:type="dxa"/>
            <w:tcBorders>
              <w:top w:val="single" w:sz="8" w:space="0" w:color="CCEDFF"/>
              <w:bottom w:val="single" w:sz="18" w:space="0" w:color="CCEDFF"/>
            </w:tcBorders>
            <w:shd w:val="clear" w:color="auto" w:fill="CCEDFF"/>
          </w:tcPr>
          <w:p w14:paraId="21FFBC25" w14:textId="77777777" w:rsidR="00AE2255" w:rsidRDefault="00000000">
            <w:pPr>
              <w:pStyle w:val="TableParagraph"/>
              <w:spacing w:before="15" w:line="217" w:lineRule="exact"/>
              <w:ind w:right="135"/>
              <w:rPr>
                <w:sz w:val="20"/>
              </w:rPr>
            </w:pPr>
            <w:r>
              <w:rPr>
                <w:sz w:val="20"/>
              </w:rPr>
              <w:t>$</w:t>
            </w:r>
            <w:r>
              <w:rPr>
                <w:spacing w:val="70"/>
                <w:sz w:val="20"/>
              </w:rPr>
              <w:t xml:space="preserve"> </w:t>
            </w:r>
            <w:r>
              <w:rPr>
                <w:spacing w:val="-2"/>
                <w:sz w:val="20"/>
              </w:rPr>
              <w:t>143,981</w:t>
            </w:r>
          </w:p>
        </w:tc>
        <w:tc>
          <w:tcPr>
            <w:tcW w:w="1024" w:type="dxa"/>
            <w:tcBorders>
              <w:top w:val="single" w:sz="8" w:space="0" w:color="CCEDFF"/>
              <w:bottom w:val="single" w:sz="18" w:space="0" w:color="CCEDFF"/>
            </w:tcBorders>
            <w:shd w:val="clear" w:color="auto" w:fill="CCEDFF"/>
          </w:tcPr>
          <w:p w14:paraId="6AE1958E" w14:textId="77777777" w:rsidR="00AE2255" w:rsidRDefault="00000000">
            <w:pPr>
              <w:pStyle w:val="TableParagraph"/>
              <w:spacing w:before="15" w:line="217" w:lineRule="exact"/>
              <w:ind w:right="79"/>
              <w:rPr>
                <w:sz w:val="20"/>
              </w:rPr>
            </w:pPr>
            <w:r>
              <w:rPr>
                <w:sz w:val="20"/>
              </w:rPr>
              <w:t>$</w:t>
            </w:r>
            <w:r>
              <w:rPr>
                <w:spacing w:val="70"/>
                <w:sz w:val="20"/>
              </w:rPr>
              <w:t xml:space="preserve"> </w:t>
            </w:r>
            <w:r>
              <w:rPr>
                <w:spacing w:val="-2"/>
                <w:sz w:val="20"/>
              </w:rPr>
              <w:t>130,468</w:t>
            </w:r>
          </w:p>
        </w:tc>
      </w:tr>
    </w:tbl>
    <w:p w14:paraId="2BDDDADC" w14:textId="77777777" w:rsidR="00AE2255" w:rsidRDefault="00000000">
      <w:pPr>
        <w:spacing w:before="35" w:line="249" w:lineRule="auto"/>
        <w:ind w:left="970" w:right="423" w:hanging="360"/>
        <w:jc w:val="both"/>
        <w:rPr>
          <w:sz w:val="18"/>
        </w:rPr>
      </w:pPr>
      <w:r>
        <w:rPr>
          <w:sz w:val="18"/>
          <w:vertAlign w:val="superscript"/>
        </w:rPr>
        <w:t>(a)</w:t>
      </w:r>
      <w:r>
        <w:rPr>
          <w:spacing w:val="80"/>
          <w:w w:val="150"/>
          <w:sz w:val="18"/>
        </w:rPr>
        <w:t xml:space="preserve"> </w:t>
      </w:r>
      <w:r>
        <w:rPr>
          <w:sz w:val="18"/>
        </w:rPr>
        <w:t>Our</w:t>
      </w:r>
      <w:r>
        <w:rPr>
          <w:spacing w:val="30"/>
          <w:sz w:val="18"/>
        </w:rPr>
        <w:t xml:space="preserve"> </w:t>
      </w:r>
      <w:r>
        <w:rPr>
          <w:sz w:val="18"/>
        </w:rPr>
        <w:t>operating</w:t>
      </w:r>
      <w:r>
        <w:rPr>
          <w:spacing w:val="30"/>
          <w:sz w:val="18"/>
        </w:rPr>
        <w:t xml:space="preserve"> </w:t>
      </w:r>
      <w:r>
        <w:rPr>
          <w:sz w:val="18"/>
        </w:rPr>
        <w:t>profit</w:t>
      </w:r>
      <w:r>
        <w:rPr>
          <w:spacing w:val="30"/>
          <w:sz w:val="18"/>
        </w:rPr>
        <w:t xml:space="preserve"> </w:t>
      </w:r>
      <w:r>
        <w:rPr>
          <w:sz w:val="18"/>
        </w:rPr>
        <w:t>and</w:t>
      </w:r>
      <w:r>
        <w:rPr>
          <w:spacing w:val="30"/>
          <w:sz w:val="18"/>
        </w:rPr>
        <w:t xml:space="preserve"> </w:t>
      </w:r>
      <w:r>
        <w:rPr>
          <w:sz w:val="18"/>
        </w:rPr>
        <w:t>net</w:t>
      </w:r>
      <w:r>
        <w:rPr>
          <w:spacing w:val="30"/>
          <w:sz w:val="18"/>
        </w:rPr>
        <w:t xml:space="preserve"> </w:t>
      </w:r>
      <w:r>
        <w:rPr>
          <w:sz w:val="18"/>
        </w:rPr>
        <w:t>earnings</w:t>
      </w:r>
      <w:r>
        <w:rPr>
          <w:spacing w:val="30"/>
          <w:sz w:val="18"/>
        </w:rPr>
        <w:t xml:space="preserve"> </w:t>
      </w:r>
      <w:r>
        <w:rPr>
          <w:sz w:val="18"/>
        </w:rPr>
        <w:t>from</w:t>
      </w:r>
      <w:r>
        <w:rPr>
          <w:spacing w:val="30"/>
          <w:sz w:val="18"/>
        </w:rPr>
        <w:t xml:space="preserve"> </w:t>
      </w:r>
      <w:r>
        <w:rPr>
          <w:sz w:val="18"/>
        </w:rPr>
        <w:t>continuing</w:t>
      </w:r>
      <w:r>
        <w:rPr>
          <w:spacing w:val="30"/>
          <w:sz w:val="18"/>
        </w:rPr>
        <w:t xml:space="preserve"> </w:t>
      </w:r>
      <w:r>
        <w:rPr>
          <w:sz w:val="18"/>
        </w:rPr>
        <w:t>operations</w:t>
      </w:r>
      <w:r>
        <w:rPr>
          <w:spacing w:val="30"/>
          <w:sz w:val="18"/>
        </w:rPr>
        <w:t xml:space="preserve"> </w:t>
      </w:r>
      <w:r>
        <w:rPr>
          <w:sz w:val="18"/>
        </w:rPr>
        <w:t>and</w:t>
      </w:r>
      <w:r>
        <w:rPr>
          <w:spacing w:val="30"/>
          <w:sz w:val="18"/>
        </w:rPr>
        <w:t xml:space="preserve"> </w:t>
      </w:r>
      <w:r>
        <w:rPr>
          <w:sz w:val="18"/>
        </w:rPr>
        <w:t>earnings</w:t>
      </w:r>
      <w:r>
        <w:rPr>
          <w:spacing w:val="30"/>
          <w:sz w:val="18"/>
        </w:rPr>
        <w:t xml:space="preserve"> </w:t>
      </w:r>
      <w:r>
        <w:rPr>
          <w:sz w:val="18"/>
        </w:rPr>
        <w:t>per</w:t>
      </w:r>
      <w:r>
        <w:rPr>
          <w:spacing w:val="30"/>
          <w:sz w:val="18"/>
        </w:rPr>
        <w:t xml:space="preserve"> </w:t>
      </w:r>
      <w:r>
        <w:rPr>
          <w:sz w:val="18"/>
        </w:rPr>
        <w:t>share</w:t>
      </w:r>
      <w:r>
        <w:rPr>
          <w:spacing w:val="30"/>
          <w:sz w:val="18"/>
        </w:rPr>
        <w:t xml:space="preserve"> </w:t>
      </w:r>
      <w:r>
        <w:rPr>
          <w:sz w:val="18"/>
        </w:rPr>
        <w:t>from</w:t>
      </w:r>
      <w:r>
        <w:rPr>
          <w:spacing w:val="30"/>
          <w:sz w:val="18"/>
        </w:rPr>
        <w:t xml:space="preserve"> </w:t>
      </w:r>
      <w:r>
        <w:rPr>
          <w:sz w:val="18"/>
        </w:rPr>
        <w:t>continuing operations</w:t>
      </w:r>
      <w:r>
        <w:rPr>
          <w:spacing w:val="30"/>
          <w:sz w:val="18"/>
        </w:rPr>
        <w:t xml:space="preserve"> </w:t>
      </w:r>
      <w:r>
        <w:rPr>
          <w:sz w:val="18"/>
        </w:rPr>
        <w:t>in</w:t>
      </w:r>
      <w:r>
        <w:rPr>
          <w:spacing w:val="31"/>
          <w:sz w:val="18"/>
        </w:rPr>
        <w:t xml:space="preserve"> </w:t>
      </w:r>
      <w:r>
        <w:rPr>
          <w:sz w:val="18"/>
        </w:rPr>
        <w:t>2022</w:t>
      </w:r>
      <w:r>
        <w:rPr>
          <w:spacing w:val="30"/>
          <w:sz w:val="18"/>
        </w:rPr>
        <w:t xml:space="preserve"> </w:t>
      </w:r>
      <w:r>
        <w:rPr>
          <w:sz w:val="18"/>
        </w:rPr>
        <w:t>were affected by $100 million ($79 million, or $0.31 per share, after-tax) of certain severance and other charges that relate to actions at our RMS business segment, which include severance costs for reduction of positions and asset impairment charges; severance and restructuring charges of $36 million ($28 million, or $0.10 per share, after-tax) in 2021; severance charges of $27 million ($21 million,</w:t>
      </w:r>
      <w:r>
        <w:rPr>
          <w:spacing w:val="40"/>
          <w:sz w:val="18"/>
        </w:rPr>
        <w:t xml:space="preserve"> </w:t>
      </w:r>
      <w:r>
        <w:rPr>
          <w:sz w:val="18"/>
        </w:rPr>
        <w:t>or $0.08 per share, after-tax) in 2020; and severance and restructuring charges of $96 million ($76 million, or $0.26 per share, after-tax) in 2018. See “Note 16 – Severance and Other Charges” included in our Notes to Consolidated Financial Statements for more</w:t>
      </w:r>
      <w:r>
        <w:rPr>
          <w:spacing w:val="80"/>
          <w:sz w:val="18"/>
        </w:rPr>
        <w:t xml:space="preserve"> </w:t>
      </w:r>
      <w:r>
        <w:rPr>
          <w:spacing w:val="-2"/>
          <w:sz w:val="18"/>
        </w:rPr>
        <w:t>information.</w:t>
      </w:r>
    </w:p>
    <w:p w14:paraId="7922070E" w14:textId="77777777" w:rsidR="00AE2255" w:rsidRDefault="00000000">
      <w:pPr>
        <w:spacing w:before="5" w:line="249" w:lineRule="auto"/>
        <w:ind w:left="970" w:right="422" w:hanging="360"/>
        <w:jc w:val="both"/>
        <w:rPr>
          <w:sz w:val="18"/>
        </w:rPr>
      </w:pPr>
      <w:r>
        <w:rPr>
          <w:sz w:val="18"/>
          <w:vertAlign w:val="superscript"/>
        </w:rPr>
        <w:t>(b)</w:t>
      </w:r>
      <w:r>
        <w:rPr>
          <w:spacing w:val="40"/>
          <w:sz w:val="18"/>
        </w:rPr>
        <w:t xml:space="preserve">  </w:t>
      </w:r>
      <w:r>
        <w:rPr>
          <w:sz w:val="18"/>
        </w:rPr>
        <w:t>The impact of our postretirement benefit plans can cause our operating profit, net earnings, cash flows and certain amounts recorded on our</w:t>
      </w:r>
      <w:r>
        <w:rPr>
          <w:spacing w:val="43"/>
          <w:sz w:val="18"/>
        </w:rPr>
        <w:t xml:space="preserve"> </w:t>
      </w:r>
      <w:r>
        <w:rPr>
          <w:sz w:val="18"/>
        </w:rPr>
        <w:t>consolidated</w:t>
      </w:r>
      <w:r>
        <w:rPr>
          <w:spacing w:val="43"/>
          <w:sz w:val="18"/>
        </w:rPr>
        <w:t xml:space="preserve"> </w:t>
      </w:r>
      <w:r>
        <w:rPr>
          <w:sz w:val="18"/>
        </w:rPr>
        <w:t>balance</w:t>
      </w:r>
      <w:r>
        <w:rPr>
          <w:spacing w:val="44"/>
          <w:sz w:val="18"/>
        </w:rPr>
        <w:t xml:space="preserve"> </w:t>
      </w:r>
      <w:r>
        <w:rPr>
          <w:sz w:val="18"/>
        </w:rPr>
        <w:t>sheets</w:t>
      </w:r>
      <w:r>
        <w:rPr>
          <w:spacing w:val="43"/>
          <w:sz w:val="18"/>
        </w:rPr>
        <w:t xml:space="preserve"> </w:t>
      </w:r>
      <w:r>
        <w:rPr>
          <w:sz w:val="18"/>
        </w:rPr>
        <w:t>to</w:t>
      </w:r>
      <w:r>
        <w:rPr>
          <w:spacing w:val="44"/>
          <w:sz w:val="18"/>
        </w:rPr>
        <w:t xml:space="preserve"> </w:t>
      </w:r>
      <w:r>
        <w:rPr>
          <w:sz w:val="18"/>
        </w:rPr>
        <w:t>fluctuate.</w:t>
      </w:r>
      <w:r>
        <w:rPr>
          <w:spacing w:val="43"/>
          <w:sz w:val="18"/>
        </w:rPr>
        <w:t xml:space="preserve"> </w:t>
      </w:r>
      <w:r>
        <w:rPr>
          <w:sz w:val="18"/>
        </w:rPr>
        <w:t>Accordingly,</w:t>
      </w:r>
      <w:r>
        <w:rPr>
          <w:spacing w:val="43"/>
          <w:sz w:val="18"/>
        </w:rPr>
        <w:t xml:space="preserve"> </w:t>
      </w:r>
      <w:r>
        <w:rPr>
          <w:sz w:val="18"/>
        </w:rPr>
        <w:t>our</w:t>
      </w:r>
      <w:r>
        <w:rPr>
          <w:spacing w:val="44"/>
          <w:sz w:val="18"/>
        </w:rPr>
        <w:t xml:space="preserve"> </w:t>
      </w:r>
      <w:r>
        <w:rPr>
          <w:sz w:val="18"/>
        </w:rPr>
        <w:t>net</w:t>
      </w:r>
      <w:r>
        <w:rPr>
          <w:spacing w:val="43"/>
          <w:sz w:val="18"/>
        </w:rPr>
        <w:t xml:space="preserve"> </w:t>
      </w:r>
      <w:r>
        <w:rPr>
          <w:sz w:val="18"/>
        </w:rPr>
        <w:t>earnings</w:t>
      </w:r>
      <w:r>
        <w:rPr>
          <w:spacing w:val="44"/>
          <w:sz w:val="18"/>
        </w:rPr>
        <w:t xml:space="preserve"> </w:t>
      </w:r>
      <w:r>
        <w:rPr>
          <w:sz w:val="18"/>
        </w:rPr>
        <w:t>were</w:t>
      </w:r>
      <w:r>
        <w:rPr>
          <w:spacing w:val="43"/>
          <w:sz w:val="18"/>
        </w:rPr>
        <w:t xml:space="preserve"> </w:t>
      </w:r>
      <w:r>
        <w:rPr>
          <w:sz w:val="18"/>
        </w:rPr>
        <w:t>affected</w:t>
      </w:r>
      <w:r>
        <w:rPr>
          <w:spacing w:val="43"/>
          <w:sz w:val="18"/>
        </w:rPr>
        <w:t xml:space="preserve"> </w:t>
      </w:r>
      <w:r>
        <w:rPr>
          <w:sz w:val="18"/>
        </w:rPr>
        <w:t>by</w:t>
      </w:r>
      <w:r>
        <w:rPr>
          <w:spacing w:val="44"/>
          <w:sz w:val="18"/>
        </w:rPr>
        <w:t xml:space="preserve"> </w:t>
      </w:r>
      <w:r>
        <w:rPr>
          <w:sz w:val="18"/>
        </w:rPr>
        <w:t>a</w:t>
      </w:r>
      <w:r>
        <w:rPr>
          <w:spacing w:val="43"/>
          <w:sz w:val="18"/>
        </w:rPr>
        <w:t xml:space="preserve"> </w:t>
      </w:r>
      <w:r>
        <w:rPr>
          <w:sz w:val="18"/>
        </w:rPr>
        <w:t>FAS/CAS</w:t>
      </w:r>
      <w:r>
        <w:rPr>
          <w:spacing w:val="44"/>
          <w:sz w:val="18"/>
        </w:rPr>
        <w:t xml:space="preserve"> </w:t>
      </w:r>
      <w:r>
        <w:rPr>
          <w:sz w:val="18"/>
        </w:rPr>
        <w:t>pension</w:t>
      </w:r>
      <w:r>
        <w:rPr>
          <w:spacing w:val="43"/>
          <w:sz w:val="18"/>
        </w:rPr>
        <w:t xml:space="preserve"> </w:t>
      </w:r>
      <w:r>
        <w:rPr>
          <w:sz w:val="18"/>
        </w:rPr>
        <w:t>adjustment</w:t>
      </w:r>
      <w:r>
        <w:rPr>
          <w:spacing w:val="44"/>
          <w:sz w:val="18"/>
        </w:rPr>
        <w:t xml:space="preserve"> </w:t>
      </w:r>
      <w:r>
        <w:rPr>
          <w:spacing w:val="-5"/>
          <w:sz w:val="18"/>
        </w:rPr>
        <w:t>of</w:t>
      </w:r>
    </w:p>
    <w:p w14:paraId="29759BD3" w14:textId="77777777" w:rsidR="00AE2255" w:rsidRDefault="00000000">
      <w:pPr>
        <w:spacing w:before="1" w:line="249" w:lineRule="auto"/>
        <w:ind w:left="970" w:right="423"/>
        <w:jc w:val="both"/>
        <w:rPr>
          <w:sz w:val="18"/>
        </w:rPr>
      </w:pPr>
      <w:r>
        <w:rPr>
          <w:sz w:val="18"/>
        </w:rPr>
        <w:t>$738 million in 2022, $668 million in 2021, $2.1 billion in 2020, $1.5 billion in 2019, and $1.0 billion in 2018. We made no pension contributions in both 2022 and 2021, $1.0 billion in both 2020 and 2019, and $5.0 billion in 2018. These contributions caused fluctuations</w:t>
      </w:r>
      <w:r>
        <w:rPr>
          <w:spacing w:val="-2"/>
          <w:sz w:val="18"/>
        </w:rPr>
        <w:t xml:space="preserve"> </w:t>
      </w:r>
      <w:r>
        <w:rPr>
          <w:sz w:val="18"/>
        </w:rPr>
        <w:t>in</w:t>
      </w:r>
      <w:r>
        <w:rPr>
          <w:spacing w:val="-2"/>
          <w:sz w:val="18"/>
        </w:rPr>
        <w:t xml:space="preserve"> </w:t>
      </w:r>
      <w:r>
        <w:rPr>
          <w:sz w:val="18"/>
        </w:rPr>
        <w:t>our</w:t>
      </w:r>
      <w:r>
        <w:rPr>
          <w:spacing w:val="-2"/>
          <w:sz w:val="18"/>
        </w:rPr>
        <w:t xml:space="preserve"> </w:t>
      </w:r>
      <w:r>
        <w:rPr>
          <w:sz w:val="18"/>
        </w:rPr>
        <w:t>operating</w:t>
      </w:r>
      <w:r>
        <w:rPr>
          <w:spacing w:val="-2"/>
          <w:sz w:val="18"/>
        </w:rPr>
        <w:t xml:space="preserve"> </w:t>
      </w:r>
      <w:r>
        <w:rPr>
          <w:sz w:val="18"/>
        </w:rPr>
        <w:t>cash</w:t>
      </w:r>
      <w:r>
        <w:rPr>
          <w:spacing w:val="-2"/>
          <w:sz w:val="18"/>
        </w:rPr>
        <w:t xml:space="preserve"> </w:t>
      </w:r>
      <w:r>
        <w:rPr>
          <w:sz w:val="18"/>
        </w:rPr>
        <w:t>flows</w:t>
      </w:r>
      <w:r>
        <w:rPr>
          <w:spacing w:val="-2"/>
          <w:sz w:val="18"/>
        </w:rPr>
        <w:t xml:space="preserve"> </w:t>
      </w:r>
      <w:r>
        <w:rPr>
          <w:sz w:val="18"/>
        </w:rPr>
        <w:t>and</w:t>
      </w:r>
      <w:r>
        <w:rPr>
          <w:spacing w:val="-2"/>
          <w:sz w:val="18"/>
        </w:rPr>
        <w:t xml:space="preserve"> </w:t>
      </w:r>
      <w:r>
        <w:rPr>
          <w:sz w:val="18"/>
        </w:rPr>
        <w:t>cash</w:t>
      </w:r>
      <w:r>
        <w:rPr>
          <w:spacing w:val="-2"/>
          <w:sz w:val="18"/>
        </w:rPr>
        <w:t xml:space="preserve"> </w:t>
      </w:r>
      <w:r>
        <w:rPr>
          <w:sz w:val="18"/>
        </w:rPr>
        <w:t>balance</w:t>
      </w:r>
      <w:r>
        <w:rPr>
          <w:spacing w:val="-2"/>
          <w:sz w:val="18"/>
        </w:rPr>
        <w:t xml:space="preserve"> </w:t>
      </w:r>
      <w:r>
        <w:rPr>
          <w:sz w:val="18"/>
        </w:rPr>
        <w:t>between</w:t>
      </w:r>
      <w:r>
        <w:rPr>
          <w:spacing w:val="-2"/>
          <w:sz w:val="18"/>
        </w:rPr>
        <w:t xml:space="preserve"> </w:t>
      </w:r>
      <w:r>
        <w:rPr>
          <w:sz w:val="18"/>
        </w:rPr>
        <w:t>each</w:t>
      </w:r>
      <w:r>
        <w:rPr>
          <w:spacing w:val="-2"/>
          <w:sz w:val="18"/>
        </w:rPr>
        <w:t xml:space="preserve"> </w:t>
      </w:r>
      <w:r>
        <w:rPr>
          <w:sz w:val="18"/>
        </w:rPr>
        <w:t>of</w:t>
      </w:r>
      <w:r>
        <w:rPr>
          <w:spacing w:val="-2"/>
          <w:sz w:val="18"/>
        </w:rPr>
        <w:t xml:space="preserve"> </w:t>
      </w:r>
      <w:r>
        <w:rPr>
          <w:sz w:val="18"/>
        </w:rPr>
        <w:t>those</w:t>
      </w:r>
      <w:r>
        <w:rPr>
          <w:spacing w:val="-2"/>
          <w:sz w:val="18"/>
        </w:rPr>
        <w:t xml:space="preserve"> </w:t>
      </w:r>
      <w:r>
        <w:rPr>
          <w:sz w:val="18"/>
        </w:rPr>
        <w:t>years.</w:t>
      </w:r>
      <w:r>
        <w:rPr>
          <w:spacing w:val="-2"/>
          <w:sz w:val="18"/>
        </w:rPr>
        <w:t xml:space="preserve"> </w:t>
      </w:r>
      <w:r>
        <w:rPr>
          <w:sz w:val="18"/>
        </w:rPr>
        <w:t>See</w:t>
      </w:r>
      <w:r>
        <w:rPr>
          <w:spacing w:val="-2"/>
          <w:sz w:val="18"/>
        </w:rPr>
        <w:t xml:space="preserve"> </w:t>
      </w:r>
      <w:r>
        <w:rPr>
          <w:sz w:val="18"/>
        </w:rPr>
        <w:t>“Critical</w:t>
      </w:r>
      <w:r>
        <w:rPr>
          <w:spacing w:val="-2"/>
          <w:sz w:val="18"/>
        </w:rPr>
        <w:t xml:space="preserve"> </w:t>
      </w:r>
      <w:r>
        <w:rPr>
          <w:sz w:val="18"/>
        </w:rPr>
        <w:t>Accounting</w:t>
      </w:r>
      <w:r>
        <w:rPr>
          <w:spacing w:val="-2"/>
          <w:sz w:val="18"/>
        </w:rPr>
        <w:t xml:space="preserve"> </w:t>
      </w:r>
      <w:r>
        <w:rPr>
          <w:sz w:val="18"/>
        </w:rPr>
        <w:t>Policies</w:t>
      </w:r>
      <w:r>
        <w:rPr>
          <w:spacing w:val="-2"/>
          <w:sz w:val="18"/>
        </w:rPr>
        <w:t xml:space="preserve"> </w:t>
      </w:r>
      <w:r>
        <w:rPr>
          <w:sz w:val="18"/>
        </w:rPr>
        <w:t>-</w:t>
      </w:r>
      <w:r>
        <w:rPr>
          <w:spacing w:val="-2"/>
          <w:sz w:val="18"/>
        </w:rPr>
        <w:t xml:space="preserve"> </w:t>
      </w:r>
      <w:r>
        <w:rPr>
          <w:sz w:val="18"/>
        </w:rPr>
        <w:t>Postretirement Benefit Plans” in Management’s Discussion and Analysis of Financial Condition and Results of Operations for more information.</w:t>
      </w:r>
    </w:p>
    <w:p w14:paraId="1FE7AB52" w14:textId="77777777" w:rsidR="00AE2255" w:rsidRDefault="00000000">
      <w:pPr>
        <w:spacing w:before="3" w:line="249" w:lineRule="auto"/>
        <w:ind w:left="970" w:right="424" w:hanging="360"/>
        <w:jc w:val="both"/>
        <w:rPr>
          <w:sz w:val="18"/>
        </w:rPr>
      </w:pPr>
      <w:r>
        <w:rPr>
          <w:sz w:val="18"/>
          <w:vertAlign w:val="superscript"/>
        </w:rPr>
        <w:t>(c)</w:t>
      </w:r>
      <w:r>
        <w:rPr>
          <w:spacing w:val="40"/>
          <w:sz w:val="18"/>
        </w:rPr>
        <w:t xml:space="preserve">  </w:t>
      </w:r>
      <w:r>
        <w:rPr>
          <w:sz w:val="18"/>
        </w:rPr>
        <w:t>Net earnings include a noncash, non-operating pension settlement charge of $1.5 billion ($1.2 billion, or $4.33 per share, after-tax) in 2022,</w:t>
      </w:r>
      <w:r>
        <w:rPr>
          <w:spacing w:val="6"/>
          <w:sz w:val="18"/>
        </w:rPr>
        <w:t xml:space="preserve"> </w:t>
      </w:r>
      <w:r>
        <w:rPr>
          <w:sz w:val="18"/>
        </w:rPr>
        <w:t>and</w:t>
      </w:r>
      <w:r>
        <w:rPr>
          <w:spacing w:val="9"/>
          <w:sz w:val="18"/>
        </w:rPr>
        <w:t xml:space="preserve"> </w:t>
      </w:r>
      <w:r>
        <w:rPr>
          <w:sz w:val="18"/>
        </w:rPr>
        <w:t>$1.7</w:t>
      </w:r>
      <w:r>
        <w:rPr>
          <w:spacing w:val="9"/>
          <w:sz w:val="18"/>
        </w:rPr>
        <w:t xml:space="preserve"> </w:t>
      </w:r>
      <w:r>
        <w:rPr>
          <w:sz w:val="18"/>
        </w:rPr>
        <w:t>billion</w:t>
      </w:r>
      <w:r>
        <w:rPr>
          <w:spacing w:val="9"/>
          <w:sz w:val="18"/>
        </w:rPr>
        <w:t xml:space="preserve"> </w:t>
      </w:r>
      <w:r>
        <w:rPr>
          <w:sz w:val="18"/>
        </w:rPr>
        <w:t>($1.3</w:t>
      </w:r>
      <w:r>
        <w:rPr>
          <w:spacing w:val="9"/>
          <w:sz w:val="18"/>
        </w:rPr>
        <w:t xml:space="preserve"> </w:t>
      </w:r>
      <w:r>
        <w:rPr>
          <w:sz w:val="18"/>
        </w:rPr>
        <w:t>billion,</w:t>
      </w:r>
      <w:r>
        <w:rPr>
          <w:spacing w:val="9"/>
          <w:sz w:val="18"/>
        </w:rPr>
        <w:t xml:space="preserve"> </w:t>
      </w:r>
      <w:r>
        <w:rPr>
          <w:sz w:val="18"/>
        </w:rPr>
        <w:t>or</w:t>
      </w:r>
      <w:r>
        <w:rPr>
          <w:spacing w:val="9"/>
          <w:sz w:val="18"/>
        </w:rPr>
        <w:t xml:space="preserve"> </w:t>
      </w:r>
      <w:r>
        <w:rPr>
          <w:sz w:val="18"/>
        </w:rPr>
        <w:t>$4.72</w:t>
      </w:r>
      <w:r>
        <w:rPr>
          <w:spacing w:val="9"/>
          <w:sz w:val="18"/>
        </w:rPr>
        <w:t xml:space="preserve"> </w:t>
      </w:r>
      <w:r>
        <w:rPr>
          <w:sz w:val="18"/>
        </w:rPr>
        <w:t>per</w:t>
      </w:r>
      <w:r>
        <w:rPr>
          <w:spacing w:val="9"/>
          <w:sz w:val="18"/>
        </w:rPr>
        <w:t xml:space="preserve"> </w:t>
      </w:r>
      <w:r>
        <w:rPr>
          <w:sz w:val="18"/>
        </w:rPr>
        <w:t>share,</w:t>
      </w:r>
      <w:r>
        <w:rPr>
          <w:spacing w:val="9"/>
          <w:sz w:val="18"/>
        </w:rPr>
        <w:t xml:space="preserve"> </w:t>
      </w:r>
      <w:r>
        <w:rPr>
          <w:sz w:val="18"/>
        </w:rPr>
        <w:t>after-tax)</w:t>
      </w:r>
      <w:r>
        <w:rPr>
          <w:spacing w:val="9"/>
          <w:sz w:val="18"/>
        </w:rPr>
        <w:t xml:space="preserve"> </w:t>
      </w:r>
      <w:r>
        <w:rPr>
          <w:sz w:val="18"/>
        </w:rPr>
        <w:t>in</w:t>
      </w:r>
      <w:r>
        <w:rPr>
          <w:spacing w:val="8"/>
          <w:sz w:val="18"/>
        </w:rPr>
        <w:t xml:space="preserve"> </w:t>
      </w:r>
      <w:r>
        <w:rPr>
          <w:sz w:val="18"/>
        </w:rPr>
        <w:t>2021,</w:t>
      </w:r>
      <w:r>
        <w:rPr>
          <w:spacing w:val="9"/>
          <w:sz w:val="18"/>
        </w:rPr>
        <w:t xml:space="preserve"> </w:t>
      </w:r>
      <w:r>
        <w:rPr>
          <w:sz w:val="18"/>
        </w:rPr>
        <w:t>related</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purchase</w:t>
      </w:r>
      <w:r>
        <w:rPr>
          <w:spacing w:val="9"/>
          <w:sz w:val="18"/>
        </w:rPr>
        <w:t xml:space="preserve"> </w:t>
      </w:r>
      <w:r>
        <w:rPr>
          <w:sz w:val="18"/>
        </w:rPr>
        <w:t>of</w:t>
      </w:r>
      <w:r>
        <w:rPr>
          <w:spacing w:val="9"/>
          <w:sz w:val="18"/>
        </w:rPr>
        <w:t xml:space="preserve"> </w:t>
      </w:r>
      <w:r>
        <w:rPr>
          <w:sz w:val="18"/>
        </w:rPr>
        <w:t>group</w:t>
      </w:r>
      <w:r>
        <w:rPr>
          <w:spacing w:val="9"/>
          <w:sz w:val="18"/>
        </w:rPr>
        <w:t xml:space="preserve"> </w:t>
      </w:r>
      <w:r>
        <w:rPr>
          <w:sz w:val="18"/>
        </w:rPr>
        <w:t>annuity</w:t>
      </w:r>
      <w:r>
        <w:rPr>
          <w:spacing w:val="9"/>
          <w:sz w:val="18"/>
        </w:rPr>
        <w:t xml:space="preserve"> </w:t>
      </w:r>
      <w:r>
        <w:rPr>
          <w:sz w:val="18"/>
        </w:rPr>
        <w:t>contracts</w:t>
      </w:r>
      <w:r>
        <w:rPr>
          <w:spacing w:val="9"/>
          <w:sz w:val="18"/>
        </w:rPr>
        <w:t xml:space="preserve"> </w:t>
      </w:r>
      <w:r>
        <w:rPr>
          <w:sz w:val="18"/>
        </w:rPr>
        <w:t>to</w:t>
      </w:r>
      <w:r>
        <w:rPr>
          <w:spacing w:val="9"/>
          <w:sz w:val="18"/>
        </w:rPr>
        <w:t xml:space="preserve"> </w:t>
      </w:r>
      <w:r>
        <w:rPr>
          <w:spacing w:val="-2"/>
          <w:sz w:val="18"/>
        </w:rPr>
        <w:t>transfer</w:t>
      </w:r>
    </w:p>
    <w:p w14:paraId="15A42F13" w14:textId="77777777" w:rsidR="00AE2255" w:rsidRDefault="00000000">
      <w:pPr>
        <w:spacing w:before="2"/>
        <w:ind w:left="970"/>
        <w:jc w:val="both"/>
        <w:rPr>
          <w:sz w:val="18"/>
        </w:rPr>
      </w:pPr>
      <w:r>
        <w:rPr>
          <w:sz w:val="18"/>
        </w:rPr>
        <w:t>$4.3</w:t>
      </w:r>
      <w:r>
        <w:rPr>
          <w:spacing w:val="-3"/>
          <w:sz w:val="18"/>
        </w:rPr>
        <w:t xml:space="preserve"> </w:t>
      </w:r>
      <w:r>
        <w:rPr>
          <w:sz w:val="18"/>
        </w:rPr>
        <w:t>billion and $4.9</w:t>
      </w:r>
      <w:r>
        <w:rPr>
          <w:spacing w:val="-1"/>
          <w:sz w:val="18"/>
        </w:rPr>
        <w:t xml:space="preserve"> </w:t>
      </w:r>
      <w:r>
        <w:rPr>
          <w:sz w:val="18"/>
        </w:rPr>
        <w:t>billion of gross</w:t>
      </w:r>
      <w:r>
        <w:rPr>
          <w:spacing w:val="-2"/>
          <w:sz w:val="18"/>
        </w:rPr>
        <w:t xml:space="preserve"> </w:t>
      </w:r>
      <w:r>
        <w:rPr>
          <w:sz w:val="18"/>
        </w:rPr>
        <w:t>pension obligations</w:t>
      </w:r>
      <w:r>
        <w:rPr>
          <w:spacing w:val="-1"/>
          <w:sz w:val="18"/>
        </w:rPr>
        <w:t xml:space="preserve"> </w:t>
      </w:r>
      <w:r>
        <w:rPr>
          <w:sz w:val="18"/>
        </w:rPr>
        <w:t>and</w:t>
      </w:r>
      <w:r>
        <w:rPr>
          <w:spacing w:val="-1"/>
          <w:sz w:val="18"/>
        </w:rPr>
        <w:t xml:space="preserve"> </w:t>
      </w:r>
      <w:r>
        <w:rPr>
          <w:sz w:val="18"/>
        </w:rPr>
        <w:t>related plan assets</w:t>
      </w:r>
      <w:r>
        <w:rPr>
          <w:spacing w:val="-2"/>
          <w:sz w:val="18"/>
        </w:rPr>
        <w:t xml:space="preserve"> </w:t>
      </w:r>
      <w:r>
        <w:rPr>
          <w:sz w:val="18"/>
        </w:rPr>
        <w:t xml:space="preserve">to an insurance </w:t>
      </w:r>
      <w:r>
        <w:rPr>
          <w:spacing w:val="-2"/>
          <w:sz w:val="18"/>
        </w:rPr>
        <w:t>company.</w:t>
      </w:r>
    </w:p>
    <w:p w14:paraId="56AEADEA" w14:textId="77777777" w:rsidR="00AE2255" w:rsidRDefault="00000000">
      <w:pPr>
        <w:spacing w:before="9" w:line="249" w:lineRule="auto"/>
        <w:ind w:left="970" w:right="430" w:hanging="360"/>
        <w:jc w:val="both"/>
        <w:rPr>
          <w:sz w:val="18"/>
        </w:rPr>
      </w:pPr>
      <w:r>
        <w:rPr>
          <w:sz w:val="18"/>
          <w:vertAlign w:val="superscript"/>
        </w:rPr>
        <w:t>(d)</w:t>
      </w:r>
      <w:r>
        <w:rPr>
          <w:spacing w:val="80"/>
          <w:w w:val="150"/>
          <w:sz w:val="18"/>
        </w:rPr>
        <w:t xml:space="preserve"> </w:t>
      </w:r>
      <w:r>
        <w:rPr>
          <w:sz w:val="18"/>
        </w:rPr>
        <w:t>Net earnings in 2022 and 2021 include net losses of $114 million ($86 million, or 0.33 per share, after-tax) and net gains of</w:t>
      </w:r>
      <w:r>
        <w:rPr>
          <w:spacing w:val="-2"/>
          <w:sz w:val="18"/>
        </w:rPr>
        <w:t xml:space="preserve"> </w:t>
      </w:r>
      <w:r>
        <w:rPr>
          <w:sz w:val="18"/>
        </w:rPr>
        <w:t>$265 million ($199 million, or $0.72 per share, after-tax) due to changes in the fair value of certain mark-to-market investments.</w:t>
      </w:r>
    </w:p>
    <w:p w14:paraId="0652C4D3" w14:textId="77777777" w:rsidR="00AE2255" w:rsidRDefault="00AE2255">
      <w:pPr>
        <w:spacing w:line="249" w:lineRule="auto"/>
        <w:jc w:val="both"/>
        <w:rPr>
          <w:sz w:val="18"/>
        </w:rPr>
        <w:sectPr w:rsidR="00AE2255">
          <w:pgSz w:w="12240" w:h="15840"/>
          <w:pgMar w:top="440" w:right="560" w:bottom="720" w:left="380" w:header="230" w:footer="531" w:gutter="0"/>
          <w:cols w:space="720"/>
        </w:sectPr>
      </w:pPr>
    </w:p>
    <w:p w14:paraId="30558BD3" w14:textId="77777777" w:rsidR="00AE2255" w:rsidRDefault="00AE2255">
      <w:pPr>
        <w:pStyle w:val="BodyText"/>
        <w:spacing w:before="2"/>
        <w:rPr>
          <w:sz w:val="21"/>
        </w:rPr>
      </w:pPr>
    </w:p>
    <w:p w14:paraId="5CE1E7D4" w14:textId="77777777" w:rsidR="00AE2255" w:rsidRDefault="00000000">
      <w:pPr>
        <w:spacing w:before="116" w:line="249" w:lineRule="auto"/>
        <w:ind w:left="970" w:right="428" w:hanging="360"/>
        <w:jc w:val="both"/>
        <w:rPr>
          <w:sz w:val="18"/>
        </w:rPr>
      </w:pPr>
      <w:r>
        <w:rPr>
          <w:sz w:val="18"/>
          <w:vertAlign w:val="superscript"/>
        </w:rPr>
        <w:t>(e)</w:t>
      </w:r>
      <w:r>
        <w:rPr>
          <w:spacing w:val="68"/>
          <w:sz w:val="18"/>
        </w:rPr>
        <w:t xml:space="preserve">  </w:t>
      </w:r>
      <w:r>
        <w:rPr>
          <w:sz w:val="18"/>
        </w:rPr>
        <w:t>We recognized net losses of $176 million ($132 million, or $0.50 per share, after-tax) in 2022 and net gains of $42 million ($32 million, or</w:t>
      </w:r>
      <w:r>
        <w:rPr>
          <w:spacing w:val="7"/>
          <w:sz w:val="18"/>
        </w:rPr>
        <w:t xml:space="preserve"> </w:t>
      </w:r>
      <w:r>
        <w:rPr>
          <w:sz w:val="18"/>
        </w:rPr>
        <w:t>$0.11</w:t>
      </w:r>
      <w:r>
        <w:rPr>
          <w:spacing w:val="10"/>
          <w:sz w:val="18"/>
        </w:rPr>
        <w:t xml:space="preserve"> </w:t>
      </w:r>
      <w:r>
        <w:rPr>
          <w:sz w:val="18"/>
        </w:rPr>
        <w:t>per</w:t>
      </w:r>
      <w:r>
        <w:rPr>
          <w:spacing w:val="10"/>
          <w:sz w:val="18"/>
        </w:rPr>
        <w:t xml:space="preserve"> </w:t>
      </w:r>
      <w:r>
        <w:rPr>
          <w:sz w:val="18"/>
        </w:rPr>
        <w:t>share,</w:t>
      </w:r>
      <w:r>
        <w:rPr>
          <w:spacing w:val="10"/>
          <w:sz w:val="18"/>
        </w:rPr>
        <w:t xml:space="preserve"> </w:t>
      </w:r>
      <w:r>
        <w:rPr>
          <w:sz w:val="18"/>
        </w:rPr>
        <w:t>after-tax)</w:t>
      </w:r>
      <w:r>
        <w:rPr>
          <w:spacing w:val="9"/>
          <w:sz w:val="18"/>
        </w:rPr>
        <w:t xml:space="preserve"> </w:t>
      </w:r>
      <w:r>
        <w:rPr>
          <w:sz w:val="18"/>
        </w:rPr>
        <w:t>in</w:t>
      </w:r>
      <w:r>
        <w:rPr>
          <w:spacing w:val="10"/>
          <w:sz w:val="18"/>
        </w:rPr>
        <w:t xml:space="preserve"> </w:t>
      </w:r>
      <w:r>
        <w:rPr>
          <w:sz w:val="18"/>
        </w:rPr>
        <w:t>2021,</w:t>
      </w:r>
      <w:r>
        <w:rPr>
          <w:spacing w:val="10"/>
          <w:sz w:val="18"/>
        </w:rPr>
        <w:t xml:space="preserve"> </w:t>
      </w:r>
      <w:r>
        <w:rPr>
          <w:sz w:val="18"/>
        </w:rPr>
        <w:t>$98</w:t>
      </w:r>
      <w:r>
        <w:rPr>
          <w:spacing w:val="10"/>
          <w:sz w:val="18"/>
        </w:rPr>
        <w:t xml:space="preserve"> </w:t>
      </w:r>
      <w:r>
        <w:rPr>
          <w:sz w:val="18"/>
        </w:rPr>
        <w:t>million</w:t>
      </w:r>
      <w:r>
        <w:rPr>
          <w:spacing w:val="10"/>
          <w:sz w:val="18"/>
        </w:rPr>
        <w:t xml:space="preserve"> </w:t>
      </w:r>
      <w:r>
        <w:rPr>
          <w:sz w:val="18"/>
        </w:rPr>
        <w:t>($74</w:t>
      </w:r>
      <w:r>
        <w:rPr>
          <w:spacing w:val="10"/>
          <w:sz w:val="18"/>
        </w:rPr>
        <w:t xml:space="preserve"> </w:t>
      </w:r>
      <w:r>
        <w:rPr>
          <w:sz w:val="18"/>
        </w:rPr>
        <w:t>million,</w:t>
      </w:r>
      <w:r>
        <w:rPr>
          <w:spacing w:val="10"/>
          <w:sz w:val="18"/>
        </w:rPr>
        <w:t xml:space="preserve"> </w:t>
      </w:r>
      <w:r>
        <w:rPr>
          <w:sz w:val="18"/>
        </w:rPr>
        <w:t>or</w:t>
      </w:r>
      <w:r>
        <w:rPr>
          <w:spacing w:val="9"/>
          <w:sz w:val="18"/>
        </w:rPr>
        <w:t xml:space="preserve"> </w:t>
      </w:r>
      <w:r>
        <w:rPr>
          <w:sz w:val="18"/>
        </w:rPr>
        <w:t>$0.26</w:t>
      </w:r>
      <w:r>
        <w:rPr>
          <w:spacing w:val="10"/>
          <w:sz w:val="18"/>
        </w:rPr>
        <w:t xml:space="preserve"> </w:t>
      </w:r>
      <w:r>
        <w:rPr>
          <w:sz w:val="18"/>
        </w:rPr>
        <w:t>per</w:t>
      </w:r>
      <w:r>
        <w:rPr>
          <w:spacing w:val="10"/>
          <w:sz w:val="18"/>
        </w:rPr>
        <w:t xml:space="preserve"> </w:t>
      </w:r>
      <w:r>
        <w:rPr>
          <w:sz w:val="18"/>
        </w:rPr>
        <w:t>share,</w:t>
      </w:r>
      <w:r>
        <w:rPr>
          <w:spacing w:val="10"/>
          <w:sz w:val="18"/>
        </w:rPr>
        <w:t xml:space="preserve"> </w:t>
      </w:r>
      <w:r>
        <w:rPr>
          <w:sz w:val="18"/>
        </w:rPr>
        <w:t>after-tax)</w:t>
      </w:r>
      <w:r>
        <w:rPr>
          <w:spacing w:val="10"/>
          <w:sz w:val="18"/>
        </w:rPr>
        <w:t xml:space="preserve"> </w:t>
      </w:r>
      <w:r>
        <w:rPr>
          <w:sz w:val="18"/>
        </w:rPr>
        <w:t>in</w:t>
      </w:r>
      <w:r>
        <w:rPr>
          <w:spacing w:val="10"/>
          <w:sz w:val="18"/>
        </w:rPr>
        <w:t xml:space="preserve"> </w:t>
      </w:r>
      <w:r>
        <w:rPr>
          <w:sz w:val="18"/>
        </w:rPr>
        <w:t>2020,</w:t>
      </w:r>
      <w:r>
        <w:rPr>
          <w:spacing w:val="10"/>
          <w:sz w:val="18"/>
        </w:rPr>
        <w:t xml:space="preserve"> </w:t>
      </w:r>
      <w:r>
        <w:rPr>
          <w:sz w:val="18"/>
        </w:rPr>
        <w:t>and</w:t>
      </w:r>
      <w:r>
        <w:rPr>
          <w:spacing w:val="10"/>
          <w:sz w:val="18"/>
        </w:rPr>
        <w:t xml:space="preserve"> </w:t>
      </w:r>
      <w:r>
        <w:rPr>
          <w:sz w:val="18"/>
        </w:rPr>
        <w:t>$20</w:t>
      </w:r>
      <w:r>
        <w:rPr>
          <w:spacing w:val="10"/>
          <w:sz w:val="18"/>
        </w:rPr>
        <w:t xml:space="preserve"> </w:t>
      </w:r>
      <w:r>
        <w:rPr>
          <w:sz w:val="18"/>
        </w:rPr>
        <w:t>million</w:t>
      </w:r>
      <w:r>
        <w:rPr>
          <w:spacing w:val="10"/>
          <w:sz w:val="18"/>
        </w:rPr>
        <w:t xml:space="preserve"> </w:t>
      </w:r>
      <w:r>
        <w:rPr>
          <w:sz w:val="18"/>
        </w:rPr>
        <w:t>($15</w:t>
      </w:r>
      <w:r>
        <w:rPr>
          <w:spacing w:val="10"/>
          <w:sz w:val="18"/>
        </w:rPr>
        <w:t xml:space="preserve"> </w:t>
      </w:r>
      <w:r>
        <w:rPr>
          <w:sz w:val="18"/>
        </w:rPr>
        <w:t>million,</w:t>
      </w:r>
      <w:r>
        <w:rPr>
          <w:spacing w:val="10"/>
          <w:sz w:val="18"/>
        </w:rPr>
        <w:t xml:space="preserve"> </w:t>
      </w:r>
      <w:r>
        <w:rPr>
          <w:spacing w:val="-7"/>
          <w:sz w:val="18"/>
        </w:rPr>
        <w:t>or</w:t>
      </w:r>
    </w:p>
    <w:p w14:paraId="6187A979" w14:textId="77777777" w:rsidR="00AE2255" w:rsidRDefault="00000000">
      <w:pPr>
        <w:spacing w:before="2" w:line="249" w:lineRule="auto"/>
        <w:ind w:left="970" w:right="430"/>
        <w:jc w:val="both"/>
        <w:rPr>
          <w:sz w:val="18"/>
        </w:rPr>
      </w:pPr>
      <w:r>
        <w:rPr>
          <w:sz w:val="18"/>
        </w:rPr>
        <w:t>$0.05 per share, after-tax) in 2019, and net losses of $11 million ($8 million, or $0.03 per share, after-tax) in 2018 due to changes in the fair value of investments and liabilities for deferred compensation plans.</w:t>
      </w:r>
    </w:p>
    <w:p w14:paraId="2C7D71A8" w14:textId="77777777" w:rsidR="00AE2255" w:rsidRDefault="00000000">
      <w:pPr>
        <w:spacing w:before="1" w:line="249" w:lineRule="auto"/>
        <w:ind w:left="970" w:right="423" w:hanging="360"/>
        <w:jc w:val="both"/>
        <w:rPr>
          <w:sz w:val="18"/>
        </w:rPr>
      </w:pPr>
      <w:r>
        <w:rPr>
          <w:sz w:val="18"/>
          <w:vertAlign w:val="superscript"/>
        </w:rPr>
        <w:t>(f)</w:t>
      </w:r>
      <w:r>
        <w:rPr>
          <w:spacing w:val="80"/>
          <w:w w:val="150"/>
          <w:sz w:val="18"/>
        </w:rPr>
        <w:t xml:space="preserve"> </w:t>
      </w:r>
      <w:r>
        <w:rPr>
          <w:sz w:val="18"/>
        </w:rPr>
        <w:t xml:space="preserve">For the years ended December 31, </w:t>
      </w:r>
      <w:proofErr w:type="gramStart"/>
      <w:r>
        <w:rPr>
          <w:sz w:val="18"/>
        </w:rPr>
        <w:t>2020</w:t>
      </w:r>
      <w:proofErr w:type="gramEnd"/>
      <w:r>
        <w:rPr>
          <w:sz w:val="18"/>
        </w:rPr>
        <w:t xml:space="preserve"> and 2018, operating profit includes noncash asset impairment charges of $128 million ($96 million, or $0.34 per share, after-tax) and $110 million ($83 million, or $0.29 per share, after-tax) related to our equity method investee, Advanced Military Maintenance, Repair and Overhaul Center LLC (AMMROC). See “Note 1 – Organization and Significant</w:t>
      </w:r>
      <w:r>
        <w:rPr>
          <w:spacing w:val="40"/>
          <w:sz w:val="18"/>
        </w:rPr>
        <w:t xml:space="preserve"> </w:t>
      </w:r>
      <w:r>
        <w:rPr>
          <w:sz w:val="18"/>
        </w:rPr>
        <w:t>Accounting Policies” included in our Notes to Consolidated Financial Statements for more information.</w:t>
      </w:r>
    </w:p>
    <w:p w14:paraId="637E06AE" w14:textId="77777777" w:rsidR="00AE2255" w:rsidRDefault="00000000">
      <w:pPr>
        <w:spacing w:before="3" w:line="249" w:lineRule="auto"/>
        <w:ind w:left="970" w:right="424" w:hanging="360"/>
        <w:jc w:val="both"/>
        <w:rPr>
          <w:sz w:val="18"/>
        </w:rPr>
      </w:pPr>
      <w:r>
        <w:rPr>
          <w:sz w:val="18"/>
          <w:vertAlign w:val="superscript"/>
        </w:rPr>
        <w:t>(g)</w:t>
      </w:r>
      <w:r>
        <w:rPr>
          <w:spacing w:val="40"/>
          <w:sz w:val="18"/>
        </w:rPr>
        <w:t xml:space="preserve">  </w:t>
      </w:r>
      <w:r>
        <w:rPr>
          <w:sz w:val="18"/>
        </w:rPr>
        <w:t xml:space="preserve">In 2019, we recorded previously deferred noncash gains of $51 million ($38 million, or $0.13 per share, after-tax) related to properties sold in 2015 </w:t>
      </w:r>
      <w:proofErr w:type="gramStart"/>
      <w:r>
        <w:rPr>
          <w:sz w:val="18"/>
        </w:rPr>
        <w:t>as a result of</w:t>
      </w:r>
      <w:proofErr w:type="gramEnd"/>
      <w:r>
        <w:rPr>
          <w:sz w:val="18"/>
        </w:rPr>
        <w:t xml:space="preserve"> completing our remaining obligations.</w:t>
      </w:r>
    </w:p>
    <w:p w14:paraId="74D33A71" w14:textId="77777777" w:rsidR="00AE2255" w:rsidRDefault="00000000">
      <w:pPr>
        <w:spacing w:before="1" w:line="249" w:lineRule="auto"/>
        <w:ind w:left="970" w:right="422" w:hanging="360"/>
        <w:jc w:val="both"/>
        <w:rPr>
          <w:sz w:val="18"/>
        </w:rPr>
      </w:pPr>
      <w:r>
        <w:rPr>
          <w:sz w:val="18"/>
          <w:vertAlign w:val="superscript"/>
        </w:rPr>
        <w:t>(h)</w:t>
      </w:r>
      <w:r>
        <w:rPr>
          <w:spacing w:val="63"/>
          <w:sz w:val="18"/>
        </w:rPr>
        <w:t xml:space="preserve">  </w:t>
      </w:r>
      <w:r>
        <w:rPr>
          <w:sz w:val="18"/>
        </w:rPr>
        <w:t xml:space="preserve">Net earnings for the year ended December 31, </w:t>
      </w:r>
      <w:proofErr w:type="gramStart"/>
      <w:r>
        <w:rPr>
          <w:sz w:val="18"/>
        </w:rPr>
        <w:t>2019</w:t>
      </w:r>
      <w:proofErr w:type="gramEnd"/>
      <w:r>
        <w:rPr>
          <w:sz w:val="18"/>
        </w:rPr>
        <w:t xml:space="preserve"> include benefits of $127 million ($0.45 per share) for additional tax deductions for the prior year, primarily attributable to foreign derived intangible income treatment based on proposed tax regulations released on March 4, 2019 and a change in our tax accounting method. Net earnings for the year ended December 31, </w:t>
      </w:r>
      <w:proofErr w:type="gramStart"/>
      <w:r>
        <w:rPr>
          <w:sz w:val="18"/>
        </w:rPr>
        <w:t>2018</w:t>
      </w:r>
      <w:proofErr w:type="gramEnd"/>
      <w:r>
        <w:rPr>
          <w:sz w:val="18"/>
        </w:rPr>
        <w:t xml:space="preserve"> include benefits of $146 million ($0.51 per share) for additional tax deductions for the prior year, primarily attributable to true-ups to the net one-time charges related to the Tax Cuts and Jobs Act enacted on December 22, 2017 and our change in tax accounting method.</w:t>
      </w:r>
    </w:p>
    <w:p w14:paraId="6675FD34" w14:textId="77777777" w:rsidR="00AE2255" w:rsidRDefault="00000000">
      <w:pPr>
        <w:spacing w:before="4" w:line="249" w:lineRule="auto"/>
        <w:ind w:left="970" w:right="424" w:hanging="360"/>
        <w:jc w:val="both"/>
        <w:rPr>
          <w:sz w:val="18"/>
        </w:rPr>
      </w:pPr>
      <w:r>
        <w:rPr>
          <w:sz w:val="18"/>
          <w:vertAlign w:val="superscript"/>
        </w:rPr>
        <w:t>(</w:t>
      </w:r>
      <w:proofErr w:type="spellStart"/>
      <w:r>
        <w:rPr>
          <w:sz w:val="18"/>
          <w:vertAlign w:val="superscript"/>
        </w:rPr>
        <w:t>i</w:t>
      </w:r>
      <w:proofErr w:type="spellEnd"/>
      <w:r>
        <w:rPr>
          <w:sz w:val="18"/>
          <w:vertAlign w:val="superscript"/>
        </w:rPr>
        <w:t>)</w:t>
      </w:r>
      <w:r>
        <w:rPr>
          <w:spacing w:val="80"/>
          <w:w w:val="150"/>
          <w:sz w:val="18"/>
        </w:rPr>
        <w:t xml:space="preserve"> </w:t>
      </w:r>
      <w:r>
        <w:rPr>
          <w:sz w:val="18"/>
        </w:rPr>
        <w:t>Effective January 1, 2019, we adopted Accounting Standards Update (ASU) 2016-02, Leases (Topic 842). Upon adoption, we recorded right-of-use operating lease assets of $1.0 billion and operating lease liabilities of $1.1 billion, approximately $855 million of which</w:t>
      </w:r>
      <w:r>
        <w:rPr>
          <w:spacing w:val="40"/>
          <w:sz w:val="18"/>
        </w:rPr>
        <w:t xml:space="preserve"> </w:t>
      </w:r>
      <w:r>
        <w:rPr>
          <w:sz w:val="18"/>
        </w:rPr>
        <w:t xml:space="preserve">were classified as noncurrent. There was no impact to our consolidated statements of earnings or cash flows </w:t>
      </w:r>
      <w:proofErr w:type="gramStart"/>
      <w:r>
        <w:rPr>
          <w:sz w:val="18"/>
        </w:rPr>
        <w:t>as a result of</w:t>
      </w:r>
      <w:proofErr w:type="gramEnd"/>
      <w:r>
        <w:rPr>
          <w:sz w:val="18"/>
        </w:rPr>
        <w:t xml:space="preserve"> adopting this standard. Prior periods were not restated for the adoption of ASU 2016-02.</w:t>
      </w:r>
    </w:p>
    <w:p w14:paraId="577FB358" w14:textId="77777777" w:rsidR="00AE2255" w:rsidRDefault="00AE2255">
      <w:pPr>
        <w:spacing w:line="249" w:lineRule="auto"/>
        <w:jc w:val="both"/>
        <w:rPr>
          <w:sz w:val="18"/>
        </w:rPr>
        <w:sectPr w:rsidR="00AE2255">
          <w:pgSz w:w="12240" w:h="15840"/>
          <w:pgMar w:top="440" w:right="560" w:bottom="720" w:left="380" w:header="230" w:footer="531" w:gutter="0"/>
          <w:cols w:space="720"/>
        </w:sectPr>
      </w:pPr>
    </w:p>
    <w:p w14:paraId="59100FAF" w14:textId="77777777" w:rsidR="00AE2255" w:rsidRDefault="00AE2255">
      <w:pPr>
        <w:pStyle w:val="BodyText"/>
        <w:spacing w:before="10"/>
        <w:rPr>
          <w:sz w:val="22"/>
        </w:rPr>
      </w:pPr>
    </w:p>
    <w:p w14:paraId="583688CF" w14:textId="77777777" w:rsidR="00AE2255" w:rsidRDefault="00000000">
      <w:pPr>
        <w:pStyle w:val="Heading2"/>
        <w:tabs>
          <w:tab w:val="left" w:pos="1869"/>
        </w:tabs>
        <w:spacing w:before="92"/>
      </w:pPr>
      <w:bookmarkStart w:id="23" w:name="Item_7._Management’s_Discussion_and_Anal"/>
      <w:bookmarkStart w:id="24" w:name="_bookmark10"/>
      <w:bookmarkEnd w:id="23"/>
      <w:bookmarkEnd w:id="24"/>
      <w:r>
        <w:t>ITEM</w:t>
      </w:r>
      <w:r>
        <w:rPr>
          <w:spacing w:val="-4"/>
        </w:rPr>
        <w:t xml:space="preserve"> </w:t>
      </w:r>
      <w:r>
        <w:rPr>
          <w:spacing w:val="-5"/>
        </w:rPr>
        <w:t>7.</w:t>
      </w:r>
      <w:r>
        <w:tab/>
        <w:t>Management’s</w:t>
      </w:r>
      <w:r>
        <w:rPr>
          <w:spacing w:val="-7"/>
        </w:rPr>
        <w:t xml:space="preserve"> </w:t>
      </w:r>
      <w:r>
        <w:t>Discussion</w:t>
      </w:r>
      <w:r>
        <w:rPr>
          <w:spacing w:val="-5"/>
        </w:rPr>
        <w:t xml:space="preserve"> </w:t>
      </w:r>
      <w:r>
        <w:t>and</w:t>
      </w:r>
      <w:r>
        <w:rPr>
          <w:spacing w:val="-4"/>
        </w:rPr>
        <w:t xml:space="preserve"> </w:t>
      </w:r>
      <w:r>
        <w:t>Analysis</w:t>
      </w:r>
      <w:r>
        <w:rPr>
          <w:spacing w:val="-5"/>
        </w:rPr>
        <w:t xml:space="preserve"> </w:t>
      </w:r>
      <w:r>
        <w:t>of</w:t>
      </w:r>
      <w:r>
        <w:rPr>
          <w:spacing w:val="-3"/>
        </w:rPr>
        <w:t xml:space="preserve"> </w:t>
      </w:r>
      <w:r>
        <w:t>Financial</w:t>
      </w:r>
      <w:r>
        <w:rPr>
          <w:spacing w:val="-5"/>
        </w:rPr>
        <w:t xml:space="preserve"> </w:t>
      </w:r>
      <w:r>
        <w:t>Condition</w:t>
      </w:r>
      <w:r>
        <w:rPr>
          <w:spacing w:val="-5"/>
        </w:rPr>
        <w:t xml:space="preserve"> </w:t>
      </w:r>
      <w:r>
        <w:t>and</w:t>
      </w:r>
      <w:r>
        <w:rPr>
          <w:spacing w:val="-4"/>
        </w:rPr>
        <w:t xml:space="preserve"> </w:t>
      </w:r>
      <w:r>
        <w:t>Results</w:t>
      </w:r>
      <w:r>
        <w:rPr>
          <w:spacing w:val="-5"/>
        </w:rPr>
        <w:t xml:space="preserve"> </w:t>
      </w:r>
      <w:r>
        <w:t>of</w:t>
      </w:r>
      <w:r>
        <w:rPr>
          <w:spacing w:val="-3"/>
        </w:rPr>
        <w:t xml:space="preserve"> </w:t>
      </w:r>
      <w:r>
        <w:rPr>
          <w:spacing w:val="-2"/>
        </w:rPr>
        <w:t>Operations</w:t>
      </w:r>
    </w:p>
    <w:p w14:paraId="3F2B5E0B" w14:textId="77777777" w:rsidR="00AE2255" w:rsidRDefault="00000000">
      <w:pPr>
        <w:pStyle w:val="BodyText"/>
        <w:spacing w:before="130" w:line="249" w:lineRule="auto"/>
        <w:ind w:left="610" w:right="427" w:firstLine="360"/>
        <w:jc w:val="both"/>
      </w:pPr>
      <w:bookmarkStart w:id="25" w:name="Business_Overview"/>
      <w:bookmarkEnd w:id="25"/>
      <w:r>
        <w:t>The following Management’s Discussion and Analysis of Financial Condition and Results of Operations (MD&amp;A) is intended to help the reader understand our results of operations and financial condition. The MD&amp;A is provided as a</w:t>
      </w:r>
      <w:r>
        <w:rPr>
          <w:spacing w:val="40"/>
        </w:rPr>
        <w:t xml:space="preserve"> </w:t>
      </w:r>
      <w:r>
        <w:t>supplement to, and should be read in conjunction with, our consolidated financial statements and notes thereto included in Item 8 - Financial Statements and Supplementary Data.</w:t>
      </w:r>
    </w:p>
    <w:p w14:paraId="7DC39499" w14:textId="77777777" w:rsidR="00AE2255" w:rsidRDefault="00AE2255">
      <w:pPr>
        <w:pStyle w:val="BodyText"/>
        <w:spacing w:before="7"/>
        <w:rPr>
          <w:sz w:val="17"/>
        </w:rPr>
      </w:pPr>
    </w:p>
    <w:p w14:paraId="5328B228" w14:textId="77777777" w:rsidR="00AE2255" w:rsidRDefault="00000000">
      <w:pPr>
        <w:pStyle w:val="BodyText"/>
        <w:spacing w:before="1" w:line="249" w:lineRule="auto"/>
        <w:ind w:left="610" w:right="428" w:firstLine="360"/>
        <w:jc w:val="both"/>
      </w:pPr>
      <w:r>
        <w:t xml:space="preserve">The MD&amp;A generally discusses 2022 and 2021 items and year-to-year comparisons between 2022 and 2021. Discussions of 2020 items and year-to-year comparisons between 2021 and 2020 that are not included in this Form 10-K can be found in “Management’s Discussion and Analysis of Financial Condition and Results or Operations” in the Company’s Annual Report on Form 10-K for the fiscal year ended December 31, </w:t>
      </w:r>
      <w:proofErr w:type="gramStart"/>
      <w:r>
        <w:t>2021</w:t>
      </w:r>
      <w:proofErr w:type="gramEnd"/>
      <w:r>
        <w:t xml:space="preserve"> filed with the SEC on January 25, 2022.</w:t>
      </w:r>
    </w:p>
    <w:p w14:paraId="5B479D0B" w14:textId="77777777" w:rsidR="00AE2255" w:rsidRDefault="00AE2255">
      <w:pPr>
        <w:pStyle w:val="BodyText"/>
        <w:spacing w:before="4"/>
        <w:rPr>
          <w:sz w:val="17"/>
        </w:rPr>
      </w:pPr>
    </w:p>
    <w:p w14:paraId="65609A24" w14:textId="77777777" w:rsidR="00AE2255" w:rsidRDefault="00000000">
      <w:pPr>
        <w:pStyle w:val="Heading2"/>
      </w:pPr>
      <w:r>
        <w:t>Business</w:t>
      </w:r>
      <w:r>
        <w:rPr>
          <w:spacing w:val="-8"/>
        </w:rPr>
        <w:t xml:space="preserve"> </w:t>
      </w:r>
      <w:r>
        <w:rPr>
          <w:spacing w:val="-2"/>
        </w:rPr>
        <w:t>Overview</w:t>
      </w:r>
    </w:p>
    <w:p w14:paraId="46064D8A" w14:textId="77777777" w:rsidR="00AE2255" w:rsidRDefault="00AE2255">
      <w:pPr>
        <w:pStyle w:val="BodyText"/>
        <w:spacing w:before="6"/>
        <w:rPr>
          <w:b/>
          <w:sz w:val="18"/>
        </w:rPr>
      </w:pPr>
    </w:p>
    <w:p w14:paraId="7AD987A3" w14:textId="77777777" w:rsidR="00AE2255" w:rsidRDefault="00000000">
      <w:pPr>
        <w:pStyle w:val="BodyText"/>
        <w:spacing w:line="249" w:lineRule="auto"/>
        <w:ind w:left="610" w:right="429" w:firstLine="360"/>
        <w:jc w:val="both"/>
      </w:pPr>
      <w:r>
        <w:t xml:space="preserve">We are a global security and aerospace company principally engaged in the research, design, development, manufacture, integration and sustainment of advanced technology systems, </w:t>
      </w:r>
      <w:proofErr w:type="gramStart"/>
      <w:r>
        <w:t>products</w:t>
      </w:r>
      <w:proofErr w:type="gramEnd"/>
      <w:r>
        <w:t xml:space="preserve"> and services. We also provide a broad range of management,</w:t>
      </w:r>
      <w:r>
        <w:rPr>
          <w:spacing w:val="-2"/>
        </w:rPr>
        <w:t xml:space="preserve"> </w:t>
      </w:r>
      <w:r>
        <w:t>engineering,</w:t>
      </w:r>
      <w:r>
        <w:rPr>
          <w:spacing w:val="-2"/>
        </w:rPr>
        <w:t xml:space="preserve"> </w:t>
      </w:r>
      <w:r>
        <w:t>technical,</w:t>
      </w:r>
      <w:r>
        <w:rPr>
          <w:spacing w:val="-2"/>
        </w:rPr>
        <w:t xml:space="preserve"> </w:t>
      </w:r>
      <w:r>
        <w:t>scientific,</w:t>
      </w:r>
      <w:r>
        <w:rPr>
          <w:spacing w:val="-2"/>
        </w:rPr>
        <w:t xml:space="preserve"> </w:t>
      </w:r>
      <w:r>
        <w:t>logistics,</w:t>
      </w:r>
      <w:r>
        <w:rPr>
          <w:spacing w:val="-2"/>
        </w:rPr>
        <w:t xml:space="preserve"> </w:t>
      </w:r>
      <w:r>
        <w:t>system</w:t>
      </w:r>
      <w:r>
        <w:rPr>
          <w:spacing w:val="-3"/>
        </w:rPr>
        <w:t xml:space="preserve"> </w:t>
      </w:r>
      <w:r>
        <w:t>integration</w:t>
      </w:r>
      <w:r>
        <w:rPr>
          <w:spacing w:val="-2"/>
        </w:rPr>
        <w:t xml:space="preserve"> </w:t>
      </w:r>
      <w:r>
        <w:t>and</w:t>
      </w:r>
      <w:r>
        <w:rPr>
          <w:spacing w:val="-2"/>
        </w:rPr>
        <w:t xml:space="preserve"> </w:t>
      </w:r>
      <w:r>
        <w:t>cybersecurity</w:t>
      </w:r>
      <w:r>
        <w:rPr>
          <w:spacing w:val="-2"/>
        </w:rPr>
        <w:t xml:space="preserve"> </w:t>
      </w:r>
      <w:r>
        <w:t>services.</w:t>
      </w:r>
      <w:r>
        <w:rPr>
          <w:spacing w:val="-2"/>
        </w:rPr>
        <w:t xml:space="preserve"> </w:t>
      </w:r>
      <w:r>
        <w:t>Our</w:t>
      </w:r>
      <w:r>
        <w:rPr>
          <w:spacing w:val="-2"/>
        </w:rPr>
        <w:t xml:space="preserve"> </w:t>
      </w:r>
      <w:r>
        <w:t>main</w:t>
      </w:r>
      <w:r>
        <w:rPr>
          <w:spacing w:val="-2"/>
        </w:rPr>
        <w:t xml:space="preserve"> </w:t>
      </w:r>
      <w:r>
        <w:t>areas</w:t>
      </w:r>
      <w:r>
        <w:rPr>
          <w:spacing w:val="-3"/>
        </w:rPr>
        <w:t xml:space="preserve"> </w:t>
      </w:r>
      <w:r>
        <w:t>of</w:t>
      </w:r>
      <w:r>
        <w:rPr>
          <w:spacing w:val="-2"/>
        </w:rPr>
        <w:t xml:space="preserve"> </w:t>
      </w:r>
      <w:r>
        <w:t xml:space="preserve">focus are </w:t>
      </w:r>
      <w:proofErr w:type="gramStart"/>
      <w:r>
        <w:t>in</w:t>
      </w:r>
      <w:proofErr w:type="gramEnd"/>
      <w:r>
        <w:t xml:space="preserve"> defense, space, intelligence, homeland security and information technology, including cybersecurity. We serve both U.S. and international customers with products and services that have defense, civil and commercial applications, with our principal customers being agencies of the U.S. Government. In 2022, 73% of our $66.0 billion in net sales were from the U.S. Government, either as a prime contractor or as a subcontractor (including 64% from the Department of Defense (DoD)), 26% were from international customers (including foreign military sales (FMS) contracted through the U.S. Government) and 1% were from U.S. commercial and other customers.</w:t>
      </w:r>
    </w:p>
    <w:p w14:paraId="0635769F" w14:textId="77777777" w:rsidR="00AE2255" w:rsidRDefault="00AE2255">
      <w:pPr>
        <w:pStyle w:val="BodyText"/>
        <w:spacing w:before="1"/>
        <w:rPr>
          <w:sz w:val="18"/>
        </w:rPr>
      </w:pPr>
    </w:p>
    <w:p w14:paraId="4C1475B9" w14:textId="77777777" w:rsidR="00AE2255" w:rsidRDefault="00000000">
      <w:pPr>
        <w:pStyle w:val="BodyText"/>
        <w:spacing w:line="249" w:lineRule="auto"/>
        <w:ind w:left="610" w:right="428" w:firstLine="495"/>
        <w:jc w:val="both"/>
      </w:pPr>
      <w:r>
        <w:t>We operate in four business segments: Aeronautics, Missiles and Fire Control (MFC), Rotary and Mission Systems (RMS) and Space. We organize our business segments based on the nature of the products and services offered.</w:t>
      </w:r>
    </w:p>
    <w:p w14:paraId="47F50A61" w14:textId="77777777" w:rsidR="00AE2255" w:rsidRDefault="00AE2255">
      <w:pPr>
        <w:pStyle w:val="BodyText"/>
        <w:spacing w:before="6"/>
        <w:rPr>
          <w:sz w:val="17"/>
        </w:rPr>
      </w:pPr>
    </w:p>
    <w:p w14:paraId="1E9C12B7" w14:textId="77777777" w:rsidR="00AE2255" w:rsidRDefault="00000000">
      <w:pPr>
        <w:pStyle w:val="BodyText"/>
        <w:spacing w:line="249" w:lineRule="auto"/>
        <w:ind w:left="610" w:right="429" w:firstLine="495"/>
        <w:jc w:val="both"/>
      </w:pPr>
      <w:r>
        <w:t xml:space="preserve">We operate in a complex and evolving global security environment. Our strategy consists of the design and development of platforms and systems that meet the future requirements of 21st Century Security. Our vision for 21st Century Security is to accelerate the adoption of advanced networking and leading-edge technologies into our national defense enterprise, while enhancing the performance and value of our platforms and products for our customers. The aim of 21st Century Security is to integrate new and existing systems across all domains with advanced, open-architecture networking and operational technologies to make forces more agile, </w:t>
      </w:r>
      <w:proofErr w:type="gramStart"/>
      <w:r>
        <w:t>adaptive</w:t>
      </w:r>
      <w:proofErr w:type="gramEnd"/>
      <w:r>
        <w:t xml:space="preserve"> and unpredictable.</w:t>
      </w:r>
    </w:p>
    <w:p w14:paraId="6486CA66" w14:textId="77777777" w:rsidR="00AE2255" w:rsidRDefault="00AE2255">
      <w:pPr>
        <w:pStyle w:val="BodyText"/>
        <w:spacing w:before="9"/>
        <w:rPr>
          <w:sz w:val="17"/>
        </w:rPr>
      </w:pPr>
    </w:p>
    <w:p w14:paraId="220F95AE" w14:textId="77777777" w:rsidR="00AE2255" w:rsidRDefault="00000000">
      <w:pPr>
        <w:pStyle w:val="BodyText"/>
        <w:spacing w:line="249" w:lineRule="auto"/>
        <w:ind w:left="610" w:right="428" w:firstLine="360"/>
        <w:jc w:val="both"/>
      </w:pPr>
      <w:r>
        <w:t xml:space="preserve">21st Century Security is an overarching vision that will guide our investment and strategy and we are also focused on four elements for potential growth in the near to mid-term: current programs of record, classified programs, </w:t>
      </w:r>
      <w:proofErr w:type="spellStart"/>
      <w:r>
        <w:t>hypersonics</w:t>
      </w:r>
      <w:proofErr w:type="spellEnd"/>
      <w:r>
        <w:t xml:space="preserve"> and new awards. We have multiple programs of record from each business segment that are entering growth stages, including the F-35 sustainment</w:t>
      </w:r>
      <w:r>
        <w:rPr>
          <w:spacing w:val="-1"/>
        </w:rPr>
        <w:t xml:space="preserve"> </w:t>
      </w:r>
      <w:r>
        <w:t>activity</w:t>
      </w:r>
      <w:r>
        <w:rPr>
          <w:spacing w:val="-1"/>
        </w:rPr>
        <w:t xml:space="preserve"> </w:t>
      </w:r>
      <w:r>
        <w:t>(Aeronautics),</w:t>
      </w:r>
      <w:r>
        <w:rPr>
          <w:spacing w:val="-1"/>
        </w:rPr>
        <w:t xml:space="preserve"> </w:t>
      </w:r>
      <w:r>
        <w:t>increased</w:t>
      </w:r>
      <w:r>
        <w:rPr>
          <w:spacing w:val="-1"/>
        </w:rPr>
        <w:t xml:space="preserve"> </w:t>
      </w:r>
      <w:r>
        <w:t>PAC-3</w:t>
      </w:r>
      <w:r>
        <w:rPr>
          <w:spacing w:val="-1"/>
        </w:rPr>
        <w:t xml:space="preserve"> </w:t>
      </w:r>
      <w:r>
        <w:t>production</w:t>
      </w:r>
      <w:r>
        <w:rPr>
          <w:spacing w:val="-1"/>
        </w:rPr>
        <w:t xml:space="preserve"> </w:t>
      </w:r>
      <w:r>
        <w:t>rates</w:t>
      </w:r>
      <w:r>
        <w:rPr>
          <w:spacing w:val="-1"/>
        </w:rPr>
        <w:t xml:space="preserve"> </w:t>
      </w:r>
      <w:r>
        <w:t>(Missiles</w:t>
      </w:r>
      <w:r>
        <w:rPr>
          <w:spacing w:val="-1"/>
        </w:rPr>
        <w:t xml:space="preserve"> </w:t>
      </w:r>
      <w:r>
        <w:t>and</w:t>
      </w:r>
      <w:r>
        <w:rPr>
          <w:spacing w:val="-1"/>
        </w:rPr>
        <w:t xml:space="preserve"> </w:t>
      </w:r>
      <w:r>
        <w:t>Fire</w:t>
      </w:r>
      <w:r>
        <w:rPr>
          <w:spacing w:val="-1"/>
        </w:rPr>
        <w:t xml:space="preserve"> </w:t>
      </w:r>
      <w:r>
        <w:t>Control),</w:t>
      </w:r>
      <w:r>
        <w:rPr>
          <w:spacing w:val="-1"/>
        </w:rPr>
        <w:t xml:space="preserve"> </w:t>
      </w:r>
      <w:r>
        <w:t>CH-53K</w:t>
      </w:r>
      <w:r>
        <w:rPr>
          <w:spacing w:val="-1"/>
        </w:rPr>
        <w:t xml:space="preserve"> </w:t>
      </w:r>
      <w:r>
        <w:t>heavy</w:t>
      </w:r>
      <w:r>
        <w:rPr>
          <w:spacing w:val="-1"/>
        </w:rPr>
        <w:t xml:space="preserve"> </w:t>
      </w:r>
      <w:r>
        <w:t>lift</w:t>
      </w:r>
      <w:r>
        <w:rPr>
          <w:spacing w:val="-1"/>
        </w:rPr>
        <w:t xml:space="preserve"> </w:t>
      </w:r>
      <w:r>
        <w:t>helicopter (Rotary and Mission Systems), and the modernization and enhancements to the Trident II D5 Fleet Ballistic Missile (Space).</w:t>
      </w:r>
      <w:r>
        <w:rPr>
          <w:spacing w:val="40"/>
        </w:rPr>
        <w:t xml:space="preserve"> </w:t>
      </w:r>
      <w:r>
        <w:t>We are engaged in significant classified development programs and pending successful achievement of the objectives within those programs, we expect to begin the transition from development to production over the next few years. We are currently performing on multiple hypersonic programs and following the successful completion of ongoing testing and evaluation activity, multiple programs are expected to enter early production phases between 2023 and 2026. Finally, we are always in pursuit of new program awards to develop future platforms that enable us to continue to place security capability into the</w:t>
      </w:r>
      <w:r>
        <w:rPr>
          <w:spacing w:val="40"/>
        </w:rPr>
        <w:t xml:space="preserve"> </w:t>
      </w:r>
      <w:r>
        <w:t>market and expand our global reach.</w:t>
      </w:r>
    </w:p>
    <w:p w14:paraId="4AEDF9E5" w14:textId="77777777" w:rsidR="00AE2255" w:rsidRDefault="00AE2255">
      <w:pPr>
        <w:pStyle w:val="BodyText"/>
        <w:spacing w:before="2"/>
        <w:rPr>
          <w:sz w:val="18"/>
        </w:rPr>
      </w:pPr>
    </w:p>
    <w:p w14:paraId="26989D2F" w14:textId="77777777" w:rsidR="00AE2255" w:rsidRDefault="00000000">
      <w:pPr>
        <w:pStyle w:val="BodyText"/>
        <w:spacing w:line="249" w:lineRule="auto"/>
        <w:ind w:left="610" w:right="427" w:firstLine="360"/>
        <w:jc w:val="both"/>
      </w:pPr>
      <w:r>
        <w:t>Key to enabling success of our strategy is developing differentiating technologies, forging strategic partnerships, including with commercial companies, executing on our multi-year business transformation initiative to enhance our digital infrastructure and increase efficiencies and collaboration throughout our business and maintaining fiscal discipline. Underpinning our ability to execute our strategy is our talent and culture. We invest substantially in our people to ensure that our workforce has the technical skills necessary to succeed, and we expect to continue to invest internally in innovative technologies that address rapidly evolving mission requirements for our customers. We also will continue to evaluate our portfolio and will make</w:t>
      </w:r>
      <w:r>
        <w:rPr>
          <w:spacing w:val="40"/>
        </w:rPr>
        <w:t xml:space="preserve"> </w:t>
      </w:r>
      <w:r>
        <w:t>strategic acquisitions or divestitures, as appropriate, while deepening our connection to commercial industry through cooperative partnerships, joint ventures, and equity investments.</w:t>
      </w:r>
    </w:p>
    <w:p w14:paraId="47D2E97E" w14:textId="77777777" w:rsidR="00AE2255" w:rsidRDefault="00AE2255">
      <w:pPr>
        <w:pStyle w:val="BodyText"/>
        <w:spacing w:before="8"/>
        <w:rPr>
          <w:sz w:val="17"/>
        </w:rPr>
      </w:pPr>
    </w:p>
    <w:p w14:paraId="01546350" w14:textId="77777777" w:rsidR="00AE2255" w:rsidRDefault="00000000">
      <w:pPr>
        <w:pStyle w:val="Heading3"/>
      </w:pPr>
      <w:r>
        <w:rPr>
          <w:spacing w:val="-2"/>
        </w:rPr>
        <w:t>COVID-</w:t>
      </w:r>
      <w:r>
        <w:rPr>
          <w:spacing w:val="-5"/>
        </w:rPr>
        <w:t>19</w:t>
      </w:r>
    </w:p>
    <w:p w14:paraId="1D72B40E" w14:textId="77777777" w:rsidR="00AE2255" w:rsidRDefault="00AE2255">
      <w:pPr>
        <w:pStyle w:val="BodyText"/>
        <w:spacing w:before="6"/>
        <w:rPr>
          <w:b/>
          <w:i/>
          <w:sz w:val="18"/>
        </w:rPr>
      </w:pPr>
    </w:p>
    <w:p w14:paraId="54723535" w14:textId="77777777" w:rsidR="00AE2255" w:rsidRDefault="00000000">
      <w:pPr>
        <w:pStyle w:val="BodyText"/>
        <w:spacing w:before="1" w:line="249" w:lineRule="auto"/>
        <w:ind w:left="610" w:right="429" w:firstLine="495"/>
        <w:jc w:val="both"/>
      </w:pPr>
      <w:r>
        <w:t>COVID-19 continued to cause business impacts in 2022. The emergence of the Omicron variant in late 2021 and</w:t>
      </w:r>
      <w:r>
        <w:rPr>
          <w:spacing w:val="40"/>
        </w:rPr>
        <w:t xml:space="preserve"> </w:t>
      </w:r>
      <w:r>
        <w:t>resulting increase in COVID-19 cases in early 2022 adversely impacted our operations and our supply chain. Our performance was affected during 2022 by supply chain disruptions and delays, as well as labor challenges associated with employee absences, travel restrictions, site access, quarantine restrictions, remote work, and adjusted work schedules. The recovery from</w:t>
      </w:r>
    </w:p>
    <w:p w14:paraId="3C701978" w14:textId="77777777" w:rsidR="00AE2255" w:rsidRDefault="00AE2255">
      <w:pPr>
        <w:spacing w:line="249" w:lineRule="auto"/>
        <w:jc w:val="both"/>
        <w:sectPr w:rsidR="00AE2255">
          <w:pgSz w:w="12240" w:h="15840"/>
          <w:pgMar w:top="440" w:right="560" w:bottom="720" w:left="380" w:header="230" w:footer="531" w:gutter="0"/>
          <w:cols w:space="720"/>
        </w:sectPr>
      </w:pPr>
    </w:p>
    <w:p w14:paraId="338DDF45" w14:textId="77777777" w:rsidR="00AE2255" w:rsidRDefault="00AE2255">
      <w:pPr>
        <w:pStyle w:val="BodyText"/>
        <w:spacing w:before="10"/>
        <w:rPr>
          <w:sz w:val="22"/>
        </w:rPr>
      </w:pPr>
    </w:p>
    <w:p w14:paraId="64BB2944" w14:textId="77777777" w:rsidR="00AE2255" w:rsidRDefault="00000000">
      <w:pPr>
        <w:pStyle w:val="BodyText"/>
        <w:spacing w:before="92" w:line="249" w:lineRule="auto"/>
        <w:ind w:left="610" w:right="429"/>
        <w:jc w:val="both"/>
      </w:pPr>
      <w:r>
        <w:t xml:space="preserve">that disruption has been slower than originally anticipated, </w:t>
      </w:r>
      <w:proofErr w:type="gramStart"/>
      <w:r>
        <w:t>in particular within</w:t>
      </w:r>
      <w:proofErr w:type="gramEnd"/>
      <w:r>
        <w:t xml:space="preserve"> our supply chain, and some of those supply</w:t>
      </w:r>
      <w:r>
        <w:rPr>
          <w:spacing w:val="40"/>
        </w:rPr>
        <w:t xml:space="preserve"> </w:t>
      </w:r>
      <w:r>
        <w:t>chain impacts are expected to continue into 2023. Attendance for employees required to be onsite fluctuated during 2022 based on COVID-19 developments. We are actively engaging with our customers and are continuing to take measures to protect the health and safety of our employees. In our on-going effort to mitigate supply chain risks, we accelerated payments of $1.5 billion to our suppliers as of December 31, 2022, that are due according to contractual terms in future periods, while consistently prioritizing small businesses, which make up over half of our active supply base, as well as at-risk businesses. Additionally, we have deployed resources at supplier sites to improve oversight and performance. We will continue to monitor supply</w:t>
      </w:r>
      <w:r>
        <w:rPr>
          <w:spacing w:val="-1"/>
        </w:rPr>
        <w:t xml:space="preserve"> </w:t>
      </w:r>
      <w:r>
        <w:t>chain</w:t>
      </w:r>
      <w:r>
        <w:rPr>
          <w:spacing w:val="-1"/>
        </w:rPr>
        <w:t xml:space="preserve"> </w:t>
      </w:r>
      <w:r>
        <w:t>risks,</w:t>
      </w:r>
      <w:r>
        <w:rPr>
          <w:spacing w:val="-1"/>
        </w:rPr>
        <w:t xml:space="preserve"> </w:t>
      </w:r>
      <w:r>
        <w:t>especially</w:t>
      </w:r>
      <w:r>
        <w:rPr>
          <w:spacing w:val="-1"/>
        </w:rPr>
        <w:t xml:space="preserve"> </w:t>
      </w:r>
      <w:r>
        <w:t>at</w:t>
      </w:r>
      <w:r>
        <w:rPr>
          <w:spacing w:val="-1"/>
        </w:rPr>
        <w:t xml:space="preserve"> </w:t>
      </w:r>
      <w:r>
        <w:t>small</w:t>
      </w:r>
      <w:r>
        <w:rPr>
          <w:spacing w:val="-1"/>
        </w:rPr>
        <w:t xml:space="preserve"> </w:t>
      </w:r>
      <w:r>
        <w:t>and</w:t>
      </w:r>
      <w:r>
        <w:rPr>
          <w:spacing w:val="-1"/>
        </w:rPr>
        <w:t xml:space="preserve"> </w:t>
      </w:r>
      <w:r>
        <w:t>at-risk</w:t>
      </w:r>
      <w:r>
        <w:rPr>
          <w:spacing w:val="-1"/>
        </w:rPr>
        <w:t xml:space="preserve"> </w:t>
      </w:r>
      <w:r>
        <w:t>related</w:t>
      </w:r>
      <w:r>
        <w:rPr>
          <w:spacing w:val="-1"/>
        </w:rPr>
        <w:t xml:space="preserve"> </w:t>
      </w:r>
      <w:r>
        <w:t>suppliers,</w:t>
      </w:r>
      <w:r>
        <w:rPr>
          <w:spacing w:val="-1"/>
        </w:rPr>
        <w:t xml:space="preserve"> </w:t>
      </w:r>
      <w:r>
        <w:t>and</w:t>
      </w:r>
      <w:r>
        <w:rPr>
          <w:spacing w:val="-1"/>
        </w:rPr>
        <w:t xml:space="preserve"> </w:t>
      </w:r>
      <w:r>
        <w:t>may</w:t>
      </w:r>
      <w:r>
        <w:rPr>
          <w:spacing w:val="-1"/>
        </w:rPr>
        <w:t xml:space="preserve"> </w:t>
      </w:r>
      <w:r>
        <w:t>continue</w:t>
      </w:r>
      <w:r>
        <w:rPr>
          <w:spacing w:val="-1"/>
        </w:rPr>
        <w:t xml:space="preserve"> </w:t>
      </w:r>
      <w:r>
        <w:t>to</w:t>
      </w:r>
      <w:r>
        <w:rPr>
          <w:spacing w:val="-1"/>
        </w:rPr>
        <w:t xml:space="preserve"> </w:t>
      </w:r>
      <w:r>
        <w:t>utilize</w:t>
      </w:r>
      <w:r>
        <w:rPr>
          <w:spacing w:val="-1"/>
        </w:rPr>
        <w:t xml:space="preserve"> </w:t>
      </w:r>
      <w:r>
        <w:t>accelerated</w:t>
      </w:r>
      <w:r>
        <w:rPr>
          <w:spacing w:val="-1"/>
        </w:rPr>
        <w:t xml:space="preserve"> </w:t>
      </w:r>
      <w:r>
        <w:t>payments</w:t>
      </w:r>
      <w:r>
        <w:rPr>
          <w:spacing w:val="-1"/>
        </w:rPr>
        <w:t xml:space="preserve"> </w:t>
      </w:r>
      <w:r>
        <w:t>in</w:t>
      </w:r>
      <w:r>
        <w:rPr>
          <w:spacing w:val="-1"/>
        </w:rPr>
        <w:t xml:space="preserve"> </w:t>
      </w:r>
      <w:r>
        <w:t>2023</w:t>
      </w:r>
      <w:r>
        <w:rPr>
          <w:spacing w:val="-1"/>
        </w:rPr>
        <w:t xml:space="preserve"> </w:t>
      </w:r>
      <w:r>
        <w:t>on an as needed basis.</w:t>
      </w:r>
    </w:p>
    <w:p w14:paraId="7B2AEF50" w14:textId="77777777" w:rsidR="00AE2255" w:rsidRDefault="00AE2255">
      <w:pPr>
        <w:pStyle w:val="BodyText"/>
        <w:rPr>
          <w:sz w:val="18"/>
        </w:rPr>
      </w:pPr>
    </w:p>
    <w:p w14:paraId="392BD98F" w14:textId="77777777" w:rsidR="00AE2255" w:rsidRDefault="00000000">
      <w:pPr>
        <w:pStyle w:val="BodyText"/>
        <w:spacing w:line="249" w:lineRule="auto"/>
        <w:ind w:left="610" w:right="428" w:firstLine="495"/>
        <w:jc w:val="both"/>
      </w:pPr>
      <w:r>
        <w:t xml:space="preserve">The impact of COVID-19 on our operations and financial performance in future periods, including our ability to execute our programs in the expected timeframe, remains uncertain and will depend on a number of factors, including the impact of potential new COVID-19 variants or subvariants, the effectiveness and adoption of COVID-19 vaccines and therapeutics, and supplier impacts and related government actions to prevent and manage disease </w:t>
      </w:r>
      <w:proofErr w:type="gramStart"/>
      <w:r>
        <w:t>spread,.</w:t>
      </w:r>
      <w:proofErr w:type="gramEnd"/>
      <w:r>
        <w:t xml:space="preserve"> The long-term impacts of COVID-19 on government budgets and other funding priorities, including international priorities, that impact demand for our products and services also are difficult to predict, but could negatively affect our future results and performance.</w:t>
      </w:r>
    </w:p>
    <w:p w14:paraId="62460269" w14:textId="77777777" w:rsidR="00AE2255" w:rsidRDefault="00AE2255">
      <w:pPr>
        <w:pStyle w:val="BodyText"/>
        <w:spacing w:before="6"/>
        <w:rPr>
          <w:sz w:val="17"/>
        </w:rPr>
      </w:pPr>
    </w:p>
    <w:p w14:paraId="32D77094" w14:textId="77777777" w:rsidR="00AE2255" w:rsidRDefault="00000000">
      <w:pPr>
        <w:pStyle w:val="Heading3"/>
      </w:pPr>
      <w:r>
        <w:rPr>
          <w:spacing w:val="-2"/>
        </w:rPr>
        <w:t>Inflation</w:t>
      </w:r>
    </w:p>
    <w:p w14:paraId="0E06AFF7" w14:textId="77777777" w:rsidR="00AE2255" w:rsidRDefault="00AE2255">
      <w:pPr>
        <w:pStyle w:val="BodyText"/>
        <w:spacing w:before="6"/>
        <w:rPr>
          <w:b/>
          <w:i/>
          <w:sz w:val="18"/>
        </w:rPr>
      </w:pPr>
    </w:p>
    <w:p w14:paraId="3199542C" w14:textId="77777777" w:rsidR="00AE2255" w:rsidRDefault="00000000">
      <w:pPr>
        <w:pStyle w:val="BodyText"/>
        <w:spacing w:before="1" w:line="249" w:lineRule="auto"/>
        <w:ind w:left="610" w:right="427" w:firstLine="495"/>
        <w:jc w:val="both"/>
      </w:pPr>
      <w:r>
        <w:t xml:space="preserve">Heightened levels of inflation and the potential worsening of macro-economic conditions present risks for Lockheed Martin, our </w:t>
      </w:r>
      <w:proofErr w:type="gramStart"/>
      <w:r>
        <w:t>suppliers</w:t>
      </w:r>
      <w:proofErr w:type="gramEnd"/>
      <w:r>
        <w:t xml:space="preserve"> and the stability of the broader defense industrial base. During 2022, we have experienced impacts to our labor rates and suppliers have signaled inflation related cost pressures, which will flow through to our costs and pricing. Although inflation did not significantly impact our financial results in 2022, if inflation remains at current levels for an</w:t>
      </w:r>
      <w:r>
        <w:rPr>
          <w:spacing w:val="40"/>
        </w:rPr>
        <w:t xml:space="preserve"> </w:t>
      </w:r>
      <w:r>
        <w:t>extended</w:t>
      </w:r>
      <w:r>
        <w:rPr>
          <w:spacing w:val="-1"/>
        </w:rPr>
        <w:t xml:space="preserve"> </w:t>
      </w:r>
      <w:r>
        <w:t>period,</w:t>
      </w:r>
      <w:r>
        <w:rPr>
          <w:spacing w:val="-1"/>
        </w:rPr>
        <w:t xml:space="preserve"> </w:t>
      </w:r>
      <w:r>
        <w:t>or</w:t>
      </w:r>
      <w:r>
        <w:rPr>
          <w:spacing w:val="-1"/>
        </w:rPr>
        <w:t xml:space="preserve"> </w:t>
      </w:r>
      <w:r>
        <w:t>increases,</w:t>
      </w:r>
      <w:r>
        <w:rPr>
          <w:spacing w:val="-1"/>
        </w:rPr>
        <w:t xml:space="preserve"> </w:t>
      </w:r>
      <w:r>
        <w:t>and</w:t>
      </w:r>
      <w:r>
        <w:rPr>
          <w:spacing w:val="-1"/>
        </w:rPr>
        <w:t xml:space="preserve"> </w:t>
      </w:r>
      <w:r>
        <w:t>we</w:t>
      </w:r>
      <w:r>
        <w:rPr>
          <w:spacing w:val="-1"/>
        </w:rPr>
        <w:t xml:space="preserve"> </w:t>
      </w:r>
      <w:r>
        <w:t>are</w:t>
      </w:r>
      <w:r>
        <w:rPr>
          <w:spacing w:val="-1"/>
        </w:rPr>
        <w:t xml:space="preserve"> </w:t>
      </w:r>
      <w:r>
        <w:t>unable</w:t>
      </w:r>
      <w:r>
        <w:rPr>
          <w:spacing w:val="-1"/>
        </w:rPr>
        <w:t xml:space="preserve"> </w:t>
      </w:r>
      <w:r>
        <w:t>to</w:t>
      </w:r>
      <w:r>
        <w:rPr>
          <w:spacing w:val="-1"/>
        </w:rPr>
        <w:t xml:space="preserve"> </w:t>
      </w:r>
      <w:r>
        <w:t>successfully</w:t>
      </w:r>
      <w:r>
        <w:rPr>
          <w:spacing w:val="-1"/>
        </w:rPr>
        <w:t xml:space="preserve"> </w:t>
      </w:r>
      <w:r>
        <w:t>mitigate</w:t>
      </w:r>
      <w:r>
        <w:rPr>
          <w:spacing w:val="-1"/>
        </w:rPr>
        <w:t xml:space="preserve"> </w:t>
      </w:r>
      <w:r>
        <w:t>the</w:t>
      </w:r>
      <w:r>
        <w:rPr>
          <w:spacing w:val="-1"/>
        </w:rPr>
        <w:t xml:space="preserve"> </w:t>
      </w:r>
      <w:r>
        <w:t>impact,</w:t>
      </w:r>
      <w:r>
        <w:rPr>
          <w:spacing w:val="-1"/>
        </w:rPr>
        <w:t xml:space="preserve"> </w:t>
      </w:r>
      <w:r>
        <w:t>our</w:t>
      </w:r>
      <w:r>
        <w:rPr>
          <w:spacing w:val="-1"/>
        </w:rPr>
        <w:t xml:space="preserve"> </w:t>
      </w:r>
      <w:r>
        <w:t>costs</w:t>
      </w:r>
      <w:r>
        <w:rPr>
          <w:spacing w:val="-1"/>
        </w:rPr>
        <w:t xml:space="preserve"> </w:t>
      </w:r>
      <w:r>
        <w:t>are</w:t>
      </w:r>
      <w:r>
        <w:rPr>
          <w:spacing w:val="-1"/>
        </w:rPr>
        <w:t xml:space="preserve"> </w:t>
      </w:r>
      <w:r>
        <w:t>likely</w:t>
      </w:r>
      <w:r>
        <w:rPr>
          <w:spacing w:val="-1"/>
        </w:rPr>
        <w:t xml:space="preserve"> </w:t>
      </w:r>
      <w:r>
        <w:t>to</w:t>
      </w:r>
      <w:r>
        <w:rPr>
          <w:spacing w:val="-1"/>
        </w:rPr>
        <w:t xml:space="preserve"> </w:t>
      </w:r>
      <w:r>
        <w:t>increase,</w:t>
      </w:r>
      <w:r>
        <w:rPr>
          <w:spacing w:val="-1"/>
        </w:rPr>
        <w:t xml:space="preserve"> </w:t>
      </w:r>
      <w:r>
        <w:t>resulting</w:t>
      </w:r>
      <w:r>
        <w:rPr>
          <w:spacing w:val="-1"/>
        </w:rPr>
        <w:t xml:space="preserve"> </w:t>
      </w:r>
      <w:r>
        <w:t xml:space="preserve">in pressure on our profits, </w:t>
      </w:r>
      <w:proofErr w:type="gramStart"/>
      <w:r>
        <w:t>margins</w:t>
      </w:r>
      <w:proofErr w:type="gramEnd"/>
      <w:r>
        <w:t xml:space="preserve"> and cash flows, particularly for existing fixed-price contracts. For new contract proposals, we are factoring into our pricing heightened levels of inflation based on accepted DoD escalation indices and other assumptions, and in some cases seeking the inclusion of economic price adjustment (EPA) clauses, which would permit, subject to the </w:t>
      </w:r>
      <w:proofErr w:type="gramStart"/>
      <w:r>
        <w:t>particular contractual</w:t>
      </w:r>
      <w:proofErr w:type="gramEnd"/>
      <w:r>
        <w:t xml:space="preserve"> terms, cost adjustments in fixed-price contracts for unexpected inflation. In addition, </w:t>
      </w:r>
      <w:proofErr w:type="gramStart"/>
      <w:r>
        <w:t>inflation</w:t>
      </w:r>
      <w:proofErr w:type="gramEnd"/>
      <w:r>
        <w:t xml:space="preserve"> and the increases in the cost of borrowing from rising interest rates could constrain the overall purchasing power of our customers for our products and services, in particular in the near term to the extent inflation assumptions are less than current inflationary pressures. Rising interest rates will also increase our borrowing costs on new debt and could affect the fair value of our investments. While rising interest rates reduce the measure of our gross pension obligations, they can also lead to decline in pension</w:t>
      </w:r>
      <w:r>
        <w:rPr>
          <w:spacing w:val="-1"/>
        </w:rPr>
        <w:t xml:space="preserve"> </w:t>
      </w:r>
      <w:r>
        <w:t>plan</w:t>
      </w:r>
      <w:r>
        <w:rPr>
          <w:spacing w:val="-1"/>
        </w:rPr>
        <w:t xml:space="preserve"> </w:t>
      </w:r>
      <w:r>
        <w:t>assets</w:t>
      </w:r>
      <w:r>
        <w:rPr>
          <w:spacing w:val="-2"/>
        </w:rPr>
        <w:t xml:space="preserve"> </w:t>
      </w:r>
      <w:r>
        <w:t>with</w:t>
      </w:r>
      <w:r>
        <w:rPr>
          <w:spacing w:val="-1"/>
        </w:rPr>
        <w:t xml:space="preserve"> </w:t>
      </w:r>
      <w:r>
        <w:t>offsetting</w:t>
      </w:r>
      <w:r>
        <w:rPr>
          <w:spacing w:val="-1"/>
        </w:rPr>
        <w:t xml:space="preserve"> </w:t>
      </w:r>
      <w:r>
        <w:t>impacts</w:t>
      </w:r>
      <w:r>
        <w:rPr>
          <w:spacing w:val="-2"/>
        </w:rPr>
        <w:t xml:space="preserve"> </w:t>
      </w:r>
      <w:r>
        <w:t>on</w:t>
      </w:r>
      <w:r>
        <w:rPr>
          <w:spacing w:val="-1"/>
        </w:rPr>
        <w:t xml:space="preserve"> </w:t>
      </w:r>
      <w:r>
        <w:t>our</w:t>
      </w:r>
      <w:r>
        <w:rPr>
          <w:spacing w:val="-1"/>
        </w:rPr>
        <w:t xml:space="preserve"> </w:t>
      </w:r>
      <w:r>
        <w:t>net</w:t>
      </w:r>
      <w:r>
        <w:rPr>
          <w:spacing w:val="-2"/>
        </w:rPr>
        <w:t xml:space="preserve"> </w:t>
      </w:r>
      <w:r>
        <w:t>pension</w:t>
      </w:r>
      <w:r>
        <w:rPr>
          <w:spacing w:val="-1"/>
        </w:rPr>
        <w:t xml:space="preserve"> </w:t>
      </w:r>
      <w:r>
        <w:t>liability.</w:t>
      </w:r>
      <w:r>
        <w:rPr>
          <w:spacing w:val="-1"/>
        </w:rPr>
        <w:t xml:space="preserve"> </w:t>
      </w:r>
      <w:r>
        <w:t>We</w:t>
      </w:r>
      <w:r>
        <w:rPr>
          <w:spacing w:val="-2"/>
        </w:rPr>
        <w:t xml:space="preserve"> </w:t>
      </w:r>
      <w:r>
        <w:t>remain</w:t>
      </w:r>
      <w:r>
        <w:rPr>
          <w:spacing w:val="-1"/>
        </w:rPr>
        <w:t xml:space="preserve"> </w:t>
      </w:r>
      <w:r>
        <w:t>committed</w:t>
      </w:r>
      <w:r>
        <w:rPr>
          <w:spacing w:val="-1"/>
        </w:rPr>
        <w:t xml:space="preserve"> </w:t>
      </w:r>
      <w:r>
        <w:t>to</w:t>
      </w:r>
      <w:r>
        <w:rPr>
          <w:spacing w:val="-1"/>
        </w:rPr>
        <w:t xml:space="preserve"> </w:t>
      </w:r>
      <w:r>
        <w:t>our</w:t>
      </w:r>
      <w:r>
        <w:rPr>
          <w:spacing w:val="-1"/>
        </w:rPr>
        <w:t xml:space="preserve"> </w:t>
      </w:r>
      <w:r>
        <w:t>ongoing</w:t>
      </w:r>
      <w:r>
        <w:rPr>
          <w:spacing w:val="-1"/>
        </w:rPr>
        <w:t xml:space="preserve"> </w:t>
      </w:r>
      <w:r>
        <w:t>efforts</w:t>
      </w:r>
      <w:r>
        <w:rPr>
          <w:spacing w:val="-2"/>
        </w:rPr>
        <w:t xml:space="preserve"> </w:t>
      </w:r>
      <w:r>
        <w:t>to</w:t>
      </w:r>
      <w:r>
        <w:rPr>
          <w:spacing w:val="-1"/>
        </w:rPr>
        <w:t xml:space="preserve"> </w:t>
      </w:r>
      <w:r>
        <w:t>increase the efficiency of our operations and improve the cost competitiveness and affordability of our products and services, which</w:t>
      </w:r>
      <w:r>
        <w:rPr>
          <w:spacing w:val="40"/>
        </w:rPr>
        <w:t xml:space="preserve"> </w:t>
      </w:r>
      <w:r>
        <w:t>may, in part, offset cost increases from inflation.</w:t>
      </w:r>
    </w:p>
    <w:p w14:paraId="623EF3B9" w14:textId="77777777" w:rsidR="00AE2255" w:rsidRDefault="00AE2255">
      <w:pPr>
        <w:pStyle w:val="BodyText"/>
        <w:spacing w:before="2"/>
        <w:rPr>
          <w:sz w:val="18"/>
        </w:rPr>
      </w:pPr>
    </w:p>
    <w:p w14:paraId="2418F4F3" w14:textId="77777777" w:rsidR="00AE2255" w:rsidRDefault="00000000">
      <w:pPr>
        <w:pStyle w:val="Heading3"/>
        <w:spacing w:before="1"/>
      </w:pPr>
      <w:r>
        <w:t>Conflict</w:t>
      </w:r>
      <w:r>
        <w:rPr>
          <w:spacing w:val="-4"/>
        </w:rPr>
        <w:t xml:space="preserve"> </w:t>
      </w:r>
      <w:r>
        <w:t>in</w:t>
      </w:r>
      <w:r>
        <w:rPr>
          <w:spacing w:val="-4"/>
        </w:rPr>
        <w:t xml:space="preserve"> </w:t>
      </w:r>
      <w:r>
        <w:rPr>
          <w:spacing w:val="-2"/>
        </w:rPr>
        <w:t>Ukraine</w:t>
      </w:r>
    </w:p>
    <w:p w14:paraId="6C79C19A" w14:textId="77777777" w:rsidR="00AE2255" w:rsidRDefault="00AE2255">
      <w:pPr>
        <w:pStyle w:val="BodyText"/>
        <w:spacing w:before="6"/>
        <w:rPr>
          <w:b/>
          <w:i/>
          <w:sz w:val="18"/>
        </w:rPr>
      </w:pPr>
    </w:p>
    <w:p w14:paraId="16051B0C" w14:textId="77777777" w:rsidR="00AE2255" w:rsidRDefault="00000000">
      <w:pPr>
        <w:pStyle w:val="BodyText"/>
        <w:spacing w:line="249" w:lineRule="auto"/>
        <w:ind w:left="610" w:right="427" w:firstLine="495"/>
        <w:jc w:val="both"/>
      </w:pPr>
      <w:r>
        <w:t>Russia’s invasion of Ukraine has significantly elevated global geopolitical tensions and security concerns. As a result, we have received increased interest for some of our products and services as countries seek to improve their security posture, particularly in Europe. In addition, security assistance provided by the U.S. government to Ukraine has created U.S.</w:t>
      </w:r>
      <w:r>
        <w:rPr>
          <w:spacing w:val="40"/>
        </w:rPr>
        <w:t xml:space="preserve"> </w:t>
      </w:r>
      <w:r>
        <w:t>government demand to replenish U.S. stockpiles, resulting in additional and potential future orders for our products. We are beginning to see this interest result in initiation of new contract discussions, however, given the long-cycle nature of our business</w:t>
      </w:r>
      <w:r>
        <w:rPr>
          <w:spacing w:val="-2"/>
        </w:rPr>
        <w:t xml:space="preserve"> </w:t>
      </w:r>
      <w:r>
        <w:t>and</w:t>
      </w:r>
      <w:r>
        <w:rPr>
          <w:spacing w:val="-2"/>
        </w:rPr>
        <w:t xml:space="preserve"> </w:t>
      </w:r>
      <w:r>
        <w:t>current</w:t>
      </w:r>
      <w:r>
        <w:rPr>
          <w:spacing w:val="-2"/>
        </w:rPr>
        <w:t xml:space="preserve"> </w:t>
      </w:r>
      <w:r>
        <w:t>industry</w:t>
      </w:r>
      <w:r>
        <w:rPr>
          <w:spacing w:val="-2"/>
        </w:rPr>
        <w:t xml:space="preserve"> </w:t>
      </w:r>
      <w:r>
        <w:t>capacity,</w:t>
      </w:r>
      <w:r>
        <w:rPr>
          <w:spacing w:val="-2"/>
        </w:rPr>
        <w:t xml:space="preserve"> </w:t>
      </w:r>
      <w:r>
        <w:t>we</w:t>
      </w:r>
      <w:r>
        <w:rPr>
          <w:spacing w:val="-2"/>
        </w:rPr>
        <w:t xml:space="preserve"> </w:t>
      </w:r>
      <w:r>
        <w:t>do</w:t>
      </w:r>
      <w:r>
        <w:rPr>
          <w:spacing w:val="-2"/>
        </w:rPr>
        <w:t xml:space="preserve"> </w:t>
      </w:r>
      <w:r>
        <w:t>not</w:t>
      </w:r>
      <w:r>
        <w:rPr>
          <w:spacing w:val="-2"/>
        </w:rPr>
        <w:t xml:space="preserve"> </w:t>
      </w:r>
      <w:r>
        <w:t>expect</w:t>
      </w:r>
      <w:r>
        <w:rPr>
          <w:spacing w:val="-2"/>
        </w:rPr>
        <w:t xml:space="preserve"> </w:t>
      </w:r>
      <w:r>
        <w:t>a</w:t>
      </w:r>
      <w:r>
        <w:rPr>
          <w:spacing w:val="-2"/>
        </w:rPr>
        <w:t xml:space="preserve"> </w:t>
      </w:r>
      <w:r>
        <w:t>significant</w:t>
      </w:r>
      <w:r>
        <w:rPr>
          <w:spacing w:val="-2"/>
        </w:rPr>
        <w:t xml:space="preserve"> </w:t>
      </w:r>
      <w:r>
        <w:t>increase</w:t>
      </w:r>
      <w:r>
        <w:rPr>
          <w:spacing w:val="-2"/>
        </w:rPr>
        <w:t xml:space="preserve"> </w:t>
      </w:r>
      <w:r>
        <w:t>in</w:t>
      </w:r>
      <w:r>
        <w:rPr>
          <w:spacing w:val="-2"/>
        </w:rPr>
        <w:t xml:space="preserve"> </w:t>
      </w:r>
      <w:r>
        <w:t>near</w:t>
      </w:r>
      <w:r>
        <w:rPr>
          <w:spacing w:val="-2"/>
        </w:rPr>
        <w:t xml:space="preserve"> </w:t>
      </w:r>
      <w:r>
        <w:t>term</w:t>
      </w:r>
      <w:r>
        <w:rPr>
          <w:spacing w:val="-2"/>
        </w:rPr>
        <w:t xml:space="preserve"> </w:t>
      </w:r>
      <w:r>
        <w:t>sales</w:t>
      </w:r>
      <w:r>
        <w:rPr>
          <w:spacing w:val="-2"/>
        </w:rPr>
        <w:t xml:space="preserve"> </w:t>
      </w:r>
      <w:r>
        <w:t>from</w:t>
      </w:r>
      <w:r>
        <w:rPr>
          <w:spacing w:val="-2"/>
        </w:rPr>
        <w:t xml:space="preserve"> </w:t>
      </w:r>
      <w:r>
        <w:t>new</w:t>
      </w:r>
      <w:r>
        <w:rPr>
          <w:spacing w:val="-2"/>
        </w:rPr>
        <w:t xml:space="preserve"> </w:t>
      </w:r>
      <w:r>
        <w:t>contracts</w:t>
      </w:r>
      <w:r>
        <w:rPr>
          <w:spacing w:val="-2"/>
        </w:rPr>
        <w:t xml:space="preserve"> </w:t>
      </w:r>
      <w:r>
        <w:t>in</w:t>
      </w:r>
      <w:r>
        <w:rPr>
          <w:spacing w:val="-2"/>
        </w:rPr>
        <w:t xml:space="preserve"> </w:t>
      </w:r>
      <w:r>
        <w:t>response to the conflict. We are evaluating capacity at our operations and the supply chain to anticipate potential demand and enable us</w:t>
      </w:r>
      <w:r>
        <w:rPr>
          <w:spacing w:val="40"/>
        </w:rPr>
        <w:t xml:space="preserve"> </w:t>
      </w:r>
      <w:r>
        <w:t>to deliver critical capabilities. In addition, the U.S. Government and other nations have implemented broad economic sanctions and export controls targeting Russia, which combined with the conflict have the potential to indirectly disrupt our supply chain and access to certain resources. We have not, however, experienced significant adverse impacts to date and we will continue to monitor for any impacts and seek to mitigate disruption that may arise. The conflict also has increased the threat of malicious cyber</w:t>
      </w:r>
      <w:r>
        <w:rPr>
          <w:spacing w:val="-3"/>
        </w:rPr>
        <w:t xml:space="preserve"> </w:t>
      </w:r>
      <w:r>
        <w:t>activity</w:t>
      </w:r>
      <w:r>
        <w:rPr>
          <w:spacing w:val="-3"/>
        </w:rPr>
        <w:t xml:space="preserve"> </w:t>
      </w:r>
      <w:r>
        <w:t>from</w:t>
      </w:r>
      <w:r>
        <w:rPr>
          <w:spacing w:val="-3"/>
        </w:rPr>
        <w:t xml:space="preserve"> </w:t>
      </w:r>
      <w:r>
        <w:t>nation</w:t>
      </w:r>
      <w:r>
        <w:rPr>
          <w:spacing w:val="-3"/>
        </w:rPr>
        <w:t xml:space="preserve"> </w:t>
      </w:r>
      <w:r>
        <w:t>states</w:t>
      </w:r>
      <w:r>
        <w:rPr>
          <w:spacing w:val="-3"/>
        </w:rPr>
        <w:t xml:space="preserve"> </w:t>
      </w:r>
      <w:r>
        <w:t>and</w:t>
      </w:r>
      <w:r>
        <w:rPr>
          <w:spacing w:val="-3"/>
        </w:rPr>
        <w:t xml:space="preserve"> </w:t>
      </w:r>
      <w:r>
        <w:t>other</w:t>
      </w:r>
      <w:r>
        <w:rPr>
          <w:spacing w:val="-3"/>
        </w:rPr>
        <w:t xml:space="preserve"> </w:t>
      </w:r>
      <w:r>
        <w:t>actors.</w:t>
      </w:r>
      <w:r>
        <w:rPr>
          <w:spacing w:val="-3"/>
        </w:rPr>
        <w:t xml:space="preserve"> </w:t>
      </w:r>
      <w:r>
        <w:t>We</w:t>
      </w:r>
      <w:r>
        <w:rPr>
          <w:spacing w:val="-3"/>
        </w:rPr>
        <w:t xml:space="preserve"> </w:t>
      </w:r>
      <w:r>
        <w:t>have</w:t>
      </w:r>
      <w:r>
        <w:rPr>
          <w:spacing w:val="-3"/>
        </w:rPr>
        <w:t xml:space="preserve"> </w:t>
      </w:r>
      <w:r>
        <w:t>taken</w:t>
      </w:r>
      <w:r>
        <w:rPr>
          <w:spacing w:val="-3"/>
        </w:rPr>
        <w:t xml:space="preserve"> </w:t>
      </w:r>
      <w:r>
        <w:t>steps</w:t>
      </w:r>
      <w:r>
        <w:rPr>
          <w:spacing w:val="-3"/>
        </w:rPr>
        <w:t xml:space="preserve"> </w:t>
      </w:r>
      <w:r>
        <w:t>designed</w:t>
      </w:r>
      <w:r>
        <w:rPr>
          <w:spacing w:val="-3"/>
        </w:rPr>
        <w:t xml:space="preserve"> </w:t>
      </w:r>
      <w:r>
        <w:t>to</w:t>
      </w:r>
      <w:r>
        <w:rPr>
          <w:spacing w:val="-3"/>
        </w:rPr>
        <w:t xml:space="preserve"> </w:t>
      </w:r>
      <w:r>
        <w:t>enhance</w:t>
      </w:r>
      <w:r>
        <w:rPr>
          <w:spacing w:val="-3"/>
        </w:rPr>
        <w:t xml:space="preserve"> </w:t>
      </w:r>
      <w:r>
        <w:t>our</w:t>
      </w:r>
      <w:r>
        <w:rPr>
          <w:spacing w:val="-3"/>
        </w:rPr>
        <w:t xml:space="preserve"> </w:t>
      </w:r>
      <w:r>
        <w:t>defensive</w:t>
      </w:r>
      <w:r>
        <w:rPr>
          <w:spacing w:val="-3"/>
        </w:rPr>
        <w:t xml:space="preserve"> </w:t>
      </w:r>
      <w:r>
        <w:t>posture</w:t>
      </w:r>
      <w:r>
        <w:rPr>
          <w:spacing w:val="-3"/>
        </w:rPr>
        <w:t xml:space="preserve"> </w:t>
      </w:r>
      <w:r>
        <w:t>against</w:t>
      </w:r>
      <w:r>
        <w:rPr>
          <w:spacing w:val="-3"/>
        </w:rPr>
        <w:t xml:space="preserve"> </w:t>
      </w:r>
      <w:r>
        <w:t>tactics and techniques associated with this increased threat.</w:t>
      </w:r>
    </w:p>
    <w:p w14:paraId="5CEB56A0" w14:textId="77777777" w:rsidR="00AE2255" w:rsidRDefault="00AE2255">
      <w:pPr>
        <w:pStyle w:val="BodyText"/>
        <w:rPr>
          <w:sz w:val="18"/>
        </w:rPr>
      </w:pPr>
    </w:p>
    <w:p w14:paraId="4B672BF7" w14:textId="77777777" w:rsidR="00AE2255" w:rsidRDefault="00000000">
      <w:pPr>
        <w:pStyle w:val="Heading3"/>
      </w:pPr>
      <w:r>
        <w:t>Portfolio</w:t>
      </w:r>
      <w:r>
        <w:rPr>
          <w:spacing w:val="-5"/>
        </w:rPr>
        <w:t xml:space="preserve"> </w:t>
      </w:r>
      <w:r>
        <w:t>Shaping</w:t>
      </w:r>
      <w:r>
        <w:rPr>
          <w:spacing w:val="-4"/>
        </w:rPr>
        <w:t xml:space="preserve"> </w:t>
      </w:r>
      <w:r>
        <w:rPr>
          <w:spacing w:val="-2"/>
        </w:rPr>
        <w:t>Activities</w:t>
      </w:r>
    </w:p>
    <w:p w14:paraId="500E7587" w14:textId="77777777" w:rsidR="00AE2255" w:rsidRDefault="00AE2255">
      <w:pPr>
        <w:pStyle w:val="BodyText"/>
        <w:spacing w:before="6"/>
        <w:rPr>
          <w:b/>
          <w:i/>
          <w:sz w:val="18"/>
        </w:rPr>
      </w:pPr>
    </w:p>
    <w:p w14:paraId="55BF8ADE" w14:textId="77777777" w:rsidR="00AE2255" w:rsidRDefault="00000000">
      <w:pPr>
        <w:pStyle w:val="BodyText"/>
        <w:spacing w:before="1" w:line="249" w:lineRule="auto"/>
        <w:ind w:left="610" w:right="429" w:firstLine="360"/>
        <w:jc w:val="both"/>
      </w:pPr>
      <w:r>
        <w:t xml:space="preserve">We continuously strive to strengthen our portfolio of products and services to meet the current and future needs of our customers. We accomplish this in part by our independent research and development activities and through acquisition, </w:t>
      </w:r>
      <w:proofErr w:type="gramStart"/>
      <w:r>
        <w:t>divestiture</w:t>
      </w:r>
      <w:proofErr w:type="gramEnd"/>
      <w:r>
        <w:t xml:space="preserve"> and internal realignment activities.</w:t>
      </w:r>
    </w:p>
    <w:p w14:paraId="303F43C9" w14:textId="77777777" w:rsidR="00AE2255" w:rsidRDefault="00AE2255">
      <w:pPr>
        <w:pStyle w:val="BodyText"/>
        <w:spacing w:before="6"/>
        <w:rPr>
          <w:sz w:val="17"/>
        </w:rPr>
      </w:pPr>
    </w:p>
    <w:p w14:paraId="06184765" w14:textId="77777777" w:rsidR="00AE2255" w:rsidRDefault="00000000">
      <w:pPr>
        <w:pStyle w:val="BodyText"/>
        <w:spacing w:line="249" w:lineRule="auto"/>
        <w:ind w:left="610" w:right="428" w:firstLine="360"/>
        <w:jc w:val="both"/>
      </w:pPr>
      <w:r>
        <w:t>We selectively pursue the acquisition of businesses, investments and ventures at attractive valuations that will expand or complement</w:t>
      </w:r>
      <w:r>
        <w:rPr>
          <w:spacing w:val="12"/>
        </w:rPr>
        <w:t xml:space="preserve"> </w:t>
      </w:r>
      <w:r>
        <w:t>our</w:t>
      </w:r>
      <w:r>
        <w:rPr>
          <w:spacing w:val="12"/>
        </w:rPr>
        <w:t xml:space="preserve"> </w:t>
      </w:r>
      <w:r>
        <w:t>current</w:t>
      </w:r>
      <w:r>
        <w:rPr>
          <w:spacing w:val="12"/>
        </w:rPr>
        <w:t xml:space="preserve"> </w:t>
      </w:r>
      <w:r>
        <w:t>portfolio</w:t>
      </w:r>
      <w:r>
        <w:rPr>
          <w:spacing w:val="12"/>
        </w:rPr>
        <w:t xml:space="preserve"> </w:t>
      </w:r>
      <w:r>
        <w:t>and</w:t>
      </w:r>
      <w:r>
        <w:rPr>
          <w:spacing w:val="12"/>
        </w:rPr>
        <w:t xml:space="preserve"> </w:t>
      </w:r>
      <w:r>
        <w:t>allow</w:t>
      </w:r>
      <w:r>
        <w:rPr>
          <w:spacing w:val="12"/>
        </w:rPr>
        <w:t xml:space="preserve"> </w:t>
      </w:r>
      <w:r>
        <w:t>access</w:t>
      </w:r>
      <w:r>
        <w:rPr>
          <w:spacing w:val="12"/>
        </w:rPr>
        <w:t xml:space="preserve"> </w:t>
      </w:r>
      <w:r>
        <w:t>to</w:t>
      </w:r>
      <w:r>
        <w:rPr>
          <w:spacing w:val="12"/>
        </w:rPr>
        <w:t xml:space="preserve"> </w:t>
      </w:r>
      <w:r>
        <w:t>new</w:t>
      </w:r>
      <w:r>
        <w:rPr>
          <w:spacing w:val="12"/>
        </w:rPr>
        <w:t xml:space="preserve"> </w:t>
      </w:r>
      <w:r>
        <w:t>customers</w:t>
      </w:r>
      <w:r>
        <w:rPr>
          <w:spacing w:val="12"/>
        </w:rPr>
        <w:t xml:space="preserve"> </w:t>
      </w:r>
      <w:r>
        <w:t>or</w:t>
      </w:r>
      <w:r>
        <w:rPr>
          <w:spacing w:val="12"/>
        </w:rPr>
        <w:t xml:space="preserve"> </w:t>
      </w:r>
      <w:r>
        <w:t>technologies.</w:t>
      </w:r>
      <w:r>
        <w:rPr>
          <w:spacing w:val="12"/>
        </w:rPr>
        <w:t xml:space="preserve"> </w:t>
      </w:r>
      <w:r>
        <w:t>We</w:t>
      </w:r>
      <w:r>
        <w:rPr>
          <w:spacing w:val="12"/>
        </w:rPr>
        <w:t xml:space="preserve"> </w:t>
      </w:r>
      <w:r>
        <w:t>also</w:t>
      </w:r>
      <w:r>
        <w:rPr>
          <w:spacing w:val="12"/>
        </w:rPr>
        <w:t xml:space="preserve"> </w:t>
      </w:r>
      <w:r>
        <w:t>may</w:t>
      </w:r>
      <w:r>
        <w:rPr>
          <w:spacing w:val="12"/>
        </w:rPr>
        <w:t xml:space="preserve"> </w:t>
      </w:r>
      <w:r>
        <w:t>explore</w:t>
      </w:r>
      <w:r>
        <w:rPr>
          <w:spacing w:val="12"/>
        </w:rPr>
        <w:t xml:space="preserve"> </w:t>
      </w:r>
      <w:r>
        <w:t>the</w:t>
      </w:r>
      <w:r>
        <w:rPr>
          <w:spacing w:val="12"/>
        </w:rPr>
        <w:t xml:space="preserve"> </w:t>
      </w:r>
      <w:r>
        <w:t>divestiture</w:t>
      </w:r>
      <w:r>
        <w:rPr>
          <w:spacing w:val="12"/>
        </w:rPr>
        <w:t xml:space="preserve"> </w:t>
      </w:r>
      <w:r>
        <w:t>of</w:t>
      </w:r>
    </w:p>
    <w:p w14:paraId="6C77AB35" w14:textId="77777777" w:rsidR="00AE2255" w:rsidRDefault="00AE2255">
      <w:pPr>
        <w:spacing w:line="249" w:lineRule="auto"/>
        <w:jc w:val="both"/>
        <w:sectPr w:rsidR="00AE2255">
          <w:pgSz w:w="12240" w:h="15840"/>
          <w:pgMar w:top="440" w:right="560" w:bottom="720" w:left="380" w:header="230" w:footer="531" w:gutter="0"/>
          <w:cols w:space="720"/>
        </w:sectPr>
      </w:pPr>
    </w:p>
    <w:p w14:paraId="45EFEEF7" w14:textId="77777777" w:rsidR="00AE2255" w:rsidRDefault="00AE2255">
      <w:pPr>
        <w:pStyle w:val="BodyText"/>
        <w:spacing w:before="10"/>
        <w:rPr>
          <w:sz w:val="22"/>
        </w:rPr>
      </w:pPr>
    </w:p>
    <w:p w14:paraId="20AF43FD" w14:textId="77777777" w:rsidR="00AE2255" w:rsidRDefault="00000000">
      <w:pPr>
        <w:pStyle w:val="BodyText"/>
        <w:spacing w:before="92" w:line="249" w:lineRule="auto"/>
        <w:ind w:left="610" w:right="428"/>
        <w:jc w:val="both"/>
      </w:pPr>
      <w:r>
        <w:t xml:space="preserve">businesses, </w:t>
      </w:r>
      <w:proofErr w:type="gramStart"/>
      <w:r>
        <w:t>investments</w:t>
      </w:r>
      <w:proofErr w:type="gramEnd"/>
      <w:r>
        <w:t xml:space="preserve"> or ventures that no longer meet our needs or strategy or that could perform better outside of our organization</w:t>
      </w:r>
      <w:r>
        <w:rPr>
          <w:spacing w:val="-1"/>
        </w:rPr>
        <w:t xml:space="preserve"> </w:t>
      </w:r>
      <w:r>
        <w:t>or</w:t>
      </w:r>
      <w:r>
        <w:rPr>
          <w:spacing w:val="-1"/>
        </w:rPr>
        <w:t xml:space="preserve"> </w:t>
      </w:r>
      <w:r>
        <w:t>with</w:t>
      </w:r>
      <w:r>
        <w:rPr>
          <w:spacing w:val="-1"/>
        </w:rPr>
        <w:t xml:space="preserve"> </w:t>
      </w:r>
      <w:r>
        <w:t>a</w:t>
      </w:r>
      <w:r>
        <w:rPr>
          <w:spacing w:val="-2"/>
        </w:rPr>
        <w:t xml:space="preserve"> </w:t>
      </w:r>
      <w:r>
        <w:t>different</w:t>
      </w:r>
      <w:r>
        <w:rPr>
          <w:spacing w:val="-2"/>
        </w:rPr>
        <w:t xml:space="preserve"> </w:t>
      </w:r>
      <w:r>
        <w:t>owner.</w:t>
      </w:r>
      <w:r>
        <w:rPr>
          <w:spacing w:val="-1"/>
        </w:rPr>
        <w:t xml:space="preserve"> </w:t>
      </w:r>
      <w:r>
        <w:t>In</w:t>
      </w:r>
      <w:r>
        <w:rPr>
          <w:spacing w:val="-1"/>
        </w:rPr>
        <w:t xml:space="preserve"> </w:t>
      </w:r>
      <w:r>
        <w:t>pursuing</w:t>
      </w:r>
      <w:r>
        <w:rPr>
          <w:spacing w:val="-1"/>
        </w:rPr>
        <w:t xml:space="preserve"> </w:t>
      </w:r>
      <w:r>
        <w:t>our</w:t>
      </w:r>
      <w:r>
        <w:rPr>
          <w:spacing w:val="-1"/>
        </w:rPr>
        <w:t xml:space="preserve"> </w:t>
      </w:r>
      <w:r>
        <w:t>business</w:t>
      </w:r>
      <w:r>
        <w:rPr>
          <w:spacing w:val="-2"/>
        </w:rPr>
        <w:t xml:space="preserve"> </w:t>
      </w:r>
      <w:r>
        <w:t>strategy,</w:t>
      </w:r>
      <w:r>
        <w:rPr>
          <w:spacing w:val="-1"/>
        </w:rPr>
        <w:t xml:space="preserve"> </w:t>
      </w:r>
      <w:r>
        <w:t>we</w:t>
      </w:r>
      <w:r>
        <w:rPr>
          <w:spacing w:val="-2"/>
        </w:rPr>
        <w:t xml:space="preserve"> </w:t>
      </w:r>
      <w:r>
        <w:t>routinely</w:t>
      </w:r>
      <w:r>
        <w:rPr>
          <w:spacing w:val="-1"/>
        </w:rPr>
        <w:t xml:space="preserve"> </w:t>
      </w:r>
      <w:r>
        <w:t>conduct</w:t>
      </w:r>
      <w:r>
        <w:rPr>
          <w:spacing w:val="-2"/>
        </w:rPr>
        <w:t xml:space="preserve"> </w:t>
      </w:r>
      <w:r>
        <w:t>discussions,</w:t>
      </w:r>
      <w:r>
        <w:rPr>
          <w:spacing w:val="-1"/>
        </w:rPr>
        <w:t xml:space="preserve"> </w:t>
      </w:r>
      <w:r>
        <w:t>evaluate</w:t>
      </w:r>
      <w:r>
        <w:rPr>
          <w:spacing w:val="-2"/>
        </w:rPr>
        <w:t xml:space="preserve"> </w:t>
      </w:r>
      <w:proofErr w:type="gramStart"/>
      <w:r>
        <w:t>targets</w:t>
      </w:r>
      <w:proofErr w:type="gramEnd"/>
      <w:r>
        <w:rPr>
          <w:spacing w:val="-2"/>
        </w:rPr>
        <w:t xml:space="preserve"> </w:t>
      </w:r>
      <w:r>
        <w:t>and enter into agreements regarding possible acquisitions, divestitures, joint ventures and equity investments.</w:t>
      </w:r>
    </w:p>
    <w:p w14:paraId="7ECFF49B" w14:textId="77777777" w:rsidR="00AE2255" w:rsidRDefault="00AE2255">
      <w:pPr>
        <w:pStyle w:val="BodyText"/>
        <w:spacing w:before="3"/>
        <w:rPr>
          <w:sz w:val="17"/>
        </w:rPr>
      </w:pPr>
    </w:p>
    <w:p w14:paraId="0AE7EB41" w14:textId="77777777" w:rsidR="00AE2255" w:rsidRDefault="00000000">
      <w:pPr>
        <w:pStyle w:val="Heading2"/>
        <w:spacing w:before="1"/>
        <w:jc w:val="both"/>
      </w:pPr>
      <w:r>
        <w:t>Renationalization</w:t>
      </w:r>
      <w:r>
        <w:rPr>
          <w:spacing w:val="-7"/>
        </w:rPr>
        <w:t xml:space="preserve"> </w:t>
      </w:r>
      <w:r>
        <w:t>of</w:t>
      </w:r>
      <w:r>
        <w:rPr>
          <w:spacing w:val="-5"/>
        </w:rPr>
        <w:t xml:space="preserve"> </w:t>
      </w:r>
      <w:r>
        <w:t>the</w:t>
      </w:r>
      <w:r>
        <w:rPr>
          <w:spacing w:val="-4"/>
        </w:rPr>
        <w:t xml:space="preserve"> </w:t>
      </w:r>
      <w:r>
        <w:t>Atomic</w:t>
      </w:r>
      <w:r>
        <w:rPr>
          <w:spacing w:val="-5"/>
        </w:rPr>
        <w:t xml:space="preserve"> </w:t>
      </w:r>
      <w:r>
        <w:t>Weapons</w:t>
      </w:r>
      <w:r>
        <w:rPr>
          <w:spacing w:val="-5"/>
        </w:rPr>
        <w:t xml:space="preserve"> </w:t>
      </w:r>
      <w:r>
        <w:t>Establishment</w:t>
      </w:r>
      <w:r>
        <w:rPr>
          <w:spacing w:val="-4"/>
        </w:rPr>
        <w:t xml:space="preserve"> </w:t>
      </w:r>
      <w:r>
        <w:rPr>
          <w:spacing w:val="-2"/>
        </w:rPr>
        <w:t>Program</w:t>
      </w:r>
    </w:p>
    <w:p w14:paraId="7E38C359" w14:textId="77777777" w:rsidR="00AE2255" w:rsidRDefault="00AE2255">
      <w:pPr>
        <w:pStyle w:val="BodyText"/>
        <w:rPr>
          <w:b/>
          <w:sz w:val="19"/>
        </w:rPr>
      </w:pPr>
    </w:p>
    <w:p w14:paraId="62AB2A03" w14:textId="77777777" w:rsidR="00AE2255" w:rsidRDefault="00000000">
      <w:pPr>
        <w:pStyle w:val="BodyText"/>
        <w:spacing w:line="232" w:lineRule="auto"/>
        <w:ind w:left="610" w:right="428" w:firstLine="360"/>
        <w:jc w:val="both"/>
      </w:pPr>
      <w:r>
        <w:t xml:space="preserve">On June 30, 2021, the UK Ministry of </w:t>
      </w:r>
      <w:proofErr w:type="spellStart"/>
      <w:r>
        <w:t>Defence</w:t>
      </w:r>
      <w:proofErr w:type="spellEnd"/>
      <w:r>
        <w:t xml:space="preserve"> terminated the contract to operate the UK’s nuclear deterrent program and assumed control of the entity that manages the program (referred to as the renationalization of the Atomic Weapons Establishment (AWE program)). Accordingly, the AWE program’s ongoing operations, including the entity that manages the program,</w:t>
      </w:r>
      <w:r>
        <w:rPr>
          <w:spacing w:val="12"/>
        </w:rPr>
        <w:t xml:space="preserve"> </w:t>
      </w:r>
      <w:r>
        <w:t>are</w:t>
      </w:r>
      <w:r>
        <w:rPr>
          <w:spacing w:val="11"/>
        </w:rPr>
        <w:t xml:space="preserve"> </w:t>
      </w:r>
      <w:r>
        <w:t>no</w:t>
      </w:r>
      <w:r>
        <w:rPr>
          <w:spacing w:val="12"/>
        </w:rPr>
        <w:t xml:space="preserve"> </w:t>
      </w:r>
      <w:r>
        <w:t>longer</w:t>
      </w:r>
      <w:r>
        <w:rPr>
          <w:spacing w:val="12"/>
        </w:rPr>
        <w:t xml:space="preserve"> </w:t>
      </w:r>
      <w:r>
        <w:t>included</w:t>
      </w:r>
      <w:r>
        <w:rPr>
          <w:spacing w:val="12"/>
        </w:rPr>
        <w:t xml:space="preserve"> </w:t>
      </w:r>
      <w:r>
        <w:t>in</w:t>
      </w:r>
      <w:r>
        <w:rPr>
          <w:spacing w:val="12"/>
        </w:rPr>
        <w:t xml:space="preserve"> </w:t>
      </w:r>
      <w:r>
        <w:t>our</w:t>
      </w:r>
      <w:r>
        <w:rPr>
          <w:spacing w:val="12"/>
        </w:rPr>
        <w:t xml:space="preserve"> </w:t>
      </w:r>
      <w:r>
        <w:t>financial</w:t>
      </w:r>
      <w:r>
        <w:rPr>
          <w:spacing w:val="11"/>
        </w:rPr>
        <w:t xml:space="preserve"> </w:t>
      </w:r>
      <w:r>
        <w:t>results</w:t>
      </w:r>
      <w:r>
        <w:rPr>
          <w:spacing w:val="11"/>
        </w:rPr>
        <w:t xml:space="preserve"> </w:t>
      </w:r>
      <w:r>
        <w:t>as</w:t>
      </w:r>
      <w:r>
        <w:rPr>
          <w:spacing w:val="11"/>
        </w:rPr>
        <w:t xml:space="preserve"> </w:t>
      </w:r>
      <w:r>
        <w:t>of</w:t>
      </w:r>
      <w:r>
        <w:rPr>
          <w:spacing w:val="12"/>
        </w:rPr>
        <w:t xml:space="preserve"> </w:t>
      </w:r>
      <w:r>
        <w:t>that</w:t>
      </w:r>
      <w:r>
        <w:rPr>
          <w:spacing w:val="11"/>
        </w:rPr>
        <w:t xml:space="preserve"> </w:t>
      </w:r>
      <w:r>
        <w:t>date.</w:t>
      </w:r>
      <w:r>
        <w:rPr>
          <w:spacing w:val="12"/>
        </w:rPr>
        <w:t xml:space="preserve"> </w:t>
      </w:r>
      <w:r>
        <w:t>Therefore,</w:t>
      </w:r>
      <w:r>
        <w:rPr>
          <w:spacing w:val="12"/>
        </w:rPr>
        <w:t xml:space="preserve"> </w:t>
      </w:r>
      <w:r>
        <w:t>during</w:t>
      </w:r>
      <w:r>
        <w:rPr>
          <w:spacing w:val="12"/>
        </w:rPr>
        <w:t xml:space="preserve"> </w:t>
      </w:r>
      <w:r>
        <w:t>2021,</w:t>
      </w:r>
      <w:r>
        <w:rPr>
          <w:spacing w:val="12"/>
        </w:rPr>
        <w:t xml:space="preserve"> </w:t>
      </w:r>
      <w:r>
        <w:t>AWE</w:t>
      </w:r>
      <w:r>
        <w:rPr>
          <w:spacing w:val="11"/>
        </w:rPr>
        <w:t xml:space="preserve"> </w:t>
      </w:r>
      <w:r>
        <w:t>only</w:t>
      </w:r>
      <w:r>
        <w:rPr>
          <w:spacing w:val="12"/>
        </w:rPr>
        <w:t xml:space="preserve"> </w:t>
      </w:r>
      <w:r>
        <w:t>generated</w:t>
      </w:r>
      <w:r>
        <w:rPr>
          <w:spacing w:val="12"/>
        </w:rPr>
        <w:t xml:space="preserve"> </w:t>
      </w:r>
      <w:r>
        <w:t>sales</w:t>
      </w:r>
      <w:r>
        <w:rPr>
          <w:spacing w:val="11"/>
        </w:rPr>
        <w:t xml:space="preserve"> </w:t>
      </w:r>
      <w:r>
        <w:t>of</w:t>
      </w:r>
    </w:p>
    <w:p w14:paraId="5B779885" w14:textId="77777777" w:rsidR="00AE2255" w:rsidRDefault="00000000">
      <w:pPr>
        <w:pStyle w:val="BodyText"/>
        <w:spacing w:before="4" w:line="232" w:lineRule="auto"/>
        <w:ind w:left="610" w:right="429"/>
        <w:jc w:val="both"/>
      </w:pPr>
      <w:r>
        <w:t>$885 million and operating profit of $18 million, which are included in Space’s financial results for the year ended December 31, 2021. During the year ended December 31, 2020, AWE generated sales of $1.4 billion and operating profit of $35 million, which are included in Space’s financial results for 2020.</w:t>
      </w:r>
    </w:p>
    <w:p w14:paraId="16230195" w14:textId="77777777" w:rsidR="00AE2255" w:rsidRDefault="00000000">
      <w:pPr>
        <w:pStyle w:val="Heading2"/>
        <w:spacing w:before="193"/>
      </w:pPr>
      <w:bookmarkStart w:id="26" w:name="Industry_Considerations"/>
      <w:bookmarkEnd w:id="26"/>
      <w:r>
        <w:t>U.S.</w:t>
      </w:r>
      <w:r>
        <w:rPr>
          <w:spacing w:val="-4"/>
        </w:rPr>
        <w:t xml:space="preserve"> </w:t>
      </w:r>
      <w:r>
        <w:t>Government</w:t>
      </w:r>
      <w:r>
        <w:rPr>
          <w:spacing w:val="-4"/>
        </w:rPr>
        <w:t xml:space="preserve"> </w:t>
      </w:r>
      <w:r>
        <w:rPr>
          <w:spacing w:val="-2"/>
        </w:rPr>
        <w:t>Funding</w:t>
      </w:r>
    </w:p>
    <w:p w14:paraId="58006DBF" w14:textId="77777777" w:rsidR="00AE2255" w:rsidRDefault="00AE2255">
      <w:pPr>
        <w:pStyle w:val="BodyText"/>
        <w:spacing w:before="7"/>
        <w:rPr>
          <w:b/>
          <w:sz w:val="18"/>
        </w:rPr>
      </w:pPr>
    </w:p>
    <w:p w14:paraId="237F1034" w14:textId="77777777" w:rsidR="00AE2255" w:rsidRDefault="00000000">
      <w:pPr>
        <w:pStyle w:val="BodyText"/>
        <w:spacing w:line="249" w:lineRule="auto"/>
        <w:ind w:left="610" w:right="429" w:firstLine="360"/>
        <w:jc w:val="both"/>
      </w:pPr>
      <w:r>
        <w:t xml:space="preserve">On March 28, </w:t>
      </w:r>
      <w:proofErr w:type="gramStart"/>
      <w:r>
        <w:t>2022</w:t>
      </w:r>
      <w:proofErr w:type="gramEnd"/>
      <w:r>
        <w:t xml:space="preserve"> the Administration submitted to Congress the President’s Fiscal Year (FY) 2023 budget request, which proposed $813.4 billion in total national defense spending, of which $773 billion was for the base budget of the Department of Defense (DoD).</w:t>
      </w:r>
    </w:p>
    <w:p w14:paraId="5C9D703C" w14:textId="77777777" w:rsidR="00AE2255" w:rsidRDefault="00AE2255">
      <w:pPr>
        <w:pStyle w:val="BodyText"/>
        <w:spacing w:before="7"/>
        <w:rPr>
          <w:sz w:val="17"/>
        </w:rPr>
      </w:pPr>
    </w:p>
    <w:p w14:paraId="1EE7835E" w14:textId="77777777" w:rsidR="00AE2255" w:rsidRDefault="00000000">
      <w:pPr>
        <w:pStyle w:val="BodyText"/>
        <w:spacing w:line="249" w:lineRule="auto"/>
        <w:ind w:left="610" w:right="429" w:firstLine="360"/>
        <w:jc w:val="both"/>
      </w:pPr>
      <w:r>
        <w:t>On December 29, 2022, the President signed the FY 2023 Omnibus Appropriations Act into law, which provides $858 billion in total national defense funding, of which $816.7 billion is for the DoD base budget. This reflects a $44.6 billion increase over the FY 2023 request for national defense spending, and a $43.7 billion increase for the DoD.</w:t>
      </w:r>
    </w:p>
    <w:p w14:paraId="32A77142" w14:textId="77777777" w:rsidR="00AE2255" w:rsidRDefault="00AE2255">
      <w:pPr>
        <w:pStyle w:val="BodyText"/>
        <w:spacing w:before="6"/>
        <w:rPr>
          <w:sz w:val="17"/>
        </w:rPr>
      </w:pPr>
    </w:p>
    <w:p w14:paraId="5CB0CF16" w14:textId="77777777" w:rsidR="00AE2255" w:rsidRDefault="00000000">
      <w:pPr>
        <w:pStyle w:val="BodyText"/>
        <w:spacing w:before="1" w:line="249" w:lineRule="auto"/>
        <w:ind w:left="610" w:right="429" w:firstLine="360"/>
        <w:jc w:val="both"/>
      </w:pPr>
      <w:r>
        <w:t>The FY 2023 Omnibus Appropriations Act also provided separate and additional funding of $47 billion for Ukraine, the fourth</w:t>
      </w:r>
      <w:r>
        <w:rPr>
          <w:spacing w:val="-2"/>
        </w:rPr>
        <w:t xml:space="preserve"> </w:t>
      </w:r>
      <w:r>
        <w:t>supplemental</w:t>
      </w:r>
      <w:r>
        <w:rPr>
          <w:spacing w:val="-3"/>
        </w:rPr>
        <w:t xml:space="preserve"> </w:t>
      </w:r>
      <w:r>
        <w:t>since</w:t>
      </w:r>
      <w:r>
        <w:rPr>
          <w:spacing w:val="-3"/>
        </w:rPr>
        <w:t xml:space="preserve"> </w:t>
      </w:r>
      <w:r>
        <w:t>March</w:t>
      </w:r>
      <w:r>
        <w:rPr>
          <w:spacing w:val="-2"/>
        </w:rPr>
        <w:t xml:space="preserve"> </w:t>
      </w:r>
      <w:r>
        <w:t>of</w:t>
      </w:r>
      <w:r>
        <w:rPr>
          <w:spacing w:val="-2"/>
        </w:rPr>
        <w:t xml:space="preserve"> </w:t>
      </w:r>
      <w:r>
        <w:t>2022,</w:t>
      </w:r>
      <w:r>
        <w:rPr>
          <w:spacing w:val="-2"/>
        </w:rPr>
        <w:t xml:space="preserve"> </w:t>
      </w:r>
      <w:r>
        <w:t>bringing</w:t>
      </w:r>
      <w:r>
        <w:rPr>
          <w:spacing w:val="-2"/>
        </w:rPr>
        <w:t xml:space="preserve"> </w:t>
      </w:r>
      <w:r>
        <w:t>the</w:t>
      </w:r>
      <w:r>
        <w:rPr>
          <w:spacing w:val="-3"/>
        </w:rPr>
        <w:t xml:space="preserve"> </w:t>
      </w:r>
      <w:r>
        <w:t>total</w:t>
      </w:r>
      <w:r>
        <w:rPr>
          <w:spacing w:val="-3"/>
        </w:rPr>
        <w:t xml:space="preserve"> </w:t>
      </w:r>
      <w:r>
        <w:t>amount</w:t>
      </w:r>
      <w:r>
        <w:rPr>
          <w:spacing w:val="-3"/>
        </w:rPr>
        <w:t xml:space="preserve"> </w:t>
      </w:r>
      <w:r>
        <w:t>of</w:t>
      </w:r>
      <w:r>
        <w:rPr>
          <w:spacing w:val="-2"/>
        </w:rPr>
        <w:t xml:space="preserve"> </w:t>
      </w:r>
      <w:r>
        <w:t>supplemental</w:t>
      </w:r>
      <w:r>
        <w:rPr>
          <w:spacing w:val="-3"/>
        </w:rPr>
        <w:t xml:space="preserve"> </w:t>
      </w:r>
      <w:r>
        <w:t>funding</w:t>
      </w:r>
      <w:r>
        <w:rPr>
          <w:spacing w:val="-2"/>
        </w:rPr>
        <w:t xml:space="preserve"> </w:t>
      </w:r>
      <w:r>
        <w:t>authority</w:t>
      </w:r>
      <w:r>
        <w:rPr>
          <w:spacing w:val="-2"/>
        </w:rPr>
        <w:t xml:space="preserve"> </w:t>
      </w:r>
      <w:r>
        <w:t>provided</w:t>
      </w:r>
      <w:r>
        <w:rPr>
          <w:spacing w:val="-2"/>
        </w:rPr>
        <w:t xml:space="preserve"> </w:t>
      </w:r>
      <w:r>
        <w:t>to</w:t>
      </w:r>
      <w:r>
        <w:rPr>
          <w:spacing w:val="-2"/>
        </w:rPr>
        <w:t xml:space="preserve"> </w:t>
      </w:r>
      <w:r>
        <w:t>$113</w:t>
      </w:r>
      <w:r>
        <w:rPr>
          <w:spacing w:val="-2"/>
        </w:rPr>
        <w:t xml:space="preserve"> </w:t>
      </w:r>
      <w:r>
        <w:t>billion.</w:t>
      </w:r>
    </w:p>
    <w:p w14:paraId="06055E3B" w14:textId="77777777" w:rsidR="00AE2255" w:rsidRDefault="00AE2255">
      <w:pPr>
        <w:pStyle w:val="BodyText"/>
        <w:spacing w:before="6"/>
        <w:rPr>
          <w:sz w:val="17"/>
        </w:rPr>
      </w:pPr>
    </w:p>
    <w:p w14:paraId="16FCABBE" w14:textId="77777777" w:rsidR="00AE2255" w:rsidRDefault="00000000">
      <w:pPr>
        <w:pStyle w:val="BodyText"/>
        <w:spacing w:line="249" w:lineRule="auto"/>
        <w:ind w:left="610" w:right="428" w:firstLine="360"/>
        <w:jc w:val="both"/>
      </w:pPr>
      <w:r>
        <w:t>The President’s FY 2024 budget request is anticipated to be submitted to Congress in March 2023, initiating the FY 2024 defense authorization and appropriations legislative process. In addition to the FY 2024 budget process, Congress will have to contend with the legal limit on U.S. debt, commonly known as the debt ceiling. The current statutory limit of $31.4 trillion was reached in January, requiring the Treasury Department to take accounting measures to continue normally financing U.S. government obligations while avoiding exceeding the debt ceiling. It is expected, however, the U.S. government will exhaust these measures by June 2023. If the debt ceiling is not raised, the U.S. government may not be able to fulfill its funding obligations and there could be significant disruption to all discretionary programs and wider financial and economic repercussions. The federal budget and debt ceiling are expected to continue to be the subject of considerable congressional debate. Although we believe DoD, intelligence, and homeland security programs will continue to receive consensus support for increased funding and would likely receive priority if this scenario came to fruition, the effect on individual programs or Lockheed Martin cannot be predicted at this time.</w:t>
      </w:r>
    </w:p>
    <w:p w14:paraId="7655553D" w14:textId="77777777" w:rsidR="00AE2255" w:rsidRDefault="00AE2255">
      <w:pPr>
        <w:pStyle w:val="BodyText"/>
        <w:spacing w:before="10"/>
        <w:rPr>
          <w:sz w:val="17"/>
        </w:rPr>
      </w:pPr>
    </w:p>
    <w:p w14:paraId="42B3EE5C" w14:textId="77777777" w:rsidR="00AE2255" w:rsidRDefault="00000000">
      <w:pPr>
        <w:pStyle w:val="Heading2"/>
        <w:jc w:val="both"/>
      </w:pPr>
      <w:r>
        <w:t>International</w:t>
      </w:r>
      <w:r>
        <w:rPr>
          <w:spacing w:val="-8"/>
        </w:rPr>
        <w:t xml:space="preserve"> </w:t>
      </w:r>
      <w:r>
        <w:rPr>
          <w:spacing w:val="-2"/>
        </w:rPr>
        <w:t>Business</w:t>
      </w:r>
    </w:p>
    <w:p w14:paraId="0BCC1A2A" w14:textId="77777777" w:rsidR="00AE2255" w:rsidRDefault="00AE2255">
      <w:pPr>
        <w:pStyle w:val="BodyText"/>
        <w:spacing w:before="6"/>
        <w:rPr>
          <w:b/>
          <w:sz w:val="18"/>
        </w:rPr>
      </w:pPr>
    </w:p>
    <w:p w14:paraId="30146F76" w14:textId="77777777" w:rsidR="00AE2255" w:rsidRDefault="00000000">
      <w:pPr>
        <w:pStyle w:val="BodyText"/>
        <w:spacing w:line="249" w:lineRule="auto"/>
        <w:ind w:left="610" w:right="427" w:firstLine="360"/>
        <w:jc w:val="both"/>
      </w:pPr>
      <w:r>
        <w:t>A key component of our strategic plan is to grow our international sales. To accomplish this growth, we continue to focus on strengthening our relationships internationally through partnerships and joint technology efforts. Our international business</w:t>
      </w:r>
      <w:r>
        <w:rPr>
          <w:spacing w:val="40"/>
        </w:rPr>
        <w:t xml:space="preserve"> </w:t>
      </w:r>
      <w:r>
        <w:t>is conducted either by foreign military sales (FMS) contracted through the U.S. Government or by direct commercial sales (DCS) to international customers. In 2022, approximately 74% of our sales to international customers were FMS and about</w:t>
      </w:r>
      <w:r>
        <w:rPr>
          <w:spacing w:val="40"/>
        </w:rPr>
        <w:t xml:space="preserve"> </w:t>
      </w:r>
      <w:r>
        <w:t>26%</w:t>
      </w:r>
      <w:r>
        <w:rPr>
          <w:spacing w:val="-2"/>
        </w:rPr>
        <w:t xml:space="preserve"> </w:t>
      </w:r>
      <w:r>
        <w:t>were</w:t>
      </w:r>
      <w:r>
        <w:rPr>
          <w:spacing w:val="-2"/>
        </w:rPr>
        <w:t xml:space="preserve"> </w:t>
      </w:r>
      <w:r>
        <w:t>DCS.</w:t>
      </w:r>
      <w:r>
        <w:rPr>
          <w:spacing w:val="-2"/>
        </w:rPr>
        <w:t xml:space="preserve"> </w:t>
      </w:r>
      <w:r>
        <w:t>Additionally,</w:t>
      </w:r>
      <w:r>
        <w:rPr>
          <w:spacing w:val="-2"/>
        </w:rPr>
        <w:t xml:space="preserve"> </w:t>
      </w:r>
      <w:r>
        <w:t>in</w:t>
      </w:r>
      <w:r>
        <w:rPr>
          <w:spacing w:val="-2"/>
        </w:rPr>
        <w:t xml:space="preserve"> </w:t>
      </w:r>
      <w:r>
        <w:t>2022,</w:t>
      </w:r>
      <w:r>
        <w:rPr>
          <w:spacing w:val="-2"/>
        </w:rPr>
        <w:t xml:space="preserve"> </w:t>
      </w:r>
      <w:r>
        <w:t>substantially</w:t>
      </w:r>
      <w:r>
        <w:rPr>
          <w:spacing w:val="-2"/>
        </w:rPr>
        <w:t xml:space="preserve"> </w:t>
      </w:r>
      <w:proofErr w:type="gramStart"/>
      <w:r>
        <w:t>all</w:t>
      </w:r>
      <w:r>
        <w:rPr>
          <w:spacing w:val="-2"/>
        </w:rPr>
        <w:t xml:space="preserve"> </w:t>
      </w:r>
      <w:r>
        <w:t>of</w:t>
      </w:r>
      <w:proofErr w:type="gramEnd"/>
      <w:r>
        <w:rPr>
          <w:spacing w:val="-2"/>
        </w:rPr>
        <w:t xml:space="preserve"> </w:t>
      </w:r>
      <w:r>
        <w:t>our</w:t>
      </w:r>
      <w:r>
        <w:rPr>
          <w:spacing w:val="-2"/>
        </w:rPr>
        <w:t xml:space="preserve"> </w:t>
      </w:r>
      <w:r>
        <w:t>sales</w:t>
      </w:r>
      <w:r>
        <w:rPr>
          <w:spacing w:val="-2"/>
        </w:rPr>
        <w:t xml:space="preserve"> </w:t>
      </w:r>
      <w:r>
        <w:t>from</w:t>
      </w:r>
      <w:r>
        <w:rPr>
          <w:spacing w:val="-2"/>
        </w:rPr>
        <w:t xml:space="preserve"> </w:t>
      </w:r>
      <w:r>
        <w:t>international</w:t>
      </w:r>
      <w:r>
        <w:rPr>
          <w:spacing w:val="-2"/>
        </w:rPr>
        <w:t xml:space="preserve"> </w:t>
      </w:r>
      <w:r>
        <w:t>customers</w:t>
      </w:r>
      <w:r>
        <w:rPr>
          <w:spacing w:val="-2"/>
        </w:rPr>
        <w:t xml:space="preserve"> </w:t>
      </w:r>
      <w:r>
        <w:t>were</w:t>
      </w:r>
      <w:r>
        <w:rPr>
          <w:spacing w:val="-2"/>
        </w:rPr>
        <w:t xml:space="preserve"> </w:t>
      </w:r>
      <w:r>
        <w:t>in</w:t>
      </w:r>
      <w:r>
        <w:rPr>
          <w:spacing w:val="-2"/>
        </w:rPr>
        <w:t xml:space="preserve"> </w:t>
      </w:r>
      <w:r>
        <w:t>our</w:t>
      </w:r>
      <w:r>
        <w:rPr>
          <w:spacing w:val="-2"/>
        </w:rPr>
        <w:t xml:space="preserve"> </w:t>
      </w:r>
      <w:r>
        <w:t>Aeronautics,</w:t>
      </w:r>
      <w:r>
        <w:rPr>
          <w:spacing w:val="-2"/>
        </w:rPr>
        <w:t xml:space="preserve"> </w:t>
      </w:r>
      <w:r>
        <w:t>MFC and RMS business segments. Space’s sales from international customers were not material in 2022. See Item 1A - Risk Factors for a discussion of risks related to international sales.</w:t>
      </w:r>
    </w:p>
    <w:p w14:paraId="1B04D02B" w14:textId="77777777" w:rsidR="00AE2255" w:rsidRDefault="00AE2255">
      <w:pPr>
        <w:pStyle w:val="BodyText"/>
        <w:spacing w:before="10"/>
        <w:rPr>
          <w:sz w:val="17"/>
        </w:rPr>
      </w:pPr>
    </w:p>
    <w:p w14:paraId="22B2D458" w14:textId="77777777" w:rsidR="00AE2255" w:rsidRDefault="00000000">
      <w:pPr>
        <w:pStyle w:val="BodyText"/>
        <w:spacing w:before="1" w:line="249" w:lineRule="auto"/>
        <w:ind w:left="610" w:right="428" w:firstLine="360"/>
        <w:jc w:val="both"/>
      </w:pPr>
      <w:r>
        <w:t>In 2022, international customers accounted for 33% of Aeronautics’ net sales. There continues to be strong international interest in the F-35 program, which includes commitments from the U.S. Government and seven international partner countries and nine FMS customers, as well as expressions of interest from other countries. The U.S. Government and the partner</w:t>
      </w:r>
      <w:r>
        <w:rPr>
          <w:spacing w:val="40"/>
        </w:rPr>
        <w:t xml:space="preserve"> </w:t>
      </w:r>
      <w:r>
        <w:t>countries continue to work together on the design, testing, production, and sustainment of the F-35 program. Other areas of international expansion at our Aeronautics business segment include the F-16 and C-130J programs, which continue to draw interest from international customers for new aircraft.</w:t>
      </w:r>
    </w:p>
    <w:p w14:paraId="4188FBD3" w14:textId="77777777" w:rsidR="00AE2255" w:rsidRDefault="00AE2255">
      <w:pPr>
        <w:pStyle w:val="BodyText"/>
        <w:spacing w:before="9"/>
        <w:rPr>
          <w:sz w:val="17"/>
        </w:rPr>
      </w:pPr>
    </w:p>
    <w:p w14:paraId="3F31AEE9" w14:textId="77777777" w:rsidR="00AE2255" w:rsidRDefault="00000000">
      <w:pPr>
        <w:pStyle w:val="BodyText"/>
        <w:spacing w:line="249" w:lineRule="auto"/>
        <w:ind w:left="610" w:right="429" w:firstLine="360"/>
        <w:jc w:val="both"/>
      </w:pPr>
      <w:r>
        <w:t>In 2022, international customers accounted for 31% of MFC’s net sales. Our MFC business segment continues to generate significant international interest, most notably in the air and missile defense product line, which produces the Patriot Advanced Capability-3 (PAC-3) and Terminal</w:t>
      </w:r>
      <w:r>
        <w:rPr>
          <w:spacing w:val="-1"/>
        </w:rPr>
        <w:t xml:space="preserve"> </w:t>
      </w:r>
      <w:r>
        <w:t>High Altitude</w:t>
      </w:r>
      <w:r>
        <w:rPr>
          <w:spacing w:val="-1"/>
        </w:rPr>
        <w:t xml:space="preserve"> </w:t>
      </w:r>
      <w:r>
        <w:t>Area</w:t>
      </w:r>
      <w:r>
        <w:rPr>
          <w:spacing w:val="-1"/>
        </w:rPr>
        <w:t xml:space="preserve"> </w:t>
      </w:r>
      <w:r>
        <w:t>Defense</w:t>
      </w:r>
      <w:r>
        <w:rPr>
          <w:spacing w:val="-1"/>
        </w:rPr>
        <w:t xml:space="preserve"> </w:t>
      </w:r>
      <w:r>
        <w:t>(THAAD) systems. Fourteen nations</w:t>
      </w:r>
      <w:r>
        <w:rPr>
          <w:spacing w:val="-1"/>
        </w:rPr>
        <w:t xml:space="preserve"> </w:t>
      </w:r>
      <w:r>
        <w:t>have</w:t>
      </w:r>
      <w:r>
        <w:rPr>
          <w:spacing w:val="-1"/>
        </w:rPr>
        <w:t xml:space="preserve"> </w:t>
      </w:r>
      <w:r>
        <w:t>chosen PAC-3 Cost Reduction</w:t>
      </w:r>
      <w:r>
        <w:rPr>
          <w:spacing w:val="68"/>
        </w:rPr>
        <w:t xml:space="preserve"> </w:t>
      </w:r>
      <w:r>
        <w:t>Initiative</w:t>
      </w:r>
      <w:r>
        <w:rPr>
          <w:spacing w:val="67"/>
        </w:rPr>
        <w:t xml:space="preserve"> </w:t>
      </w:r>
      <w:r>
        <w:t>(CRI)</w:t>
      </w:r>
      <w:r>
        <w:rPr>
          <w:spacing w:val="68"/>
        </w:rPr>
        <w:t xml:space="preserve"> </w:t>
      </w:r>
      <w:r>
        <w:t>and</w:t>
      </w:r>
      <w:r>
        <w:rPr>
          <w:spacing w:val="68"/>
        </w:rPr>
        <w:t xml:space="preserve"> </w:t>
      </w:r>
      <w:r>
        <w:t>PAC-3</w:t>
      </w:r>
      <w:r>
        <w:rPr>
          <w:spacing w:val="68"/>
        </w:rPr>
        <w:t xml:space="preserve"> </w:t>
      </w:r>
      <w:r>
        <w:t>Missile</w:t>
      </w:r>
      <w:r>
        <w:rPr>
          <w:spacing w:val="67"/>
        </w:rPr>
        <w:t xml:space="preserve"> </w:t>
      </w:r>
      <w:r>
        <w:t>Segment</w:t>
      </w:r>
      <w:r>
        <w:rPr>
          <w:spacing w:val="67"/>
        </w:rPr>
        <w:t xml:space="preserve"> </w:t>
      </w:r>
      <w:r>
        <w:t>Enhancement</w:t>
      </w:r>
      <w:r>
        <w:rPr>
          <w:spacing w:val="67"/>
        </w:rPr>
        <w:t xml:space="preserve"> </w:t>
      </w:r>
      <w:r>
        <w:t>(MSE)</w:t>
      </w:r>
      <w:r>
        <w:rPr>
          <w:spacing w:val="68"/>
        </w:rPr>
        <w:t xml:space="preserve"> </w:t>
      </w:r>
      <w:r>
        <w:t>to</w:t>
      </w:r>
      <w:r>
        <w:rPr>
          <w:spacing w:val="68"/>
        </w:rPr>
        <w:t xml:space="preserve"> </w:t>
      </w:r>
      <w:r>
        <w:t>provide</w:t>
      </w:r>
      <w:r>
        <w:rPr>
          <w:spacing w:val="67"/>
        </w:rPr>
        <w:t xml:space="preserve"> </w:t>
      </w:r>
      <w:r>
        <w:t>missile</w:t>
      </w:r>
      <w:r>
        <w:rPr>
          <w:spacing w:val="67"/>
        </w:rPr>
        <w:t xml:space="preserve"> </w:t>
      </w:r>
      <w:r>
        <w:t>defense</w:t>
      </w:r>
      <w:r>
        <w:rPr>
          <w:spacing w:val="67"/>
        </w:rPr>
        <w:t xml:space="preserve"> </w:t>
      </w:r>
      <w:r>
        <w:t>capabilities.</w:t>
      </w:r>
    </w:p>
    <w:p w14:paraId="700FF1A4" w14:textId="77777777" w:rsidR="00AE2255" w:rsidRDefault="00AE2255">
      <w:pPr>
        <w:spacing w:line="249" w:lineRule="auto"/>
        <w:jc w:val="both"/>
        <w:sectPr w:rsidR="00AE2255">
          <w:pgSz w:w="12240" w:h="15840"/>
          <w:pgMar w:top="440" w:right="560" w:bottom="720" w:left="380" w:header="230" w:footer="531" w:gutter="0"/>
          <w:cols w:space="720"/>
        </w:sectPr>
      </w:pPr>
    </w:p>
    <w:p w14:paraId="2EB607FB" w14:textId="77777777" w:rsidR="00AE2255" w:rsidRDefault="00AE2255">
      <w:pPr>
        <w:pStyle w:val="BodyText"/>
        <w:spacing w:before="10"/>
        <w:rPr>
          <w:sz w:val="22"/>
        </w:rPr>
      </w:pPr>
    </w:p>
    <w:p w14:paraId="185CF523" w14:textId="77777777" w:rsidR="00AE2255" w:rsidRDefault="00000000">
      <w:pPr>
        <w:pStyle w:val="BodyText"/>
        <w:spacing w:before="92" w:line="249" w:lineRule="auto"/>
        <w:ind w:left="610"/>
      </w:pPr>
      <w:r>
        <w:t>Additionally, we continue to see international demand for our tactical and strike missile products, where we received orders for precision fires systems from Germany and Taiwan and for Long Range Anti-Ship Missiles (LRASM) from Australia.</w:t>
      </w:r>
    </w:p>
    <w:p w14:paraId="41350819" w14:textId="77777777" w:rsidR="00AE2255" w:rsidRDefault="00AE2255">
      <w:pPr>
        <w:pStyle w:val="BodyText"/>
        <w:spacing w:before="6"/>
        <w:rPr>
          <w:sz w:val="17"/>
        </w:rPr>
      </w:pPr>
    </w:p>
    <w:p w14:paraId="2A846C64" w14:textId="77777777" w:rsidR="00AE2255" w:rsidRDefault="00000000">
      <w:pPr>
        <w:pStyle w:val="BodyText"/>
        <w:spacing w:line="249" w:lineRule="auto"/>
        <w:ind w:left="610" w:right="429" w:firstLine="360"/>
        <w:jc w:val="both"/>
      </w:pPr>
      <w:r>
        <w:t>In</w:t>
      </w:r>
      <w:r>
        <w:rPr>
          <w:spacing w:val="-3"/>
        </w:rPr>
        <w:t xml:space="preserve"> </w:t>
      </w:r>
      <w:r>
        <w:t>2022,</w:t>
      </w:r>
      <w:r>
        <w:rPr>
          <w:spacing w:val="-3"/>
        </w:rPr>
        <w:t xml:space="preserve"> </w:t>
      </w:r>
      <w:r>
        <w:t>international</w:t>
      </w:r>
      <w:r>
        <w:rPr>
          <w:spacing w:val="-3"/>
        </w:rPr>
        <w:t xml:space="preserve"> </w:t>
      </w:r>
      <w:r>
        <w:t>customers</w:t>
      </w:r>
      <w:r>
        <w:rPr>
          <w:spacing w:val="-3"/>
        </w:rPr>
        <w:t xml:space="preserve"> </w:t>
      </w:r>
      <w:r>
        <w:t>accounted</w:t>
      </w:r>
      <w:r>
        <w:rPr>
          <w:spacing w:val="-3"/>
        </w:rPr>
        <w:t xml:space="preserve"> </w:t>
      </w:r>
      <w:r>
        <w:t>for</w:t>
      </w:r>
      <w:r>
        <w:rPr>
          <w:spacing w:val="-3"/>
        </w:rPr>
        <w:t xml:space="preserve"> </w:t>
      </w:r>
      <w:r>
        <w:t>28%</w:t>
      </w:r>
      <w:r>
        <w:rPr>
          <w:spacing w:val="-3"/>
        </w:rPr>
        <w:t xml:space="preserve"> </w:t>
      </w:r>
      <w:r>
        <w:t>of</w:t>
      </w:r>
      <w:r>
        <w:rPr>
          <w:spacing w:val="-3"/>
        </w:rPr>
        <w:t xml:space="preserve"> </w:t>
      </w:r>
      <w:r>
        <w:t>RMS’</w:t>
      </w:r>
      <w:r>
        <w:rPr>
          <w:spacing w:val="-3"/>
        </w:rPr>
        <w:t xml:space="preserve"> </w:t>
      </w:r>
      <w:r>
        <w:t>net</w:t>
      </w:r>
      <w:r>
        <w:rPr>
          <w:spacing w:val="-3"/>
        </w:rPr>
        <w:t xml:space="preserve"> </w:t>
      </w:r>
      <w:r>
        <w:t>sales.</w:t>
      </w:r>
      <w:r>
        <w:rPr>
          <w:spacing w:val="-3"/>
        </w:rPr>
        <w:t xml:space="preserve"> </w:t>
      </w:r>
      <w:r>
        <w:t>Our</w:t>
      </w:r>
      <w:r>
        <w:rPr>
          <w:spacing w:val="-3"/>
        </w:rPr>
        <w:t xml:space="preserve"> </w:t>
      </w:r>
      <w:r>
        <w:t>RMS</w:t>
      </w:r>
      <w:r>
        <w:rPr>
          <w:spacing w:val="-3"/>
        </w:rPr>
        <w:t xml:space="preserve"> </w:t>
      </w:r>
      <w:r>
        <w:t>business</w:t>
      </w:r>
      <w:r>
        <w:rPr>
          <w:spacing w:val="-3"/>
        </w:rPr>
        <w:t xml:space="preserve"> </w:t>
      </w:r>
      <w:r>
        <w:t>segment</w:t>
      </w:r>
      <w:r>
        <w:rPr>
          <w:spacing w:val="-3"/>
        </w:rPr>
        <w:t xml:space="preserve"> </w:t>
      </w:r>
      <w:r>
        <w:t>continues</w:t>
      </w:r>
      <w:r>
        <w:rPr>
          <w:spacing w:val="-3"/>
        </w:rPr>
        <w:t xml:space="preserve"> </w:t>
      </w:r>
      <w:r>
        <w:t>to</w:t>
      </w:r>
      <w:r>
        <w:rPr>
          <w:spacing w:val="-3"/>
        </w:rPr>
        <w:t xml:space="preserve"> </w:t>
      </w:r>
      <w:r>
        <w:t>experience international</w:t>
      </w:r>
      <w:r>
        <w:rPr>
          <w:spacing w:val="-1"/>
        </w:rPr>
        <w:t xml:space="preserve"> </w:t>
      </w:r>
      <w:r>
        <w:t>interest</w:t>
      </w:r>
      <w:r>
        <w:rPr>
          <w:spacing w:val="-1"/>
        </w:rPr>
        <w:t xml:space="preserve"> </w:t>
      </w:r>
      <w:r>
        <w:t>in the</w:t>
      </w:r>
      <w:r>
        <w:rPr>
          <w:spacing w:val="-1"/>
        </w:rPr>
        <w:t xml:space="preserve"> </w:t>
      </w:r>
      <w:r>
        <w:t>Aegis</w:t>
      </w:r>
      <w:r>
        <w:rPr>
          <w:spacing w:val="-1"/>
        </w:rPr>
        <w:t xml:space="preserve"> </w:t>
      </w:r>
      <w:r>
        <w:t>Ballistic</w:t>
      </w:r>
      <w:r>
        <w:rPr>
          <w:spacing w:val="-1"/>
        </w:rPr>
        <w:t xml:space="preserve"> </w:t>
      </w:r>
      <w:r>
        <w:t>Missile</w:t>
      </w:r>
      <w:r>
        <w:rPr>
          <w:spacing w:val="-1"/>
        </w:rPr>
        <w:t xml:space="preserve"> </w:t>
      </w:r>
      <w:r>
        <w:t>Defense</w:t>
      </w:r>
      <w:r>
        <w:rPr>
          <w:spacing w:val="-1"/>
        </w:rPr>
        <w:t xml:space="preserve"> </w:t>
      </w:r>
      <w:r>
        <w:t>System</w:t>
      </w:r>
      <w:r>
        <w:rPr>
          <w:spacing w:val="-1"/>
        </w:rPr>
        <w:t xml:space="preserve"> </w:t>
      </w:r>
      <w:r>
        <w:t>(Aegis) for which we</w:t>
      </w:r>
      <w:r>
        <w:rPr>
          <w:spacing w:val="-1"/>
        </w:rPr>
        <w:t xml:space="preserve"> </w:t>
      </w:r>
      <w:r>
        <w:t>perform</w:t>
      </w:r>
      <w:r>
        <w:rPr>
          <w:spacing w:val="-1"/>
        </w:rPr>
        <w:t xml:space="preserve"> </w:t>
      </w:r>
      <w:r>
        <w:t>activities</w:t>
      </w:r>
      <w:r>
        <w:rPr>
          <w:spacing w:val="-1"/>
        </w:rPr>
        <w:t xml:space="preserve"> </w:t>
      </w:r>
      <w:r>
        <w:t>in the</w:t>
      </w:r>
      <w:r>
        <w:rPr>
          <w:spacing w:val="-1"/>
        </w:rPr>
        <w:t xml:space="preserve"> </w:t>
      </w:r>
      <w:r>
        <w:t xml:space="preserve">development, production, modernization, ship integration, </w:t>
      </w:r>
      <w:proofErr w:type="gramStart"/>
      <w:r>
        <w:t>test</w:t>
      </w:r>
      <w:proofErr w:type="gramEnd"/>
      <w:r>
        <w:t xml:space="preserve"> and lifetime support for ships of international customers such as Japan, Spain, Republic of Korea, and Australia. We have ongoing combat systems programs associated with different classes of surface combatant ships for customers in Canada, Chile, and New Zealand. Our Multi-Mission Surface Combatant (MMSC) program will provide surface combatant ships for international customers, such as the Kingdom of Saudi Arabia, designed to operate in shallow</w:t>
      </w:r>
      <w:r>
        <w:rPr>
          <w:spacing w:val="-1"/>
        </w:rPr>
        <w:t xml:space="preserve"> </w:t>
      </w:r>
      <w:r>
        <w:t>waters</w:t>
      </w:r>
      <w:r>
        <w:rPr>
          <w:spacing w:val="-1"/>
        </w:rPr>
        <w:t xml:space="preserve"> </w:t>
      </w:r>
      <w:r>
        <w:t>and</w:t>
      </w:r>
      <w:r>
        <w:rPr>
          <w:spacing w:val="-1"/>
        </w:rPr>
        <w:t xml:space="preserve"> </w:t>
      </w:r>
      <w:r>
        <w:t>the</w:t>
      </w:r>
      <w:r>
        <w:rPr>
          <w:spacing w:val="-1"/>
        </w:rPr>
        <w:t xml:space="preserve"> </w:t>
      </w:r>
      <w:r>
        <w:t>open</w:t>
      </w:r>
      <w:r>
        <w:rPr>
          <w:spacing w:val="-1"/>
        </w:rPr>
        <w:t xml:space="preserve"> </w:t>
      </w:r>
      <w:r>
        <w:t>ocean.</w:t>
      </w:r>
      <w:r>
        <w:rPr>
          <w:spacing w:val="-1"/>
        </w:rPr>
        <w:t xml:space="preserve"> </w:t>
      </w:r>
      <w:r>
        <w:t>In</w:t>
      </w:r>
      <w:r>
        <w:rPr>
          <w:spacing w:val="-1"/>
        </w:rPr>
        <w:t xml:space="preserve"> </w:t>
      </w:r>
      <w:r>
        <w:t>our</w:t>
      </w:r>
      <w:r>
        <w:rPr>
          <w:spacing w:val="-1"/>
        </w:rPr>
        <w:t xml:space="preserve"> </w:t>
      </w:r>
      <w:r>
        <w:t>training</w:t>
      </w:r>
      <w:r>
        <w:rPr>
          <w:spacing w:val="-1"/>
        </w:rPr>
        <w:t xml:space="preserve"> </w:t>
      </w:r>
      <w:r>
        <w:t>and</w:t>
      </w:r>
      <w:r>
        <w:rPr>
          <w:spacing w:val="-1"/>
        </w:rPr>
        <w:t xml:space="preserve"> </w:t>
      </w:r>
      <w:r>
        <w:t>logistics</w:t>
      </w:r>
      <w:r>
        <w:rPr>
          <w:spacing w:val="-1"/>
        </w:rPr>
        <w:t xml:space="preserve"> </w:t>
      </w:r>
      <w:r>
        <w:t>solutions</w:t>
      </w:r>
      <w:r>
        <w:rPr>
          <w:spacing w:val="-1"/>
        </w:rPr>
        <w:t xml:space="preserve"> </w:t>
      </w:r>
      <w:r>
        <w:t>portfolio,</w:t>
      </w:r>
      <w:r>
        <w:rPr>
          <w:spacing w:val="-1"/>
        </w:rPr>
        <w:t xml:space="preserve"> </w:t>
      </w:r>
      <w:r>
        <w:t>we</w:t>
      </w:r>
      <w:r>
        <w:rPr>
          <w:spacing w:val="-1"/>
        </w:rPr>
        <w:t xml:space="preserve"> </w:t>
      </w:r>
      <w:r>
        <w:t>have</w:t>
      </w:r>
      <w:r>
        <w:rPr>
          <w:spacing w:val="-1"/>
        </w:rPr>
        <w:t xml:space="preserve"> </w:t>
      </w:r>
      <w:r>
        <w:t>active</w:t>
      </w:r>
      <w:r>
        <w:rPr>
          <w:spacing w:val="-1"/>
        </w:rPr>
        <w:t xml:space="preserve"> </w:t>
      </w:r>
      <w:r>
        <w:t>programs</w:t>
      </w:r>
      <w:r>
        <w:rPr>
          <w:spacing w:val="-1"/>
        </w:rPr>
        <w:t xml:space="preserve"> </w:t>
      </w:r>
      <w:r>
        <w:t>and</w:t>
      </w:r>
      <w:r>
        <w:rPr>
          <w:spacing w:val="-1"/>
        </w:rPr>
        <w:t xml:space="preserve"> </w:t>
      </w:r>
      <w:r>
        <w:t>pursuits</w:t>
      </w:r>
      <w:r>
        <w:rPr>
          <w:spacing w:val="-1"/>
        </w:rPr>
        <w:t xml:space="preserve"> </w:t>
      </w:r>
      <w:r>
        <w:t>in</w:t>
      </w:r>
      <w:r>
        <w:rPr>
          <w:spacing w:val="-1"/>
        </w:rPr>
        <w:t xml:space="preserve"> </w:t>
      </w:r>
      <w:r>
        <w:t xml:space="preserve">the United Kingdom, the Kingdom of Saudi Arabia, Canada, Singapore, Australia, </w:t>
      </w:r>
      <w:proofErr w:type="gramStart"/>
      <w:r>
        <w:t>Germany</w:t>
      </w:r>
      <w:proofErr w:type="gramEnd"/>
      <w:r>
        <w:t xml:space="preserve"> and France. We have active development, production, and sustainment support of the S-70 Black Hawk and MH-60 Seahawk helicopters to international customers, including India, Philippines, Australia, Republic of Korea, Thailand, the Kingdom of Saudi Arabia, and Greece. Additionally, in December 2021, the Israeli Ministry of Defense signed a Letter of Offer and Acceptance (LOA) to procure 12 CH-53K King Stallion heavy lift helicopters, of which the first four were awarded in 2022. Commercial aircraft are sold to international customers to support search and rescue missions as well as VIP and offshore oil and gas transportation.</w:t>
      </w:r>
    </w:p>
    <w:p w14:paraId="353F12D8" w14:textId="77777777" w:rsidR="00AE2255" w:rsidRDefault="00AE2255">
      <w:pPr>
        <w:pStyle w:val="BodyText"/>
        <w:rPr>
          <w:sz w:val="18"/>
        </w:rPr>
      </w:pPr>
    </w:p>
    <w:p w14:paraId="4FC2AC21" w14:textId="77777777" w:rsidR="00AE2255" w:rsidRDefault="00000000">
      <w:pPr>
        <w:pStyle w:val="Heading2"/>
      </w:pPr>
      <w:r>
        <w:t>Status</w:t>
      </w:r>
      <w:r>
        <w:rPr>
          <w:spacing w:val="-2"/>
        </w:rPr>
        <w:t xml:space="preserve"> </w:t>
      </w:r>
      <w:r>
        <w:t>of</w:t>
      </w:r>
      <w:r>
        <w:rPr>
          <w:spacing w:val="-1"/>
        </w:rPr>
        <w:t xml:space="preserve"> </w:t>
      </w:r>
      <w:r>
        <w:t>the</w:t>
      </w:r>
      <w:r>
        <w:rPr>
          <w:spacing w:val="-2"/>
        </w:rPr>
        <w:t xml:space="preserve"> </w:t>
      </w:r>
      <w:r>
        <w:t>F-35</w:t>
      </w:r>
      <w:r>
        <w:rPr>
          <w:spacing w:val="-1"/>
        </w:rPr>
        <w:t xml:space="preserve"> </w:t>
      </w:r>
      <w:r>
        <w:rPr>
          <w:spacing w:val="-2"/>
        </w:rPr>
        <w:t>Program</w:t>
      </w:r>
    </w:p>
    <w:p w14:paraId="7A5248A6" w14:textId="77777777" w:rsidR="00AE2255" w:rsidRDefault="00AE2255">
      <w:pPr>
        <w:pStyle w:val="BodyText"/>
        <w:spacing w:before="6"/>
        <w:rPr>
          <w:b/>
          <w:sz w:val="18"/>
        </w:rPr>
      </w:pPr>
    </w:p>
    <w:p w14:paraId="41BA0044" w14:textId="77777777" w:rsidR="00AE2255" w:rsidRDefault="00000000">
      <w:pPr>
        <w:pStyle w:val="BodyText"/>
        <w:spacing w:before="1" w:line="249" w:lineRule="auto"/>
        <w:ind w:left="610" w:right="427" w:firstLine="495"/>
        <w:jc w:val="both"/>
      </w:pPr>
      <w:r>
        <w:t>The F-35 program primarily consists of production contracts, sustainment activities, and new development efforts. Production of the aircraft is expected to continue for many years given the U.S. Government’s current inventory objective of 2,456 aircraft for the U.S. Air Force, U.S. Marine Corps, and U.S. Navy; commitments from our seven international partner countries and nine Foreign Military Sales (FMS) customers; as well as interest from other countries. We saw strong international demand for the F-35 in 2022. During the first quarter of 2022, Finland became the seventh FMS customer to join the program. During the second quarter of 2022, the Government of Canada selected Lockheed Martin and the F-35 as the preferred bidder to move into the Finalization Phase of the competitive process to replace its fighter fleet. As a result of the Finalization Phase, the Government of Canada recently announced in January 2023 their commitment to purchase 88 F-35 aircraft.</w:t>
      </w:r>
      <w:r>
        <w:rPr>
          <w:spacing w:val="-1"/>
        </w:rPr>
        <w:t xml:space="preserve"> </w:t>
      </w:r>
      <w:r>
        <w:t>During</w:t>
      </w:r>
      <w:r>
        <w:rPr>
          <w:spacing w:val="-1"/>
        </w:rPr>
        <w:t xml:space="preserve"> </w:t>
      </w:r>
      <w:r>
        <w:t>the</w:t>
      </w:r>
      <w:r>
        <w:rPr>
          <w:spacing w:val="-1"/>
        </w:rPr>
        <w:t xml:space="preserve"> </w:t>
      </w:r>
      <w:r>
        <w:t>third</w:t>
      </w:r>
      <w:r>
        <w:rPr>
          <w:spacing w:val="-1"/>
        </w:rPr>
        <w:t xml:space="preserve"> </w:t>
      </w:r>
      <w:r>
        <w:t>quarter</w:t>
      </w:r>
      <w:r>
        <w:rPr>
          <w:spacing w:val="-1"/>
        </w:rPr>
        <w:t xml:space="preserve"> </w:t>
      </w:r>
      <w:r>
        <w:t>of</w:t>
      </w:r>
      <w:r>
        <w:rPr>
          <w:spacing w:val="-1"/>
        </w:rPr>
        <w:t xml:space="preserve"> </w:t>
      </w:r>
      <w:r>
        <w:t>2022,</w:t>
      </w:r>
      <w:r>
        <w:rPr>
          <w:spacing w:val="-1"/>
        </w:rPr>
        <w:t xml:space="preserve"> </w:t>
      </w:r>
      <w:r>
        <w:t>the</w:t>
      </w:r>
      <w:r>
        <w:rPr>
          <w:spacing w:val="-1"/>
        </w:rPr>
        <w:t xml:space="preserve"> </w:t>
      </w:r>
      <w:r>
        <w:t>Swiss</w:t>
      </w:r>
      <w:r>
        <w:rPr>
          <w:spacing w:val="-1"/>
        </w:rPr>
        <w:t xml:space="preserve"> </w:t>
      </w:r>
      <w:r>
        <w:t>government</w:t>
      </w:r>
      <w:r>
        <w:rPr>
          <w:spacing w:val="-1"/>
        </w:rPr>
        <w:t xml:space="preserve"> </w:t>
      </w:r>
      <w:r>
        <w:t>signed</w:t>
      </w:r>
      <w:r>
        <w:rPr>
          <w:spacing w:val="-1"/>
        </w:rPr>
        <w:t xml:space="preserve"> </w:t>
      </w:r>
      <w:r>
        <w:t>a</w:t>
      </w:r>
      <w:r>
        <w:rPr>
          <w:spacing w:val="-1"/>
        </w:rPr>
        <w:t xml:space="preserve"> </w:t>
      </w:r>
      <w:r>
        <w:t>Letter</w:t>
      </w:r>
      <w:r>
        <w:rPr>
          <w:spacing w:val="-1"/>
        </w:rPr>
        <w:t xml:space="preserve"> </w:t>
      </w:r>
      <w:r>
        <w:t>of</w:t>
      </w:r>
      <w:r>
        <w:rPr>
          <w:spacing w:val="-1"/>
        </w:rPr>
        <w:t xml:space="preserve"> </w:t>
      </w:r>
      <w:r>
        <w:t>Offer</w:t>
      </w:r>
      <w:r>
        <w:rPr>
          <w:spacing w:val="-1"/>
        </w:rPr>
        <w:t xml:space="preserve"> </w:t>
      </w:r>
      <w:r>
        <w:t>and</w:t>
      </w:r>
      <w:r>
        <w:rPr>
          <w:spacing w:val="-1"/>
        </w:rPr>
        <w:t xml:space="preserve"> </w:t>
      </w:r>
      <w:r>
        <w:t>Acceptance</w:t>
      </w:r>
      <w:r>
        <w:rPr>
          <w:spacing w:val="-1"/>
        </w:rPr>
        <w:t xml:space="preserve"> </w:t>
      </w:r>
      <w:r>
        <w:t>for</w:t>
      </w:r>
      <w:r>
        <w:rPr>
          <w:spacing w:val="-1"/>
        </w:rPr>
        <w:t xml:space="preserve"> </w:t>
      </w:r>
      <w:r>
        <w:t>the</w:t>
      </w:r>
      <w:r>
        <w:rPr>
          <w:spacing w:val="-1"/>
        </w:rPr>
        <w:t xml:space="preserve"> </w:t>
      </w:r>
      <w:r>
        <w:t>procurement</w:t>
      </w:r>
      <w:r>
        <w:rPr>
          <w:spacing w:val="-1"/>
        </w:rPr>
        <w:t xml:space="preserve"> </w:t>
      </w:r>
      <w:r>
        <w:t>of 36 F-35 aircraft and became the eighth FMS customer to join the program. During the fourth quarter of 2022, the German government signed a Letter of Offer and Acceptance for the procurement of 35 F-35 aircraft and became the ninth FMS customer to join the program.</w:t>
      </w:r>
    </w:p>
    <w:p w14:paraId="17A90334" w14:textId="77777777" w:rsidR="00AE2255" w:rsidRDefault="00AE2255">
      <w:pPr>
        <w:pStyle w:val="BodyText"/>
        <w:spacing w:before="2"/>
        <w:rPr>
          <w:sz w:val="18"/>
        </w:rPr>
      </w:pPr>
    </w:p>
    <w:p w14:paraId="49EC94D7" w14:textId="77777777" w:rsidR="00AE2255" w:rsidRDefault="00000000">
      <w:pPr>
        <w:pStyle w:val="BodyText"/>
        <w:spacing w:line="249" w:lineRule="auto"/>
        <w:ind w:left="610" w:right="428" w:firstLine="495"/>
        <w:jc w:val="both"/>
      </w:pPr>
      <w:r>
        <w:t xml:space="preserve">During the fourth quarter of 2022, we finalized the F-35 </w:t>
      </w:r>
      <w:proofErr w:type="gramStart"/>
      <w:r>
        <w:t>Low Rate</w:t>
      </w:r>
      <w:proofErr w:type="gramEnd"/>
      <w:r>
        <w:t xml:space="preserve"> Initial Production (LRIP) Lots 15-17 production contract with the U.S. Government for up to 398 aircraft. The agreement includes 145 aircraft for Lot 15, 127 for Lot 16 and up to 126 for a Lot 17 contract option. In 2022 we delivered 141 aircraft and had a backlog of 345 production aircraft, including orders from our international partner countries and FMS customers. Since program inception we have delivered 894 production F-35 aircraft to U.S. and international customers, including 648 F-35A variants, 178 F-35B variants, and 68 F-35C variants, demonstrating the F-35 program’s continued progress and longevity.</w:t>
      </w:r>
    </w:p>
    <w:p w14:paraId="1416E9BB" w14:textId="77777777" w:rsidR="00AE2255" w:rsidRDefault="00AE2255">
      <w:pPr>
        <w:pStyle w:val="BodyText"/>
        <w:spacing w:before="10"/>
        <w:rPr>
          <w:sz w:val="17"/>
        </w:rPr>
      </w:pPr>
    </w:p>
    <w:p w14:paraId="4E115471" w14:textId="77777777" w:rsidR="00AE2255" w:rsidRDefault="00000000">
      <w:pPr>
        <w:pStyle w:val="BodyText"/>
        <w:spacing w:line="249" w:lineRule="auto"/>
        <w:ind w:left="610" w:right="428" w:firstLine="495"/>
        <w:jc w:val="both"/>
      </w:pPr>
      <w:r>
        <w:t>COVID-19 and other impacts experienced by the F-35 enterprise have continued to impact our near-term production plans. At the end of 2022, there was an issue with the Government Furnished Equipment (GFE) engine that resulted in a pause in</w:t>
      </w:r>
      <w:r>
        <w:rPr>
          <w:spacing w:val="-3"/>
        </w:rPr>
        <w:t xml:space="preserve"> </w:t>
      </w:r>
      <w:r>
        <w:t>flight</w:t>
      </w:r>
      <w:r>
        <w:rPr>
          <w:spacing w:val="-3"/>
        </w:rPr>
        <w:t xml:space="preserve"> </w:t>
      </w:r>
      <w:r>
        <w:t>operations</w:t>
      </w:r>
      <w:r>
        <w:rPr>
          <w:spacing w:val="-3"/>
        </w:rPr>
        <w:t xml:space="preserve"> </w:t>
      </w:r>
      <w:r>
        <w:t>and</w:t>
      </w:r>
      <w:r>
        <w:rPr>
          <w:spacing w:val="-3"/>
        </w:rPr>
        <w:t xml:space="preserve"> </w:t>
      </w:r>
      <w:r>
        <w:t>2022</w:t>
      </w:r>
      <w:r>
        <w:rPr>
          <w:spacing w:val="-3"/>
        </w:rPr>
        <w:t xml:space="preserve"> </w:t>
      </w:r>
      <w:r>
        <w:t>aircraft</w:t>
      </w:r>
      <w:r>
        <w:rPr>
          <w:spacing w:val="-3"/>
        </w:rPr>
        <w:t xml:space="preserve"> </w:t>
      </w:r>
      <w:r>
        <w:t>deliveries</w:t>
      </w:r>
      <w:r>
        <w:rPr>
          <w:spacing w:val="-3"/>
        </w:rPr>
        <w:t xml:space="preserve"> </w:t>
      </w:r>
      <w:r>
        <w:t>were</w:t>
      </w:r>
      <w:r>
        <w:rPr>
          <w:spacing w:val="-3"/>
        </w:rPr>
        <w:t xml:space="preserve"> </w:t>
      </w:r>
      <w:r>
        <w:t>impacted.</w:t>
      </w:r>
      <w:r>
        <w:rPr>
          <w:spacing w:val="-3"/>
        </w:rPr>
        <w:t xml:space="preserve"> </w:t>
      </w:r>
      <w:r>
        <w:t>The</w:t>
      </w:r>
      <w:r>
        <w:rPr>
          <w:spacing w:val="-3"/>
        </w:rPr>
        <w:t xml:space="preserve"> </w:t>
      </w:r>
      <w:r>
        <w:t>delivery</w:t>
      </w:r>
      <w:r>
        <w:rPr>
          <w:spacing w:val="-3"/>
        </w:rPr>
        <w:t xml:space="preserve"> </w:t>
      </w:r>
      <w:r>
        <w:t>pause</w:t>
      </w:r>
      <w:r>
        <w:rPr>
          <w:spacing w:val="-3"/>
        </w:rPr>
        <w:t xml:space="preserve"> </w:t>
      </w:r>
      <w:r>
        <w:t>continues</w:t>
      </w:r>
      <w:r>
        <w:rPr>
          <w:spacing w:val="-3"/>
        </w:rPr>
        <w:t xml:space="preserve"> </w:t>
      </w:r>
      <w:r>
        <w:t>as</w:t>
      </w:r>
      <w:r>
        <w:rPr>
          <w:spacing w:val="-3"/>
        </w:rPr>
        <w:t xml:space="preserve"> </w:t>
      </w:r>
      <w:r>
        <w:t>flight</w:t>
      </w:r>
      <w:r>
        <w:rPr>
          <w:spacing w:val="-3"/>
        </w:rPr>
        <w:t xml:space="preserve"> </w:t>
      </w:r>
      <w:r>
        <w:t>operations</w:t>
      </w:r>
      <w:r>
        <w:rPr>
          <w:spacing w:val="-3"/>
        </w:rPr>
        <w:t xml:space="preserve"> </w:t>
      </w:r>
      <w:r>
        <w:t>remain</w:t>
      </w:r>
      <w:r>
        <w:rPr>
          <w:spacing w:val="-3"/>
        </w:rPr>
        <w:t xml:space="preserve"> </w:t>
      </w:r>
      <w:r>
        <w:t>on</w:t>
      </w:r>
      <w:r>
        <w:rPr>
          <w:spacing w:val="-3"/>
        </w:rPr>
        <w:t xml:space="preserve"> </w:t>
      </w:r>
      <w:r>
        <w:t>hold and concurrently, GFE engine deliveries have been suspended. We will have greater clarity if changes to our 2023 aircraft delivery expectation are required once the pause in flight operations and the GFE engine delivery suspension have been resolved. As of January 2023, we plan on producing 147-153 aircraft in 2023 and 2024, and 2023 deliveries will be determined pending the resumption of engine deliveries and other factors. We anticipate annual deliveries of 156 aircraft in 2025 and for</w:t>
      </w:r>
      <w:r>
        <w:rPr>
          <w:spacing w:val="40"/>
        </w:rPr>
        <w:t xml:space="preserve"> </w:t>
      </w:r>
      <w:r>
        <w:t>the foreseeable future.</w:t>
      </w:r>
    </w:p>
    <w:p w14:paraId="09E16505" w14:textId="77777777" w:rsidR="00AE2255" w:rsidRDefault="00AE2255">
      <w:pPr>
        <w:pStyle w:val="BodyText"/>
        <w:spacing w:before="11"/>
        <w:rPr>
          <w:sz w:val="17"/>
        </w:rPr>
      </w:pPr>
    </w:p>
    <w:p w14:paraId="26ED2EDC" w14:textId="77777777" w:rsidR="00AE2255" w:rsidRDefault="00000000">
      <w:pPr>
        <w:pStyle w:val="BodyText"/>
        <w:spacing w:line="249" w:lineRule="auto"/>
        <w:ind w:left="610" w:right="428" w:firstLine="495"/>
        <w:jc w:val="both"/>
      </w:pPr>
      <w:r>
        <w:t>Given the size and complexity of the F-35 program, we anticipate that there will be continual reviews related to aircraft performance, program, and delivery schedule, cost, and requirements as part of the DoD, Congressional, and international countries’ oversight, and budgeting processes. Current program challenges include our and our suppliers’ performance (including COVID-19 performance-related challenges), software development, execution of future flight tests and findings resulting</w:t>
      </w:r>
      <w:r>
        <w:rPr>
          <w:spacing w:val="-2"/>
        </w:rPr>
        <w:t xml:space="preserve"> </w:t>
      </w:r>
      <w:r>
        <w:t>from</w:t>
      </w:r>
      <w:r>
        <w:rPr>
          <w:spacing w:val="-3"/>
        </w:rPr>
        <w:t xml:space="preserve"> </w:t>
      </w:r>
      <w:r>
        <w:t>testing</w:t>
      </w:r>
      <w:r>
        <w:rPr>
          <w:spacing w:val="-2"/>
        </w:rPr>
        <w:t xml:space="preserve"> </w:t>
      </w:r>
      <w:r>
        <w:t>and</w:t>
      </w:r>
      <w:r>
        <w:rPr>
          <w:spacing w:val="-2"/>
        </w:rPr>
        <w:t xml:space="preserve"> </w:t>
      </w:r>
      <w:r>
        <w:t>operating</w:t>
      </w:r>
      <w:r>
        <w:rPr>
          <w:spacing w:val="-2"/>
        </w:rPr>
        <w:t xml:space="preserve"> </w:t>
      </w:r>
      <w:r>
        <w:t>the</w:t>
      </w:r>
      <w:r>
        <w:rPr>
          <w:spacing w:val="-3"/>
        </w:rPr>
        <w:t xml:space="preserve"> </w:t>
      </w:r>
      <w:r>
        <w:t>aircraft,</w:t>
      </w:r>
      <w:r>
        <w:rPr>
          <w:spacing w:val="-2"/>
        </w:rPr>
        <w:t xml:space="preserve"> </w:t>
      </w:r>
      <w:r>
        <w:t>the</w:t>
      </w:r>
      <w:r>
        <w:rPr>
          <w:spacing w:val="-3"/>
        </w:rPr>
        <w:t xml:space="preserve"> </w:t>
      </w:r>
      <w:r>
        <w:t>level</w:t>
      </w:r>
      <w:r>
        <w:rPr>
          <w:spacing w:val="-3"/>
        </w:rPr>
        <w:t xml:space="preserve"> </w:t>
      </w:r>
      <w:r>
        <w:t>of</w:t>
      </w:r>
      <w:r>
        <w:rPr>
          <w:spacing w:val="-2"/>
        </w:rPr>
        <w:t xml:space="preserve"> </w:t>
      </w:r>
      <w:r>
        <w:t>cost</w:t>
      </w:r>
      <w:r>
        <w:rPr>
          <w:spacing w:val="-3"/>
        </w:rPr>
        <w:t xml:space="preserve"> </w:t>
      </w:r>
      <w:r>
        <w:t>associated</w:t>
      </w:r>
      <w:r>
        <w:rPr>
          <w:spacing w:val="-2"/>
        </w:rPr>
        <w:t xml:space="preserve"> </w:t>
      </w:r>
      <w:r>
        <w:t>with</w:t>
      </w:r>
      <w:r>
        <w:rPr>
          <w:spacing w:val="-2"/>
        </w:rPr>
        <w:t xml:space="preserve"> </w:t>
      </w:r>
      <w:r>
        <w:t>life</w:t>
      </w:r>
      <w:r>
        <w:rPr>
          <w:spacing w:val="-3"/>
        </w:rPr>
        <w:t xml:space="preserve"> </w:t>
      </w:r>
      <w:r>
        <w:t>cycle</w:t>
      </w:r>
      <w:r>
        <w:rPr>
          <w:spacing w:val="-3"/>
        </w:rPr>
        <w:t xml:space="preserve"> </w:t>
      </w:r>
      <w:r>
        <w:t>operations,</w:t>
      </w:r>
      <w:r>
        <w:rPr>
          <w:spacing w:val="-2"/>
        </w:rPr>
        <w:t xml:space="preserve"> </w:t>
      </w:r>
      <w:r>
        <w:t>sustainment</w:t>
      </w:r>
      <w:r>
        <w:rPr>
          <w:spacing w:val="-3"/>
        </w:rPr>
        <w:t xml:space="preserve"> </w:t>
      </w:r>
      <w:r>
        <w:t>and</w:t>
      </w:r>
      <w:r>
        <w:rPr>
          <w:spacing w:val="-2"/>
        </w:rPr>
        <w:t xml:space="preserve"> </w:t>
      </w:r>
      <w:r>
        <w:t>potential contractual obligations, inflation-related cost pressures, and the ability to improve affordability.</w:t>
      </w:r>
    </w:p>
    <w:p w14:paraId="742B70AE" w14:textId="77777777" w:rsidR="00AE2255" w:rsidRDefault="00AE2255">
      <w:pPr>
        <w:pStyle w:val="BodyText"/>
        <w:spacing w:before="6"/>
        <w:rPr>
          <w:sz w:val="17"/>
        </w:rPr>
      </w:pPr>
    </w:p>
    <w:p w14:paraId="418EBD58" w14:textId="77777777" w:rsidR="00AE2255" w:rsidRDefault="00000000">
      <w:pPr>
        <w:pStyle w:val="Heading2"/>
      </w:pPr>
      <w:r>
        <w:rPr>
          <w:spacing w:val="-2"/>
        </w:rPr>
        <w:t>Backlog</w:t>
      </w:r>
    </w:p>
    <w:p w14:paraId="1C02B5CF" w14:textId="77777777" w:rsidR="00AE2255" w:rsidRDefault="00AE2255">
      <w:pPr>
        <w:pStyle w:val="BodyText"/>
        <w:spacing w:before="6"/>
        <w:rPr>
          <w:b/>
          <w:sz w:val="18"/>
        </w:rPr>
      </w:pPr>
    </w:p>
    <w:p w14:paraId="2F057BB3" w14:textId="77777777" w:rsidR="00AE2255" w:rsidRDefault="00000000">
      <w:pPr>
        <w:pStyle w:val="BodyText"/>
        <w:spacing w:line="249" w:lineRule="auto"/>
        <w:ind w:left="610" w:right="428" w:firstLine="495"/>
        <w:jc w:val="both"/>
      </w:pPr>
      <w:proofErr w:type="gramStart"/>
      <w:r>
        <w:t>At</w:t>
      </w:r>
      <w:proofErr w:type="gramEnd"/>
      <w:r>
        <w:t xml:space="preserve"> December 31, 2022, our backlog was $150.0 billion compared with $135.4 billion at December 31, 2021. Backlog is converted into sales in future periods as work is performed or deliveries are made. We expect to recognize approximately 37%</w:t>
      </w:r>
    </w:p>
    <w:p w14:paraId="00675008" w14:textId="77777777" w:rsidR="00AE2255" w:rsidRDefault="00AE2255">
      <w:pPr>
        <w:spacing w:line="249" w:lineRule="auto"/>
        <w:jc w:val="both"/>
        <w:sectPr w:rsidR="00AE2255">
          <w:pgSz w:w="12240" w:h="15840"/>
          <w:pgMar w:top="440" w:right="560" w:bottom="720" w:left="380" w:header="230" w:footer="531" w:gutter="0"/>
          <w:cols w:space="720"/>
        </w:sectPr>
      </w:pPr>
    </w:p>
    <w:p w14:paraId="1675F9C2" w14:textId="77777777" w:rsidR="00AE2255" w:rsidRDefault="00AE2255">
      <w:pPr>
        <w:pStyle w:val="BodyText"/>
        <w:spacing w:before="10"/>
        <w:rPr>
          <w:sz w:val="22"/>
        </w:rPr>
      </w:pPr>
    </w:p>
    <w:p w14:paraId="46FB3975" w14:textId="77777777" w:rsidR="00AE2255" w:rsidRDefault="00000000">
      <w:pPr>
        <w:pStyle w:val="BodyText"/>
        <w:spacing w:before="92" w:line="249" w:lineRule="auto"/>
        <w:ind w:left="610"/>
      </w:pPr>
      <w:r>
        <w:t>of</w:t>
      </w:r>
      <w:r>
        <w:rPr>
          <w:spacing w:val="31"/>
        </w:rPr>
        <w:t xml:space="preserve"> </w:t>
      </w:r>
      <w:r>
        <w:t>our</w:t>
      </w:r>
      <w:r>
        <w:rPr>
          <w:spacing w:val="31"/>
        </w:rPr>
        <w:t xml:space="preserve"> </w:t>
      </w:r>
      <w:r>
        <w:t>backlog</w:t>
      </w:r>
      <w:r>
        <w:rPr>
          <w:spacing w:val="31"/>
        </w:rPr>
        <w:t xml:space="preserve"> </w:t>
      </w:r>
      <w:r>
        <w:t>over</w:t>
      </w:r>
      <w:r>
        <w:rPr>
          <w:spacing w:val="31"/>
        </w:rPr>
        <w:t xml:space="preserve"> </w:t>
      </w:r>
      <w:r>
        <w:t>the</w:t>
      </w:r>
      <w:r>
        <w:rPr>
          <w:spacing w:val="30"/>
        </w:rPr>
        <w:t xml:space="preserve"> </w:t>
      </w:r>
      <w:r>
        <w:t>next</w:t>
      </w:r>
      <w:r>
        <w:rPr>
          <w:spacing w:val="30"/>
        </w:rPr>
        <w:t xml:space="preserve"> </w:t>
      </w:r>
      <w:r>
        <w:t>12</w:t>
      </w:r>
      <w:r>
        <w:rPr>
          <w:spacing w:val="31"/>
        </w:rPr>
        <w:t xml:space="preserve"> </w:t>
      </w:r>
      <w:r>
        <w:t>months</w:t>
      </w:r>
      <w:r>
        <w:rPr>
          <w:spacing w:val="30"/>
        </w:rPr>
        <w:t xml:space="preserve"> </w:t>
      </w:r>
      <w:r>
        <w:t>and</w:t>
      </w:r>
      <w:r>
        <w:rPr>
          <w:spacing w:val="31"/>
        </w:rPr>
        <w:t xml:space="preserve"> </w:t>
      </w:r>
      <w:r>
        <w:t>approximately</w:t>
      </w:r>
      <w:r>
        <w:rPr>
          <w:spacing w:val="31"/>
        </w:rPr>
        <w:t xml:space="preserve"> </w:t>
      </w:r>
      <w:r>
        <w:t>61%</w:t>
      </w:r>
      <w:r>
        <w:rPr>
          <w:spacing w:val="31"/>
        </w:rPr>
        <w:t xml:space="preserve"> </w:t>
      </w:r>
      <w:r>
        <w:t>over</w:t>
      </w:r>
      <w:r>
        <w:rPr>
          <w:spacing w:val="31"/>
        </w:rPr>
        <w:t xml:space="preserve"> </w:t>
      </w:r>
      <w:r>
        <w:t>the</w:t>
      </w:r>
      <w:r>
        <w:rPr>
          <w:spacing w:val="30"/>
        </w:rPr>
        <w:t xml:space="preserve"> </w:t>
      </w:r>
      <w:r>
        <w:t>next</w:t>
      </w:r>
      <w:r>
        <w:rPr>
          <w:spacing w:val="30"/>
        </w:rPr>
        <w:t xml:space="preserve"> </w:t>
      </w:r>
      <w:r>
        <w:t>24</w:t>
      </w:r>
      <w:r>
        <w:rPr>
          <w:spacing w:val="31"/>
        </w:rPr>
        <w:t xml:space="preserve"> </w:t>
      </w:r>
      <w:r>
        <w:t>months</w:t>
      </w:r>
      <w:r>
        <w:rPr>
          <w:spacing w:val="30"/>
        </w:rPr>
        <w:t xml:space="preserve"> </w:t>
      </w:r>
      <w:r>
        <w:t>as</w:t>
      </w:r>
      <w:r>
        <w:rPr>
          <w:spacing w:val="30"/>
        </w:rPr>
        <w:t xml:space="preserve"> </w:t>
      </w:r>
      <w:r>
        <w:t>revenue,</w:t>
      </w:r>
      <w:r>
        <w:rPr>
          <w:spacing w:val="31"/>
        </w:rPr>
        <w:t xml:space="preserve"> </w:t>
      </w:r>
      <w:r>
        <w:t>with</w:t>
      </w:r>
      <w:r>
        <w:rPr>
          <w:spacing w:val="31"/>
        </w:rPr>
        <w:t xml:space="preserve"> </w:t>
      </w:r>
      <w:r>
        <w:t>the</w:t>
      </w:r>
      <w:r>
        <w:rPr>
          <w:spacing w:val="30"/>
        </w:rPr>
        <w:t xml:space="preserve"> </w:t>
      </w:r>
      <w:r>
        <w:t>remainder recognized thereafter.</w:t>
      </w:r>
    </w:p>
    <w:p w14:paraId="2ED80545" w14:textId="77777777" w:rsidR="00AE2255" w:rsidRDefault="00AE2255">
      <w:pPr>
        <w:pStyle w:val="BodyText"/>
        <w:spacing w:before="6"/>
        <w:rPr>
          <w:sz w:val="17"/>
        </w:rPr>
      </w:pPr>
    </w:p>
    <w:p w14:paraId="304EE3DC" w14:textId="77777777" w:rsidR="00AE2255" w:rsidRDefault="00000000">
      <w:pPr>
        <w:pStyle w:val="BodyText"/>
        <w:spacing w:line="249" w:lineRule="auto"/>
        <w:ind w:left="610" w:right="429" w:firstLine="495"/>
        <w:jc w:val="both"/>
      </w:pPr>
      <w:r>
        <w:t>Our backlog includes both funded (firm orders for our products and services for which funding has been both authorized and</w:t>
      </w:r>
      <w:r>
        <w:rPr>
          <w:spacing w:val="-1"/>
        </w:rPr>
        <w:t xml:space="preserve"> </w:t>
      </w:r>
      <w:r>
        <w:t>appropriated</w:t>
      </w:r>
      <w:r>
        <w:rPr>
          <w:spacing w:val="-1"/>
        </w:rPr>
        <w:t xml:space="preserve"> </w:t>
      </w:r>
      <w:r>
        <w:t>by</w:t>
      </w:r>
      <w:r>
        <w:rPr>
          <w:spacing w:val="-1"/>
        </w:rPr>
        <w:t xml:space="preserve"> </w:t>
      </w:r>
      <w:r>
        <w:t>the</w:t>
      </w:r>
      <w:r>
        <w:rPr>
          <w:spacing w:val="-1"/>
        </w:rPr>
        <w:t xml:space="preserve"> </w:t>
      </w:r>
      <w:r>
        <w:t>customer)</w:t>
      </w:r>
      <w:r>
        <w:rPr>
          <w:spacing w:val="-1"/>
        </w:rPr>
        <w:t xml:space="preserve"> </w:t>
      </w:r>
      <w:r>
        <w:t>and</w:t>
      </w:r>
      <w:r>
        <w:rPr>
          <w:spacing w:val="-1"/>
        </w:rPr>
        <w:t xml:space="preserve"> </w:t>
      </w:r>
      <w:r>
        <w:t>unfunded</w:t>
      </w:r>
      <w:r>
        <w:rPr>
          <w:spacing w:val="-1"/>
        </w:rPr>
        <w:t xml:space="preserve"> </w:t>
      </w:r>
      <w:r>
        <w:t>(firm</w:t>
      </w:r>
      <w:r>
        <w:rPr>
          <w:spacing w:val="-1"/>
        </w:rPr>
        <w:t xml:space="preserve"> </w:t>
      </w:r>
      <w:r>
        <w:t>orders</w:t>
      </w:r>
      <w:r>
        <w:rPr>
          <w:spacing w:val="-1"/>
        </w:rPr>
        <w:t xml:space="preserve"> </w:t>
      </w:r>
      <w:r>
        <w:t>for</w:t>
      </w:r>
      <w:r>
        <w:rPr>
          <w:spacing w:val="-1"/>
        </w:rPr>
        <w:t xml:space="preserve"> </w:t>
      </w:r>
      <w:r>
        <w:t>which</w:t>
      </w:r>
      <w:r>
        <w:rPr>
          <w:spacing w:val="-1"/>
        </w:rPr>
        <w:t xml:space="preserve"> </w:t>
      </w:r>
      <w:r>
        <w:t>funding</w:t>
      </w:r>
      <w:r>
        <w:rPr>
          <w:spacing w:val="-1"/>
        </w:rPr>
        <w:t xml:space="preserve"> </w:t>
      </w:r>
      <w:r>
        <w:t>has</w:t>
      </w:r>
      <w:r>
        <w:rPr>
          <w:spacing w:val="-1"/>
        </w:rPr>
        <w:t xml:space="preserve"> </w:t>
      </w:r>
      <w:r>
        <w:t>not</w:t>
      </w:r>
      <w:r>
        <w:rPr>
          <w:spacing w:val="-1"/>
        </w:rPr>
        <w:t xml:space="preserve"> </w:t>
      </w:r>
      <w:r>
        <w:t>been</w:t>
      </w:r>
      <w:r>
        <w:rPr>
          <w:spacing w:val="-1"/>
        </w:rPr>
        <w:t xml:space="preserve"> </w:t>
      </w:r>
      <w:r>
        <w:t>appropriated)</w:t>
      </w:r>
      <w:r>
        <w:rPr>
          <w:spacing w:val="-1"/>
        </w:rPr>
        <w:t xml:space="preserve"> </w:t>
      </w:r>
      <w:r>
        <w:t>amounts.</w:t>
      </w:r>
      <w:r>
        <w:rPr>
          <w:spacing w:val="-1"/>
        </w:rPr>
        <w:t xml:space="preserve"> </w:t>
      </w:r>
      <w:r>
        <w:t>We</w:t>
      </w:r>
      <w:r>
        <w:rPr>
          <w:spacing w:val="-1"/>
        </w:rPr>
        <w:t xml:space="preserve"> </w:t>
      </w:r>
      <w:r>
        <w:t>do</w:t>
      </w:r>
      <w:r>
        <w:rPr>
          <w:spacing w:val="-1"/>
        </w:rPr>
        <w:t xml:space="preserve"> </w:t>
      </w:r>
      <w:r>
        <w:t xml:space="preserve">not include unexercised options or potential orders under indefinite-delivery, indefinite-quantity (IDIQ) agreements in our backlog. If any of our contracts with firm orders were to be terminated, our backlog would be reduced by the expected value of the unfilled orders of such contracts. Funded backlog was $95.5 billion </w:t>
      </w:r>
      <w:proofErr w:type="gramStart"/>
      <w:r>
        <w:t>at</w:t>
      </w:r>
      <w:proofErr w:type="gramEnd"/>
      <w:r>
        <w:t xml:space="preserve"> December 31, 2022, as compared to $88.5 billion at December 31, 2021. For backlog related to each of our business segments, see below.</w:t>
      </w:r>
    </w:p>
    <w:p w14:paraId="5D8846D0" w14:textId="77777777" w:rsidR="00AE2255" w:rsidRDefault="00AE2255">
      <w:pPr>
        <w:pStyle w:val="BodyText"/>
        <w:rPr>
          <w:sz w:val="22"/>
        </w:rPr>
      </w:pPr>
    </w:p>
    <w:p w14:paraId="501175E0" w14:textId="77777777" w:rsidR="00AE2255" w:rsidRDefault="00000000">
      <w:pPr>
        <w:pStyle w:val="Heading3"/>
        <w:spacing w:before="189"/>
      </w:pPr>
      <w:bookmarkStart w:id="27" w:name="Consolidated_Results_of_Operations_"/>
      <w:bookmarkEnd w:id="27"/>
      <w:r>
        <w:t>Consolidated</w:t>
      </w:r>
      <w:r>
        <w:rPr>
          <w:spacing w:val="-5"/>
        </w:rPr>
        <w:t xml:space="preserve"> </w:t>
      </w:r>
      <w:r>
        <w:t>Results</w:t>
      </w:r>
      <w:r>
        <w:rPr>
          <w:spacing w:val="-5"/>
        </w:rPr>
        <w:t xml:space="preserve"> </w:t>
      </w:r>
      <w:r>
        <w:t>of</w:t>
      </w:r>
      <w:r>
        <w:rPr>
          <w:spacing w:val="-4"/>
        </w:rPr>
        <w:t xml:space="preserve"> </w:t>
      </w:r>
      <w:r>
        <w:rPr>
          <w:spacing w:val="-2"/>
        </w:rPr>
        <w:t>Operations</w:t>
      </w:r>
    </w:p>
    <w:p w14:paraId="48E3E3D2" w14:textId="77777777" w:rsidR="00AE2255" w:rsidRDefault="00AE2255">
      <w:pPr>
        <w:pStyle w:val="BodyText"/>
        <w:spacing w:before="6"/>
        <w:rPr>
          <w:b/>
          <w:i/>
          <w:sz w:val="18"/>
        </w:rPr>
      </w:pPr>
    </w:p>
    <w:p w14:paraId="69A7DA22" w14:textId="77777777" w:rsidR="00AE2255" w:rsidRDefault="00000000">
      <w:pPr>
        <w:pStyle w:val="BodyText"/>
        <w:spacing w:line="249" w:lineRule="auto"/>
        <w:ind w:left="610" w:right="428" w:firstLine="360"/>
        <w:jc w:val="both"/>
      </w:pPr>
      <w:r>
        <w:t>Our operating cycle is primarily long term and involves many types of contracts for the design, development and manufacture of products and related activities with varying delivery schedules. Consequently, the results of operations of a particular year, or year-to-year comparisons of sales and profits, may not be indicative of future operating results. The</w:t>
      </w:r>
      <w:r>
        <w:rPr>
          <w:spacing w:val="40"/>
        </w:rPr>
        <w:t xml:space="preserve"> </w:t>
      </w:r>
      <w:r>
        <w:t>following discussions of comparative results among years should be reviewed in this context. All per share amounts cited in these discussions are presented on a “per diluted share” basis, unless otherwise noted. Our consolidated results of operations were as follows (in millions, except per share data):</w:t>
      </w:r>
    </w:p>
    <w:p w14:paraId="67684B4D" w14:textId="77777777" w:rsidR="00AE2255" w:rsidRDefault="00AE2255">
      <w:pPr>
        <w:pStyle w:val="BodyText"/>
        <w:spacing w:before="6"/>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5890"/>
        <w:gridCol w:w="2251"/>
        <w:gridCol w:w="1080"/>
        <w:gridCol w:w="1024"/>
      </w:tblGrid>
      <w:tr w:rsidR="00AE2255" w14:paraId="3E2BDF88" w14:textId="77777777">
        <w:trPr>
          <w:trHeight w:val="241"/>
        </w:trPr>
        <w:tc>
          <w:tcPr>
            <w:tcW w:w="5890" w:type="dxa"/>
            <w:tcBorders>
              <w:bottom w:val="single" w:sz="8" w:space="0" w:color="auto"/>
            </w:tcBorders>
          </w:tcPr>
          <w:p w14:paraId="271DB9F7" w14:textId="77777777" w:rsidR="00AE2255" w:rsidRDefault="00AE2255">
            <w:pPr>
              <w:pStyle w:val="TableParagraph"/>
              <w:spacing w:before="0"/>
              <w:jc w:val="left"/>
              <w:rPr>
                <w:sz w:val="16"/>
              </w:rPr>
            </w:pPr>
          </w:p>
        </w:tc>
        <w:tc>
          <w:tcPr>
            <w:tcW w:w="2251" w:type="dxa"/>
            <w:tcBorders>
              <w:bottom w:val="single" w:sz="8" w:space="0" w:color="auto"/>
            </w:tcBorders>
          </w:tcPr>
          <w:p w14:paraId="3A740F46" w14:textId="77777777" w:rsidR="00AE2255" w:rsidRDefault="00000000">
            <w:pPr>
              <w:pStyle w:val="TableParagraph"/>
              <w:spacing w:before="0" w:line="221" w:lineRule="exact"/>
              <w:ind w:right="106"/>
              <w:rPr>
                <w:b/>
                <w:sz w:val="20"/>
              </w:rPr>
            </w:pPr>
            <w:r>
              <w:rPr>
                <w:b/>
                <w:spacing w:val="-4"/>
                <w:sz w:val="20"/>
              </w:rPr>
              <w:t>2022</w:t>
            </w:r>
          </w:p>
        </w:tc>
        <w:tc>
          <w:tcPr>
            <w:tcW w:w="1080" w:type="dxa"/>
            <w:tcBorders>
              <w:bottom w:val="single" w:sz="8" w:space="0" w:color="auto"/>
            </w:tcBorders>
          </w:tcPr>
          <w:p w14:paraId="117AC268" w14:textId="77777777" w:rsidR="00AE2255" w:rsidRDefault="00000000">
            <w:pPr>
              <w:pStyle w:val="TableParagraph"/>
              <w:spacing w:before="0" w:line="221" w:lineRule="exact"/>
              <w:ind w:right="106"/>
              <w:rPr>
                <w:b/>
                <w:sz w:val="20"/>
              </w:rPr>
            </w:pPr>
            <w:r>
              <w:rPr>
                <w:b/>
                <w:spacing w:val="-4"/>
                <w:sz w:val="20"/>
              </w:rPr>
              <w:t>2021</w:t>
            </w:r>
          </w:p>
        </w:tc>
        <w:tc>
          <w:tcPr>
            <w:tcW w:w="1024" w:type="dxa"/>
            <w:tcBorders>
              <w:bottom w:val="single" w:sz="8" w:space="0" w:color="auto"/>
            </w:tcBorders>
          </w:tcPr>
          <w:p w14:paraId="2D80B852" w14:textId="77777777" w:rsidR="00AE2255" w:rsidRDefault="00000000">
            <w:pPr>
              <w:pStyle w:val="TableParagraph"/>
              <w:spacing w:before="0" w:line="221" w:lineRule="exact"/>
              <w:ind w:right="50"/>
              <w:rPr>
                <w:b/>
                <w:sz w:val="20"/>
              </w:rPr>
            </w:pPr>
            <w:r>
              <w:rPr>
                <w:b/>
                <w:spacing w:val="-4"/>
                <w:sz w:val="20"/>
              </w:rPr>
              <w:t>2020</w:t>
            </w:r>
          </w:p>
        </w:tc>
      </w:tr>
      <w:tr w:rsidR="00AE2255" w14:paraId="13830304" w14:textId="77777777">
        <w:trPr>
          <w:trHeight w:val="275"/>
        </w:trPr>
        <w:tc>
          <w:tcPr>
            <w:tcW w:w="5890" w:type="dxa"/>
            <w:tcBorders>
              <w:top w:val="single" w:sz="8" w:space="0" w:color="CCEDFF"/>
            </w:tcBorders>
            <w:shd w:val="clear" w:color="auto" w:fill="CCEDFF"/>
          </w:tcPr>
          <w:p w14:paraId="342B31A9"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sales</w:t>
            </w:r>
          </w:p>
        </w:tc>
        <w:tc>
          <w:tcPr>
            <w:tcW w:w="2251" w:type="dxa"/>
            <w:tcBorders>
              <w:top w:val="single" w:sz="8" w:space="0" w:color="CCEDFF"/>
            </w:tcBorders>
            <w:shd w:val="clear" w:color="auto" w:fill="CCEDFF"/>
          </w:tcPr>
          <w:p w14:paraId="781CDE48" w14:textId="77777777" w:rsidR="00AE2255" w:rsidRDefault="00000000">
            <w:pPr>
              <w:pStyle w:val="TableParagraph"/>
              <w:tabs>
                <w:tab w:val="left" w:pos="320"/>
              </w:tabs>
              <w:spacing w:before="15"/>
              <w:ind w:right="135"/>
              <w:rPr>
                <w:b/>
                <w:sz w:val="20"/>
              </w:rPr>
            </w:pPr>
            <w:r>
              <w:rPr>
                <w:b/>
                <w:spacing w:val="-10"/>
                <w:sz w:val="20"/>
              </w:rPr>
              <w:t>$</w:t>
            </w:r>
            <w:r>
              <w:rPr>
                <w:b/>
                <w:sz w:val="20"/>
              </w:rPr>
              <w:tab/>
            </w:r>
            <w:r>
              <w:rPr>
                <w:b/>
                <w:spacing w:val="-2"/>
                <w:sz w:val="20"/>
              </w:rPr>
              <w:t>65,984</w:t>
            </w:r>
          </w:p>
        </w:tc>
        <w:tc>
          <w:tcPr>
            <w:tcW w:w="1080" w:type="dxa"/>
            <w:tcBorders>
              <w:top w:val="single" w:sz="8" w:space="0" w:color="CCEDFF"/>
            </w:tcBorders>
            <w:shd w:val="clear" w:color="auto" w:fill="CCEDFF"/>
          </w:tcPr>
          <w:p w14:paraId="068871B6" w14:textId="77777777" w:rsidR="00AE2255" w:rsidRDefault="00000000">
            <w:pPr>
              <w:pStyle w:val="TableParagraph"/>
              <w:tabs>
                <w:tab w:val="left" w:pos="320"/>
              </w:tabs>
              <w:spacing w:before="15"/>
              <w:ind w:right="135"/>
              <w:rPr>
                <w:sz w:val="20"/>
              </w:rPr>
            </w:pPr>
            <w:r>
              <w:rPr>
                <w:spacing w:val="-10"/>
                <w:sz w:val="20"/>
              </w:rPr>
              <w:t>$</w:t>
            </w:r>
            <w:r>
              <w:rPr>
                <w:sz w:val="20"/>
              </w:rPr>
              <w:tab/>
            </w:r>
            <w:r>
              <w:rPr>
                <w:spacing w:val="-2"/>
                <w:sz w:val="20"/>
              </w:rPr>
              <w:t>67,044</w:t>
            </w:r>
          </w:p>
        </w:tc>
        <w:tc>
          <w:tcPr>
            <w:tcW w:w="1024" w:type="dxa"/>
            <w:tcBorders>
              <w:top w:val="single" w:sz="8" w:space="0" w:color="CCEDFF"/>
            </w:tcBorders>
            <w:shd w:val="clear" w:color="auto" w:fill="CCEDFF"/>
          </w:tcPr>
          <w:p w14:paraId="3B7F08D7" w14:textId="77777777" w:rsidR="00AE2255" w:rsidRDefault="00000000">
            <w:pPr>
              <w:pStyle w:val="TableParagraph"/>
              <w:tabs>
                <w:tab w:val="left" w:pos="392"/>
              </w:tabs>
              <w:spacing w:before="15"/>
              <w:ind w:left="71"/>
              <w:jc w:val="left"/>
              <w:rPr>
                <w:sz w:val="20"/>
              </w:rPr>
            </w:pPr>
            <w:r>
              <w:rPr>
                <w:spacing w:val="-10"/>
                <w:sz w:val="20"/>
              </w:rPr>
              <w:t>$</w:t>
            </w:r>
            <w:r>
              <w:rPr>
                <w:sz w:val="20"/>
              </w:rPr>
              <w:tab/>
            </w:r>
            <w:r>
              <w:rPr>
                <w:spacing w:val="-2"/>
                <w:sz w:val="20"/>
              </w:rPr>
              <w:t>65,398</w:t>
            </w:r>
          </w:p>
        </w:tc>
      </w:tr>
      <w:tr w:rsidR="00AE2255" w14:paraId="29FCB1BA" w14:textId="77777777">
        <w:trPr>
          <w:trHeight w:val="275"/>
        </w:trPr>
        <w:tc>
          <w:tcPr>
            <w:tcW w:w="5890" w:type="dxa"/>
            <w:tcBorders>
              <w:bottom w:val="single" w:sz="8" w:space="0" w:color="auto"/>
            </w:tcBorders>
          </w:tcPr>
          <w:p w14:paraId="24175AF1" w14:textId="77777777" w:rsidR="00AE2255" w:rsidRDefault="00000000">
            <w:pPr>
              <w:pStyle w:val="TableParagraph"/>
              <w:spacing w:before="27" w:line="228" w:lineRule="exact"/>
              <w:ind w:left="52"/>
              <w:jc w:val="left"/>
              <w:rPr>
                <w:sz w:val="20"/>
              </w:rPr>
            </w:pPr>
            <w:r>
              <w:rPr>
                <w:sz w:val="20"/>
              </w:rPr>
              <w:t>Cost</w:t>
            </w:r>
            <w:r>
              <w:rPr>
                <w:spacing w:val="-2"/>
                <w:sz w:val="20"/>
              </w:rPr>
              <w:t xml:space="preserve"> </w:t>
            </w:r>
            <w:r>
              <w:rPr>
                <w:sz w:val="20"/>
              </w:rPr>
              <w:t>of</w:t>
            </w:r>
            <w:r>
              <w:rPr>
                <w:spacing w:val="-1"/>
                <w:sz w:val="20"/>
              </w:rPr>
              <w:t xml:space="preserve"> </w:t>
            </w:r>
            <w:r>
              <w:rPr>
                <w:spacing w:val="-2"/>
                <w:sz w:val="20"/>
              </w:rPr>
              <w:t>sales</w:t>
            </w:r>
          </w:p>
        </w:tc>
        <w:tc>
          <w:tcPr>
            <w:tcW w:w="2251" w:type="dxa"/>
            <w:tcBorders>
              <w:bottom w:val="single" w:sz="8" w:space="0" w:color="auto"/>
            </w:tcBorders>
          </w:tcPr>
          <w:p w14:paraId="2F0882A7" w14:textId="77777777" w:rsidR="00AE2255" w:rsidRDefault="00000000">
            <w:pPr>
              <w:pStyle w:val="TableParagraph"/>
              <w:spacing w:line="230" w:lineRule="exact"/>
              <w:ind w:right="70"/>
              <w:rPr>
                <w:b/>
                <w:sz w:val="20"/>
              </w:rPr>
            </w:pPr>
            <w:r>
              <w:rPr>
                <w:b/>
                <w:spacing w:val="-2"/>
                <w:sz w:val="20"/>
              </w:rPr>
              <w:t>(57,697)</w:t>
            </w:r>
          </w:p>
        </w:tc>
        <w:tc>
          <w:tcPr>
            <w:tcW w:w="1080" w:type="dxa"/>
            <w:tcBorders>
              <w:bottom w:val="single" w:sz="8" w:space="0" w:color="auto"/>
            </w:tcBorders>
          </w:tcPr>
          <w:p w14:paraId="748915DC" w14:textId="77777777" w:rsidR="00AE2255" w:rsidRDefault="00000000">
            <w:pPr>
              <w:pStyle w:val="TableParagraph"/>
              <w:spacing w:line="230" w:lineRule="exact"/>
              <w:ind w:right="70"/>
              <w:rPr>
                <w:sz w:val="20"/>
              </w:rPr>
            </w:pPr>
            <w:r>
              <w:rPr>
                <w:spacing w:val="-2"/>
                <w:sz w:val="20"/>
              </w:rPr>
              <w:t>(57,983)</w:t>
            </w:r>
          </w:p>
        </w:tc>
        <w:tc>
          <w:tcPr>
            <w:tcW w:w="1024" w:type="dxa"/>
            <w:tcBorders>
              <w:bottom w:val="single" w:sz="8" w:space="0" w:color="auto"/>
            </w:tcBorders>
          </w:tcPr>
          <w:p w14:paraId="4A1886EB" w14:textId="77777777" w:rsidR="00AE2255" w:rsidRDefault="00000000">
            <w:pPr>
              <w:pStyle w:val="TableParagraph"/>
              <w:spacing w:line="230" w:lineRule="exact"/>
              <w:ind w:right="14"/>
              <w:rPr>
                <w:sz w:val="20"/>
              </w:rPr>
            </w:pPr>
            <w:r>
              <w:rPr>
                <w:spacing w:val="-2"/>
                <w:sz w:val="20"/>
              </w:rPr>
              <w:t>(56,744)</w:t>
            </w:r>
          </w:p>
        </w:tc>
      </w:tr>
      <w:tr w:rsidR="00AE2255" w14:paraId="1D9196EA" w14:textId="77777777">
        <w:trPr>
          <w:trHeight w:val="275"/>
        </w:trPr>
        <w:tc>
          <w:tcPr>
            <w:tcW w:w="5890" w:type="dxa"/>
            <w:tcBorders>
              <w:top w:val="single" w:sz="8" w:space="0" w:color="CCEDFF"/>
            </w:tcBorders>
            <w:shd w:val="clear" w:color="auto" w:fill="CCEDFF"/>
          </w:tcPr>
          <w:p w14:paraId="5E3AE391" w14:textId="77777777" w:rsidR="00AE2255" w:rsidRDefault="00000000">
            <w:pPr>
              <w:pStyle w:val="TableParagraph"/>
              <w:spacing w:before="17"/>
              <w:ind w:left="52"/>
              <w:jc w:val="left"/>
              <w:rPr>
                <w:sz w:val="20"/>
              </w:rPr>
            </w:pPr>
            <w:r>
              <w:rPr>
                <w:sz w:val="20"/>
              </w:rPr>
              <w:t>Gross</w:t>
            </w:r>
            <w:r>
              <w:rPr>
                <w:spacing w:val="-3"/>
                <w:sz w:val="20"/>
              </w:rPr>
              <w:t xml:space="preserve"> </w:t>
            </w:r>
            <w:r>
              <w:rPr>
                <w:spacing w:val="-2"/>
                <w:sz w:val="20"/>
              </w:rPr>
              <w:t>profit</w:t>
            </w:r>
          </w:p>
        </w:tc>
        <w:tc>
          <w:tcPr>
            <w:tcW w:w="2251" w:type="dxa"/>
            <w:tcBorders>
              <w:top w:val="single" w:sz="8" w:space="0" w:color="CCEDFF"/>
            </w:tcBorders>
            <w:shd w:val="clear" w:color="auto" w:fill="CCEDFF"/>
          </w:tcPr>
          <w:p w14:paraId="143917F5" w14:textId="77777777" w:rsidR="00AE2255" w:rsidRDefault="00000000">
            <w:pPr>
              <w:pStyle w:val="TableParagraph"/>
              <w:spacing w:before="15"/>
              <w:ind w:right="135"/>
              <w:rPr>
                <w:b/>
                <w:sz w:val="20"/>
              </w:rPr>
            </w:pPr>
            <w:r>
              <w:rPr>
                <w:b/>
                <w:spacing w:val="-2"/>
                <w:sz w:val="20"/>
              </w:rPr>
              <w:t>8,287</w:t>
            </w:r>
          </w:p>
        </w:tc>
        <w:tc>
          <w:tcPr>
            <w:tcW w:w="1080" w:type="dxa"/>
            <w:tcBorders>
              <w:top w:val="single" w:sz="8" w:space="0" w:color="CCEDFF"/>
            </w:tcBorders>
            <w:shd w:val="clear" w:color="auto" w:fill="CCEDFF"/>
          </w:tcPr>
          <w:p w14:paraId="6D58C328" w14:textId="77777777" w:rsidR="00AE2255" w:rsidRDefault="00000000">
            <w:pPr>
              <w:pStyle w:val="TableParagraph"/>
              <w:spacing w:before="15"/>
              <w:ind w:right="135"/>
              <w:rPr>
                <w:sz w:val="20"/>
              </w:rPr>
            </w:pPr>
            <w:r>
              <w:rPr>
                <w:spacing w:val="-2"/>
                <w:sz w:val="20"/>
              </w:rPr>
              <w:t>9,061</w:t>
            </w:r>
          </w:p>
        </w:tc>
        <w:tc>
          <w:tcPr>
            <w:tcW w:w="1024" w:type="dxa"/>
            <w:tcBorders>
              <w:top w:val="single" w:sz="8" w:space="0" w:color="CCEDFF"/>
            </w:tcBorders>
            <w:shd w:val="clear" w:color="auto" w:fill="CCEDFF"/>
          </w:tcPr>
          <w:p w14:paraId="0143B55E" w14:textId="77777777" w:rsidR="00AE2255" w:rsidRDefault="00000000">
            <w:pPr>
              <w:pStyle w:val="TableParagraph"/>
              <w:spacing w:before="15"/>
              <w:ind w:right="79"/>
              <w:rPr>
                <w:sz w:val="20"/>
              </w:rPr>
            </w:pPr>
            <w:r>
              <w:rPr>
                <w:spacing w:val="-2"/>
                <w:sz w:val="20"/>
              </w:rPr>
              <w:t>8,654</w:t>
            </w:r>
          </w:p>
        </w:tc>
      </w:tr>
      <w:tr w:rsidR="00AE2255" w14:paraId="38D55DBF" w14:textId="77777777">
        <w:trPr>
          <w:trHeight w:val="275"/>
        </w:trPr>
        <w:tc>
          <w:tcPr>
            <w:tcW w:w="5890" w:type="dxa"/>
            <w:tcBorders>
              <w:bottom w:val="single" w:sz="8" w:space="0" w:color="auto"/>
            </w:tcBorders>
          </w:tcPr>
          <w:p w14:paraId="75575896" w14:textId="77777777" w:rsidR="00AE2255" w:rsidRDefault="00000000">
            <w:pPr>
              <w:pStyle w:val="TableParagraph"/>
              <w:spacing w:before="27" w:line="228" w:lineRule="exact"/>
              <w:ind w:left="52"/>
              <w:jc w:val="left"/>
              <w:rPr>
                <w:sz w:val="20"/>
              </w:rPr>
            </w:pPr>
            <w:r>
              <w:rPr>
                <w:sz w:val="20"/>
              </w:rPr>
              <w:t>Other</w:t>
            </w:r>
            <w:r>
              <w:rPr>
                <w:spacing w:val="-4"/>
                <w:sz w:val="20"/>
              </w:rPr>
              <w:t xml:space="preserve"> </w:t>
            </w:r>
            <w:r>
              <w:rPr>
                <w:sz w:val="20"/>
              </w:rPr>
              <w:t>income</w:t>
            </w:r>
            <w:r>
              <w:rPr>
                <w:spacing w:val="-4"/>
                <w:sz w:val="20"/>
              </w:rPr>
              <w:t xml:space="preserve"> </w:t>
            </w:r>
            <w:r>
              <w:rPr>
                <w:sz w:val="20"/>
              </w:rPr>
              <w:t>(expense),</w:t>
            </w:r>
            <w:r>
              <w:rPr>
                <w:spacing w:val="-3"/>
                <w:sz w:val="20"/>
              </w:rPr>
              <w:t xml:space="preserve"> </w:t>
            </w:r>
            <w:r>
              <w:rPr>
                <w:spacing w:val="-5"/>
                <w:sz w:val="20"/>
              </w:rPr>
              <w:t>net</w:t>
            </w:r>
          </w:p>
        </w:tc>
        <w:tc>
          <w:tcPr>
            <w:tcW w:w="2251" w:type="dxa"/>
            <w:tcBorders>
              <w:bottom w:val="single" w:sz="8" w:space="0" w:color="auto"/>
            </w:tcBorders>
          </w:tcPr>
          <w:p w14:paraId="32EE6612" w14:textId="77777777" w:rsidR="00AE2255" w:rsidRDefault="00000000">
            <w:pPr>
              <w:pStyle w:val="TableParagraph"/>
              <w:spacing w:line="230" w:lineRule="exact"/>
              <w:ind w:right="135"/>
              <w:rPr>
                <w:b/>
                <w:sz w:val="20"/>
              </w:rPr>
            </w:pPr>
            <w:r>
              <w:rPr>
                <w:b/>
                <w:spacing w:val="-5"/>
                <w:sz w:val="20"/>
              </w:rPr>
              <w:t>61</w:t>
            </w:r>
          </w:p>
        </w:tc>
        <w:tc>
          <w:tcPr>
            <w:tcW w:w="1080" w:type="dxa"/>
            <w:tcBorders>
              <w:bottom w:val="single" w:sz="8" w:space="0" w:color="auto"/>
            </w:tcBorders>
          </w:tcPr>
          <w:p w14:paraId="7ECE8E3C" w14:textId="77777777" w:rsidR="00AE2255" w:rsidRDefault="00000000">
            <w:pPr>
              <w:pStyle w:val="TableParagraph"/>
              <w:spacing w:line="230" w:lineRule="exact"/>
              <w:ind w:right="135"/>
              <w:rPr>
                <w:sz w:val="20"/>
              </w:rPr>
            </w:pPr>
            <w:r>
              <w:rPr>
                <w:spacing w:val="-5"/>
                <w:sz w:val="20"/>
              </w:rPr>
              <w:t>62</w:t>
            </w:r>
          </w:p>
        </w:tc>
        <w:tc>
          <w:tcPr>
            <w:tcW w:w="1024" w:type="dxa"/>
            <w:tcBorders>
              <w:bottom w:val="single" w:sz="8" w:space="0" w:color="auto"/>
            </w:tcBorders>
          </w:tcPr>
          <w:p w14:paraId="5533A1DC" w14:textId="77777777" w:rsidR="00AE2255" w:rsidRDefault="00000000">
            <w:pPr>
              <w:pStyle w:val="TableParagraph"/>
              <w:spacing w:line="230" w:lineRule="exact"/>
              <w:ind w:right="14"/>
              <w:rPr>
                <w:sz w:val="20"/>
              </w:rPr>
            </w:pPr>
            <w:r>
              <w:rPr>
                <w:spacing w:val="-4"/>
                <w:sz w:val="20"/>
              </w:rPr>
              <w:t>(10)</w:t>
            </w:r>
          </w:p>
        </w:tc>
      </w:tr>
      <w:tr w:rsidR="00AE2255" w14:paraId="2A61C2B6" w14:textId="77777777">
        <w:trPr>
          <w:trHeight w:val="275"/>
        </w:trPr>
        <w:tc>
          <w:tcPr>
            <w:tcW w:w="5890" w:type="dxa"/>
            <w:tcBorders>
              <w:top w:val="single" w:sz="8" w:space="0" w:color="CCEDFF"/>
            </w:tcBorders>
            <w:shd w:val="clear" w:color="auto" w:fill="CCEDFF"/>
          </w:tcPr>
          <w:p w14:paraId="6C7A46A5" w14:textId="77777777" w:rsidR="00AE2255" w:rsidRDefault="00000000">
            <w:pPr>
              <w:pStyle w:val="TableParagraph"/>
              <w:spacing w:before="15"/>
              <w:ind w:left="52"/>
              <w:jc w:val="left"/>
              <w:rPr>
                <w:sz w:val="20"/>
              </w:rPr>
            </w:pPr>
            <w:r>
              <w:rPr>
                <w:sz w:val="20"/>
              </w:rPr>
              <w:t>Operating</w:t>
            </w:r>
            <w:r>
              <w:rPr>
                <w:spacing w:val="-5"/>
                <w:sz w:val="20"/>
              </w:rPr>
              <w:t xml:space="preserve"> </w:t>
            </w:r>
            <w:r>
              <w:rPr>
                <w:spacing w:val="-2"/>
                <w:sz w:val="20"/>
              </w:rPr>
              <w:t>profit</w:t>
            </w:r>
          </w:p>
        </w:tc>
        <w:tc>
          <w:tcPr>
            <w:tcW w:w="2251" w:type="dxa"/>
            <w:tcBorders>
              <w:top w:val="single" w:sz="8" w:space="0" w:color="CCEDFF"/>
            </w:tcBorders>
            <w:shd w:val="clear" w:color="auto" w:fill="CCEDFF"/>
          </w:tcPr>
          <w:p w14:paraId="29F5151D" w14:textId="77777777" w:rsidR="00AE2255" w:rsidRDefault="00000000">
            <w:pPr>
              <w:pStyle w:val="TableParagraph"/>
              <w:spacing w:before="15"/>
              <w:ind w:right="135"/>
              <w:rPr>
                <w:b/>
                <w:sz w:val="20"/>
              </w:rPr>
            </w:pPr>
            <w:r>
              <w:rPr>
                <w:b/>
                <w:spacing w:val="-2"/>
                <w:sz w:val="20"/>
              </w:rPr>
              <w:t>8,348</w:t>
            </w:r>
          </w:p>
        </w:tc>
        <w:tc>
          <w:tcPr>
            <w:tcW w:w="1080" w:type="dxa"/>
            <w:tcBorders>
              <w:top w:val="single" w:sz="8" w:space="0" w:color="CCEDFF"/>
            </w:tcBorders>
            <w:shd w:val="clear" w:color="auto" w:fill="CCEDFF"/>
          </w:tcPr>
          <w:p w14:paraId="3A37C60A" w14:textId="77777777" w:rsidR="00AE2255" w:rsidRDefault="00000000">
            <w:pPr>
              <w:pStyle w:val="TableParagraph"/>
              <w:spacing w:before="15"/>
              <w:ind w:right="135"/>
              <w:rPr>
                <w:sz w:val="20"/>
              </w:rPr>
            </w:pPr>
            <w:r>
              <w:rPr>
                <w:spacing w:val="-2"/>
                <w:sz w:val="20"/>
              </w:rPr>
              <w:t>9,123</w:t>
            </w:r>
          </w:p>
        </w:tc>
        <w:tc>
          <w:tcPr>
            <w:tcW w:w="1024" w:type="dxa"/>
            <w:tcBorders>
              <w:top w:val="single" w:sz="8" w:space="0" w:color="CCEDFF"/>
            </w:tcBorders>
            <w:shd w:val="clear" w:color="auto" w:fill="CCEDFF"/>
          </w:tcPr>
          <w:p w14:paraId="08B53292" w14:textId="77777777" w:rsidR="00AE2255" w:rsidRDefault="00000000">
            <w:pPr>
              <w:pStyle w:val="TableParagraph"/>
              <w:spacing w:before="15"/>
              <w:ind w:right="79"/>
              <w:rPr>
                <w:sz w:val="20"/>
              </w:rPr>
            </w:pPr>
            <w:r>
              <w:rPr>
                <w:spacing w:val="-2"/>
                <w:sz w:val="20"/>
              </w:rPr>
              <w:t>8,644</w:t>
            </w:r>
          </w:p>
        </w:tc>
      </w:tr>
      <w:tr w:rsidR="00AE2255" w14:paraId="39D8E80B" w14:textId="77777777">
        <w:trPr>
          <w:trHeight w:val="285"/>
        </w:trPr>
        <w:tc>
          <w:tcPr>
            <w:tcW w:w="5890" w:type="dxa"/>
          </w:tcPr>
          <w:p w14:paraId="03779863" w14:textId="77777777" w:rsidR="00AE2255" w:rsidRDefault="00000000">
            <w:pPr>
              <w:pStyle w:val="TableParagraph"/>
              <w:spacing w:before="27"/>
              <w:ind w:left="52"/>
              <w:jc w:val="left"/>
              <w:rPr>
                <w:sz w:val="20"/>
              </w:rPr>
            </w:pPr>
            <w:r>
              <w:rPr>
                <w:sz w:val="20"/>
              </w:rPr>
              <w:t>Interest</w:t>
            </w:r>
            <w:r>
              <w:rPr>
                <w:spacing w:val="-5"/>
                <w:sz w:val="20"/>
              </w:rPr>
              <w:t xml:space="preserve"> </w:t>
            </w:r>
            <w:r>
              <w:rPr>
                <w:spacing w:val="-2"/>
                <w:sz w:val="20"/>
              </w:rPr>
              <w:t>expense</w:t>
            </w:r>
          </w:p>
        </w:tc>
        <w:tc>
          <w:tcPr>
            <w:tcW w:w="2251" w:type="dxa"/>
          </w:tcPr>
          <w:p w14:paraId="1E1DC065" w14:textId="77777777" w:rsidR="00AE2255" w:rsidRDefault="00000000">
            <w:pPr>
              <w:pStyle w:val="TableParagraph"/>
              <w:ind w:right="70"/>
              <w:rPr>
                <w:b/>
                <w:sz w:val="20"/>
              </w:rPr>
            </w:pPr>
            <w:r>
              <w:rPr>
                <w:b/>
                <w:spacing w:val="-2"/>
                <w:sz w:val="20"/>
              </w:rPr>
              <w:t>(623)</w:t>
            </w:r>
          </w:p>
        </w:tc>
        <w:tc>
          <w:tcPr>
            <w:tcW w:w="1080" w:type="dxa"/>
          </w:tcPr>
          <w:p w14:paraId="766A9F88" w14:textId="77777777" w:rsidR="00AE2255" w:rsidRDefault="00000000">
            <w:pPr>
              <w:pStyle w:val="TableParagraph"/>
              <w:ind w:right="70"/>
              <w:rPr>
                <w:sz w:val="20"/>
              </w:rPr>
            </w:pPr>
            <w:r>
              <w:rPr>
                <w:spacing w:val="-2"/>
                <w:sz w:val="20"/>
              </w:rPr>
              <w:t>(569)</w:t>
            </w:r>
          </w:p>
        </w:tc>
        <w:tc>
          <w:tcPr>
            <w:tcW w:w="1024" w:type="dxa"/>
          </w:tcPr>
          <w:p w14:paraId="73771120" w14:textId="77777777" w:rsidR="00AE2255" w:rsidRDefault="00000000">
            <w:pPr>
              <w:pStyle w:val="TableParagraph"/>
              <w:ind w:right="14"/>
              <w:rPr>
                <w:sz w:val="20"/>
              </w:rPr>
            </w:pPr>
            <w:r>
              <w:rPr>
                <w:spacing w:val="-2"/>
                <w:sz w:val="20"/>
              </w:rPr>
              <w:t>(591)</w:t>
            </w:r>
          </w:p>
        </w:tc>
      </w:tr>
      <w:tr w:rsidR="00AE2255" w14:paraId="63344D98" w14:textId="77777777">
        <w:trPr>
          <w:trHeight w:val="285"/>
        </w:trPr>
        <w:tc>
          <w:tcPr>
            <w:tcW w:w="5890" w:type="dxa"/>
            <w:shd w:val="clear" w:color="auto" w:fill="CCEDFF"/>
          </w:tcPr>
          <w:p w14:paraId="514ACBBB" w14:textId="77777777" w:rsidR="00AE2255" w:rsidRDefault="00000000">
            <w:pPr>
              <w:pStyle w:val="TableParagraph"/>
              <w:ind w:left="52"/>
              <w:jc w:val="left"/>
              <w:rPr>
                <w:sz w:val="20"/>
              </w:rPr>
            </w:pPr>
            <w:r>
              <w:rPr>
                <w:sz w:val="20"/>
              </w:rPr>
              <w:t>Non-service</w:t>
            </w:r>
            <w:r>
              <w:rPr>
                <w:spacing w:val="-5"/>
                <w:sz w:val="20"/>
              </w:rPr>
              <w:t xml:space="preserve"> </w:t>
            </w:r>
            <w:r>
              <w:rPr>
                <w:sz w:val="20"/>
              </w:rPr>
              <w:t>FAS</w:t>
            </w:r>
            <w:r>
              <w:rPr>
                <w:spacing w:val="-4"/>
                <w:sz w:val="20"/>
              </w:rPr>
              <w:t xml:space="preserve"> </w:t>
            </w:r>
            <w:r>
              <w:rPr>
                <w:sz w:val="20"/>
              </w:rPr>
              <w:t>pension</w:t>
            </w:r>
            <w:r>
              <w:rPr>
                <w:spacing w:val="-4"/>
                <w:sz w:val="20"/>
              </w:rPr>
              <w:t xml:space="preserve"> </w:t>
            </w:r>
            <w:r>
              <w:rPr>
                <w:sz w:val="20"/>
              </w:rPr>
              <w:t>(expense)</w:t>
            </w:r>
            <w:r>
              <w:rPr>
                <w:spacing w:val="-3"/>
                <w:sz w:val="20"/>
              </w:rPr>
              <w:t xml:space="preserve"> </w:t>
            </w:r>
            <w:r>
              <w:rPr>
                <w:spacing w:val="-2"/>
                <w:sz w:val="20"/>
              </w:rPr>
              <w:t>income</w:t>
            </w:r>
          </w:p>
        </w:tc>
        <w:tc>
          <w:tcPr>
            <w:tcW w:w="2251" w:type="dxa"/>
            <w:shd w:val="clear" w:color="auto" w:fill="CCEDFF"/>
          </w:tcPr>
          <w:p w14:paraId="3D76A7B1" w14:textId="77777777" w:rsidR="00AE2255" w:rsidRDefault="00000000">
            <w:pPr>
              <w:pStyle w:val="TableParagraph"/>
              <w:ind w:right="70"/>
              <w:rPr>
                <w:b/>
                <w:sz w:val="20"/>
              </w:rPr>
            </w:pPr>
            <w:r>
              <w:rPr>
                <w:b/>
                <w:spacing w:val="-2"/>
                <w:sz w:val="20"/>
              </w:rPr>
              <w:t>(971)</w:t>
            </w:r>
          </w:p>
        </w:tc>
        <w:tc>
          <w:tcPr>
            <w:tcW w:w="1080" w:type="dxa"/>
            <w:shd w:val="clear" w:color="auto" w:fill="CCEDFF"/>
          </w:tcPr>
          <w:p w14:paraId="0C0BF437" w14:textId="77777777" w:rsidR="00AE2255" w:rsidRDefault="00000000">
            <w:pPr>
              <w:pStyle w:val="TableParagraph"/>
              <w:ind w:right="70"/>
              <w:rPr>
                <w:sz w:val="20"/>
              </w:rPr>
            </w:pPr>
            <w:r>
              <w:rPr>
                <w:spacing w:val="-2"/>
                <w:sz w:val="20"/>
              </w:rPr>
              <w:t>(1,292)</w:t>
            </w:r>
          </w:p>
        </w:tc>
        <w:tc>
          <w:tcPr>
            <w:tcW w:w="1024" w:type="dxa"/>
            <w:shd w:val="clear" w:color="auto" w:fill="CCEDFF"/>
          </w:tcPr>
          <w:p w14:paraId="41A49D53" w14:textId="77777777" w:rsidR="00AE2255" w:rsidRDefault="00000000">
            <w:pPr>
              <w:pStyle w:val="TableParagraph"/>
              <w:ind w:right="79"/>
              <w:rPr>
                <w:sz w:val="20"/>
              </w:rPr>
            </w:pPr>
            <w:r>
              <w:rPr>
                <w:spacing w:val="-5"/>
                <w:sz w:val="20"/>
              </w:rPr>
              <w:t>219</w:t>
            </w:r>
          </w:p>
        </w:tc>
      </w:tr>
      <w:tr w:rsidR="00AE2255" w14:paraId="2BA080E4" w14:textId="77777777">
        <w:trPr>
          <w:trHeight w:val="275"/>
        </w:trPr>
        <w:tc>
          <w:tcPr>
            <w:tcW w:w="5890" w:type="dxa"/>
            <w:tcBorders>
              <w:bottom w:val="single" w:sz="8" w:space="0" w:color="auto"/>
            </w:tcBorders>
          </w:tcPr>
          <w:p w14:paraId="6891B541" w14:textId="77777777" w:rsidR="00AE2255" w:rsidRDefault="00000000">
            <w:pPr>
              <w:pStyle w:val="TableParagraph"/>
              <w:spacing w:line="230" w:lineRule="exact"/>
              <w:ind w:left="52"/>
              <w:jc w:val="left"/>
              <w:rPr>
                <w:sz w:val="20"/>
              </w:rPr>
            </w:pPr>
            <w:r>
              <w:rPr>
                <w:sz w:val="20"/>
              </w:rPr>
              <w:t>Other</w:t>
            </w:r>
            <w:r>
              <w:rPr>
                <w:spacing w:val="-4"/>
                <w:sz w:val="20"/>
              </w:rPr>
              <w:t xml:space="preserve"> </w:t>
            </w:r>
            <w:r>
              <w:rPr>
                <w:sz w:val="20"/>
              </w:rPr>
              <w:t>non-operating</w:t>
            </w:r>
            <w:r>
              <w:rPr>
                <w:spacing w:val="-4"/>
                <w:sz w:val="20"/>
              </w:rPr>
              <w:t xml:space="preserve"> </w:t>
            </w:r>
            <w:r>
              <w:rPr>
                <w:sz w:val="20"/>
              </w:rPr>
              <w:t>(expense)</w:t>
            </w:r>
            <w:r>
              <w:rPr>
                <w:spacing w:val="-4"/>
                <w:sz w:val="20"/>
              </w:rPr>
              <w:t xml:space="preserve"> </w:t>
            </w:r>
            <w:r>
              <w:rPr>
                <w:sz w:val="20"/>
              </w:rPr>
              <w:t>income,</w:t>
            </w:r>
            <w:r>
              <w:rPr>
                <w:spacing w:val="-3"/>
                <w:sz w:val="20"/>
              </w:rPr>
              <w:t xml:space="preserve"> </w:t>
            </w:r>
            <w:r>
              <w:rPr>
                <w:spacing w:val="-5"/>
                <w:sz w:val="20"/>
              </w:rPr>
              <w:t>net</w:t>
            </w:r>
          </w:p>
        </w:tc>
        <w:tc>
          <w:tcPr>
            <w:tcW w:w="2251" w:type="dxa"/>
            <w:tcBorders>
              <w:bottom w:val="single" w:sz="8" w:space="0" w:color="auto"/>
            </w:tcBorders>
          </w:tcPr>
          <w:p w14:paraId="38E3742D" w14:textId="77777777" w:rsidR="00AE2255" w:rsidRDefault="00000000">
            <w:pPr>
              <w:pStyle w:val="TableParagraph"/>
              <w:spacing w:line="230" w:lineRule="exact"/>
              <w:ind w:right="70"/>
              <w:rPr>
                <w:b/>
                <w:sz w:val="20"/>
              </w:rPr>
            </w:pPr>
            <w:r>
              <w:rPr>
                <w:b/>
                <w:spacing w:val="-4"/>
                <w:sz w:val="20"/>
              </w:rPr>
              <w:t>(74)</w:t>
            </w:r>
          </w:p>
        </w:tc>
        <w:tc>
          <w:tcPr>
            <w:tcW w:w="1080" w:type="dxa"/>
            <w:tcBorders>
              <w:bottom w:val="single" w:sz="8" w:space="0" w:color="auto"/>
            </w:tcBorders>
          </w:tcPr>
          <w:p w14:paraId="08ECBBF7" w14:textId="77777777" w:rsidR="00AE2255" w:rsidRDefault="00000000">
            <w:pPr>
              <w:pStyle w:val="TableParagraph"/>
              <w:spacing w:line="230" w:lineRule="exact"/>
              <w:ind w:right="135"/>
              <w:rPr>
                <w:sz w:val="20"/>
              </w:rPr>
            </w:pPr>
            <w:r>
              <w:rPr>
                <w:spacing w:val="-5"/>
                <w:sz w:val="20"/>
              </w:rPr>
              <w:t>288</w:t>
            </w:r>
          </w:p>
        </w:tc>
        <w:tc>
          <w:tcPr>
            <w:tcW w:w="1024" w:type="dxa"/>
            <w:tcBorders>
              <w:bottom w:val="single" w:sz="8" w:space="0" w:color="auto"/>
            </w:tcBorders>
          </w:tcPr>
          <w:p w14:paraId="7CF3AF7E" w14:textId="77777777" w:rsidR="00AE2255" w:rsidRDefault="00000000">
            <w:pPr>
              <w:pStyle w:val="TableParagraph"/>
              <w:spacing w:line="230" w:lineRule="exact"/>
              <w:ind w:right="14"/>
              <w:rPr>
                <w:sz w:val="20"/>
              </w:rPr>
            </w:pPr>
            <w:r>
              <w:rPr>
                <w:spacing w:val="-4"/>
                <w:sz w:val="20"/>
              </w:rPr>
              <w:t>(37)</w:t>
            </w:r>
          </w:p>
        </w:tc>
      </w:tr>
      <w:tr w:rsidR="00AE2255" w14:paraId="17811551" w14:textId="77777777">
        <w:trPr>
          <w:trHeight w:val="275"/>
        </w:trPr>
        <w:tc>
          <w:tcPr>
            <w:tcW w:w="5890" w:type="dxa"/>
            <w:tcBorders>
              <w:top w:val="single" w:sz="8" w:space="0" w:color="CCEDFF"/>
            </w:tcBorders>
            <w:shd w:val="clear" w:color="auto" w:fill="CCEDFF"/>
          </w:tcPr>
          <w:p w14:paraId="477D7814" w14:textId="77777777" w:rsidR="00AE2255" w:rsidRDefault="00000000">
            <w:pPr>
              <w:pStyle w:val="TableParagraph"/>
              <w:spacing w:before="17"/>
              <w:ind w:left="52"/>
              <w:jc w:val="left"/>
              <w:rPr>
                <w:sz w:val="20"/>
              </w:rPr>
            </w:pPr>
            <w:r>
              <w:rPr>
                <w:sz w:val="20"/>
              </w:rPr>
              <w:t>Earnings</w:t>
            </w:r>
            <w:r>
              <w:rPr>
                <w:spacing w:val="-6"/>
                <w:sz w:val="20"/>
              </w:rPr>
              <w:t xml:space="preserve"> </w:t>
            </w:r>
            <w:r>
              <w:rPr>
                <w:sz w:val="20"/>
              </w:rPr>
              <w:t>from</w:t>
            </w:r>
            <w:r>
              <w:rPr>
                <w:spacing w:val="-3"/>
                <w:sz w:val="20"/>
              </w:rPr>
              <w:t xml:space="preserve"> </w:t>
            </w:r>
            <w:r>
              <w:rPr>
                <w:sz w:val="20"/>
              </w:rPr>
              <w:t>continuing</w:t>
            </w:r>
            <w:r>
              <w:rPr>
                <w:spacing w:val="-3"/>
                <w:sz w:val="20"/>
              </w:rPr>
              <w:t xml:space="preserve"> </w:t>
            </w:r>
            <w:r>
              <w:rPr>
                <w:sz w:val="20"/>
              </w:rPr>
              <w:t>operations</w:t>
            </w:r>
            <w:r>
              <w:rPr>
                <w:spacing w:val="-4"/>
                <w:sz w:val="20"/>
              </w:rPr>
              <w:t xml:space="preserve"> </w:t>
            </w:r>
            <w:r>
              <w:rPr>
                <w:sz w:val="20"/>
              </w:rPr>
              <w:t>before</w:t>
            </w:r>
            <w:r>
              <w:rPr>
                <w:spacing w:val="-3"/>
                <w:sz w:val="20"/>
              </w:rPr>
              <w:t xml:space="preserve"> </w:t>
            </w:r>
            <w:r>
              <w:rPr>
                <w:sz w:val="20"/>
              </w:rPr>
              <w:t>income</w:t>
            </w:r>
            <w:r>
              <w:rPr>
                <w:spacing w:val="-3"/>
                <w:sz w:val="20"/>
              </w:rPr>
              <w:t xml:space="preserve"> </w:t>
            </w:r>
            <w:r>
              <w:rPr>
                <w:spacing w:val="-4"/>
                <w:sz w:val="20"/>
              </w:rPr>
              <w:t>taxes</w:t>
            </w:r>
          </w:p>
        </w:tc>
        <w:tc>
          <w:tcPr>
            <w:tcW w:w="2251" w:type="dxa"/>
            <w:tcBorders>
              <w:top w:val="single" w:sz="8" w:space="0" w:color="CCEDFF"/>
            </w:tcBorders>
            <w:shd w:val="clear" w:color="auto" w:fill="CCEDFF"/>
          </w:tcPr>
          <w:p w14:paraId="33747B85" w14:textId="77777777" w:rsidR="00AE2255" w:rsidRDefault="00000000">
            <w:pPr>
              <w:pStyle w:val="TableParagraph"/>
              <w:spacing w:before="15"/>
              <w:ind w:right="135"/>
              <w:rPr>
                <w:b/>
                <w:sz w:val="20"/>
              </w:rPr>
            </w:pPr>
            <w:r>
              <w:rPr>
                <w:b/>
                <w:spacing w:val="-2"/>
                <w:sz w:val="20"/>
              </w:rPr>
              <w:t>6,680</w:t>
            </w:r>
          </w:p>
        </w:tc>
        <w:tc>
          <w:tcPr>
            <w:tcW w:w="1080" w:type="dxa"/>
            <w:tcBorders>
              <w:top w:val="single" w:sz="8" w:space="0" w:color="CCEDFF"/>
            </w:tcBorders>
            <w:shd w:val="clear" w:color="auto" w:fill="CCEDFF"/>
          </w:tcPr>
          <w:p w14:paraId="16B37882" w14:textId="77777777" w:rsidR="00AE2255" w:rsidRDefault="00000000">
            <w:pPr>
              <w:pStyle w:val="TableParagraph"/>
              <w:spacing w:before="15"/>
              <w:ind w:right="135"/>
              <w:rPr>
                <w:sz w:val="20"/>
              </w:rPr>
            </w:pPr>
            <w:r>
              <w:rPr>
                <w:spacing w:val="-2"/>
                <w:sz w:val="20"/>
              </w:rPr>
              <w:t>7,550</w:t>
            </w:r>
          </w:p>
        </w:tc>
        <w:tc>
          <w:tcPr>
            <w:tcW w:w="1024" w:type="dxa"/>
            <w:tcBorders>
              <w:top w:val="single" w:sz="8" w:space="0" w:color="CCEDFF"/>
            </w:tcBorders>
            <w:shd w:val="clear" w:color="auto" w:fill="CCEDFF"/>
          </w:tcPr>
          <w:p w14:paraId="7E22C8DF" w14:textId="77777777" w:rsidR="00AE2255" w:rsidRDefault="00000000">
            <w:pPr>
              <w:pStyle w:val="TableParagraph"/>
              <w:spacing w:before="15"/>
              <w:ind w:right="79"/>
              <w:rPr>
                <w:sz w:val="20"/>
              </w:rPr>
            </w:pPr>
            <w:r>
              <w:rPr>
                <w:spacing w:val="-2"/>
                <w:sz w:val="20"/>
              </w:rPr>
              <w:t>8,235</w:t>
            </w:r>
          </w:p>
        </w:tc>
      </w:tr>
      <w:tr w:rsidR="00AE2255" w14:paraId="62294BAC" w14:textId="77777777">
        <w:trPr>
          <w:trHeight w:val="275"/>
        </w:trPr>
        <w:tc>
          <w:tcPr>
            <w:tcW w:w="5890" w:type="dxa"/>
            <w:tcBorders>
              <w:bottom w:val="single" w:sz="8" w:space="0" w:color="auto"/>
            </w:tcBorders>
          </w:tcPr>
          <w:p w14:paraId="4E1B731B" w14:textId="77777777" w:rsidR="00AE2255" w:rsidRDefault="00000000">
            <w:pPr>
              <w:pStyle w:val="TableParagraph"/>
              <w:spacing w:before="27" w:line="228" w:lineRule="exact"/>
              <w:ind w:left="52"/>
              <w:jc w:val="left"/>
              <w:rPr>
                <w:sz w:val="20"/>
              </w:rPr>
            </w:pPr>
            <w:r>
              <w:rPr>
                <w:sz w:val="20"/>
              </w:rPr>
              <w:t>Income</w:t>
            </w:r>
            <w:r>
              <w:rPr>
                <w:spacing w:val="-3"/>
                <w:sz w:val="20"/>
              </w:rPr>
              <w:t xml:space="preserve"> </w:t>
            </w:r>
            <w:r>
              <w:rPr>
                <w:sz w:val="20"/>
              </w:rPr>
              <w:t>tax</w:t>
            </w:r>
            <w:r>
              <w:rPr>
                <w:spacing w:val="-2"/>
                <w:sz w:val="20"/>
              </w:rPr>
              <w:t xml:space="preserve"> expense</w:t>
            </w:r>
          </w:p>
        </w:tc>
        <w:tc>
          <w:tcPr>
            <w:tcW w:w="2251" w:type="dxa"/>
            <w:tcBorders>
              <w:bottom w:val="single" w:sz="8" w:space="0" w:color="auto"/>
            </w:tcBorders>
          </w:tcPr>
          <w:p w14:paraId="0E1BB2DF" w14:textId="77777777" w:rsidR="00AE2255" w:rsidRDefault="00000000">
            <w:pPr>
              <w:pStyle w:val="TableParagraph"/>
              <w:spacing w:line="230" w:lineRule="exact"/>
              <w:ind w:right="70"/>
              <w:rPr>
                <w:b/>
                <w:sz w:val="20"/>
              </w:rPr>
            </w:pPr>
            <w:r>
              <w:rPr>
                <w:b/>
                <w:spacing w:val="-2"/>
                <w:sz w:val="20"/>
              </w:rPr>
              <w:t>(948)</w:t>
            </w:r>
          </w:p>
        </w:tc>
        <w:tc>
          <w:tcPr>
            <w:tcW w:w="1080" w:type="dxa"/>
            <w:tcBorders>
              <w:bottom w:val="single" w:sz="8" w:space="0" w:color="auto"/>
            </w:tcBorders>
          </w:tcPr>
          <w:p w14:paraId="57A9C33E" w14:textId="77777777" w:rsidR="00AE2255" w:rsidRDefault="00000000">
            <w:pPr>
              <w:pStyle w:val="TableParagraph"/>
              <w:spacing w:line="230" w:lineRule="exact"/>
              <w:ind w:right="70"/>
              <w:rPr>
                <w:sz w:val="20"/>
              </w:rPr>
            </w:pPr>
            <w:r>
              <w:rPr>
                <w:spacing w:val="-2"/>
                <w:sz w:val="20"/>
              </w:rPr>
              <w:t>(1,235)</w:t>
            </w:r>
          </w:p>
        </w:tc>
        <w:tc>
          <w:tcPr>
            <w:tcW w:w="1024" w:type="dxa"/>
            <w:tcBorders>
              <w:bottom w:val="single" w:sz="8" w:space="0" w:color="auto"/>
            </w:tcBorders>
          </w:tcPr>
          <w:p w14:paraId="26B3FE23" w14:textId="77777777" w:rsidR="00AE2255" w:rsidRDefault="00000000">
            <w:pPr>
              <w:pStyle w:val="TableParagraph"/>
              <w:spacing w:line="230" w:lineRule="exact"/>
              <w:ind w:right="14"/>
              <w:rPr>
                <w:sz w:val="20"/>
              </w:rPr>
            </w:pPr>
            <w:r>
              <w:rPr>
                <w:spacing w:val="-2"/>
                <w:sz w:val="20"/>
              </w:rPr>
              <w:t>(1,347)</w:t>
            </w:r>
          </w:p>
        </w:tc>
      </w:tr>
      <w:tr w:rsidR="00AE2255" w14:paraId="2CF2EA1E" w14:textId="77777777">
        <w:trPr>
          <w:trHeight w:val="275"/>
        </w:trPr>
        <w:tc>
          <w:tcPr>
            <w:tcW w:w="5890" w:type="dxa"/>
            <w:tcBorders>
              <w:top w:val="single" w:sz="8" w:space="0" w:color="CCEDFF"/>
            </w:tcBorders>
            <w:shd w:val="clear" w:color="auto" w:fill="CCEDFF"/>
          </w:tcPr>
          <w:p w14:paraId="6548DFD9" w14:textId="77777777" w:rsidR="00AE2255" w:rsidRDefault="00000000">
            <w:pPr>
              <w:pStyle w:val="TableParagraph"/>
              <w:spacing w:before="17"/>
              <w:ind w:left="52"/>
              <w:jc w:val="left"/>
              <w:rPr>
                <w:sz w:val="20"/>
              </w:rPr>
            </w:pPr>
            <w:r>
              <w:rPr>
                <w:sz w:val="20"/>
              </w:rPr>
              <w:t>Net</w:t>
            </w:r>
            <w:r>
              <w:rPr>
                <w:spacing w:val="-6"/>
                <w:sz w:val="20"/>
              </w:rPr>
              <w:t xml:space="preserve"> </w:t>
            </w:r>
            <w:r>
              <w:rPr>
                <w:sz w:val="20"/>
              </w:rPr>
              <w:t>earnings</w:t>
            </w:r>
            <w:r>
              <w:rPr>
                <w:spacing w:val="-3"/>
                <w:sz w:val="20"/>
              </w:rPr>
              <w:t xml:space="preserve"> </w:t>
            </w:r>
            <w:r>
              <w:rPr>
                <w:sz w:val="20"/>
              </w:rPr>
              <w:t>from</w:t>
            </w:r>
            <w:r>
              <w:rPr>
                <w:spacing w:val="-3"/>
                <w:sz w:val="20"/>
              </w:rPr>
              <w:t xml:space="preserve"> </w:t>
            </w:r>
            <w:r>
              <w:rPr>
                <w:sz w:val="20"/>
              </w:rPr>
              <w:t>continuing</w:t>
            </w:r>
            <w:r>
              <w:rPr>
                <w:spacing w:val="-2"/>
                <w:sz w:val="20"/>
              </w:rPr>
              <w:t xml:space="preserve"> operations</w:t>
            </w:r>
          </w:p>
        </w:tc>
        <w:tc>
          <w:tcPr>
            <w:tcW w:w="2251" w:type="dxa"/>
            <w:tcBorders>
              <w:top w:val="single" w:sz="8" w:space="0" w:color="CCEDFF"/>
            </w:tcBorders>
            <w:shd w:val="clear" w:color="auto" w:fill="CCEDFF"/>
          </w:tcPr>
          <w:p w14:paraId="37C063EB" w14:textId="77777777" w:rsidR="00AE2255" w:rsidRDefault="00000000">
            <w:pPr>
              <w:pStyle w:val="TableParagraph"/>
              <w:spacing w:before="15"/>
              <w:ind w:right="135"/>
              <w:rPr>
                <w:b/>
                <w:sz w:val="20"/>
              </w:rPr>
            </w:pPr>
            <w:r>
              <w:rPr>
                <w:b/>
                <w:spacing w:val="-2"/>
                <w:sz w:val="20"/>
              </w:rPr>
              <w:t>5,732</w:t>
            </w:r>
          </w:p>
        </w:tc>
        <w:tc>
          <w:tcPr>
            <w:tcW w:w="1080" w:type="dxa"/>
            <w:tcBorders>
              <w:top w:val="single" w:sz="8" w:space="0" w:color="CCEDFF"/>
            </w:tcBorders>
            <w:shd w:val="clear" w:color="auto" w:fill="CCEDFF"/>
          </w:tcPr>
          <w:p w14:paraId="6AC61146" w14:textId="77777777" w:rsidR="00AE2255" w:rsidRDefault="00000000">
            <w:pPr>
              <w:pStyle w:val="TableParagraph"/>
              <w:spacing w:before="15"/>
              <w:ind w:right="135"/>
              <w:rPr>
                <w:sz w:val="20"/>
              </w:rPr>
            </w:pPr>
            <w:r>
              <w:rPr>
                <w:spacing w:val="-2"/>
                <w:sz w:val="20"/>
              </w:rPr>
              <w:t>6,315</w:t>
            </w:r>
          </w:p>
        </w:tc>
        <w:tc>
          <w:tcPr>
            <w:tcW w:w="1024" w:type="dxa"/>
            <w:tcBorders>
              <w:top w:val="single" w:sz="8" w:space="0" w:color="CCEDFF"/>
            </w:tcBorders>
            <w:shd w:val="clear" w:color="auto" w:fill="CCEDFF"/>
          </w:tcPr>
          <w:p w14:paraId="4B91A1A4" w14:textId="77777777" w:rsidR="00AE2255" w:rsidRDefault="00000000">
            <w:pPr>
              <w:pStyle w:val="TableParagraph"/>
              <w:spacing w:before="15"/>
              <w:ind w:right="79"/>
              <w:rPr>
                <w:sz w:val="20"/>
              </w:rPr>
            </w:pPr>
            <w:r>
              <w:rPr>
                <w:spacing w:val="-2"/>
                <w:sz w:val="20"/>
              </w:rPr>
              <w:t>6,888</w:t>
            </w:r>
          </w:p>
        </w:tc>
      </w:tr>
      <w:tr w:rsidR="00AE2255" w14:paraId="2ACCEC54" w14:textId="77777777">
        <w:trPr>
          <w:trHeight w:val="275"/>
        </w:trPr>
        <w:tc>
          <w:tcPr>
            <w:tcW w:w="5890" w:type="dxa"/>
            <w:tcBorders>
              <w:bottom w:val="single" w:sz="8" w:space="0" w:color="auto"/>
            </w:tcBorders>
          </w:tcPr>
          <w:p w14:paraId="7E0C5D0F" w14:textId="77777777" w:rsidR="00AE2255" w:rsidRDefault="00000000">
            <w:pPr>
              <w:pStyle w:val="TableParagraph"/>
              <w:spacing w:before="27" w:line="228" w:lineRule="exact"/>
              <w:ind w:left="52"/>
              <w:jc w:val="left"/>
              <w:rPr>
                <w:sz w:val="20"/>
              </w:rPr>
            </w:pPr>
            <w:r>
              <w:rPr>
                <w:sz w:val="20"/>
              </w:rPr>
              <w:t>Net</w:t>
            </w:r>
            <w:r>
              <w:rPr>
                <w:spacing w:val="-4"/>
                <w:sz w:val="20"/>
              </w:rPr>
              <w:t xml:space="preserve"> </w:t>
            </w:r>
            <w:r>
              <w:rPr>
                <w:sz w:val="20"/>
              </w:rPr>
              <w:t>loss</w:t>
            </w:r>
            <w:r>
              <w:rPr>
                <w:spacing w:val="-3"/>
                <w:sz w:val="20"/>
              </w:rPr>
              <w:t xml:space="preserve"> </w:t>
            </w:r>
            <w:r>
              <w:rPr>
                <w:sz w:val="20"/>
              </w:rPr>
              <w:t>from</w:t>
            </w:r>
            <w:r>
              <w:rPr>
                <w:spacing w:val="-4"/>
                <w:sz w:val="20"/>
              </w:rPr>
              <w:t xml:space="preserve"> </w:t>
            </w:r>
            <w:r>
              <w:rPr>
                <w:sz w:val="20"/>
              </w:rPr>
              <w:t>discontinued</w:t>
            </w:r>
            <w:r>
              <w:rPr>
                <w:spacing w:val="-2"/>
                <w:sz w:val="20"/>
              </w:rPr>
              <w:t xml:space="preserve"> operations</w:t>
            </w:r>
          </w:p>
        </w:tc>
        <w:tc>
          <w:tcPr>
            <w:tcW w:w="2251" w:type="dxa"/>
            <w:tcBorders>
              <w:bottom w:val="single" w:sz="8" w:space="0" w:color="auto"/>
            </w:tcBorders>
          </w:tcPr>
          <w:p w14:paraId="3B5AF253" w14:textId="77777777" w:rsidR="00AE2255" w:rsidRDefault="00000000">
            <w:pPr>
              <w:pStyle w:val="TableParagraph"/>
              <w:spacing w:line="230" w:lineRule="exact"/>
              <w:ind w:right="135"/>
              <w:rPr>
                <w:b/>
                <w:sz w:val="20"/>
              </w:rPr>
            </w:pPr>
            <w:r>
              <w:rPr>
                <w:b/>
                <w:sz w:val="20"/>
              </w:rPr>
              <w:t>—</w:t>
            </w:r>
          </w:p>
        </w:tc>
        <w:tc>
          <w:tcPr>
            <w:tcW w:w="1080" w:type="dxa"/>
            <w:tcBorders>
              <w:bottom w:val="single" w:sz="8" w:space="0" w:color="auto"/>
            </w:tcBorders>
          </w:tcPr>
          <w:p w14:paraId="2B0F26F5" w14:textId="77777777" w:rsidR="00AE2255" w:rsidRDefault="00000000">
            <w:pPr>
              <w:pStyle w:val="TableParagraph"/>
              <w:spacing w:line="230" w:lineRule="exact"/>
              <w:ind w:right="135"/>
              <w:rPr>
                <w:sz w:val="20"/>
              </w:rPr>
            </w:pPr>
            <w:r>
              <w:rPr>
                <w:sz w:val="20"/>
              </w:rPr>
              <w:t>—</w:t>
            </w:r>
          </w:p>
        </w:tc>
        <w:tc>
          <w:tcPr>
            <w:tcW w:w="1024" w:type="dxa"/>
            <w:tcBorders>
              <w:bottom w:val="single" w:sz="8" w:space="0" w:color="auto"/>
            </w:tcBorders>
          </w:tcPr>
          <w:p w14:paraId="7F563F72" w14:textId="77777777" w:rsidR="00AE2255" w:rsidRDefault="00000000">
            <w:pPr>
              <w:pStyle w:val="TableParagraph"/>
              <w:spacing w:line="230" w:lineRule="exact"/>
              <w:ind w:right="14"/>
              <w:rPr>
                <w:sz w:val="20"/>
              </w:rPr>
            </w:pPr>
            <w:r>
              <w:rPr>
                <w:spacing w:val="-4"/>
                <w:sz w:val="20"/>
              </w:rPr>
              <w:t>(55)</w:t>
            </w:r>
          </w:p>
        </w:tc>
      </w:tr>
      <w:tr w:rsidR="00AE2255" w14:paraId="423421FE" w14:textId="77777777">
        <w:trPr>
          <w:trHeight w:val="265"/>
        </w:trPr>
        <w:tc>
          <w:tcPr>
            <w:tcW w:w="5890" w:type="dxa"/>
            <w:tcBorders>
              <w:top w:val="single" w:sz="8" w:space="0" w:color="CCEDFF"/>
              <w:bottom w:val="single" w:sz="8" w:space="0" w:color="CCEDFF"/>
            </w:tcBorders>
            <w:shd w:val="clear" w:color="auto" w:fill="CCEDFF"/>
          </w:tcPr>
          <w:p w14:paraId="12932C5C" w14:textId="77777777" w:rsidR="00AE2255" w:rsidRDefault="00000000">
            <w:pPr>
              <w:pStyle w:val="TableParagraph"/>
              <w:spacing w:before="17" w:line="228" w:lineRule="exact"/>
              <w:ind w:left="52"/>
              <w:jc w:val="left"/>
              <w:rPr>
                <w:sz w:val="20"/>
              </w:rPr>
            </w:pPr>
            <w:r>
              <w:rPr>
                <w:sz w:val="20"/>
              </w:rPr>
              <w:t>Net</w:t>
            </w:r>
            <w:r>
              <w:rPr>
                <w:spacing w:val="-3"/>
                <w:sz w:val="20"/>
              </w:rPr>
              <w:t xml:space="preserve"> </w:t>
            </w:r>
            <w:r>
              <w:rPr>
                <w:spacing w:val="-2"/>
                <w:sz w:val="20"/>
              </w:rPr>
              <w:t>earnings</w:t>
            </w:r>
          </w:p>
        </w:tc>
        <w:tc>
          <w:tcPr>
            <w:tcW w:w="2251" w:type="dxa"/>
            <w:tcBorders>
              <w:top w:val="single" w:sz="8" w:space="0" w:color="CCEDFF"/>
              <w:bottom w:val="single" w:sz="8" w:space="0" w:color="CCEDFF"/>
            </w:tcBorders>
            <w:shd w:val="clear" w:color="auto" w:fill="CCEDFF"/>
          </w:tcPr>
          <w:p w14:paraId="331970BB" w14:textId="77777777" w:rsidR="00AE2255" w:rsidRDefault="00000000">
            <w:pPr>
              <w:pStyle w:val="TableParagraph"/>
              <w:tabs>
                <w:tab w:val="left" w:pos="420"/>
              </w:tabs>
              <w:spacing w:before="15" w:line="230" w:lineRule="exact"/>
              <w:ind w:right="135"/>
              <w:rPr>
                <w:b/>
                <w:sz w:val="20"/>
              </w:rPr>
            </w:pPr>
            <w:r>
              <w:rPr>
                <w:b/>
                <w:spacing w:val="-10"/>
                <w:sz w:val="20"/>
              </w:rPr>
              <w:t>$</w:t>
            </w:r>
            <w:r>
              <w:rPr>
                <w:b/>
                <w:sz w:val="20"/>
              </w:rPr>
              <w:tab/>
            </w:r>
            <w:r>
              <w:rPr>
                <w:b/>
                <w:spacing w:val="-2"/>
                <w:sz w:val="20"/>
              </w:rPr>
              <w:t>5,732</w:t>
            </w:r>
          </w:p>
        </w:tc>
        <w:tc>
          <w:tcPr>
            <w:tcW w:w="1080" w:type="dxa"/>
            <w:tcBorders>
              <w:top w:val="single" w:sz="8" w:space="0" w:color="CCEDFF"/>
              <w:bottom w:val="single" w:sz="8" w:space="0" w:color="CCEDFF"/>
            </w:tcBorders>
            <w:shd w:val="clear" w:color="auto" w:fill="CCEDFF"/>
          </w:tcPr>
          <w:p w14:paraId="72068F52" w14:textId="77777777" w:rsidR="00AE2255" w:rsidRDefault="00000000">
            <w:pPr>
              <w:pStyle w:val="TableParagraph"/>
              <w:tabs>
                <w:tab w:val="left" w:pos="420"/>
              </w:tabs>
              <w:spacing w:before="15" w:line="230" w:lineRule="exact"/>
              <w:ind w:right="135"/>
              <w:rPr>
                <w:sz w:val="20"/>
              </w:rPr>
            </w:pPr>
            <w:r>
              <w:rPr>
                <w:spacing w:val="-10"/>
                <w:sz w:val="20"/>
              </w:rPr>
              <w:t>$</w:t>
            </w:r>
            <w:r>
              <w:rPr>
                <w:sz w:val="20"/>
              </w:rPr>
              <w:tab/>
            </w:r>
            <w:r>
              <w:rPr>
                <w:spacing w:val="-2"/>
                <w:sz w:val="20"/>
              </w:rPr>
              <w:t>6,315</w:t>
            </w:r>
          </w:p>
        </w:tc>
        <w:tc>
          <w:tcPr>
            <w:tcW w:w="1024" w:type="dxa"/>
            <w:tcBorders>
              <w:top w:val="single" w:sz="8" w:space="0" w:color="CCEDFF"/>
              <w:bottom w:val="single" w:sz="8" w:space="0" w:color="CCEDFF"/>
            </w:tcBorders>
            <w:shd w:val="clear" w:color="auto" w:fill="CCEDFF"/>
          </w:tcPr>
          <w:p w14:paraId="00B53162" w14:textId="77777777" w:rsidR="00AE2255" w:rsidRDefault="00000000">
            <w:pPr>
              <w:pStyle w:val="TableParagraph"/>
              <w:tabs>
                <w:tab w:val="left" w:pos="492"/>
              </w:tabs>
              <w:spacing w:before="15" w:line="230" w:lineRule="exact"/>
              <w:ind w:left="71"/>
              <w:jc w:val="left"/>
              <w:rPr>
                <w:sz w:val="20"/>
              </w:rPr>
            </w:pPr>
            <w:r>
              <w:rPr>
                <w:spacing w:val="-10"/>
                <w:sz w:val="20"/>
              </w:rPr>
              <w:t>$</w:t>
            </w:r>
            <w:r>
              <w:rPr>
                <w:sz w:val="20"/>
              </w:rPr>
              <w:tab/>
            </w:r>
            <w:r>
              <w:rPr>
                <w:spacing w:val="-2"/>
                <w:sz w:val="20"/>
              </w:rPr>
              <w:t>6,833</w:t>
            </w:r>
          </w:p>
        </w:tc>
      </w:tr>
      <w:tr w:rsidR="00AE2255" w14:paraId="0A15F423" w14:textId="77777777">
        <w:trPr>
          <w:trHeight w:val="275"/>
        </w:trPr>
        <w:tc>
          <w:tcPr>
            <w:tcW w:w="5890" w:type="dxa"/>
            <w:tcBorders>
              <w:top w:val="single" w:sz="8" w:space="0" w:color="auto"/>
            </w:tcBorders>
          </w:tcPr>
          <w:p w14:paraId="6508D940" w14:textId="77777777" w:rsidR="00AE2255" w:rsidRDefault="00000000">
            <w:pPr>
              <w:pStyle w:val="TableParagraph"/>
              <w:spacing w:before="17"/>
              <w:ind w:left="52"/>
              <w:jc w:val="left"/>
              <w:rPr>
                <w:sz w:val="20"/>
              </w:rPr>
            </w:pPr>
            <w:r>
              <w:rPr>
                <w:sz w:val="20"/>
              </w:rPr>
              <w:t>Diluted</w:t>
            </w:r>
            <w:r>
              <w:rPr>
                <w:spacing w:val="-4"/>
                <w:sz w:val="20"/>
              </w:rPr>
              <w:t xml:space="preserve"> </w:t>
            </w:r>
            <w:r>
              <w:rPr>
                <w:sz w:val="20"/>
              </w:rPr>
              <w:t>earnings</w:t>
            </w:r>
            <w:r>
              <w:rPr>
                <w:spacing w:val="-3"/>
                <w:sz w:val="20"/>
              </w:rPr>
              <w:t xml:space="preserve"> </w:t>
            </w:r>
            <w:r>
              <w:rPr>
                <w:sz w:val="20"/>
              </w:rPr>
              <w:t>(loss)</w:t>
            </w:r>
            <w:r>
              <w:rPr>
                <w:spacing w:val="-3"/>
                <w:sz w:val="20"/>
              </w:rPr>
              <w:t xml:space="preserve"> </w:t>
            </w:r>
            <w:r>
              <w:rPr>
                <w:sz w:val="20"/>
              </w:rPr>
              <w:t>per</w:t>
            </w:r>
            <w:r>
              <w:rPr>
                <w:spacing w:val="-3"/>
                <w:sz w:val="20"/>
              </w:rPr>
              <w:t xml:space="preserve"> </w:t>
            </w:r>
            <w:r>
              <w:rPr>
                <w:sz w:val="20"/>
              </w:rPr>
              <w:t>common</w:t>
            </w:r>
            <w:r>
              <w:rPr>
                <w:spacing w:val="-3"/>
                <w:sz w:val="20"/>
              </w:rPr>
              <w:t xml:space="preserve"> </w:t>
            </w:r>
            <w:r>
              <w:rPr>
                <w:spacing w:val="-4"/>
                <w:sz w:val="20"/>
              </w:rPr>
              <w:t>share</w:t>
            </w:r>
          </w:p>
        </w:tc>
        <w:tc>
          <w:tcPr>
            <w:tcW w:w="2251" w:type="dxa"/>
            <w:tcBorders>
              <w:top w:val="single" w:sz="8" w:space="0" w:color="auto"/>
            </w:tcBorders>
          </w:tcPr>
          <w:p w14:paraId="1F835899" w14:textId="77777777" w:rsidR="00AE2255" w:rsidRDefault="00AE2255">
            <w:pPr>
              <w:pStyle w:val="TableParagraph"/>
              <w:spacing w:before="0"/>
              <w:jc w:val="left"/>
              <w:rPr>
                <w:sz w:val="20"/>
              </w:rPr>
            </w:pPr>
          </w:p>
        </w:tc>
        <w:tc>
          <w:tcPr>
            <w:tcW w:w="1080" w:type="dxa"/>
            <w:tcBorders>
              <w:top w:val="single" w:sz="8" w:space="0" w:color="auto"/>
            </w:tcBorders>
          </w:tcPr>
          <w:p w14:paraId="0CEAB216" w14:textId="77777777" w:rsidR="00AE2255" w:rsidRDefault="00AE2255">
            <w:pPr>
              <w:pStyle w:val="TableParagraph"/>
              <w:spacing w:before="0"/>
              <w:jc w:val="left"/>
              <w:rPr>
                <w:sz w:val="20"/>
              </w:rPr>
            </w:pPr>
          </w:p>
        </w:tc>
        <w:tc>
          <w:tcPr>
            <w:tcW w:w="1024" w:type="dxa"/>
            <w:tcBorders>
              <w:top w:val="single" w:sz="8" w:space="0" w:color="auto"/>
            </w:tcBorders>
          </w:tcPr>
          <w:p w14:paraId="22BEBAEE" w14:textId="77777777" w:rsidR="00AE2255" w:rsidRDefault="00AE2255">
            <w:pPr>
              <w:pStyle w:val="TableParagraph"/>
              <w:spacing w:before="0"/>
              <w:jc w:val="left"/>
              <w:rPr>
                <w:sz w:val="20"/>
              </w:rPr>
            </w:pPr>
          </w:p>
        </w:tc>
      </w:tr>
      <w:tr w:rsidR="00AE2255" w14:paraId="2B5DF8F4" w14:textId="77777777">
        <w:trPr>
          <w:trHeight w:val="285"/>
        </w:trPr>
        <w:tc>
          <w:tcPr>
            <w:tcW w:w="5890" w:type="dxa"/>
            <w:shd w:val="clear" w:color="auto" w:fill="CCEDFF"/>
          </w:tcPr>
          <w:p w14:paraId="0743949F" w14:textId="77777777" w:rsidR="00AE2255" w:rsidRDefault="00000000">
            <w:pPr>
              <w:pStyle w:val="TableParagraph"/>
              <w:spacing w:before="27"/>
              <w:ind w:left="187"/>
              <w:jc w:val="left"/>
              <w:rPr>
                <w:sz w:val="20"/>
              </w:rPr>
            </w:pPr>
            <w:r>
              <w:rPr>
                <w:sz w:val="20"/>
              </w:rPr>
              <w:t>Continuing</w:t>
            </w:r>
            <w:r>
              <w:rPr>
                <w:spacing w:val="-4"/>
                <w:sz w:val="20"/>
              </w:rPr>
              <w:t xml:space="preserve"> </w:t>
            </w:r>
            <w:r>
              <w:rPr>
                <w:spacing w:val="-2"/>
                <w:sz w:val="20"/>
              </w:rPr>
              <w:t>operations</w:t>
            </w:r>
          </w:p>
        </w:tc>
        <w:tc>
          <w:tcPr>
            <w:tcW w:w="2251" w:type="dxa"/>
            <w:shd w:val="clear" w:color="auto" w:fill="CCEDFF"/>
          </w:tcPr>
          <w:p w14:paraId="46A94A30" w14:textId="77777777" w:rsidR="00AE2255" w:rsidRDefault="00000000">
            <w:pPr>
              <w:pStyle w:val="TableParagraph"/>
              <w:tabs>
                <w:tab w:val="left" w:pos="420"/>
              </w:tabs>
              <w:ind w:right="135"/>
              <w:rPr>
                <w:b/>
                <w:sz w:val="20"/>
              </w:rPr>
            </w:pPr>
            <w:r>
              <w:rPr>
                <w:b/>
                <w:spacing w:val="-10"/>
                <w:sz w:val="20"/>
              </w:rPr>
              <w:t>$</w:t>
            </w:r>
            <w:r>
              <w:rPr>
                <w:b/>
                <w:sz w:val="20"/>
              </w:rPr>
              <w:tab/>
            </w:r>
            <w:r>
              <w:rPr>
                <w:b/>
                <w:spacing w:val="-2"/>
                <w:sz w:val="20"/>
              </w:rPr>
              <w:t>21.66</w:t>
            </w:r>
          </w:p>
        </w:tc>
        <w:tc>
          <w:tcPr>
            <w:tcW w:w="1080" w:type="dxa"/>
            <w:shd w:val="clear" w:color="auto" w:fill="CCEDFF"/>
          </w:tcPr>
          <w:p w14:paraId="678FF6A4"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22.76</w:t>
            </w:r>
          </w:p>
        </w:tc>
        <w:tc>
          <w:tcPr>
            <w:tcW w:w="1024" w:type="dxa"/>
            <w:shd w:val="clear" w:color="auto" w:fill="CCEDFF"/>
          </w:tcPr>
          <w:p w14:paraId="18F5DE4D"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24.50</w:t>
            </w:r>
          </w:p>
        </w:tc>
      </w:tr>
      <w:tr w:rsidR="00AE2255" w14:paraId="6C1EFC9E" w14:textId="77777777">
        <w:trPr>
          <w:trHeight w:val="275"/>
        </w:trPr>
        <w:tc>
          <w:tcPr>
            <w:tcW w:w="5890" w:type="dxa"/>
            <w:tcBorders>
              <w:bottom w:val="single" w:sz="8" w:space="0" w:color="auto"/>
            </w:tcBorders>
          </w:tcPr>
          <w:p w14:paraId="4F247F55" w14:textId="77777777" w:rsidR="00AE2255" w:rsidRDefault="00000000">
            <w:pPr>
              <w:pStyle w:val="TableParagraph"/>
              <w:spacing w:before="27" w:line="228" w:lineRule="exact"/>
              <w:ind w:left="187"/>
              <w:jc w:val="left"/>
              <w:rPr>
                <w:sz w:val="20"/>
              </w:rPr>
            </w:pPr>
            <w:r>
              <w:rPr>
                <w:sz w:val="20"/>
              </w:rPr>
              <w:t>Discontinued</w:t>
            </w:r>
            <w:r>
              <w:rPr>
                <w:spacing w:val="-7"/>
                <w:sz w:val="20"/>
              </w:rPr>
              <w:t xml:space="preserve"> </w:t>
            </w:r>
            <w:r>
              <w:rPr>
                <w:spacing w:val="-2"/>
                <w:sz w:val="20"/>
              </w:rPr>
              <w:t>operations</w:t>
            </w:r>
          </w:p>
        </w:tc>
        <w:tc>
          <w:tcPr>
            <w:tcW w:w="2251" w:type="dxa"/>
            <w:tcBorders>
              <w:bottom w:val="single" w:sz="8" w:space="0" w:color="auto"/>
            </w:tcBorders>
          </w:tcPr>
          <w:p w14:paraId="4635BFC9" w14:textId="77777777" w:rsidR="00AE2255" w:rsidRDefault="00000000">
            <w:pPr>
              <w:pStyle w:val="TableParagraph"/>
              <w:spacing w:line="230" w:lineRule="exact"/>
              <w:ind w:right="135"/>
              <w:rPr>
                <w:b/>
                <w:sz w:val="20"/>
              </w:rPr>
            </w:pPr>
            <w:r>
              <w:rPr>
                <w:b/>
                <w:sz w:val="20"/>
              </w:rPr>
              <w:t>—</w:t>
            </w:r>
          </w:p>
        </w:tc>
        <w:tc>
          <w:tcPr>
            <w:tcW w:w="1080" w:type="dxa"/>
            <w:tcBorders>
              <w:bottom w:val="single" w:sz="8" w:space="0" w:color="auto"/>
            </w:tcBorders>
          </w:tcPr>
          <w:p w14:paraId="170B6F0B" w14:textId="77777777" w:rsidR="00AE2255" w:rsidRDefault="00000000">
            <w:pPr>
              <w:pStyle w:val="TableParagraph"/>
              <w:spacing w:line="230" w:lineRule="exact"/>
              <w:ind w:right="135"/>
              <w:rPr>
                <w:sz w:val="20"/>
              </w:rPr>
            </w:pPr>
            <w:r>
              <w:rPr>
                <w:sz w:val="20"/>
              </w:rPr>
              <w:t>—</w:t>
            </w:r>
          </w:p>
        </w:tc>
        <w:tc>
          <w:tcPr>
            <w:tcW w:w="1024" w:type="dxa"/>
            <w:tcBorders>
              <w:bottom w:val="single" w:sz="8" w:space="0" w:color="auto"/>
            </w:tcBorders>
          </w:tcPr>
          <w:p w14:paraId="2CAFB77D" w14:textId="77777777" w:rsidR="00AE2255" w:rsidRDefault="00000000">
            <w:pPr>
              <w:pStyle w:val="TableParagraph"/>
              <w:spacing w:line="230" w:lineRule="exact"/>
              <w:ind w:right="14"/>
              <w:rPr>
                <w:sz w:val="20"/>
              </w:rPr>
            </w:pPr>
            <w:r>
              <w:rPr>
                <w:spacing w:val="-2"/>
                <w:sz w:val="20"/>
              </w:rPr>
              <w:t>(0.20)</w:t>
            </w:r>
          </w:p>
        </w:tc>
      </w:tr>
      <w:tr w:rsidR="00AE2255" w14:paraId="672AF0A8" w14:textId="77777777">
        <w:trPr>
          <w:trHeight w:val="252"/>
        </w:trPr>
        <w:tc>
          <w:tcPr>
            <w:tcW w:w="5890" w:type="dxa"/>
            <w:tcBorders>
              <w:top w:val="single" w:sz="8" w:space="0" w:color="CCEDFF"/>
              <w:bottom w:val="single" w:sz="18" w:space="0" w:color="CCEDFF"/>
            </w:tcBorders>
            <w:shd w:val="clear" w:color="auto" w:fill="CCEDFF"/>
          </w:tcPr>
          <w:p w14:paraId="7BCE1ACD" w14:textId="77777777" w:rsidR="00AE2255" w:rsidRDefault="00000000">
            <w:pPr>
              <w:pStyle w:val="TableParagraph"/>
              <w:spacing w:before="17" w:line="216" w:lineRule="exact"/>
              <w:ind w:left="52"/>
              <w:jc w:val="left"/>
              <w:rPr>
                <w:sz w:val="20"/>
              </w:rPr>
            </w:pPr>
            <w:r>
              <w:rPr>
                <w:sz w:val="20"/>
              </w:rPr>
              <w:t>Total</w:t>
            </w:r>
            <w:r>
              <w:rPr>
                <w:spacing w:val="-4"/>
                <w:sz w:val="20"/>
              </w:rPr>
              <w:t xml:space="preserve"> </w:t>
            </w:r>
            <w:r>
              <w:rPr>
                <w:sz w:val="20"/>
              </w:rPr>
              <w:t>diluted</w:t>
            </w:r>
            <w:r>
              <w:rPr>
                <w:spacing w:val="-3"/>
                <w:sz w:val="20"/>
              </w:rPr>
              <w:t xml:space="preserve"> </w:t>
            </w:r>
            <w:r>
              <w:rPr>
                <w:sz w:val="20"/>
              </w:rPr>
              <w:t>earnings</w:t>
            </w:r>
            <w:r>
              <w:rPr>
                <w:spacing w:val="-4"/>
                <w:sz w:val="20"/>
              </w:rPr>
              <w:t xml:space="preserve"> </w:t>
            </w:r>
            <w:r>
              <w:rPr>
                <w:sz w:val="20"/>
              </w:rPr>
              <w:t>per</w:t>
            </w:r>
            <w:r>
              <w:rPr>
                <w:spacing w:val="-3"/>
                <w:sz w:val="20"/>
              </w:rPr>
              <w:t xml:space="preserve"> </w:t>
            </w:r>
            <w:r>
              <w:rPr>
                <w:sz w:val="20"/>
              </w:rPr>
              <w:t>common</w:t>
            </w:r>
            <w:r>
              <w:rPr>
                <w:spacing w:val="-2"/>
                <w:sz w:val="20"/>
              </w:rPr>
              <w:t xml:space="preserve"> </w:t>
            </w:r>
            <w:r>
              <w:rPr>
                <w:spacing w:val="-4"/>
                <w:sz w:val="20"/>
              </w:rPr>
              <w:t>share</w:t>
            </w:r>
          </w:p>
        </w:tc>
        <w:tc>
          <w:tcPr>
            <w:tcW w:w="2251" w:type="dxa"/>
            <w:tcBorders>
              <w:top w:val="single" w:sz="8" w:space="0" w:color="CCEDFF"/>
              <w:bottom w:val="single" w:sz="18" w:space="0" w:color="CCEDFF"/>
            </w:tcBorders>
            <w:shd w:val="clear" w:color="auto" w:fill="CCEDFF"/>
          </w:tcPr>
          <w:p w14:paraId="2CE72FC6" w14:textId="77777777" w:rsidR="00AE2255" w:rsidRDefault="00000000">
            <w:pPr>
              <w:pStyle w:val="TableParagraph"/>
              <w:tabs>
                <w:tab w:val="left" w:pos="420"/>
              </w:tabs>
              <w:spacing w:before="15" w:line="217" w:lineRule="exact"/>
              <w:ind w:right="135"/>
              <w:rPr>
                <w:b/>
                <w:sz w:val="20"/>
              </w:rPr>
            </w:pPr>
            <w:r>
              <w:rPr>
                <w:b/>
                <w:spacing w:val="-10"/>
                <w:sz w:val="20"/>
              </w:rPr>
              <w:t>$</w:t>
            </w:r>
            <w:r>
              <w:rPr>
                <w:b/>
                <w:sz w:val="20"/>
              </w:rPr>
              <w:tab/>
            </w:r>
            <w:r>
              <w:rPr>
                <w:b/>
                <w:spacing w:val="-2"/>
                <w:sz w:val="20"/>
              </w:rPr>
              <w:t>21.66</w:t>
            </w:r>
          </w:p>
        </w:tc>
        <w:tc>
          <w:tcPr>
            <w:tcW w:w="1080" w:type="dxa"/>
            <w:tcBorders>
              <w:top w:val="single" w:sz="8" w:space="0" w:color="CCEDFF"/>
              <w:bottom w:val="single" w:sz="18" w:space="0" w:color="CCEDFF"/>
            </w:tcBorders>
            <w:shd w:val="clear" w:color="auto" w:fill="CCEDFF"/>
          </w:tcPr>
          <w:p w14:paraId="3C2077CD" w14:textId="77777777" w:rsidR="00AE2255" w:rsidRDefault="00000000">
            <w:pPr>
              <w:pStyle w:val="TableParagraph"/>
              <w:tabs>
                <w:tab w:val="left" w:pos="420"/>
              </w:tabs>
              <w:spacing w:before="15" w:line="217" w:lineRule="exact"/>
              <w:ind w:right="135"/>
              <w:rPr>
                <w:sz w:val="20"/>
              </w:rPr>
            </w:pPr>
            <w:r>
              <w:rPr>
                <w:spacing w:val="-10"/>
                <w:sz w:val="20"/>
              </w:rPr>
              <w:t>$</w:t>
            </w:r>
            <w:r>
              <w:rPr>
                <w:sz w:val="20"/>
              </w:rPr>
              <w:tab/>
            </w:r>
            <w:r>
              <w:rPr>
                <w:spacing w:val="-2"/>
                <w:sz w:val="20"/>
              </w:rPr>
              <w:t>22.76</w:t>
            </w:r>
          </w:p>
        </w:tc>
        <w:tc>
          <w:tcPr>
            <w:tcW w:w="1024" w:type="dxa"/>
            <w:tcBorders>
              <w:top w:val="single" w:sz="8" w:space="0" w:color="CCEDFF"/>
              <w:bottom w:val="single" w:sz="18" w:space="0" w:color="CCEDFF"/>
            </w:tcBorders>
            <w:shd w:val="clear" w:color="auto" w:fill="CCEDFF"/>
          </w:tcPr>
          <w:p w14:paraId="44A0C824"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24.30</w:t>
            </w:r>
          </w:p>
        </w:tc>
      </w:tr>
    </w:tbl>
    <w:p w14:paraId="755F463A" w14:textId="77777777" w:rsidR="00AE2255" w:rsidRDefault="00AE2255">
      <w:pPr>
        <w:pStyle w:val="BodyText"/>
        <w:spacing w:before="3"/>
        <w:rPr>
          <w:sz w:val="25"/>
        </w:rPr>
      </w:pPr>
    </w:p>
    <w:p w14:paraId="6316202C" w14:textId="77777777" w:rsidR="00AE2255" w:rsidRDefault="00000000">
      <w:pPr>
        <w:pStyle w:val="BodyText"/>
        <w:spacing w:line="249" w:lineRule="auto"/>
        <w:ind w:left="610" w:right="429" w:firstLine="360"/>
        <w:jc w:val="both"/>
      </w:pPr>
      <w:r>
        <w:t>Certain amounts reported in other income (expense), net, including our share of earnings or losses from equity method investees, are included in the operating profit of our business segments. Accordingly, such amounts are included in the discussion of our business segment results of operations.</w:t>
      </w:r>
    </w:p>
    <w:p w14:paraId="62DD109F" w14:textId="77777777" w:rsidR="00AE2255" w:rsidRDefault="00AE2255">
      <w:pPr>
        <w:spacing w:line="249" w:lineRule="auto"/>
        <w:jc w:val="both"/>
        <w:sectPr w:rsidR="00AE2255">
          <w:pgSz w:w="12240" w:h="15840"/>
          <w:pgMar w:top="440" w:right="560" w:bottom="720" w:left="380" w:header="230" w:footer="531" w:gutter="0"/>
          <w:cols w:space="720"/>
        </w:sectPr>
      </w:pPr>
    </w:p>
    <w:p w14:paraId="55D39F64" w14:textId="77777777" w:rsidR="00AE2255" w:rsidRDefault="00AE2255">
      <w:pPr>
        <w:pStyle w:val="BodyText"/>
        <w:spacing w:before="7"/>
        <w:rPr>
          <w:sz w:val="22"/>
        </w:rPr>
      </w:pPr>
    </w:p>
    <w:p w14:paraId="3296B44B" w14:textId="77777777" w:rsidR="00AE2255" w:rsidRDefault="00000000">
      <w:pPr>
        <w:pStyle w:val="Heading2"/>
        <w:spacing w:before="92"/>
      </w:pPr>
      <w:r>
        <w:t>Net</w:t>
      </w:r>
      <w:r>
        <w:rPr>
          <w:spacing w:val="-4"/>
        </w:rPr>
        <w:t xml:space="preserve"> </w:t>
      </w:r>
      <w:r>
        <w:rPr>
          <w:spacing w:val="-2"/>
        </w:rPr>
        <w:t>Sales</w:t>
      </w:r>
    </w:p>
    <w:p w14:paraId="5A8F697A" w14:textId="77777777" w:rsidR="00AE2255" w:rsidRDefault="00AE2255">
      <w:pPr>
        <w:pStyle w:val="BodyText"/>
        <w:spacing w:before="6"/>
        <w:rPr>
          <w:b/>
          <w:sz w:val="18"/>
        </w:rPr>
      </w:pPr>
    </w:p>
    <w:p w14:paraId="4ACE4B0E" w14:textId="77777777" w:rsidR="00AE2255" w:rsidRDefault="00000000">
      <w:pPr>
        <w:pStyle w:val="BodyText"/>
        <w:spacing w:line="249" w:lineRule="auto"/>
        <w:ind w:left="610" w:right="430" w:firstLine="360"/>
      </w:pPr>
      <w:r>
        <w:t>We</w:t>
      </w:r>
      <w:r>
        <w:rPr>
          <w:spacing w:val="-3"/>
        </w:rPr>
        <w:t xml:space="preserve"> </w:t>
      </w:r>
      <w:r>
        <w:t>generate</w:t>
      </w:r>
      <w:r>
        <w:rPr>
          <w:spacing w:val="-3"/>
        </w:rPr>
        <w:t xml:space="preserve"> </w:t>
      </w:r>
      <w:r>
        <w:t>sales</w:t>
      </w:r>
      <w:r>
        <w:rPr>
          <w:spacing w:val="-3"/>
        </w:rPr>
        <w:t xml:space="preserve"> </w:t>
      </w:r>
      <w:r>
        <w:t>from</w:t>
      </w:r>
      <w:r>
        <w:rPr>
          <w:spacing w:val="-3"/>
        </w:rPr>
        <w:t xml:space="preserve"> </w:t>
      </w:r>
      <w:r>
        <w:t>the</w:t>
      </w:r>
      <w:r>
        <w:rPr>
          <w:spacing w:val="-3"/>
        </w:rPr>
        <w:t xml:space="preserve"> </w:t>
      </w:r>
      <w:r>
        <w:t>delivery</w:t>
      </w:r>
      <w:r>
        <w:rPr>
          <w:spacing w:val="-2"/>
        </w:rPr>
        <w:t xml:space="preserve"> </w:t>
      </w:r>
      <w:r>
        <w:t>of</w:t>
      </w:r>
      <w:r>
        <w:rPr>
          <w:spacing w:val="-2"/>
        </w:rPr>
        <w:t xml:space="preserve"> </w:t>
      </w:r>
      <w:r>
        <w:t>products</w:t>
      </w:r>
      <w:r>
        <w:rPr>
          <w:spacing w:val="-3"/>
        </w:rPr>
        <w:t xml:space="preserve"> </w:t>
      </w:r>
      <w:r>
        <w:t>and</w:t>
      </w:r>
      <w:r>
        <w:rPr>
          <w:spacing w:val="-2"/>
        </w:rPr>
        <w:t xml:space="preserve"> </w:t>
      </w:r>
      <w:r>
        <w:t>services</w:t>
      </w:r>
      <w:r>
        <w:rPr>
          <w:spacing w:val="-3"/>
        </w:rPr>
        <w:t xml:space="preserve"> </w:t>
      </w:r>
      <w:r>
        <w:t>to</w:t>
      </w:r>
      <w:r>
        <w:rPr>
          <w:spacing w:val="-2"/>
        </w:rPr>
        <w:t xml:space="preserve"> </w:t>
      </w:r>
      <w:r>
        <w:t>our</w:t>
      </w:r>
      <w:r>
        <w:rPr>
          <w:spacing w:val="-2"/>
        </w:rPr>
        <w:t xml:space="preserve"> </w:t>
      </w:r>
      <w:r>
        <w:t>customers.</w:t>
      </w:r>
      <w:r>
        <w:rPr>
          <w:spacing w:val="-2"/>
        </w:rPr>
        <w:t xml:space="preserve"> </w:t>
      </w:r>
      <w:r>
        <w:t>Our</w:t>
      </w:r>
      <w:r>
        <w:rPr>
          <w:spacing w:val="-2"/>
        </w:rPr>
        <w:t xml:space="preserve"> </w:t>
      </w:r>
      <w:r>
        <w:t>consolidated</w:t>
      </w:r>
      <w:r>
        <w:rPr>
          <w:spacing w:val="-2"/>
        </w:rPr>
        <w:t xml:space="preserve"> </w:t>
      </w:r>
      <w:r>
        <w:t>net</w:t>
      </w:r>
      <w:r>
        <w:rPr>
          <w:spacing w:val="-3"/>
        </w:rPr>
        <w:t xml:space="preserve"> </w:t>
      </w:r>
      <w:r>
        <w:t>sales</w:t>
      </w:r>
      <w:r>
        <w:rPr>
          <w:spacing w:val="-3"/>
        </w:rPr>
        <w:t xml:space="preserve"> </w:t>
      </w:r>
      <w:r>
        <w:t>were</w:t>
      </w:r>
      <w:r>
        <w:rPr>
          <w:spacing w:val="-3"/>
        </w:rPr>
        <w:t xml:space="preserve"> </w:t>
      </w:r>
      <w:r>
        <w:t>as</w:t>
      </w:r>
      <w:r>
        <w:rPr>
          <w:spacing w:val="-3"/>
        </w:rPr>
        <w:t xml:space="preserve"> </w:t>
      </w:r>
      <w:r>
        <w:t>follows (in millions):</w:t>
      </w:r>
    </w:p>
    <w:p w14:paraId="67223AD7" w14:textId="77777777" w:rsidR="00AE2255" w:rsidRDefault="00AE2255">
      <w:pPr>
        <w:pStyle w:val="BodyText"/>
        <w:spacing w:before="3"/>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4150"/>
        <w:gridCol w:w="3305"/>
        <w:gridCol w:w="318"/>
        <w:gridCol w:w="928"/>
        <w:gridCol w:w="302"/>
        <w:gridCol w:w="1215"/>
      </w:tblGrid>
      <w:tr w:rsidR="00AE2255" w14:paraId="2CEFCAB3" w14:textId="77777777">
        <w:trPr>
          <w:trHeight w:val="241"/>
        </w:trPr>
        <w:tc>
          <w:tcPr>
            <w:tcW w:w="4150" w:type="dxa"/>
            <w:tcBorders>
              <w:bottom w:val="single" w:sz="8" w:space="0" w:color="auto"/>
            </w:tcBorders>
          </w:tcPr>
          <w:p w14:paraId="27383362" w14:textId="77777777" w:rsidR="00AE2255" w:rsidRDefault="00AE2255">
            <w:pPr>
              <w:pStyle w:val="TableParagraph"/>
              <w:spacing w:before="0"/>
              <w:jc w:val="left"/>
              <w:rPr>
                <w:sz w:val="16"/>
              </w:rPr>
            </w:pPr>
          </w:p>
        </w:tc>
        <w:tc>
          <w:tcPr>
            <w:tcW w:w="3305" w:type="dxa"/>
            <w:tcBorders>
              <w:bottom w:val="single" w:sz="8" w:space="0" w:color="auto"/>
            </w:tcBorders>
          </w:tcPr>
          <w:p w14:paraId="3217F1F2" w14:textId="77777777" w:rsidR="00AE2255" w:rsidRDefault="00000000">
            <w:pPr>
              <w:pStyle w:val="TableParagraph"/>
              <w:spacing w:before="0" w:line="221" w:lineRule="exact"/>
              <w:ind w:right="50"/>
              <w:rPr>
                <w:b/>
                <w:sz w:val="20"/>
              </w:rPr>
            </w:pPr>
            <w:r>
              <w:rPr>
                <w:b/>
                <w:spacing w:val="-4"/>
                <w:sz w:val="20"/>
              </w:rPr>
              <w:t>2022</w:t>
            </w:r>
          </w:p>
        </w:tc>
        <w:tc>
          <w:tcPr>
            <w:tcW w:w="318" w:type="dxa"/>
            <w:tcBorders>
              <w:bottom w:val="single" w:sz="8" w:space="0" w:color="auto"/>
            </w:tcBorders>
          </w:tcPr>
          <w:p w14:paraId="5BA9A55B" w14:textId="77777777" w:rsidR="00AE2255" w:rsidRDefault="00AE2255">
            <w:pPr>
              <w:pStyle w:val="TableParagraph"/>
              <w:spacing w:before="0"/>
              <w:jc w:val="left"/>
              <w:rPr>
                <w:sz w:val="16"/>
              </w:rPr>
            </w:pPr>
          </w:p>
        </w:tc>
        <w:tc>
          <w:tcPr>
            <w:tcW w:w="928" w:type="dxa"/>
            <w:tcBorders>
              <w:bottom w:val="single" w:sz="8" w:space="0" w:color="auto"/>
            </w:tcBorders>
          </w:tcPr>
          <w:p w14:paraId="16398919" w14:textId="77777777" w:rsidR="00AE2255" w:rsidRDefault="00000000">
            <w:pPr>
              <w:pStyle w:val="TableParagraph"/>
              <w:spacing w:before="0" w:line="221" w:lineRule="exact"/>
              <w:ind w:right="51"/>
              <w:rPr>
                <w:b/>
                <w:sz w:val="20"/>
              </w:rPr>
            </w:pPr>
            <w:r>
              <w:rPr>
                <w:b/>
                <w:spacing w:val="-4"/>
                <w:sz w:val="20"/>
              </w:rPr>
              <w:t>2021</w:t>
            </w:r>
          </w:p>
        </w:tc>
        <w:tc>
          <w:tcPr>
            <w:tcW w:w="302" w:type="dxa"/>
            <w:tcBorders>
              <w:bottom w:val="single" w:sz="8" w:space="0" w:color="auto"/>
            </w:tcBorders>
          </w:tcPr>
          <w:p w14:paraId="384D5348" w14:textId="77777777" w:rsidR="00AE2255" w:rsidRDefault="00AE2255">
            <w:pPr>
              <w:pStyle w:val="TableParagraph"/>
              <w:spacing w:before="0"/>
              <w:jc w:val="left"/>
              <w:rPr>
                <w:sz w:val="16"/>
              </w:rPr>
            </w:pPr>
          </w:p>
        </w:tc>
        <w:tc>
          <w:tcPr>
            <w:tcW w:w="1215" w:type="dxa"/>
            <w:tcBorders>
              <w:bottom w:val="single" w:sz="8" w:space="0" w:color="auto"/>
            </w:tcBorders>
          </w:tcPr>
          <w:p w14:paraId="0980CAC6" w14:textId="77777777" w:rsidR="00AE2255" w:rsidRDefault="00000000">
            <w:pPr>
              <w:pStyle w:val="TableParagraph"/>
              <w:spacing w:before="0" w:line="221" w:lineRule="exact"/>
              <w:ind w:left="489"/>
              <w:jc w:val="left"/>
              <w:rPr>
                <w:b/>
                <w:sz w:val="20"/>
              </w:rPr>
            </w:pPr>
            <w:r>
              <w:rPr>
                <w:b/>
                <w:spacing w:val="-4"/>
                <w:sz w:val="20"/>
              </w:rPr>
              <w:t>2020</w:t>
            </w:r>
          </w:p>
        </w:tc>
      </w:tr>
      <w:tr w:rsidR="00AE2255" w14:paraId="3DE1E57A" w14:textId="77777777">
        <w:trPr>
          <w:trHeight w:val="275"/>
        </w:trPr>
        <w:tc>
          <w:tcPr>
            <w:tcW w:w="4150" w:type="dxa"/>
            <w:tcBorders>
              <w:top w:val="single" w:sz="8" w:space="0" w:color="CCEDFF"/>
            </w:tcBorders>
            <w:shd w:val="clear" w:color="auto" w:fill="CCEDFF"/>
          </w:tcPr>
          <w:p w14:paraId="063FF46C" w14:textId="77777777" w:rsidR="00AE2255" w:rsidRDefault="00000000">
            <w:pPr>
              <w:pStyle w:val="TableParagraph"/>
              <w:spacing w:before="17"/>
              <w:ind w:left="52"/>
              <w:jc w:val="left"/>
              <w:rPr>
                <w:sz w:val="20"/>
              </w:rPr>
            </w:pPr>
            <w:r>
              <w:rPr>
                <w:spacing w:val="-2"/>
                <w:sz w:val="20"/>
              </w:rPr>
              <w:t>Products</w:t>
            </w:r>
          </w:p>
        </w:tc>
        <w:tc>
          <w:tcPr>
            <w:tcW w:w="3305" w:type="dxa"/>
            <w:tcBorders>
              <w:top w:val="single" w:sz="8" w:space="0" w:color="CCEDFF"/>
            </w:tcBorders>
            <w:shd w:val="clear" w:color="auto" w:fill="CCEDFF"/>
          </w:tcPr>
          <w:p w14:paraId="5E9079F9" w14:textId="77777777" w:rsidR="00AE2255" w:rsidRDefault="00000000">
            <w:pPr>
              <w:pStyle w:val="TableParagraph"/>
              <w:spacing w:before="15"/>
              <w:ind w:right="79"/>
              <w:rPr>
                <w:b/>
                <w:sz w:val="20"/>
              </w:rPr>
            </w:pPr>
            <w:r>
              <w:rPr>
                <w:b/>
                <w:sz w:val="20"/>
              </w:rPr>
              <w:t>$</w:t>
            </w:r>
            <w:r>
              <w:rPr>
                <w:b/>
                <w:spacing w:val="80"/>
                <w:sz w:val="20"/>
              </w:rPr>
              <w:t xml:space="preserve"> </w:t>
            </w:r>
            <w:r>
              <w:rPr>
                <w:b/>
                <w:spacing w:val="-2"/>
                <w:sz w:val="20"/>
              </w:rPr>
              <w:t>55,466</w:t>
            </w:r>
          </w:p>
        </w:tc>
        <w:tc>
          <w:tcPr>
            <w:tcW w:w="318" w:type="dxa"/>
            <w:tcBorders>
              <w:top w:val="single" w:sz="8" w:space="0" w:color="CCEDFF"/>
            </w:tcBorders>
            <w:shd w:val="clear" w:color="auto" w:fill="CCEDFF"/>
          </w:tcPr>
          <w:p w14:paraId="67A41BC6" w14:textId="77777777" w:rsidR="00AE2255" w:rsidRDefault="00AE2255">
            <w:pPr>
              <w:pStyle w:val="TableParagraph"/>
              <w:spacing w:before="0"/>
              <w:jc w:val="left"/>
              <w:rPr>
                <w:sz w:val="20"/>
              </w:rPr>
            </w:pPr>
          </w:p>
        </w:tc>
        <w:tc>
          <w:tcPr>
            <w:tcW w:w="928" w:type="dxa"/>
            <w:tcBorders>
              <w:top w:val="single" w:sz="8" w:space="0" w:color="CCEDFF"/>
            </w:tcBorders>
            <w:shd w:val="clear" w:color="auto" w:fill="CCEDFF"/>
          </w:tcPr>
          <w:p w14:paraId="1DCA5E5D" w14:textId="77777777" w:rsidR="00AE2255" w:rsidRDefault="00000000">
            <w:pPr>
              <w:pStyle w:val="TableParagraph"/>
              <w:spacing w:before="15"/>
              <w:ind w:right="80"/>
              <w:rPr>
                <w:sz w:val="20"/>
              </w:rPr>
            </w:pPr>
            <w:r>
              <w:rPr>
                <w:sz w:val="20"/>
              </w:rPr>
              <w:t>$</w:t>
            </w:r>
            <w:r>
              <w:rPr>
                <w:spacing w:val="80"/>
                <w:sz w:val="20"/>
              </w:rPr>
              <w:t xml:space="preserve"> </w:t>
            </w:r>
            <w:r>
              <w:rPr>
                <w:spacing w:val="-2"/>
                <w:sz w:val="20"/>
              </w:rPr>
              <w:t>56,435</w:t>
            </w:r>
          </w:p>
        </w:tc>
        <w:tc>
          <w:tcPr>
            <w:tcW w:w="302" w:type="dxa"/>
            <w:tcBorders>
              <w:top w:val="single" w:sz="8" w:space="0" w:color="CCEDFF"/>
            </w:tcBorders>
            <w:shd w:val="clear" w:color="auto" w:fill="CCEDFF"/>
          </w:tcPr>
          <w:p w14:paraId="7792CAAE" w14:textId="77777777" w:rsidR="00AE2255" w:rsidRDefault="00AE2255">
            <w:pPr>
              <w:pStyle w:val="TableParagraph"/>
              <w:spacing w:before="0"/>
              <w:jc w:val="left"/>
              <w:rPr>
                <w:sz w:val="20"/>
              </w:rPr>
            </w:pPr>
          </w:p>
        </w:tc>
        <w:tc>
          <w:tcPr>
            <w:tcW w:w="1215" w:type="dxa"/>
            <w:tcBorders>
              <w:top w:val="single" w:sz="8" w:space="0" w:color="CCEDFF"/>
            </w:tcBorders>
            <w:shd w:val="clear" w:color="auto" w:fill="CCEDFF"/>
          </w:tcPr>
          <w:p w14:paraId="55767E8E" w14:textId="77777777" w:rsidR="00AE2255" w:rsidRDefault="00000000">
            <w:pPr>
              <w:pStyle w:val="TableParagraph"/>
              <w:spacing w:before="15"/>
              <w:ind w:left="79"/>
              <w:jc w:val="left"/>
              <w:rPr>
                <w:sz w:val="20"/>
              </w:rPr>
            </w:pPr>
            <w:r>
              <w:rPr>
                <w:sz w:val="20"/>
              </w:rPr>
              <w:t>$</w:t>
            </w:r>
            <w:r>
              <w:rPr>
                <w:spacing w:val="80"/>
                <w:sz w:val="20"/>
              </w:rPr>
              <w:t xml:space="preserve"> </w:t>
            </w:r>
            <w:r>
              <w:rPr>
                <w:spacing w:val="-2"/>
                <w:sz w:val="20"/>
              </w:rPr>
              <w:t>54,928</w:t>
            </w:r>
          </w:p>
        </w:tc>
      </w:tr>
      <w:tr w:rsidR="00AE2255" w14:paraId="2FCB3C59" w14:textId="77777777">
        <w:trPr>
          <w:trHeight w:val="285"/>
        </w:trPr>
        <w:tc>
          <w:tcPr>
            <w:tcW w:w="4150" w:type="dxa"/>
          </w:tcPr>
          <w:p w14:paraId="1E2D55A2" w14:textId="77777777" w:rsidR="00AE2255" w:rsidRDefault="00000000">
            <w:pPr>
              <w:pStyle w:val="TableParagraph"/>
              <w:spacing w:before="27"/>
              <w:ind w:right="2440"/>
              <w:rPr>
                <w:sz w:val="20"/>
              </w:rPr>
            </w:pPr>
            <w:r>
              <w:rPr>
                <w:sz w:val="20"/>
              </w:rPr>
              <w:t>%</w:t>
            </w:r>
            <w:r>
              <w:rPr>
                <w:spacing w:val="-2"/>
                <w:sz w:val="20"/>
              </w:rPr>
              <w:t xml:space="preserve"> </w:t>
            </w:r>
            <w:proofErr w:type="gramStart"/>
            <w:r>
              <w:rPr>
                <w:sz w:val="20"/>
              </w:rPr>
              <w:t>of</w:t>
            </w:r>
            <w:proofErr w:type="gramEnd"/>
            <w:r>
              <w:rPr>
                <w:spacing w:val="-1"/>
                <w:sz w:val="20"/>
              </w:rPr>
              <w:t xml:space="preserve"> </w:t>
            </w:r>
            <w:r>
              <w:rPr>
                <w:sz w:val="20"/>
              </w:rPr>
              <w:t>total</w:t>
            </w:r>
            <w:r>
              <w:rPr>
                <w:spacing w:val="-2"/>
                <w:sz w:val="20"/>
              </w:rPr>
              <w:t xml:space="preserve"> </w:t>
            </w:r>
            <w:r>
              <w:rPr>
                <w:sz w:val="20"/>
              </w:rPr>
              <w:t>net</w:t>
            </w:r>
            <w:r>
              <w:rPr>
                <w:spacing w:val="-1"/>
                <w:sz w:val="20"/>
              </w:rPr>
              <w:t xml:space="preserve"> </w:t>
            </w:r>
            <w:r>
              <w:rPr>
                <w:spacing w:val="-2"/>
                <w:sz w:val="20"/>
              </w:rPr>
              <w:t>sales</w:t>
            </w:r>
          </w:p>
        </w:tc>
        <w:tc>
          <w:tcPr>
            <w:tcW w:w="3305" w:type="dxa"/>
          </w:tcPr>
          <w:p w14:paraId="4C3AF94C" w14:textId="77777777" w:rsidR="00AE2255" w:rsidRDefault="00000000">
            <w:pPr>
              <w:pStyle w:val="TableParagraph"/>
              <w:ind w:right="79"/>
              <w:rPr>
                <w:b/>
                <w:sz w:val="20"/>
              </w:rPr>
            </w:pPr>
            <w:r>
              <w:rPr>
                <w:b/>
                <w:spacing w:val="-4"/>
                <w:sz w:val="20"/>
              </w:rPr>
              <w:t>84.1</w:t>
            </w:r>
          </w:p>
        </w:tc>
        <w:tc>
          <w:tcPr>
            <w:tcW w:w="318" w:type="dxa"/>
          </w:tcPr>
          <w:p w14:paraId="0D7AC376" w14:textId="77777777" w:rsidR="00AE2255" w:rsidRDefault="00000000">
            <w:pPr>
              <w:pStyle w:val="TableParagraph"/>
              <w:ind w:left="52"/>
              <w:jc w:val="left"/>
              <w:rPr>
                <w:b/>
                <w:sz w:val="20"/>
              </w:rPr>
            </w:pPr>
            <w:r>
              <w:rPr>
                <w:b/>
                <w:sz w:val="20"/>
              </w:rPr>
              <w:t>%</w:t>
            </w:r>
          </w:p>
        </w:tc>
        <w:tc>
          <w:tcPr>
            <w:tcW w:w="928" w:type="dxa"/>
          </w:tcPr>
          <w:p w14:paraId="39A93A18" w14:textId="77777777" w:rsidR="00AE2255" w:rsidRDefault="00000000">
            <w:pPr>
              <w:pStyle w:val="TableParagraph"/>
              <w:ind w:right="80"/>
              <w:rPr>
                <w:sz w:val="20"/>
              </w:rPr>
            </w:pPr>
            <w:r>
              <w:rPr>
                <w:spacing w:val="-4"/>
                <w:sz w:val="20"/>
              </w:rPr>
              <w:t>84.2</w:t>
            </w:r>
          </w:p>
        </w:tc>
        <w:tc>
          <w:tcPr>
            <w:tcW w:w="302" w:type="dxa"/>
          </w:tcPr>
          <w:p w14:paraId="2C267559" w14:textId="77777777" w:rsidR="00AE2255" w:rsidRDefault="00000000">
            <w:pPr>
              <w:pStyle w:val="TableParagraph"/>
              <w:ind w:right="30"/>
              <w:jc w:val="center"/>
              <w:rPr>
                <w:sz w:val="20"/>
              </w:rPr>
            </w:pPr>
            <w:r>
              <w:rPr>
                <w:sz w:val="20"/>
              </w:rPr>
              <w:t>%</w:t>
            </w:r>
          </w:p>
        </w:tc>
        <w:tc>
          <w:tcPr>
            <w:tcW w:w="1215" w:type="dxa"/>
          </w:tcPr>
          <w:p w14:paraId="5A70ADDF" w14:textId="77777777" w:rsidR="00AE2255" w:rsidRDefault="00000000">
            <w:pPr>
              <w:pStyle w:val="TableParagraph"/>
              <w:ind w:right="51"/>
              <w:rPr>
                <w:sz w:val="20"/>
              </w:rPr>
            </w:pPr>
            <w:r>
              <w:rPr>
                <w:sz w:val="20"/>
              </w:rPr>
              <w:t>84.0</w:t>
            </w:r>
            <w:r>
              <w:rPr>
                <w:spacing w:val="59"/>
                <w:w w:val="150"/>
                <w:sz w:val="20"/>
              </w:rPr>
              <w:t xml:space="preserve"> </w:t>
            </w:r>
            <w:r>
              <w:rPr>
                <w:spacing w:val="-10"/>
                <w:sz w:val="20"/>
              </w:rPr>
              <w:t>%</w:t>
            </w:r>
          </w:p>
        </w:tc>
      </w:tr>
      <w:tr w:rsidR="00AE2255" w14:paraId="20BBE05E" w14:textId="77777777">
        <w:trPr>
          <w:trHeight w:val="285"/>
        </w:trPr>
        <w:tc>
          <w:tcPr>
            <w:tcW w:w="4150" w:type="dxa"/>
            <w:shd w:val="clear" w:color="auto" w:fill="CCEDFF"/>
          </w:tcPr>
          <w:p w14:paraId="22D6F13C" w14:textId="77777777" w:rsidR="00AE2255" w:rsidRDefault="00000000">
            <w:pPr>
              <w:pStyle w:val="TableParagraph"/>
              <w:spacing w:before="27"/>
              <w:ind w:left="52"/>
              <w:jc w:val="left"/>
              <w:rPr>
                <w:sz w:val="20"/>
              </w:rPr>
            </w:pPr>
            <w:r>
              <w:rPr>
                <w:spacing w:val="-2"/>
                <w:sz w:val="20"/>
              </w:rPr>
              <w:t>Services</w:t>
            </w:r>
          </w:p>
        </w:tc>
        <w:tc>
          <w:tcPr>
            <w:tcW w:w="3305" w:type="dxa"/>
            <w:shd w:val="clear" w:color="auto" w:fill="CCEDFF"/>
          </w:tcPr>
          <w:p w14:paraId="2AF1488A" w14:textId="77777777" w:rsidR="00AE2255" w:rsidRDefault="00000000">
            <w:pPr>
              <w:pStyle w:val="TableParagraph"/>
              <w:ind w:right="79"/>
              <w:rPr>
                <w:b/>
                <w:sz w:val="20"/>
              </w:rPr>
            </w:pPr>
            <w:r>
              <w:rPr>
                <w:b/>
                <w:spacing w:val="-2"/>
                <w:sz w:val="20"/>
              </w:rPr>
              <w:t>10,518</w:t>
            </w:r>
          </w:p>
        </w:tc>
        <w:tc>
          <w:tcPr>
            <w:tcW w:w="318" w:type="dxa"/>
            <w:shd w:val="clear" w:color="auto" w:fill="CCEDFF"/>
          </w:tcPr>
          <w:p w14:paraId="0578A363" w14:textId="77777777" w:rsidR="00AE2255" w:rsidRDefault="00AE2255">
            <w:pPr>
              <w:pStyle w:val="TableParagraph"/>
              <w:spacing w:before="0"/>
              <w:jc w:val="left"/>
              <w:rPr>
                <w:sz w:val="20"/>
              </w:rPr>
            </w:pPr>
          </w:p>
        </w:tc>
        <w:tc>
          <w:tcPr>
            <w:tcW w:w="928" w:type="dxa"/>
            <w:shd w:val="clear" w:color="auto" w:fill="CCEDFF"/>
          </w:tcPr>
          <w:p w14:paraId="0020CADC" w14:textId="77777777" w:rsidR="00AE2255" w:rsidRDefault="00000000">
            <w:pPr>
              <w:pStyle w:val="TableParagraph"/>
              <w:ind w:right="80"/>
              <w:rPr>
                <w:sz w:val="20"/>
              </w:rPr>
            </w:pPr>
            <w:r>
              <w:rPr>
                <w:spacing w:val="-2"/>
                <w:sz w:val="20"/>
              </w:rPr>
              <w:t>10,609</w:t>
            </w:r>
          </w:p>
        </w:tc>
        <w:tc>
          <w:tcPr>
            <w:tcW w:w="302" w:type="dxa"/>
            <w:shd w:val="clear" w:color="auto" w:fill="CCEDFF"/>
          </w:tcPr>
          <w:p w14:paraId="05130EC0" w14:textId="77777777" w:rsidR="00AE2255" w:rsidRDefault="00AE2255">
            <w:pPr>
              <w:pStyle w:val="TableParagraph"/>
              <w:spacing w:before="0"/>
              <w:jc w:val="left"/>
              <w:rPr>
                <w:sz w:val="20"/>
              </w:rPr>
            </w:pPr>
          </w:p>
        </w:tc>
        <w:tc>
          <w:tcPr>
            <w:tcW w:w="1215" w:type="dxa"/>
            <w:shd w:val="clear" w:color="auto" w:fill="CCEDFF"/>
          </w:tcPr>
          <w:p w14:paraId="47299166" w14:textId="77777777" w:rsidR="00AE2255" w:rsidRDefault="00000000">
            <w:pPr>
              <w:pStyle w:val="TableParagraph"/>
              <w:ind w:left="310"/>
              <w:jc w:val="left"/>
              <w:rPr>
                <w:sz w:val="20"/>
              </w:rPr>
            </w:pPr>
            <w:r>
              <w:rPr>
                <w:spacing w:val="-2"/>
                <w:sz w:val="20"/>
              </w:rPr>
              <w:t>10,470</w:t>
            </w:r>
          </w:p>
        </w:tc>
      </w:tr>
      <w:tr w:rsidR="00AE2255" w14:paraId="028AF520" w14:textId="77777777">
        <w:trPr>
          <w:trHeight w:val="275"/>
        </w:trPr>
        <w:tc>
          <w:tcPr>
            <w:tcW w:w="4150" w:type="dxa"/>
            <w:tcBorders>
              <w:bottom w:val="single" w:sz="8" w:space="0" w:color="auto"/>
            </w:tcBorders>
          </w:tcPr>
          <w:p w14:paraId="629B2F78" w14:textId="77777777" w:rsidR="00AE2255" w:rsidRDefault="00000000">
            <w:pPr>
              <w:pStyle w:val="TableParagraph"/>
              <w:spacing w:before="27" w:line="228" w:lineRule="exact"/>
              <w:ind w:right="2440"/>
              <w:rPr>
                <w:sz w:val="20"/>
              </w:rPr>
            </w:pPr>
            <w:r>
              <w:rPr>
                <w:sz w:val="20"/>
              </w:rPr>
              <w:t>%</w:t>
            </w:r>
            <w:r>
              <w:rPr>
                <w:spacing w:val="-2"/>
                <w:sz w:val="20"/>
              </w:rPr>
              <w:t xml:space="preserve"> </w:t>
            </w:r>
            <w:proofErr w:type="gramStart"/>
            <w:r>
              <w:rPr>
                <w:sz w:val="20"/>
              </w:rPr>
              <w:t>of</w:t>
            </w:r>
            <w:proofErr w:type="gramEnd"/>
            <w:r>
              <w:rPr>
                <w:spacing w:val="-1"/>
                <w:sz w:val="20"/>
              </w:rPr>
              <w:t xml:space="preserve"> </w:t>
            </w:r>
            <w:r>
              <w:rPr>
                <w:sz w:val="20"/>
              </w:rPr>
              <w:t>total</w:t>
            </w:r>
            <w:r>
              <w:rPr>
                <w:spacing w:val="-2"/>
                <w:sz w:val="20"/>
              </w:rPr>
              <w:t xml:space="preserve"> </w:t>
            </w:r>
            <w:r>
              <w:rPr>
                <w:sz w:val="20"/>
              </w:rPr>
              <w:t>net</w:t>
            </w:r>
            <w:r>
              <w:rPr>
                <w:spacing w:val="-1"/>
                <w:sz w:val="20"/>
              </w:rPr>
              <w:t xml:space="preserve"> </w:t>
            </w:r>
            <w:r>
              <w:rPr>
                <w:spacing w:val="-2"/>
                <w:sz w:val="20"/>
              </w:rPr>
              <w:t>sales</w:t>
            </w:r>
          </w:p>
        </w:tc>
        <w:tc>
          <w:tcPr>
            <w:tcW w:w="3305" w:type="dxa"/>
            <w:tcBorders>
              <w:bottom w:val="single" w:sz="8" w:space="0" w:color="auto"/>
            </w:tcBorders>
          </w:tcPr>
          <w:p w14:paraId="7678E6B5" w14:textId="77777777" w:rsidR="00AE2255" w:rsidRDefault="00000000">
            <w:pPr>
              <w:pStyle w:val="TableParagraph"/>
              <w:spacing w:line="230" w:lineRule="exact"/>
              <w:ind w:right="79"/>
              <w:rPr>
                <w:b/>
                <w:sz w:val="20"/>
              </w:rPr>
            </w:pPr>
            <w:r>
              <w:rPr>
                <w:b/>
                <w:spacing w:val="-4"/>
                <w:sz w:val="20"/>
              </w:rPr>
              <w:t>15.9</w:t>
            </w:r>
          </w:p>
        </w:tc>
        <w:tc>
          <w:tcPr>
            <w:tcW w:w="318" w:type="dxa"/>
            <w:tcBorders>
              <w:bottom w:val="single" w:sz="8" w:space="0" w:color="auto"/>
            </w:tcBorders>
          </w:tcPr>
          <w:p w14:paraId="17379EF9" w14:textId="77777777" w:rsidR="00AE2255" w:rsidRDefault="00000000">
            <w:pPr>
              <w:pStyle w:val="TableParagraph"/>
              <w:spacing w:line="230" w:lineRule="exact"/>
              <w:ind w:left="52"/>
              <w:jc w:val="left"/>
              <w:rPr>
                <w:b/>
                <w:sz w:val="20"/>
              </w:rPr>
            </w:pPr>
            <w:r>
              <w:rPr>
                <w:b/>
                <w:sz w:val="20"/>
              </w:rPr>
              <w:t>%</w:t>
            </w:r>
          </w:p>
        </w:tc>
        <w:tc>
          <w:tcPr>
            <w:tcW w:w="928" w:type="dxa"/>
            <w:tcBorders>
              <w:bottom w:val="single" w:sz="8" w:space="0" w:color="auto"/>
            </w:tcBorders>
          </w:tcPr>
          <w:p w14:paraId="4BDA7B9E" w14:textId="77777777" w:rsidR="00AE2255" w:rsidRDefault="00000000">
            <w:pPr>
              <w:pStyle w:val="TableParagraph"/>
              <w:spacing w:line="230" w:lineRule="exact"/>
              <w:ind w:right="80"/>
              <w:rPr>
                <w:sz w:val="20"/>
              </w:rPr>
            </w:pPr>
            <w:r>
              <w:rPr>
                <w:spacing w:val="-4"/>
                <w:sz w:val="20"/>
              </w:rPr>
              <w:t>15.8</w:t>
            </w:r>
          </w:p>
        </w:tc>
        <w:tc>
          <w:tcPr>
            <w:tcW w:w="302" w:type="dxa"/>
            <w:tcBorders>
              <w:bottom w:val="single" w:sz="8" w:space="0" w:color="auto"/>
            </w:tcBorders>
          </w:tcPr>
          <w:p w14:paraId="17C528FA" w14:textId="77777777" w:rsidR="00AE2255" w:rsidRDefault="00000000">
            <w:pPr>
              <w:pStyle w:val="TableParagraph"/>
              <w:spacing w:line="230" w:lineRule="exact"/>
              <w:ind w:right="30"/>
              <w:jc w:val="center"/>
              <w:rPr>
                <w:sz w:val="20"/>
              </w:rPr>
            </w:pPr>
            <w:r>
              <w:rPr>
                <w:sz w:val="20"/>
              </w:rPr>
              <w:t>%</w:t>
            </w:r>
          </w:p>
        </w:tc>
        <w:tc>
          <w:tcPr>
            <w:tcW w:w="1215" w:type="dxa"/>
            <w:tcBorders>
              <w:bottom w:val="single" w:sz="8" w:space="0" w:color="auto"/>
            </w:tcBorders>
          </w:tcPr>
          <w:p w14:paraId="01C1CABA" w14:textId="77777777" w:rsidR="00AE2255" w:rsidRDefault="00000000">
            <w:pPr>
              <w:pStyle w:val="TableParagraph"/>
              <w:spacing w:line="230" w:lineRule="exact"/>
              <w:ind w:right="51"/>
              <w:rPr>
                <w:sz w:val="20"/>
              </w:rPr>
            </w:pPr>
            <w:r>
              <w:rPr>
                <w:sz w:val="20"/>
              </w:rPr>
              <w:t>16.0</w:t>
            </w:r>
            <w:r>
              <w:rPr>
                <w:spacing w:val="59"/>
                <w:w w:val="150"/>
                <w:sz w:val="20"/>
              </w:rPr>
              <w:t xml:space="preserve"> </w:t>
            </w:r>
            <w:r>
              <w:rPr>
                <w:spacing w:val="-10"/>
                <w:sz w:val="20"/>
              </w:rPr>
              <w:t>%</w:t>
            </w:r>
          </w:p>
        </w:tc>
      </w:tr>
      <w:tr w:rsidR="00AE2255" w14:paraId="1E54D054" w14:textId="77777777">
        <w:trPr>
          <w:trHeight w:val="252"/>
        </w:trPr>
        <w:tc>
          <w:tcPr>
            <w:tcW w:w="4150" w:type="dxa"/>
            <w:tcBorders>
              <w:top w:val="single" w:sz="8" w:space="0" w:color="CCEDFF"/>
              <w:bottom w:val="single" w:sz="18" w:space="0" w:color="CCEDFF"/>
            </w:tcBorders>
            <w:shd w:val="clear" w:color="auto" w:fill="CCEDFF"/>
          </w:tcPr>
          <w:p w14:paraId="27EA7EE8" w14:textId="77777777" w:rsidR="00AE2255" w:rsidRDefault="00000000">
            <w:pPr>
              <w:pStyle w:val="TableParagraph"/>
              <w:spacing w:before="17" w:line="216" w:lineRule="exact"/>
              <w:ind w:left="412"/>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3305" w:type="dxa"/>
            <w:tcBorders>
              <w:top w:val="single" w:sz="8" w:space="0" w:color="CCEDFF"/>
              <w:bottom w:val="single" w:sz="18" w:space="0" w:color="CCEDFF"/>
            </w:tcBorders>
            <w:shd w:val="clear" w:color="auto" w:fill="CCEDFF"/>
          </w:tcPr>
          <w:p w14:paraId="6A13502F" w14:textId="77777777" w:rsidR="00AE2255" w:rsidRDefault="00000000">
            <w:pPr>
              <w:pStyle w:val="TableParagraph"/>
              <w:spacing w:before="15" w:line="217" w:lineRule="exact"/>
              <w:ind w:right="79"/>
              <w:rPr>
                <w:b/>
                <w:sz w:val="20"/>
              </w:rPr>
            </w:pPr>
            <w:r>
              <w:rPr>
                <w:b/>
                <w:sz w:val="20"/>
              </w:rPr>
              <w:t>$</w:t>
            </w:r>
            <w:r>
              <w:rPr>
                <w:b/>
                <w:spacing w:val="80"/>
                <w:sz w:val="20"/>
              </w:rPr>
              <w:t xml:space="preserve"> </w:t>
            </w:r>
            <w:r>
              <w:rPr>
                <w:b/>
                <w:spacing w:val="-2"/>
                <w:sz w:val="20"/>
              </w:rPr>
              <w:t>65,984</w:t>
            </w:r>
          </w:p>
        </w:tc>
        <w:tc>
          <w:tcPr>
            <w:tcW w:w="318" w:type="dxa"/>
            <w:tcBorders>
              <w:top w:val="single" w:sz="8" w:space="0" w:color="CCEDFF"/>
              <w:bottom w:val="single" w:sz="18" w:space="0" w:color="CCEDFF"/>
            </w:tcBorders>
            <w:shd w:val="clear" w:color="auto" w:fill="CCEDFF"/>
          </w:tcPr>
          <w:p w14:paraId="01F7FF55" w14:textId="77777777" w:rsidR="00AE2255" w:rsidRDefault="00AE2255">
            <w:pPr>
              <w:pStyle w:val="TableParagraph"/>
              <w:spacing w:before="0"/>
              <w:jc w:val="left"/>
              <w:rPr>
                <w:sz w:val="18"/>
              </w:rPr>
            </w:pPr>
          </w:p>
        </w:tc>
        <w:tc>
          <w:tcPr>
            <w:tcW w:w="928" w:type="dxa"/>
            <w:tcBorders>
              <w:top w:val="single" w:sz="8" w:space="0" w:color="CCEDFF"/>
              <w:bottom w:val="single" w:sz="18" w:space="0" w:color="CCEDFF"/>
            </w:tcBorders>
            <w:shd w:val="clear" w:color="auto" w:fill="CCEDFF"/>
          </w:tcPr>
          <w:p w14:paraId="220B14B5" w14:textId="77777777" w:rsidR="00AE2255" w:rsidRDefault="00000000">
            <w:pPr>
              <w:pStyle w:val="TableParagraph"/>
              <w:spacing w:before="15" w:line="217" w:lineRule="exact"/>
              <w:ind w:right="80"/>
              <w:rPr>
                <w:sz w:val="20"/>
              </w:rPr>
            </w:pPr>
            <w:r>
              <w:rPr>
                <w:sz w:val="20"/>
              </w:rPr>
              <w:t>$</w:t>
            </w:r>
            <w:r>
              <w:rPr>
                <w:spacing w:val="80"/>
                <w:sz w:val="20"/>
              </w:rPr>
              <w:t xml:space="preserve"> </w:t>
            </w:r>
            <w:r>
              <w:rPr>
                <w:spacing w:val="-2"/>
                <w:sz w:val="20"/>
              </w:rPr>
              <w:t>67,044</w:t>
            </w:r>
          </w:p>
        </w:tc>
        <w:tc>
          <w:tcPr>
            <w:tcW w:w="302" w:type="dxa"/>
            <w:tcBorders>
              <w:top w:val="single" w:sz="8" w:space="0" w:color="CCEDFF"/>
              <w:bottom w:val="single" w:sz="18" w:space="0" w:color="CCEDFF"/>
            </w:tcBorders>
            <w:shd w:val="clear" w:color="auto" w:fill="CCEDFF"/>
          </w:tcPr>
          <w:p w14:paraId="1E261968" w14:textId="77777777" w:rsidR="00AE2255" w:rsidRDefault="00AE2255">
            <w:pPr>
              <w:pStyle w:val="TableParagraph"/>
              <w:spacing w:before="0"/>
              <w:jc w:val="left"/>
              <w:rPr>
                <w:sz w:val="18"/>
              </w:rPr>
            </w:pPr>
          </w:p>
        </w:tc>
        <w:tc>
          <w:tcPr>
            <w:tcW w:w="1215" w:type="dxa"/>
            <w:tcBorders>
              <w:top w:val="single" w:sz="8" w:space="0" w:color="CCEDFF"/>
              <w:bottom w:val="single" w:sz="18" w:space="0" w:color="CCEDFF"/>
            </w:tcBorders>
            <w:shd w:val="clear" w:color="auto" w:fill="CCEDFF"/>
          </w:tcPr>
          <w:p w14:paraId="36A9775C" w14:textId="77777777" w:rsidR="00AE2255" w:rsidRDefault="00000000">
            <w:pPr>
              <w:pStyle w:val="TableParagraph"/>
              <w:spacing w:before="15" w:line="217" w:lineRule="exact"/>
              <w:ind w:left="79"/>
              <w:jc w:val="left"/>
              <w:rPr>
                <w:sz w:val="20"/>
              </w:rPr>
            </w:pPr>
            <w:r>
              <w:rPr>
                <w:sz w:val="20"/>
              </w:rPr>
              <w:t>$</w:t>
            </w:r>
            <w:r>
              <w:rPr>
                <w:spacing w:val="80"/>
                <w:sz w:val="20"/>
              </w:rPr>
              <w:t xml:space="preserve"> </w:t>
            </w:r>
            <w:r>
              <w:rPr>
                <w:spacing w:val="-2"/>
                <w:sz w:val="20"/>
              </w:rPr>
              <w:t>65,398</w:t>
            </w:r>
          </w:p>
        </w:tc>
      </w:tr>
    </w:tbl>
    <w:p w14:paraId="36C8DA11" w14:textId="77777777" w:rsidR="00AE2255" w:rsidRDefault="00AE2255">
      <w:pPr>
        <w:pStyle w:val="BodyText"/>
      </w:pPr>
    </w:p>
    <w:p w14:paraId="526296D1" w14:textId="77777777" w:rsidR="00AE2255" w:rsidRDefault="00000000">
      <w:pPr>
        <w:pStyle w:val="BodyText"/>
        <w:spacing w:line="249" w:lineRule="auto"/>
        <w:ind w:left="610" w:right="428" w:firstLine="495"/>
        <w:jc w:val="both"/>
      </w:pPr>
      <w:r>
        <w:t xml:space="preserve">Substantially </w:t>
      </w:r>
      <w:proofErr w:type="gramStart"/>
      <w:r>
        <w:t>all of</w:t>
      </w:r>
      <w:proofErr w:type="gramEnd"/>
      <w:r>
        <w:t xml:space="preserve"> our contracts are accounted for using the percentage-of-completion cost-to-cost method. Under the percentage-of-completion cost-to-cost method, we record net sales on contracts over time based upon our progress towards completion on a</w:t>
      </w:r>
      <w:r>
        <w:rPr>
          <w:spacing w:val="-1"/>
        </w:rPr>
        <w:t xml:space="preserve"> </w:t>
      </w:r>
      <w:r>
        <w:t>particular contract, as</w:t>
      </w:r>
      <w:r>
        <w:rPr>
          <w:spacing w:val="-1"/>
        </w:rPr>
        <w:t xml:space="preserve"> </w:t>
      </w:r>
      <w:r>
        <w:t>well</w:t>
      </w:r>
      <w:r>
        <w:rPr>
          <w:spacing w:val="-1"/>
        </w:rPr>
        <w:t xml:space="preserve"> </w:t>
      </w:r>
      <w:r>
        <w:t>as</w:t>
      </w:r>
      <w:r>
        <w:rPr>
          <w:spacing w:val="-1"/>
        </w:rPr>
        <w:t xml:space="preserve"> </w:t>
      </w:r>
      <w:r>
        <w:t>our estimate</w:t>
      </w:r>
      <w:r>
        <w:rPr>
          <w:spacing w:val="-1"/>
        </w:rPr>
        <w:t xml:space="preserve"> </w:t>
      </w:r>
      <w:r>
        <w:t>of the</w:t>
      </w:r>
      <w:r>
        <w:rPr>
          <w:spacing w:val="-1"/>
        </w:rPr>
        <w:t xml:space="preserve"> </w:t>
      </w:r>
      <w:r>
        <w:t>profit</w:t>
      </w:r>
      <w:r>
        <w:rPr>
          <w:spacing w:val="-1"/>
        </w:rPr>
        <w:t xml:space="preserve"> </w:t>
      </w:r>
      <w:r>
        <w:t>to be</w:t>
      </w:r>
      <w:r>
        <w:rPr>
          <w:spacing w:val="-1"/>
        </w:rPr>
        <w:t xml:space="preserve"> </w:t>
      </w:r>
      <w:r>
        <w:t>earned at</w:t>
      </w:r>
      <w:r>
        <w:rPr>
          <w:spacing w:val="-1"/>
        </w:rPr>
        <w:t xml:space="preserve"> </w:t>
      </w:r>
      <w:r>
        <w:t>completion. The</w:t>
      </w:r>
      <w:r>
        <w:rPr>
          <w:spacing w:val="-1"/>
        </w:rPr>
        <w:t xml:space="preserve"> </w:t>
      </w:r>
      <w:r>
        <w:t>following discussion of material changes in our consolidated net sales should be read in tandem with the subsequent discussion of changes in our consolidated cost of sales and our business segment results of operations because changes in our sales are typically</w:t>
      </w:r>
      <w:r>
        <w:rPr>
          <w:spacing w:val="40"/>
        </w:rPr>
        <w:t xml:space="preserve"> </w:t>
      </w:r>
      <w:r>
        <w:t>accompanied by a corresponding change in our cost of sales due to the nature of the percentage-of-completion cost-to-cost method. Overall, our sales were negatively affected in 2022 because of supply chain impacts.</w:t>
      </w:r>
    </w:p>
    <w:p w14:paraId="2B40A532" w14:textId="77777777" w:rsidR="00AE2255" w:rsidRDefault="00AE2255">
      <w:pPr>
        <w:pStyle w:val="BodyText"/>
        <w:spacing w:before="10"/>
        <w:rPr>
          <w:sz w:val="17"/>
        </w:rPr>
      </w:pPr>
    </w:p>
    <w:p w14:paraId="6A0E3DC3" w14:textId="77777777" w:rsidR="00AE2255" w:rsidRDefault="00000000">
      <w:pPr>
        <w:ind w:left="610"/>
        <w:rPr>
          <w:i/>
          <w:sz w:val="20"/>
        </w:rPr>
      </w:pPr>
      <w:r>
        <w:rPr>
          <w:i/>
          <w:sz w:val="20"/>
        </w:rPr>
        <w:t>Product</w:t>
      </w:r>
      <w:r>
        <w:rPr>
          <w:i/>
          <w:spacing w:val="-6"/>
          <w:sz w:val="20"/>
        </w:rPr>
        <w:t xml:space="preserve"> </w:t>
      </w:r>
      <w:r>
        <w:rPr>
          <w:i/>
          <w:spacing w:val="-2"/>
          <w:sz w:val="20"/>
        </w:rPr>
        <w:t>Sales</w:t>
      </w:r>
    </w:p>
    <w:p w14:paraId="3F64506F" w14:textId="77777777" w:rsidR="00AE2255" w:rsidRDefault="00AE2255">
      <w:pPr>
        <w:pStyle w:val="BodyText"/>
        <w:spacing w:before="3"/>
        <w:rPr>
          <w:i/>
          <w:sz w:val="18"/>
        </w:rPr>
      </w:pPr>
    </w:p>
    <w:p w14:paraId="066E9010" w14:textId="77777777" w:rsidR="00AE2255" w:rsidRDefault="00000000">
      <w:pPr>
        <w:pStyle w:val="BodyText"/>
        <w:spacing w:line="249" w:lineRule="auto"/>
        <w:ind w:left="610" w:right="428" w:firstLine="360"/>
        <w:jc w:val="both"/>
      </w:pPr>
      <w:r>
        <w:t>Product sales decreased $1.0 billion, or 2%, in 2022 as compared to 2021. The decrease is primarily attributable to lower product sales of approximately $670 million at RMS mostly due to lower production volume on Black Hawk and lower net</w:t>
      </w:r>
      <w:r>
        <w:rPr>
          <w:spacing w:val="40"/>
        </w:rPr>
        <w:t xml:space="preserve"> </w:t>
      </w:r>
      <w:r>
        <w:t>sales for training and logistics solutions (TLS) programs due to the delivery of an international pilot training system in the first quarter of 2021; about $315 million at Space primarily due to the renationalization of AWE on June 30, 2021, partially offset</w:t>
      </w:r>
      <w:r>
        <w:rPr>
          <w:spacing w:val="40"/>
        </w:rPr>
        <w:t xml:space="preserve"> </w:t>
      </w:r>
      <w:r>
        <w:t>by higher development volume (Next Generation Interceptor (NGI)); and approximately $220 million at MFC primarily due to lower volume on Terminal High Altitude Area Defense (THAAD) and air dominance weapon systems.</w:t>
      </w:r>
      <w:r>
        <w:rPr>
          <w:spacing w:val="40"/>
        </w:rPr>
        <w:t xml:space="preserve"> </w:t>
      </w:r>
      <w:r>
        <w:t>These decreases were partially</w:t>
      </w:r>
      <w:r>
        <w:rPr>
          <w:spacing w:val="-2"/>
        </w:rPr>
        <w:t xml:space="preserve"> </w:t>
      </w:r>
      <w:r>
        <w:t>offset</w:t>
      </w:r>
      <w:r>
        <w:rPr>
          <w:spacing w:val="-2"/>
        </w:rPr>
        <w:t xml:space="preserve"> </w:t>
      </w:r>
      <w:r>
        <w:t>by</w:t>
      </w:r>
      <w:r>
        <w:rPr>
          <w:spacing w:val="-2"/>
        </w:rPr>
        <w:t xml:space="preserve"> </w:t>
      </w:r>
      <w:r>
        <w:t>higher</w:t>
      </w:r>
      <w:r>
        <w:rPr>
          <w:spacing w:val="-2"/>
        </w:rPr>
        <w:t xml:space="preserve"> </w:t>
      </w:r>
      <w:r>
        <w:t>product</w:t>
      </w:r>
      <w:r>
        <w:rPr>
          <w:spacing w:val="-2"/>
        </w:rPr>
        <w:t xml:space="preserve"> </w:t>
      </w:r>
      <w:r>
        <w:t>sales</w:t>
      </w:r>
      <w:r>
        <w:rPr>
          <w:spacing w:val="-2"/>
        </w:rPr>
        <w:t xml:space="preserve"> </w:t>
      </w:r>
      <w:r>
        <w:t>of</w:t>
      </w:r>
      <w:r>
        <w:rPr>
          <w:spacing w:val="-2"/>
        </w:rPr>
        <w:t xml:space="preserve"> </w:t>
      </w:r>
      <w:r>
        <w:t>about</w:t>
      </w:r>
      <w:r>
        <w:rPr>
          <w:spacing w:val="-2"/>
        </w:rPr>
        <w:t xml:space="preserve"> </w:t>
      </w:r>
      <w:r>
        <w:t>$240</w:t>
      </w:r>
      <w:r>
        <w:rPr>
          <w:spacing w:val="-2"/>
        </w:rPr>
        <w:t xml:space="preserve"> </w:t>
      </w:r>
      <w:r>
        <w:t>million</w:t>
      </w:r>
      <w:r>
        <w:rPr>
          <w:spacing w:val="-2"/>
        </w:rPr>
        <w:t xml:space="preserve"> </w:t>
      </w:r>
      <w:r>
        <w:t>at</w:t>
      </w:r>
      <w:r>
        <w:rPr>
          <w:spacing w:val="-2"/>
        </w:rPr>
        <w:t xml:space="preserve"> </w:t>
      </w:r>
      <w:r>
        <w:t>Aeronautics</w:t>
      </w:r>
      <w:r>
        <w:rPr>
          <w:spacing w:val="-2"/>
        </w:rPr>
        <w:t xml:space="preserve"> </w:t>
      </w:r>
      <w:r>
        <w:t>mostly</w:t>
      </w:r>
      <w:r>
        <w:rPr>
          <w:spacing w:val="-2"/>
        </w:rPr>
        <w:t xml:space="preserve"> </w:t>
      </w:r>
      <w:r>
        <w:t>due</w:t>
      </w:r>
      <w:r>
        <w:rPr>
          <w:spacing w:val="-2"/>
        </w:rPr>
        <w:t xml:space="preserve"> </w:t>
      </w:r>
      <w:r>
        <w:t>to</w:t>
      </w:r>
      <w:r>
        <w:rPr>
          <w:spacing w:val="-2"/>
        </w:rPr>
        <w:t xml:space="preserve"> </w:t>
      </w:r>
      <w:r>
        <w:t>higher</w:t>
      </w:r>
      <w:r>
        <w:rPr>
          <w:spacing w:val="-2"/>
        </w:rPr>
        <w:t xml:space="preserve"> </w:t>
      </w:r>
      <w:r>
        <w:t>volume</w:t>
      </w:r>
      <w:r>
        <w:rPr>
          <w:spacing w:val="-2"/>
        </w:rPr>
        <w:t xml:space="preserve"> </w:t>
      </w:r>
      <w:r>
        <w:t>on</w:t>
      </w:r>
      <w:r>
        <w:rPr>
          <w:spacing w:val="-2"/>
        </w:rPr>
        <w:t xml:space="preserve"> </w:t>
      </w:r>
      <w:r>
        <w:t>classified</w:t>
      </w:r>
      <w:r>
        <w:rPr>
          <w:spacing w:val="-2"/>
        </w:rPr>
        <w:t xml:space="preserve"> </w:t>
      </w:r>
      <w:r>
        <w:t>contracts that were partially offset by lower volume on F-35 contracts.</w:t>
      </w:r>
    </w:p>
    <w:p w14:paraId="5A997234" w14:textId="77777777" w:rsidR="00AE2255" w:rsidRDefault="00AE2255">
      <w:pPr>
        <w:pStyle w:val="BodyText"/>
        <w:rPr>
          <w:sz w:val="18"/>
        </w:rPr>
      </w:pPr>
    </w:p>
    <w:p w14:paraId="4BBF1E2A" w14:textId="77777777" w:rsidR="00AE2255" w:rsidRDefault="00000000">
      <w:pPr>
        <w:ind w:left="610"/>
        <w:rPr>
          <w:i/>
          <w:sz w:val="20"/>
        </w:rPr>
      </w:pPr>
      <w:r>
        <w:rPr>
          <w:i/>
          <w:sz w:val="20"/>
        </w:rPr>
        <w:t>Service</w:t>
      </w:r>
      <w:r>
        <w:rPr>
          <w:i/>
          <w:spacing w:val="-8"/>
          <w:sz w:val="20"/>
        </w:rPr>
        <w:t xml:space="preserve"> </w:t>
      </w:r>
      <w:r>
        <w:rPr>
          <w:i/>
          <w:spacing w:val="-2"/>
          <w:sz w:val="20"/>
        </w:rPr>
        <w:t>Sales</w:t>
      </w:r>
    </w:p>
    <w:p w14:paraId="7DF512F6" w14:textId="77777777" w:rsidR="00AE2255" w:rsidRDefault="00AE2255">
      <w:pPr>
        <w:pStyle w:val="BodyText"/>
        <w:spacing w:before="3"/>
        <w:rPr>
          <w:i/>
          <w:sz w:val="18"/>
        </w:rPr>
      </w:pPr>
    </w:p>
    <w:p w14:paraId="3DE5622D" w14:textId="77777777" w:rsidR="00AE2255" w:rsidRDefault="00000000">
      <w:pPr>
        <w:pStyle w:val="BodyText"/>
        <w:spacing w:line="249" w:lineRule="auto"/>
        <w:ind w:left="610" w:right="428" w:firstLine="360"/>
        <w:jc w:val="both"/>
      </w:pPr>
      <w:r>
        <w:t>Service sales decreased $91 million, or 1%, in 2022 as compared to 2021. The decrease in service sales was primarily due to lower sales of approximately $155 million at MFC primarily due to lower volume on the Special Operations Forces Global Logistics Support Services (SOF GLSS) program.</w:t>
      </w:r>
    </w:p>
    <w:p w14:paraId="23F42719" w14:textId="77777777" w:rsidR="00AE2255" w:rsidRDefault="00AE2255">
      <w:pPr>
        <w:pStyle w:val="BodyText"/>
        <w:spacing w:before="3"/>
        <w:rPr>
          <w:sz w:val="17"/>
        </w:rPr>
      </w:pPr>
    </w:p>
    <w:p w14:paraId="688CC03F" w14:textId="77777777" w:rsidR="00AE2255" w:rsidRDefault="00000000">
      <w:pPr>
        <w:pStyle w:val="Heading2"/>
        <w:spacing w:before="1"/>
      </w:pPr>
      <w:r>
        <w:t>Cost</w:t>
      </w:r>
      <w:r>
        <w:rPr>
          <w:spacing w:val="-3"/>
        </w:rPr>
        <w:t xml:space="preserve"> </w:t>
      </w:r>
      <w:r>
        <w:t>of</w:t>
      </w:r>
      <w:r>
        <w:rPr>
          <w:spacing w:val="-1"/>
        </w:rPr>
        <w:t xml:space="preserve"> </w:t>
      </w:r>
      <w:r>
        <w:rPr>
          <w:spacing w:val="-2"/>
        </w:rPr>
        <w:t>Sales</w:t>
      </w:r>
    </w:p>
    <w:p w14:paraId="7AB82CBD" w14:textId="77777777" w:rsidR="00AE2255" w:rsidRDefault="00AE2255">
      <w:pPr>
        <w:pStyle w:val="BodyText"/>
        <w:spacing w:before="6"/>
        <w:rPr>
          <w:b/>
          <w:sz w:val="18"/>
        </w:rPr>
      </w:pPr>
    </w:p>
    <w:p w14:paraId="06995888" w14:textId="77777777" w:rsidR="00AE2255" w:rsidRDefault="00000000">
      <w:pPr>
        <w:pStyle w:val="BodyText"/>
        <w:spacing w:line="249" w:lineRule="auto"/>
        <w:ind w:left="610" w:right="428" w:firstLine="495"/>
        <w:jc w:val="both"/>
      </w:pPr>
      <w:r>
        <w:t xml:space="preserve">Cost of sales, for both products and services, consist of materials, labor, subcontracting costs and an allocation of indirect costs (overhead and general and administrative), as well as the costs to fulfill our industrial cooperation agreements, sometimes referred to as offset agreements, required under certain contracts with international customers. For each of our contracts, we monitor the nature and amount of costs at the contract level, which form the basis for estimating our total costs to complete the contract. Our consolidated cost of sales </w:t>
      </w:r>
      <w:proofErr w:type="gramStart"/>
      <w:r>
        <w:t>were</w:t>
      </w:r>
      <w:proofErr w:type="gramEnd"/>
      <w:r>
        <w:t xml:space="preserve"> as follows (in millions):</w:t>
      </w:r>
    </w:p>
    <w:p w14:paraId="43E61546" w14:textId="77777777" w:rsidR="00AE2255" w:rsidRDefault="00AE2255">
      <w:pPr>
        <w:pStyle w:val="BodyText"/>
        <w:spacing w:before="10"/>
        <w:rPr>
          <w:sz w:val="24"/>
        </w:rPr>
      </w:pPr>
    </w:p>
    <w:tbl>
      <w:tblPr>
        <w:tblW w:w="0" w:type="auto"/>
        <w:tblInd w:w="617" w:type="dxa"/>
        <w:tblLayout w:type="fixed"/>
        <w:tblCellMar>
          <w:left w:w="0" w:type="dxa"/>
          <w:right w:w="0" w:type="dxa"/>
        </w:tblCellMar>
        <w:tblLook w:val="01E0" w:firstRow="1" w:lastRow="1" w:firstColumn="1" w:lastColumn="1" w:noHBand="0" w:noVBand="0"/>
      </w:tblPr>
      <w:tblGrid>
        <w:gridCol w:w="4493"/>
        <w:gridCol w:w="3325"/>
        <w:gridCol w:w="1213"/>
        <w:gridCol w:w="1184"/>
      </w:tblGrid>
      <w:tr w:rsidR="00AE2255" w14:paraId="696B89A4" w14:textId="77777777">
        <w:trPr>
          <w:trHeight w:val="241"/>
        </w:trPr>
        <w:tc>
          <w:tcPr>
            <w:tcW w:w="4493" w:type="dxa"/>
            <w:tcBorders>
              <w:bottom w:val="single" w:sz="8" w:space="0" w:color="auto"/>
            </w:tcBorders>
          </w:tcPr>
          <w:p w14:paraId="6CCAFD49" w14:textId="77777777" w:rsidR="00AE2255" w:rsidRDefault="00AE2255">
            <w:pPr>
              <w:pStyle w:val="TableParagraph"/>
              <w:spacing w:before="0"/>
              <w:jc w:val="left"/>
              <w:rPr>
                <w:sz w:val="16"/>
              </w:rPr>
            </w:pPr>
          </w:p>
        </w:tc>
        <w:tc>
          <w:tcPr>
            <w:tcW w:w="3325" w:type="dxa"/>
            <w:tcBorders>
              <w:bottom w:val="single" w:sz="8" w:space="0" w:color="auto"/>
            </w:tcBorders>
          </w:tcPr>
          <w:p w14:paraId="4263D813" w14:textId="77777777" w:rsidR="00AE2255" w:rsidRDefault="00000000">
            <w:pPr>
              <w:pStyle w:val="TableParagraph"/>
              <w:spacing w:before="0" w:line="221" w:lineRule="exact"/>
              <w:ind w:right="368"/>
              <w:rPr>
                <w:b/>
                <w:sz w:val="20"/>
              </w:rPr>
            </w:pPr>
            <w:r>
              <w:rPr>
                <w:b/>
                <w:spacing w:val="-4"/>
                <w:sz w:val="20"/>
              </w:rPr>
              <w:t>2022</w:t>
            </w:r>
          </w:p>
        </w:tc>
        <w:tc>
          <w:tcPr>
            <w:tcW w:w="1213" w:type="dxa"/>
            <w:tcBorders>
              <w:bottom w:val="single" w:sz="8" w:space="0" w:color="auto"/>
            </w:tcBorders>
          </w:tcPr>
          <w:p w14:paraId="0B6522CD" w14:textId="77777777" w:rsidR="00AE2255" w:rsidRDefault="00000000">
            <w:pPr>
              <w:pStyle w:val="TableParagraph"/>
              <w:spacing w:before="0" w:line="221" w:lineRule="exact"/>
              <w:ind w:left="459"/>
              <w:jc w:val="left"/>
              <w:rPr>
                <w:b/>
                <w:sz w:val="20"/>
              </w:rPr>
            </w:pPr>
            <w:r>
              <w:rPr>
                <w:b/>
                <w:spacing w:val="-4"/>
                <w:sz w:val="20"/>
              </w:rPr>
              <w:t>2021</w:t>
            </w:r>
          </w:p>
        </w:tc>
        <w:tc>
          <w:tcPr>
            <w:tcW w:w="1184" w:type="dxa"/>
            <w:tcBorders>
              <w:bottom w:val="single" w:sz="8" w:space="0" w:color="auto"/>
            </w:tcBorders>
          </w:tcPr>
          <w:p w14:paraId="41F4DA67" w14:textId="77777777" w:rsidR="00AE2255" w:rsidRDefault="00000000">
            <w:pPr>
              <w:pStyle w:val="TableParagraph"/>
              <w:spacing w:before="0" w:line="221" w:lineRule="exact"/>
              <w:ind w:left="476"/>
              <w:jc w:val="left"/>
              <w:rPr>
                <w:b/>
                <w:sz w:val="20"/>
              </w:rPr>
            </w:pPr>
            <w:r>
              <w:rPr>
                <w:b/>
                <w:spacing w:val="-4"/>
                <w:sz w:val="20"/>
              </w:rPr>
              <w:t>2020</w:t>
            </w:r>
          </w:p>
        </w:tc>
      </w:tr>
      <w:tr w:rsidR="00AE2255" w14:paraId="39EFB725" w14:textId="77777777">
        <w:trPr>
          <w:trHeight w:val="275"/>
        </w:trPr>
        <w:tc>
          <w:tcPr>
            <w:tcW w:w="4493" w:type="dxa"/>
            <w:tcBorders>
              <w:top w:val="single" w:sz="8" w:space="0" w:color="CCEDFF"/>
            </w:tcBorders>
            <w:shd w:val="clear" w:color="auto" w:fill="CCEDFF"/>
          </w:tcPr>
          <w:p w14:paraId="5D8C4BD1" w14:textId="77777777" w:rsidR="00AE2255" w:rsidRDefault="00000000">
            <w:pPr>
              <w:pStyle w:val="TableParagraph"/>
              <w:spacing w:before="17"/>
              <w:ind w:left="52"/>
              <w:jc w:val="left"/>
              <w:rPr>
                <w:sz w:val="20"/>
              </w:rPr>
            </w:pPr>
            <w:r>
              <w:rPr>
                <w:sz w:val="20"/>
              </w:rPr>
              <w:t>Cost</w:t>
            </w:r>
            <w:r>
              <w:rPr>
                <w:spacing w:val="-3"/>
                <w:sz w:val="20"/>
              </w:rPr>
              <w:t xml:space="preserve"> </w:t>
            </w:r>
            <w:r>
              <w:rPr>
                <w:sz w:val="20"/>
              </w:rPr>
              <w:t>of</w:t>
            </w:r>
            <w:r>
              <w:rPr>
                <w:spacing w:val="-1"/>
                <w:sz w:val="20"/>
              </w:rPr>
              <w:t xml:space="preserve"> </w:t>
            </w:r>
            <w:r>
              <w:rPr>
                <w:sz w:val="20"/>
              </w:rPr>
              <w:t>sales</w:t>
            </w:r>
            <w:r>
              <w:rPr>
                <w:spacing w:val="-3"/>
                <w:sz w:val="20"/>
              </w:rPr>
              <w:t xml:space="preserve"> </w:t>
            </w:r>
            <w:r>
              <w:rPr>
                <w:sz w:val="20"/>
              </w:rPr>
              <w:t>–</w:t>
            </w:r>
            <w:r>
              <w:rPr>
                <w:spacing w:val="-1"/>
                <w:sz w:val="20"/>
              </w:rPr>
              <w:t xml:space="preserve"> </w:t>
            </w:r>
            <w:r>
              <w:rPr>
                <w:spacing w:val="-2"/>
                <w:sz w:val="20"/>
              </w:rPr>
              <w:t>products</w:t>
            </w:r>
          </w:p>
        </w:tc>
        <w:tc>
          <w:tcPr>
            <w:tcW w:w="3325" w:type="dxa"/>
            <w:tcBorders>
              <w:top w:val="single" w:sz="8" w:space="0" w:color="CCEDFF"/>
            </w:tcBorders>
            <w:shd w:val="clear" w:color="auto" w:fill="CCEDFF"/>
          </w:tcPr>
          <w:p w14:paraId="6A4578B3" w14:textId="77777777" w:rsidR="00AE2255" w:rsidRDefault="00000000">
            <w:pPr>
              <w:pStyle w:val="TableParagraph"/>
              <w:spacing w:before="15"/>
              <w:ind w:left="2159"/>
              <w:jc w:val="left"/>
              <w:rPr>
                <w:b/>
                <w:sz w:val="20"/>
              </w:rPr>
            </w:pPr>
            <w:r>
              <w:rPr>
                <w:b/>
                <w:sz w:val="20"/>
              </w:rPr>
              <w:t>$</w:t>
            </w:r>
            <w:r>
              <w:rPr>
                <w:b/>
                <w:spacing w:val="-1"/>
                <w:sz w:val="20"/>
              </w:rPr>
              <w:t xml:space="preserve"> </w:t>
            </w:r>
            <w:r>
              <w:rPr>
                <w:b/>
                <w:spacing w:val="-2"/>
                <w:sz w:val="20"/>
              </w:rPr>
              <w:t>(49,577)</w:t>
            </w:r>
          </w:p>
        </w:tc>
        <w:tc>
          <w:tcPr>
            <w:tcW w:w="1213" w:type="dxa"/>
            <w:tcBorders>
              <w:top w:val="single" w:sz="8" w:space="0" w:color="CCEDFF"/>
            </w:tcBorders>
            <w:shd w:val="clear" w:color="auto" w:fill="CCEDFF"/>
          </w:tcPr>
          <w:p w14:paraId="06345AD3" w14:textId="77777777" w:rsidR="00AE2255" w:rsidRDefault="00000000">
            <w:pPr>
              <w:pStyle w:val="TableParagraph"/>
              <w:spacing w:before="15"/>
              <w:ind w:left="64"/>
              <w:jc w:val="left"/>
              <w:rPr>
                <w:sz w:val="20"/>
              </w:rPr>
            </w:pPr>
            <w:r>
              <w:rPr>
                <w:sz w:val="20"/>
              </w:rPr>
              <w:t>$</w:t>
            </w:r>
            <w:r>
              <w:rPr>
                <w:spacing w:val="-1"/>
                <w:sz w:val="20"/>
              </w:rPr>
              <w:t xml:space="preserve"> </w:t>
            </w:r>
            <w:r>
              <w:rPr>
                <w:spacing w:val="-2"/>
                <w:sz w:val="20"/>
              </w:rPr>
              <w:t>(50,273)</w:t>
            </w:r>
          </w:p>
        </w:tc>
        <w:tc>
          <w:tcPr>
            <w:tcW w:w="1184" w:type="dxa"/>
            <w:tcBorders>
              <w:top w:val="single" w:sz="8" w:space="0" w:color="CCEDFF"/>
            </w:tcBorders>
            <w:shd w:val="clear" w:color="auto" w:fill="CCEDFF"/>
          </w:tcPr>
          <w:p w14:paraId="218D046E" w14:textId="77777777" w:rsidR="00AE2255" w:rsidRDefault="00000000">
            <w:pPr>
              <w:pStyle w:val="TableParagraph"/>
              <w:spacing w:before="15"/>
              <w:ind w:left="81"/>
              <w:jc w:val="left"/>
              <w:rPr>
                <w:sz w:val="20"/>
              </w:rPr>
            </w:pPr>
            <w:r>
              <w:rPr>
                <w:sz w:val="20"/>
              </w:rPr>
              <w:t>$</w:t>
            </w:r>
            <w:r>
              <w:rPr>
                <w:spacing w:val="-1"/>
                <w:sz w:val="20"/>
              </w:rPr>
              <w:t xml:space="preserve"> </w:t>
            </w:r>
            <w:r>
              <w:rPr>
                <w:spacing w:val="-2"/>
                <w:sz w:val="20"/>
              </w:rPr>
              <w:t>(48,996)</w:t>
            </w:r>
          </w:p>
        </w:tc>
      </w:tr>
      <w:tr w:rsidR="00AE2255" w14:paraId="636B4016" w14:textId="77777777">
        <w:trPr>
          <w:trHeight w:val="285"/>
        </w:trPr>
        <w:tc>
          <w:tcPr>
            <w:tcW w:w="4493" w:type="dxa"/>
          </w:tcPr>
          <w:p w14:paraId="3C51CF59" w14:textId="77777777" w:rsidR="00AE2255" w:rsidRDefault="00000000">
            <w:pPr>
              <w:pStyle w:val="TableParagraph"/>
              <w:spacing w:before="27"/>
              <w:ind w:left="277"/>
              <w:jc w:val="left"/>
              <w:rPr>
                <w:sz w:val="20"/>
              </w:rPr>
            </w:pPr>
            <w:r>
              <w:rPr>
                <w:sz w:val="20"/>
              </w:rPr>
              <w:t>%</w:t>
            </w:r>
            <w:r>
              <w:rPr>
                <w:spacing w:val="-1"/>
                <w:sz w:val="20"/>
              </w:rPr>
              <w:t xml:space="preserve"> </w:t>
            </w:r>
            <w:proofErr w:type="gramStart"/>
            <w:r>
              <w:rPr>
                <w:sz w:val="20"/>
              </w:rPr>
              <w:t>of</w:t>
            </w:r>
            <w:proofErr w:type="gramEnd"/>
            <w:r>
              <w:rPr>
                <w:sz w:val="20"/>
              </w:rPr>
              <w:t xml:space="preserve"> product</w:t>
            </w:r>
            <w:r>
              <w:rPr>
                <w:spacing w:val="-1"/>
                <w:sz w:val="20"/>
              </w:rPr>
              <w:t xml:space="preserve"> </w:t>
            </w:r>
            <w:r>
              <w:rPr>
                <w:spacing w:val="-2"/>
                <w:sz w:val="20"/>
              </w:rPr>
              <w:t>sales</w:t>
            </w:r>
          </w:p>
        </w:tc>
        <w:tc>
          <w:tcPr>
            <w:tcW w:w="3325" w:type="dxa"/>
          </w:tcPr>
          <w:p w14:paraId="298C590F" w14:textId="77777777" w:rsidR="00AE2255" w:rsidRDefault="00000000">
            <w:pPr>
              <w:pStyle w:val="TableParagraph"/>
              <w:ind w:right="63"/>
              <w:rPr>
                <w:b/>
                <w:sz w:val="20"/>
              </w:rPr>
            </w:pPr>
            <w:r>
              <w:rPr>
                <w:b/>
                <w:sz w:val="20"/>
              </w:rPr>
              <w:t>89.4</w:t>
            </w:r>
            <w:r>
              <w:rPr>
                <w:b/>
                <w:spacing w:val="59"/>
                <w:w w:val="150"/>
                <w:sz w:val="20"/>
              </w:rPr>
              <w:t xml:space="preserve"> </w:t>
            </w:r>
            <w:r>
              <w:rPr>
                <w:b/>
                <w:spacing w:val="-10"/>
                <w:sz w:val="20"/>
              </w:rPr>
              <w:t>%</w:t>
            </w:r>
          </w:p>
        </w:tc>
        <w:tc>
          <w:tcPr>
            <w:tcW w:w="1213" w:type="dxa"/>
          </w:tcPr>
          <w:p w14:paraId="0841521E" w14:textId="77777777" w:rsidR="00AE2255" w:rsidRDefault="00000000">
            <w:pPr>
              <w:pStyle w:val="TableParagraph"/>
              <w:ind w:right="79"/>
              <w:rPr>
                <w:sz w:val="20"/>
              </w:rPr>
            </w:pPr>
            <w:r>
              <w:rPr>
                <w:sz w:val="20"/>
              </w:rPr>
              <w:t>89.1</w:t>
            </w:r>
            <w:r>
              <w:rPr>
                <w:spacing w:val="59"/>
                <w:w w:val="150"/>
                <w:sz w:val="20"/>
              </w:rPr>
              <w:t xml:space="preserve"> </w:t>
            </w:r>
            <w:r>
              <w:rPr>
                <w:spacing w:val="-10"/>
                <w:sz w:val="20"/>
              </w:rPr>
              <w:t>%</w:t>
            </w:r>
          </w:p>
        </w:tc>
        <w:tc>
          <w:tcPr>
            <w:tcW w:w="1184" w:type="dxa"/>
          </w:tcPr>
          <w:p w14:paraId="4CF80F2E" w14:textId="77777777" w:rsidR="00AE2255" w:rsidRDefault="00000000">
            <w:pPr>
              <w:pStyle w:val="TableParagraph"/>
              <w:ind w:right="33"/>
              <w:rPr>
                <w:sz w:val="20"/>
              </w:rPr>
            </w:pPr>
            <w:r>
              <w:rPr>
                <w:sz w:val="20"/>
              </w:rPr>
              <w:t>89.2</w:t>
            </w:r>
            <w:r>
              <w:rPr>
                <w:spacing w:val="59"/>
                <w:w w:val="150"/>
                <w:sz w:val="20"/>
              </w:rPr>
              <w:t xml:space="preserve"> </w:t>
            </w:r>
            <w:r>
              <w:rPr>
                <w:spacing w:val="-10"/>
                <w:sz w:val="20"/>
              </w:rPr>
              <w:t>%</w:t>
            </w:r>
          </w:p>
        </w:tc>
      </w:tr>
      <w:tr w:rsidR="00AE2255" w14:paraId="78511476" w14:textId="77777777">
        <w:trPr>
          <w:trHeight w:val="285"/>
        </w:trPr>
        <w:tc>
          <w:tcPr>
            <w:tcW w:w="4493" w:type="dxa"/>
            <w:shd w:val="clear" w:color="auto" w:fill="CCEDFF"/>
          </w:tcPr>
          <w:p w14:paraId="248666CF" w14:textId="77777777" w:rsidR="00AE2255" w:rsidRDefault="00000000">
            <w:pPr>
              <w:pStyle w:val="TableParagraph"/>
              <w:spacing w:before="27"/>
              <w:ind w:left="52"/>
              <w:jc w:val="left"/>
              <w:rPr>
                <w:sz w:val="20"/>
              </w:rPr>
            </w:pPr>
            <w:r>
              <w:rPr>
                <w:sz w:val="20"/>
              </w:rPr>
              <w:t>Cost</w:t>
            </w:r>
            <w:r>
              <w:rPr>
                <w:spacing w:val="-3"/>
                <w:sz w:val="20"/>
              </w:rPr>
              <w:t xml:space="preserve"> </w:t>
            </w:r>
            <w:r>
              <w:rPr>
                <w:sz w:val="20"/>
              </w:rPr>
              <w:t>of</w:t>
            </w:r>
            <w:r>
              <w:rPr>
                <w:spacing w:val="-1"/>
                <w:sz w:val="20"/>
              </w:rPr>
              <w:t xml:space="preserve"> </w:t>
            </w:r>
            <w:r>
              <w:rPr>
                <w:sz w:val="20"/>
              </w:rPr>
              <w:t>sales</w:t>
            </w:r>
            <w:r>
              <w:rPr>
                <w:spacing w:val="-3"/>
                <w:sz w:val="20"/>
              </w:rPr>
              <w:t xml:space="preserve"> </w:t>
            </w:r>
            <w:r>
              <w:rPr>
                <w:sz w:val="20"/>
              </w:rPr>
              <w:t>–</w:t>
            </w:r>
            <w:r>
              <w:rPr>
                <w:spacing w:val="-1"/>
                <w:sz w:val="20"/>
              </w:rPr>
              <w:t xml:space="preserve"> </w:t>
            </w:r>
            <w:r>
              <w:rPr>
                <w:spacing w:val="-2"/>
                <w:sz w:val="20"/>
              </w:rPr>
              <w:t>services</w:t>
            </w:r>
          </w:p>
        </w:tc>
        <w:tc>
          <w:tcPr>
            <w:tcW w:w="3325" w:type="dxa"/>
            <w:shd w:val="clear" w:color="auto" w:fill="CCEDFF"/>
          </w:tcPr>
          <w:p w14:paraId="5322CC5E" w14:textId="77777777" w:rsidR="00AE2255" w:rsidRDefault="00000000">
            <w:pPr>
              <w:pStyle w:val="TableParagraph"/>
              <w:ind w:right="332"/>
              <w:rPr>
                <w:b/>
                <w:sz w:val="20"/>
              </w:rPr>
            </w:pPr>
            <w:r>
              <w:rPr>
                <w:b/>
                <w:spacing w:val="-2"/>
                <w:sz w:val="20"/>
              </w:rPr>
              <w:t>(9,280)</w:t>
            </w:r>
          </w:p>
        </w:tc>
        <w:tc>
          <w:tcPr>
            <w:tcW w:w="1213" w:type="dxa"/>
            <w:shd w:val="clear" w:color="auto" w:fill="CCEDFF"/>
          </w:tcPr>
          <w:p w14:paraId="790722B0" w14:textId="77777777" w:rsidR="00AE2255" w:rsidRDefault="00000000">
            <w:pPr>
              <w:pStyle w:val="TableParagraph"/>
              <w:ind w:left="313"/>
              <w:jc w:val="left"/>
              <w:rPr>
                <w:sz w:val="20"/>
              </w:rPr>
            </w:pPr>
            <w:r>
              <w:rPr>
                <w:spacing w:val="-2"/>
                <w:sz w:val="20"/>
              </w:rPr>
              <w:t>(9,463)</w:t>
            </w:r>
          </w:p>
        </w:tc>
        <w:tc>
          <w:tcPr>
            <w:tcW w:w="1184" w:type="dxa"/>
            <w:shd w:val="clear" w:color="auto" w:fill="CCEDFF"/>
          </w:tcPr>
          <w:p w14:paraId="21CAB366" w14:textId="77777777" w:rsidR="00AE2255" w:rsidRDefault="00000000">
            <w:pPr>
              <w:pStyle w:val="TableParagraph"/>
              <w:ind w:left="330"/>
              <w:jc w:val="left"/>
              <w:rPr>
                <w:sz w:val="20"/>
              </w:rPr>
            </w:pPr>
            <w:r>
              <w:rPr>
                <w:spacing w:val="-2"/>
                <w:sz w:val="20"/>
              </w:rPr>
              <w:t>(9,371)</w:t>
            </w:r>
          </w:p>
        </w:tc>
      </w:tr>
      <w:tr w:rsidR="00AE2255" w14:paraId="17AB2AC5" w14:textId="77777777">
        <w:trPr>
          <w:trHeight w:val="285"/>
        </w:trPr>
        <w:tc>
          <w:tcPr>
            <w:tcW w:w="4493" w:type="dxa"/>
          </w:tcPr>
          <w:p w14:paraId="598AECD9" w14:textId="77777777" w:rsidR="00AE2255" w:rsidRDefault="00000000">
            <w:pPr>
              <w:pStyle w:val="TableParagraph"/>
              <w:spacing w:before="27"/>
              <w:ind w:left="277"/>
              <w:jc w:val="left"/>
              <w:rPr>
                <w:sz w:val="20"/>
              </w:rPr>
            </w:pPr>
            <w:r>
              <w:rPr>
                <w:sz w:val="20"/>
              </w:rPr>
              <w:t>%</w:t>
            </w:r>
            <w:r>
              <w:rPr>
                <w:spacing w:val="-2"/>
                <w:sz w:val="20"/>
              </w:rPr>
              <w:t xml:space="preserve"> </w:t>
            </w:r>
            <w:proofErr w:type="gramStart"/>
            <w:r>
              <w:rPr>
                <w:sz w:val="20"/>
              </w:rPr>
              <w:t>of</w:t>
            </w:r>
            <w:proofErr w:type="gramEnd"/>
            <w:r>
              <w:rPr>
                <w:spacing w:val="-1"/>
                <w:sz w:val="20"/>
              </w:rPr>
              <w:t xml:space="preserve"> </w:t>
            </w:r>
            <w:r>
              <w:rPr>
                <w:sz w:val="20"/>
              </w:rPr>
              <w:t>service</w:t>
            </w:r>
            <w:r>
              <w:rPr>
                <w:spacing w:val="-2"/>
                <w:sz w:val="20"/>
              </w:rPr>
              <w:t xml:space="preserve"> sales</w:t>
            </w:r>
          </w:p>
        </w:tc>
        <w:tc>
          <w:tcPr>
            <w:tcW w:w="3325" w:type="dxa"/>
          </w:tcPr>
          <w:p w14:paraId="41AD35F2" w14:textId="77777777" w:rsidR="00AE2255" w:rsidRDefault="00000000">
            <w:pPr>
              <w:pStyle w:val="TableParagraph"/>
              <w:ind w:right="63"/>
              <w:rPr>
                <w:b/>
                <w:sz w:val="20"/>
              </w:rPr>
            </w:pPr>
            <w:r>
              <w:rPr>
                <w:b/>
                <w:sz w:val="20"/>
              </w:rPr>
              <w:t>88.2</w:t>
            </w:r>
            <w:r>
              <w:rPr>
                <w:b/>
                <w:spacing w:val="59"/>
                <w:w w:val="150"/>
                <w:sz w:val="20"/>
              </w:rPr>
              <w:t xml:space="preserve"> </w:t>
            </w:r>
            <w:r>
              <w:rPr>
                <w:b/>
                <w:spacing w:val="-10"/>
                <w:sz w:val="20"/>
              </w:rPr>
              <w:t>%</w:t>
            </w:r>
          </w:p>
        </w:tc>
        <w:tc>
          <w:tcPr>
            <w:tcW w:w="1213" w:type="dxa"/>
          </w:tcPr>
          <w:p w14:paraId="2CFB5B15" w14:textId="77777777" w:rsidR="00AE2255" w:rsidRDefault="00000000">
            <w:pPr>
              <w:pStyle w:val="TableParagraph"/>
              <w:ind w:right="79"/>
              <w:rPr>
                <w:sz w:val="20"/>
              </w:rPr>
            </w:pPr>
            <w:r>
              <w:rPr>
                <w:sz w:val="20"/>
              </w:rPr>
              <w:t>89.2</w:t>
            </w:r>
            <w:r>
              <w:rPr>
                <w:spacing w:val="59"/>
                <w:w w:val="150"/>
                <w:sz w:val="20"/>
              </w:rPr>
              <w:t xml:space="preserve"> </w:t>
            </w:r>
            <w:r>
              <w:rPr>
                <w:spacing w:val="-10"/>
                <w:sz w:val="20"/>
              </w:rPr>
              <w:t>%</w:t>
            </w:r>
          </w:p>
        </w:tc>
        <w:tc>
          <w:tcPr>
            <w:tcW w:w="1184" w:type="dxa"/>
          </w:tcPr>
          <w:p w14:paraId="41E20A1F" w14:textId="77777777" w:rsidR="00AE2255" w:rsidRDefault="00000000">
            <w:pPr>
              <w:pStyle w:val="TableParagraph"/>
              <w:ind w:right="33"/>
              <w:rPr>
                <w:sz w:val="20"/>
              </w:rPr>
            </w:pPr>
            <w:r>
              <w:rPr>
                <w:sz w:val="20"/>
              </w:rPr>
              <w:t>89.5</w:t>
            </w:r>
            <w:r>
              <w:rPr>
                <w:spacing w:val="59"/>
                <w:w w:val="150"/>
                <w:sz w:val="20"/>
              </w:rPr>
              <w:t xml:space="preserve"> </w:t>
            </w:r>
            <w:r>
              <w:rPr>
                <w:spacing w:val="-10"/>
                <w:sz w:val="20"/>
              </w:rPr>
              <w:t>%</w:t>
            </w:r>
          </w:p>
        </w:tc>
      </w:tr>
      <w:tr w:rsidR="00AE2255" w14:paraId="084C6902" w14:textId="77777777">
        <w:trPr>
          <w:trHeight w:val="285"/>
        </w:trPr>
        <w:tc>
          <w:tcPr>
            <w:tcW w:w="4493" w:type="dxa"/>
            <w:shd w:val="clear" w:color="auto" w:fill="CCEDFF"/>
          </w:tcPr>
          <w:p w14:paraId="1C948370" w14:textId="77777777" w:rsidR="00AE2255" w:rsidRDefault="00000000">
            <w:pPr>
              <w:pStyle w:val="TableParagraph"/>
              <w:spacing w:before="27"/>
              <w:ind w:left="52"/>
              <w:jc w:val="left"/>
              <w:rPr>
                <w:sz w:val="20"/>
              </w:rPr>
            </w:pPr>
            <w:r>
              <w:rPr>
                <w:sz w:val="20"/>
              </w:rPr>
              <w:t>Severance</w:t>
            </w:r>
            <w:r>
              <w:rPr>
                <w:spacing w:val="-4"/>
                <w:sz w:val="20"/>
              </w:rPr>
              <w:t xml:space="preserve"> </w:t>
            </w:r>
            <w:r>
              <w:rPr>
                <w:sz w:val="20"/>
              </w:rPr>
              <w:t>and</w:t>
            </w:r>
            <w:r>
              <w:rPr>
                <w:spacing w:val="-3"/>
                <w:sz w:val="20"/>
              </w:rPr>
              <w:t xml:space="preserve"> </w:t>
            </w:r>
            <w:r>
              <w:rPr>
                <w:sz w:val="20"/>
              </w:rPr>
              <w:t>other</w:t>
            </w:r>
            <w:r>
              <w:rPr>
                <w:spacing w:val="-2"/>
                <w:sz w:val="20"/>
              </w:rPr>
              <w:t xml:space="preserve"> charges</w:t>
            </w:r>
          </w:p>
        </w:tc>
        <w:tc>
          <w:tcPr>
            <w:tcW w:w="3325" w:type="dxa"/>
            <w:shd w:val="clear" w:color="auto" w:fill="CCEDFF"/>
          </w:tcPr>
          <w:p w14:paraId="08831830" w14:textId="77777777" w:rsidR="00AE2255" w:rsidRDefault="00000000">
            <w:pPr>
              <w:pStyle w:val="TableParagraph"/>
              <w:ind w:right="332"/>
              <w:rPr>
                <w:b/>
                <w:sz w:val="20"/>
              </w:rPr>
            </w:pPr>
            <w:r>
              <w:rPr>
                <w:b/>
                <w:spacing w:val="-2"/>
                <w:sz w:val="20"/>
              </w:rPr>
              <w:t>(100)</w:t>
            </w:r>
          </w:p>
        </w:tc>
        <w:tc>
          <w:tcPr>
            <w:tcW w:w="1213" w:type="dxa"/>
            <w:shd w:val="clear" w:color="auto" w:fill="CCEDFF"/>
          </w:tcPr>
          <w:p w14:paraId="28439B44" w14:textId="77777777" w:rsidR="00AE2255" w:rsidRDefault="00000000">
            <w:pPr>
              <w:pStyle w:val="TableParagraph"/>
              <w:ind w:left="563"/>
              <w:jc w:val="left"/>
              <w:rPr>
                <w:sz w:val="20"/>
              </w:rPr>
            </w:pPr>
            <w:r>
              <w:rPr>
                <w:spacing w:val="-4"/>
                <w:sz w:val="20"/>
              </w:rPr>
              <w:t>(36)</w:t>
            </w:r>
          </w:p>
        </w:tc>
        <w:tc>
          <w:tcPr>
            <w:tcW w:w="1184" w:type="dxa"/>
            <w:shd w:val="clear" w:color="auto" w:fill="CCEDFF"/>
          </w:tcPr>
          <w:p w14:paraId="44A85186" w14:textId="77777777" w:rsidR="00AE2255" w:rsidRDefault="00000000">
            <w:pPr>
              <w:pStyle w:val="TableParagraph"/>
              <w:ind w:left="580"/>
              <w:jc w:val="left"/>
              <w:rPr>
                <w:sz w:val="20"/>
              </w:rPr>
            </w:pPr>
            <w:r>
              <w:rPr>
                <w:spacing w:val="-4"/>
                <w:sz w:val="20"/>
              </w:rPr>
              <w:t>(27)</w:t>
            </w:r>
          </w:p>
        </w:tc>
      </w:tr>
      <w:tr w:rsidR="00AE2255" w14:paraId="6ED5D02E" w14:textId="77777777">
        <w:trPr>
          <w:trHeight w:val="275"/>
        </w:trPr>
        <w:tc>
          <w:tcPr>
            <w:tcW w:w="4493" w:type="dxa"/>
            <w:tcBorders>
              <w:bottom w:val="single" w:sz="8" w:space="0" w:color="auto"/>
            </w:tcBorders>
          </w:tcPr>
          <w:p w14:paraId="766537B5" w14:textId="77777777" w:rsidR="00AE2255" w:rsidRDefault="00000000">
            <w:pPr>
              <w:pStyle w:val="TableParagraph"/>
              <w:spacing w:before="27" w:line="228" w:lineRule="exact"/>
              <w:ind w:left="52"/>
              <w:jc w:val="left"/>
              <w:rPr>
                <w:sz w:val="20"/>
              </w:rPr>
            </w:pPr>
            <w:r>
              <w:rPr>
                <w:sz w:val="20"/>
              </w:rPr>
              <w:t>Other</w:t>
            </w:r>
            <w:r>
              <w:rPr>
                <w:spacing w:val="-5"/>
                <w:sz w:val="20"/>
              </w:rPr>
              <w:t xml:space="preserve"> </w:t>
            </w:r>
            <w:r>
              <w:rPr>
                <w:sz w:val="20"/>
              </w:rPr>
              <w:t>unallocated,</w:t>
            </w:r>
            <w:r>
              <w:rPr>
                <w:spacing w:val="-5"/>
                <w:sz w:val="20"/>
              </w:rPr>
              <w:t xml:space="preserve"> net</w:t>
            </w:r>
          </w:p>
        </w:tc>
        <w:tc>
          <w:tcPr>
            <w:tcW w:w="3325" w:type="dxa"/>
            <w:tcBorders>
              <w:bottom w:val="single" w:sz="8" w:space="0" w:color="auto"/>
            </w:tcBorders>
          </w:tcPr>
          <w:p w14:paraId="24170D9F" w14:textId="77777777" w:rsidR="00AE2255" w:rsidRDefault="00000000">
            <w:pPr>
              <w:pStyle w:val="TableParagraph"/>
              <w:spacing w:line="230" w:lineRule="exact"/>
              <w:ind w:right="397"/>
              <w:rPr>
                <w:b/>
                <w:sz w:val="20"/>
              </w:rPr>
            </w:pPr>
            <w:r>
              <w:rPr>
                <w:b/>
                <w:spacing w:val="-2"/>
                <w:sz w:val="20"/>
              </w:rPr>
              <w:t>1,260</w:t>
            </w:r>
          </w:p>
        </w:tc>
        <w:tc>
          <w:tcPr>
            <w:tcW w:w="1213" w:type="dxa"/>
            <w:tcBorders>
              <w:bottom w:val="single" w:sz="8" w:space="0" w:color="auto"/>
            </w:tcBorders>
          </w:tcPr>
          <w:p w14:paraId="237251C6" w14:textId="77777777" w:rsidR="00AE2255" w:rsidRDefault="00000000">
            <w:pPr>
              <w:pStyle w:val="TableParagraph"/>
              <w:spacing w:line="230" w:lineRule="exact"/>
              <w:ind w:left="380"/>
              <w:jc w:val="left"/>
              <w:rPr>
                <w:sz w:val="20"/>
              </w:rPr>
            </w:pPr>
            <w:r>
              <w:rPr>
                <w:spacing w:val="-2"/>
                <w:sz w:val="20"/>
              </w:rPr>
              <w:t>1,789</w:t>
            </w:r>
          </w:p>
        </w:tc>
        <w:tc>
          <w:tcPr>
            <w:tcW w:w="1184" w:type="dxa"/>
            <w:tcBorders>
              <w:bottom w:val="single" w:sz="8" w:space="0" w:color="auto"/>
            </w:tcBorders>
          </w:tcPr>
          <w:p w14:paraId="73B7D791" w14:textId="77777777" w:rsidR="00AE2255" w:rsidRDefault="00000000">
            <w:pPr>
              <w:pStyle w:val="TableParagraph"/>
              <w:spacing w:line="230" w:lineRule="exact"/>
              <w:ind w:left="397"/>
              <w:jc w:val="left"/>
              <w:rPr>
                <w:sz w:val="20"/>
              </w:rPr>
            </w:pPr>
            <w:r>
              <w:rPr>
                <w:spacing w:val="-2"/>
                <w:sz w:val="20"/>
              </w:rPr>
              <w:t>1,650</w:t>
            </w:r>
          </w:p>
        </w:tc>
      </w:tr>
      <w:tr w:rsidR="00AE2255" w14:paraId="0DE93CBB" w14:textId="77777777">
        <w:trPr>
          <w:trHeight w:val="252"/>
        </w:trPr>
        <w:tc>
          <w:tcPr>
            <w:tcW w:w="4493" w:type="dxa"/>
            <w:tcBorders>
              <w:top w:val="single" w:sz="8" w:space="0" w:color="CCEDFF"/>
              <w:bottom w:val="single" w:sz="18" w:space="0" w:color="CCEDFF"/>
            </w:tcBorders>
            <w:shd w:val="clear" w:color="auto" w:fill="CCEDFF"/>
          </w:tcPr>
          <w:p w14:paraId="1BA07451" w14:textId="77777777" w:rsidR="00AE2255" w:rsidRDefault="00000000">
            <w:pPr>
              <w:pStyle w:val="TableParagraph"/>
              <w:spacing w:before="17" w:line="216" w:lineRule="exact"/>
              <w:ind w:left="277"/>
              <w:jc w:val="left"/>
              <w:rPr>
                <w:sz w:val="20"/>
              </w:rPr>
            </w:pPr>
            <w:r>
              <w:rPr>
                <w:sz w:val="20"/>
              </w:rPr>
              <w:t>Total</w:t>
            </w:r>
            <w:r>
              <w:rPr>
                <w:spacing w:val="-3"/>
                <w:sz w:val="20"/>
              </w:rPr>
              <w:t xml:space="preserve"> </w:t>
            </w:r>
            <w:r>
              <w:rPr>
                <w:sz w:val="20"/>
              </w:rPr>
              <w:t>cost</w:t>
            </w:r>
            <w:r>
              <w:rPr>
                <w:spacing w:val="-3"/>
                <w:sz w:val="20"/>
              </w:rPr>
              <w:t xml:space="preserve"> </w:t>
            </w:r>
            <w:r>
              <w:rPr>
                <w:sz w:val="20"/>
              </w:rPr>
              <w:t>of</w:t>
            </w:r>
            <w:r>
              <w:rPr>
                <w:spacing w:val="-1"/>
                <w:sz w:val="20"/>
              </w:rPr>
              <w:t xml:space="preserve"> </w:t>
            </w:r>
            <w:r>
              <w:rPr>
                <w:spacing w:val="-2"/>
                <w:sz w:val="20"/>
              </w:rPr>
              <w:t>sales</w:t>
            </w:r>
          </w:p>
        </w:tc>
        <w:tc>
          <w:tcPr>
            <w:tcW w:w="3325" w:type="dxa"/>
            <w:tcBorders>
              <w:top w:val="single" w:sz="8" w:space="0" w:color="CCEDFF"/>
              <w:bottom w:val="single" w:sz="18" w:space="0" w:color="CCEDFF"/>
            </w:tcBorders>
            <w:shd w:val="clear" w:color="auto" w:fill="CCEDFF"/>
          </w:tcPr>
          <w:p w14:paraId="759B07C9" w14:textId="77777777" w:rsidR="00AE2255" w:rsidRDefault="00000000">
            <w:pPr>
              <w:pStyle w:val="TableParagraph"/>
              <w:spacing w:before="15" w:line="217" w:lineRule="exact"/>
              <w:ind w:left="2159"/>
              <w:jc w:val="left"/>
              <w:rPr>
                <w:b/>
                <w:sz w:val="20"/>
              </w:rPr>
            </w:pPr>
            <w:r>
              <w:rPr>
                <w:b/>
                <w:sz w:val="20"/>
              </w:rPr>
              <w:t>$</w:t>
            </w:r>
            <w:r>
              <w:rPr>
                <w:b/>
                <w:spacing w:val="-1"/>
                <w:sz w:val="20"/>
              </w:rPr>
              <w:t xml:space="preserve"> </w:t>
            </w:r>
            <w:r>
              <w:rPr>
                <w:b/>
                <w:spacing w:val="-2"/>
                <w:sz w:val="20"/>
              </w:rPr>
              <w:t>(57,697)</w:t>
            </w:r>
          </w:p>
        </w:tc>
        <w:tc>
          <w:tcPr>
            <w:tcW w:w="1213" w:type="dxa"/>
            <w:tcBorders>
              <w:top w:val="single" w:sz="8" w:space="0" w:color="CCEDFF"/>
              <w:bottom w:val="single" w:sz="18" w:space="0" w:color="CCEDFF"/>
            </w:tcBorders>
            <w:shd w:val="clear" w:color="auto" w:fill="CCEDFF"/>
          </w:tcPr>
          <w:p w14:paraId="5786AB58" w14:textId="77777777" w:rsidR="00AE2255" w:rsidRDefault="00000000">
            <w:pPr>
              <w:pStyle w:val="TableParagraph"/>
              <w:spacing w:before="15" w:line="217" w:lineRule="exact"/>
              <w:ind w:left="64"/>
              <w:jc w:val="left"/>
              <w:rPr>
                <w:sz w:val="20"/>
              </w:rPr>
            </w:pPr>
            <w:r>
              <w:rPr>
                <w:sz w:val="20"/>
              </w:rPr>
              <w:t>$</w:t>
            </w:r>
            <w:r>
              <w:rPr>
                <w:spacing w:val="-1"/>
                <w:sz w:val="20"/>
              </w:rPr>
              <w:t xml:space="preserve"> </w:t>
            </w:r>
            <w:r>
              <w:rPr>
                <w:spacing w:val="-2"/>
                <w:sz w:val="20"/>
              </w:rPr>
              <w:t>(57,983)</w:t>
            </w:r>
          </w:p>
        </w:tc>
        <w:tc>
          <w:tcPr>
            <w:tcW w:w="1184" w:type="dxa"/>
            <w:tcBorders>
              <w:top w:val="single" w:sz="8" w:space="0" w:color="CCEDFF"/>
              <w:bottom w:val="single" w:sz="18" w:space="0" w:color="CCEDFF"/>
            </w:tcBorders>
            <w:shd w:val="clear" w:color="auto" w:fill="CCEDFF"/>
          </w:tcPr>
          <w:p w14:paraId="64683C96" w14:textId="77777777" w:rsidR="00AE2255" w:rsidRDefault="00000000">
            <w:pPr>
              <w:pStyle w:val="TableParagraph"/>
              <w:spacing w:before="15" w:line="217" w:lineRule="exact"/>
              <w:ind w:left="81"/>
              <w:jc w:val="left"/>
              <w:rPr>
                <w:sz w:val="20"/>
              </w:rPr>
            </w:pPr>
            <w:r>
              <w:rPr>
                <w:sz w:val="20"/>
              </w:rPr>
              <w:t>$</w:t>
            </w:r>
            <w:r>
              <w:rPr>
                <w:spacing w:val="-1"/>
                <w:sz w:val="20"/>
              </w:rPr>
              <w:t xml:space="preserve"> </w:t>
            </w:r>
            <w:r>
              <w:rPr>
                <w:spacing w:val="-2"/>
                <w:sz w:val="20"/>
              </w:rPr>
              <w:t>(56,744)</w:t>
            </w:r>
          </w:p>
        </w:tc>
      </w:tr>
    </w:tbl>
    <w:p w14:paraId="47CB9D89" w14:textId="77777777" w:rsidR="00AE2255" w:rsidRDefault="00AE2255">
      <w:pPr>
        <w:pStyle w:val="BodyText"/>
      </w:pPr>
    </w:p>
    <w:p w14:paraId="6967752C" w14:textId="77777777" w:rsidR="00AE2255" w:rsidRDefault="00000000">
      <w:pPr>
        <w:pStyle w:val="BodyText"/>
        <w:spacing w:line="249" w:lineRule="auto"/>
        <w:ind w:left="610" w:right="428" w:firstLine="495"/>
        <w:jc w:val="both"/>
      </w:pPr>
      <w:r>
        <w:t>The following discussion of material changes in our consolidated cost of sales for products and services should be read in tandem with the preceding discussion of changes in our consolidated net sales and our business segment results of operations. Except</w:t>
      </w:r>
      <w:r>
        <w:rPr>
          <w:spacing w:val="18"/>
        </w:rPr>
        <w:t xml:space="preserve"> </w:t>
      </w:r>
      <w:r>
        <w:t>for</w:t>
      </w:r>
      <w:r>
        <w:rPr>
          <w:spacing w:val="18"/>
        </w:rPr>
        <w:t xml:space="preserve"> </w:t>
      </w:r>
      <w:r>
        <w:t>potential</w:t>
      </w:r>
      <w:r>
        <w:rPr>
          <w:spacing w:val="18"/>
        </w:rPr>
        <w:t xml:space="preserve"> </w:t>
      </w:r>
      <w:r>
        <w:t>impacts</w:t>
      </w:r>
      <w:r>
        <w:rPr>
          <w:spacing w:val="18"/>
        </w:rPr>
        <w:t xml:space="preserve"> </w:t>
      </w:r>
      <w:r>
        <w:t>to</w:t>
      </w:r>
      <w:r>
        <w:rPr>
          <w:spacing w:val="18"/>
        </w:rPr>
        <w:t xml:space="preserve"> </w:t>
      </w:r>
      <w:r>
        <w:t>our</w:t>
      </w:r>
      <w:r>
        <w:rPr>
          <w:spacing w:val="18"/>
        </w:rPr>
        <w:t xml:space="preserve"> </w:t>
      </w:r>
      <w:r>
        <w:t>programs</w:t>
      </w:r>
      <w:r>
        <w:rPr>
          <w:spacing w:val="18"/>
        </w:rPr>
        <w:t xml:space="preserve"> </w:t>
      </w:r>
      <w:r>
        <w:t>resulting</w:t>
      </w:r>
      <w:r>
        <w:rPr>
          <w:spacing w:val="18"/>
        </w:rPr>
        <w:t xml:space="preserve"> </w:t>
      </w:r>
      <w:r>
        <w:t>from</w:t>
      </w:r>
      <w:r>
        <w:rPr>
          <w:spacing w:val="18"/>
        </w:rPr>
        <w:t xml:space="preserve"> </w:t>
      </w:r>
      <w:r>
        <w:t>COVID-19,</w:t>
      </w:r>
      <w:r>
        <w:rPr>
          <w:spacing w:val="18"/>
        </w:rPr>
        <w:t xml:space="preserve"> </w:t>
      </w:r>
      <w:r>
        <w:t>supply</w:t>
      </w:r>
      <w:r>
        <w:rPr>
          <w:spacing w:val="18"/>
        </w:rPr>
        <w:t xml:space="preserve"> </w:t>
      </w:r>
      <w:r>
        <w:t>chain</w:t>
      </w:r>
      <w:r>
        <w:rPr>
          <w:spacing w:val="18"/>
        </w:rPr>
        <w:t xml:space="preserve"> </w:t>
      </w:r>
      <w:r>
        <w:t>disruptions</w:t>
      </w:r>
      <w:r>
        <w:rPr>
          <w:spacing w:val="18"/>
        </w:rPr>
        <w:t xml:space="preserve"> </w:t>
      </w:r>
      <w:r>
        <w:t>and</w:t>
      </w:r>
      <w:r>
        <w:rPr>
          <w:spacing w:val="18"/>
        </w:rPr>
        <w:t xml:space="preserve"> </w:t>
      </w:r>
      <w:r>
        <w:t>inflation,</w:t>
      </w:r>
      <w:r>
        <w:rPr>
          <w:spacing w:val="18"/>
        </w:rPr>
        <w:t xml:space="preserve"> </w:t>
      </w:r>
      <w:r>
        <w:t>we</w:t>
      </w:r>
      <w:r>
        <w:rPr>
          <w:spacing w:val="18"/>
        </w:rPr>
        <w:t xml:space="preserve"> </w:t>
      </w:r>
      <w:r>
        <w:t>have</w:t>
      </w:r>
      <w:r>
        <w:rPr>
          <w:spacing w:val="18"/>
        </w:rPr>
        <w:t xml:space="preserve"> </w:t>
      </w:r>
      <w:r>
        <w:t>not</w:t>
      </w:r>
    </w:p>
    <w:p w14:paraId="4107021C" w14:textId="77777777" w:rsidR="00AE2255" w:rsidRDefault="00AE2255">
      <w:pPr>
        <w:spacing w:line="249" w:lineRule="auto"/>
        <w:jc w:val="both"/>
        <w:sectPr w:rsidR="00AE2255">
          <w:pgSz w:w="12240" w:h="15840"/>
          <w:pgMar w:top="440" w:right="560" w:bottom="720" w:left="380" w:header="230" w:footer="531" w:gutter="0"/>
          <w:cols w:space="720"/>
        </w:sectPr>
      </w:pPr>
    </w:p>
    <w:p w14:paraId="44E8BFF1" w14:textId="77777777" w:rsidR="00AE2255" w:rsidRDefault="00AE2255">
      <w:pPr>
        <w:pStyle w:val="BodyText"/>
        <w:spacing w:before="10"/>
        <w:rPr>
          <w:sz w:val="22"/>
        </w:rPr>
      </w:pPr>
    </w:p>
    <w:p w14:paraId="30185D3D" w14:textId="77777777" w:rsidR="00AE2255" w:rsidRDefault="00000000">
      <w:pPr>
        <w:pStyle w:val="BodyText"/>
        <w:spacing w:before="92" w:line="249" w:lineRule="auto"/>
        <w:ind w:left="610" w:right="428"/>
        <w:jc w:val="both"/>
      </w:pPr>
      <w:r>
        <w:t>identified any additional developing trends in cost of sales for products and services that would have a material impact on our future operations.</w:t>
      </w:r>
    </w:p>
    <w:p w14:paraId="31BDBB16" w14:textId="77777777" w:rsidR="00AE2255" w:rsidRDefault="00AE2255">
      <w:pPr>
        <w:pStyle w:val="BodyText"/>
        <w:spacing w:before="6"/>
        <w:rPr>
          <w:sz w:val="17"/>
        </w:rPr>
      </w:pPr>
    </w:p>
    <w:p w14:paraId="56BF113C" w14:textId="77777777" w:rsidR="00AE2255" w:rsidRDefault="00000000">
      <w:pPr>
        <w:ind w:left="610"/>
        <w:rPr>
          <w:i/>
          <w:sz w:val="20"/>
        </w:rPr>
      </w:pPr>
      <w:r>
        <w:rPr>
          <w:i/>
          <w:sz w:val="20"/>
        </w:rPr>
        <w:t>Product</w:t>
      </w:r>
      <w:r>
        <w:rPr>
          <w:i/>
          <w:spacing w:val="-6"/>
          <w:sz w:val="20"/>
        </w:rPr>
        <w:t xml:space="preserve"> </w:t>
      </w:r>
      <w:r>
        <w:rPr>
          <w:i/>
          <w:spacing w:val="-2"/>
          <w:sz w:val="20"/>
        </w:rPr>
        <w:t>Costs</w:t>
      </w:r>
    </w:p>
    <w:p w14:paraId="7B050741" w14:textId="77777777" w:rsidR="00AE2255" w:rsidRDefault="00AE2255">
      <w:pPr>
        <w:pStyle w:val="BodyText"/>
        <w:spacing w:before="3"/>
        <w:rPr>
          <w:i/>
          <w:sz w:val="18"/>
        </w:rPr>
      </w:pPr>
    </w:p>
    <w:p w14:paraId="0AF44E5D" w14:textId="77777777" w:rsidR="00AE2255" w:rsidRDefault="00000000">
      <w:pPr>
        <w:pStyle w:val="BodyText"/>
        <w:spacing w:line="249" w:lineRule="auto"/>
        <w:ind w:left="610" w:right="427" w:firstLine="360"/>
        <w:jc w:val="both"/>
      </w:pPr>
      <w:r>
        <w:t>Product costs decreased approximately $696 million, or 1%, in 2022 as compared to 2021. The decrease was primarily attributable to lower product costs of approximately $525 million at RMS mostly due to lower production volume on Black Hawk and the delivery of an international pilot training system in the first quarter of 2021; about $195 million at MFC</w:t>
      </w:r>
      <w:r>
        <w:rPr>
          <w:spacing w:val="40"/>
        </w:rPr>
        <w:t xml:space="preserve"> </w:t>
      </w:r>
      <w:r>
        <w:t>primarily due to lower volume on air dominance weapon systems and THAAD; and approximately $165 million at Space primarily due to the renationalization of AWE, partially offset by higher development volume (NGI).</w:t>
      </w:r>
      <w:r>
        <w:rPr>
          <w:spacing w:val="40"/>
        </w:rPr>
        <w:t xml:space="preserve"> </w:t>
      </w:r>
      <w:r>
        <w:t>These decreases were partially offset by higher product costs of about $185 million at Aeronautics mostly due to higher volume on classified</w:t>
      </w:r>
      <w:r>
        <w:rPr>
          <w:spacing w:val="40"/>
        </w:rPr>
        <w:t xml:space="preserve"> </w:t>
      </w:r>
      <w:r>
        <w:t>contracts that were partially offset by lower volume on F-35 contracts.</w:t>
      </w:r>
    </w:p>
    <w:p w14:paraId="596F021A" w14:textId="77777777" w:rsidR="00AE2255" w:rsidRDefault="00AE2255">
      <w:pPr>
        <w:pStyle w:val="BodyText"/>
        <w:spacing w:before="10"/>
        <w:rPr>
          <w:sz w:val="17"/>
        </w:rPr>
      </w:pPr>
    </w:p>
    <w:p w14:paraId="12B081C1" w14:textId="77777777" w:rsidR="00AE2255" w:rsidRDefault="00000000">
      <w:pPr>
        <w:ind w:left="610"/>
        <w:rPr>
          <w:i/>
          <w:sz w:val="20"/>
        </w:rPr>
      </w:pPr>
      <w:r>
        <w:rPr>
          <w:i/>
          <w:sz w:val="20"/>
        </w:rPr>
        <w:t>Service</w:t>
      </w:r>
      <w:r>
        <w:rPr>
          <w:i/>
          <w:spacing w:val="-8"/>
          <w:sz w:val="20"/>
        </w:rPr>
        <w:t xml:space="preserve"> </w:t>
      </w:r>
      <w:r>
        <w:rPr>
          <w:i/>
          <w:spacing w:val="-2"/>
          <w:sz w:val="20"/>
        </w:rPr>
        <w:t>Costs</w:t>
      </w:r>
    </w:p>
    <w:p w14:paraId="186E8895" w14:textId="77777777" w:rsidR="00AE2255" w:rsidRDefault="00AE2255">
      <w:pPr>
        <w:pStyle w:val="BodyText"/>
        <w:spacing w:before="3"/>
        <w:rPr>
          <w:i/>
          <w:sz w:val="18"/>
        </w:rPr>
      </w:pPr>
    </w:p>
    <w:p w14:paraId="637A69D5" w14:textId="77777777" w:rsidR="00AE2255" w:rsidRDefault="00000000">
      <w:pPr>
        <w:pStyle w:val="BodyText"/>
        <w:spacing w:line="249" w:lineRule="auto"/>
        <w:ind w:left="610" w:right="429" w:firstLine="360"/>
        <w:jc w:val="both"/>
      </w:pPr>
      <w:r>
        <w:t xml:space="preserve">Service costs decreased approximately $183 million, or 2%, in 2022 compared to 2021. The decrease was primarily attributable to lower service costs of approximately $160 million at MFC primarily due to lower volume on the SOF GLSS </w:t>
      </w:r>
      <w:r>
        <w:rPr>
          <w:spacing w:val="-2"/>
        </w:rPr>
        <w:t>program.</w:t>
      </w:r>
    </w:p>
    <w:p w14:paraId="6A3B08F0" w14:textId="77777777" w:rsidR="00AE2255" w:rsidRDefault="00AE2255">
      <w:pPr>
        <w:pStyle w:val="BodyText"/>
        <w:spacing w:before="7"/>
        <w:rPr>
          <w:sz w:val="17"/>
        </w:rPr>
      </w:pPr>
    </w:p>
    <w:p w14:paraId="75D2C2FD" w14:textId="77777777" w:rsidR="00AE2255" w:rsidRDefault="00000000">
      <w:pPr>
        <w:ind w:left="610"/>
        <w:rPr>
          <w:i/>
          <w:sz w:val="20"/>
        </w:rPr>
      </w:pPr>
      <w:r>
        <w:rPr>
          <w:i/>
          <w:sz w:val="20"/>
        </w:rPr>
        <w:t>Severance</w:t>
      </w:r>
      <w:r>
        <w:rPr>
          <w:i/>
          <w:spacing w:val="-4"/>
          <w:sz w:val="20"/>
        </w:rPr>
        <w:t xml:space="preserve"> </w:t>
      </w:r>
      <w:r>
        <w:rPr>
          <w:i/>
          <w:sz w:val="20"/>
        </w:rPr>
        <w:t>and</w:t>
      </w:r>
      <w:r>
        <w:rPr>
          <w:i/>
          <w:spacing w:val="-2"/>
          <w:sz w:val="20"/>
        </w:rPr>
        <w:t xml:space="preserve"> </w:t>
      </w:r>
      <w:r>
        <w:rPr>
          <w:i/>
          <w:sz w:val="20"/>
        </w:rPr>
        <w:t>other</w:t>
      </w:r>
      <w:r>
        <w:rPr>
          <w:i/>
          <w:spacing w:val="-3"/>
          <w:sz w:val="20"/>
        </w:rPr>
        <w:t xml:space="preserve"> </w:t>
      </w:r>
      <w:r>
        <w:rPr>
          <w:i/>
          <w:spacing w:val="-2"/>
          <w:sz w:val="20"/>
        </w:rPr>
        <w:t>charges</w:t>
      </w:r>
    </w:p>
    <w:p w14:paraId="318F6204" w14:textId="77777777" w:rsidR="00AE2255" w:rsidRDefault="00AE2255">
      <w:pPr>
        <w:pStyle w:val="BodyText"/>
        <w:spacing w:before="3"/>
        <w:rPr>
          <w:i/>
          <w:sz w:val="18"/>
        </w:rPr>
      </w:pPr>
    </w:p>
    <w:p w14:paraId="64B001E7" w14:textId="77777777" w:rsidR="00AE2255" w:rsidRDefault="00000000">
      <w:pPr>
        <w:pStyle w:val="BodyText"/>
        <w:spacing w:line="249" w:lineRule="auto"/>
        <w:ind w:left="610" w:right="428" w:firstLine="360"/>
        <w:jc w:val="both"/>
      </w:pPr>
      <w:r>
        <w:t>During the fourth quarter of 2022, we recorded charges totaling $100 million ($79 million, or $0.31 per share, after-tax) that relate to actions at our RMS business segment, which include severance costs for reduction of positions and asset impairment charges. After a strategic review of RMS, these actions will improve the efficiency of our operations, better align the organization and cost structure with changing economic conditions, and changes in program lifecycles. During 2021, we recorded severance and restructuring charges of $36 million ($28 million, or $0.10 per share, after-tax) associated with plans to close and consolidate certain facilities and reduce the total workforce within our RMS business segment.</w:t>
      </w:r>
    </w:p>
    <w:p w14:paraId="4F45DB93" w14:textId="77777777" w:rsidR="00AE2255" w:rsidRDefault="00AE2255">
      <w:pPr>
        <w:pStyle w:val="BodyText"/>
        <w:spacing w:before="10"/>
        <w:rPr>
          <w:sz w:val="17"/>
        </w:rPr>
      </w:pPr>
    </w:p>
    <w:p w14:paraId="46057C61" w14:textId="77777777" w:rsidR="00AE2255" w:rsidRDefault="00000000">
      <w:pPr>
        <w:ind w:left="610"/>
        <w:rPr>
          <w:i/>
          <w:sz w:val="20"/>
        </w:rPr>
      </w:pPr>
      <w:r>
        <w:rPr>
          <w:i/>
          <w:sz w:val="20"/>
        </w:rPr>
        <w:t>Other</w:t>
      </w:r>
      <w:r>
        <w:rPr>
          <w:i/>
          <w:spacing w:val="-6"/>
          <w:sz w:val="20"/>
        </w:rPr>
        <w:t xml:space="preserve"> </w:t>
      </w:r>
      <w:r>
        <w:rPr>
          <w:i/>
          <w:sz w:val="20"/>
        </w:rPr>
        <w:t>Unallocated,</w:t>
      </w:r>
      <w:r>
        <w:rPr>
          <w:i/>
          <w:spacing w:val="-4"/>
          <w:sz w:val="20"/>
        </w:rPr>
        <w:t xml:space="preserve"> </w:t>
      </w:r>
      <w:r>
        <w:rPr>
          <w:i/>
          <w:spacing w:val="-5"/>
          <w:sz w:val="20"/>
        </w:rPr>
        <w:t>Net</w:t>
      </w:r>
    </w:p>
    <w:p w14:paraId="5B81773E" w14:textId="77777777" w:rsidR="00AE2255" w:rsidRDefault="00AE2255">
      <w:pPr>
        <w:pStyle w:val="BodyText"/>
        <w:spacing w:before="3"/>
        <w:rPr>
          <w:i/>
          <w:sz w:val="18"/>
        </w:rPr>
      </w:pPr>
    </w:p>
    <w:p w14:paraId="10C875D8" w14:textId="77777777" w:rsidR="00AE2255" w:rsidRDefault="00000000">
      <w:pPr>
        <w:pStyle w:val="BodyText"/>
        <w:spacing w:line="249" w:lineRule="auto"/>
        <w:ind w:left="610" w:right="427" w:firstLine="360"/>
        <w:jc w:val="both"/>
      </w:pPr>
      <w:r>
        <w:t>Other unallocated, net primarily includes the FAS/CAS pension operating adjustment (which represents the difference between</w:t>
      </w:r>
      <w:r>
        <w:rPr>
          <w:spacing w:val="-2"/>
        </w:rPr>
        <w:t xml:space="preserve"> </w:t>
      </w:r>
      <w:r>
        <w:t>CAS</w:t>
      </w:r>
      <w:r>
        <w:rPr>
          <w:spacing w:val="-2"/>
        </w:rPr>
        <w:t xml:space="preserve"> </w:t>
      </w:r>
      <w:r>
        <w:t>pension</w:t>
      </w:r>
      <w:r>
        <w:rPr>
          <w:spacing w:val="-2"/>
        </w:rPr>
        <w:t xml:space="preserve"> </w:t>
      </w:r>
      <w:r>
        <w:t>cost</w:t>
      </w:r>
      <w:r>
        <w:rPr>
          <w:spacing w:val="-2"/>
        </w:rPr>
        <w:t xml:space="preserve"> </w:t>
      </w:r>
      <w:r>
        <w:t>recorded</w:t>
      </w:r>
      <w:r>
        <w:rPr>
          <w:spacing w:val="-2"/>
        </w:rPr>
        <w:t xml:space="preserve"> </w:t>
      </w:r>
      <w:r>
        <w:t>in</w:t>
      </w:r>
      <w:r>
        <w:rPr>
          <w:spacing w:val="-2"/>
        </w:rPr>
        <w:t xml:space="preserve"> </w:t>
      </w:r>
      <w:r>
        <w:t>our</w:t>
      </w:r>
      <w:r>
        <w:rPr>
          <w:spacing w:val="-2"/>
        </w:rPr>
        <w:t xml:space="preserve"> </w:t>
      </w:r>
      <w:r>
        <w:t>business</w:t>
      </w:r>
      <w:r>
        <w:rPr>
          <w:spacing w:val="-2"/>
        </w:rPr>
        <w:t xml:space="preserve"> </w:t>
      </w:r>
      <w:r>
        <w:t>segments’</w:t>
      </w:r>
      <w:r>
        <w:rPr>
          <w:spacing w:val="-2"/>
        </w:rPr>
        <w:t xml:space="preserve"> </w:t>
      </w:r>
      <w:r>
        <w:t>results</w:t>
      </w:r>
      <w:r>
        <w:rPr>
          <w:spacing w:val="-2"/>
        </w:rPr>
        <w:t xml:space="preserve"> </w:t>
      </w:r>
      <w:r>
        <w:t>of</w:t>
      </w:r>
      <w:r>
        <w:rPr>
          <w:spacing w:val="-2"/>
        </w:rPr>
        <w:t xml:space="preserve"> </w:t>
      </w:r>
      <w:r>
        <w:t>operations</w:t>
      </w:r>
      <w:r>
        <w:rPr>
          <w:spacing w:val="-2"/>
        </w:rPr>
        <w:t xml:space="preserve"> </w:t>
      </w:r>
      <w:r>
        <w:t>and</w:t>
      </w:r>
      <w:r>
        <w:rPr>
          <w:spacing w:val="-2"/>
        </w:rPr>
        <w:t xml:space="preserve"> </w:t>
      </w:r>
      <w:r>
        <w:t>the</w:t>
      </w:r>
      <w:r>
        <w:rPr>
          <w:spacing w:val="-2"/>
        </w:rPr>
        <w:t xml:space="preserve"> </w:t>
      </w:r>
      <w:r>
        <w:t>service</w:t>
      </w:r>
      <w:r>
        <w:rPr>
          <w:spacing w:val="-2"/>
        </w:rPr>
        <w:t xml:space="preserve"> </w:t>
      </w:r>
      <w:r>
        <w:t>cost</w:t>
      </w:r>
      <w:r>
        <w:rPr>
          <w:spacing w:val="-2"/>
        </w:rPr>
        <w:t xml:space="preserve"> </w:t>
      </w:r>
      <w:r>
        <w:t>component</w:t>
      </w:r>
      <w:r>
        <w:rPr>
          <w:spacing w:val="-2"/>
        </w:rPr>
        <w:t xml:space="preserve"> </w:t>
      </w:r>
      <w:r>
        <w:t>of</w:t>
      </w:r>
      <w:r>
        <w:rPr>
          <w:spacing w:val="-2"/>
        </w:rPr>
        <w:t xml:space="preserve"> </w:t>
      </w:r>
      <w:r>
        <w:t>Financial Accounting Standards (FAS) pension expense), stock-based compensation expense, changes in the fair value of investments</w:t>
      </w:r>
      <w:r>
        <w:rPr>
          <w:spacing w:val="40"/>
        </w:rPr>
        <w:t xml:space="preserve"> </w:t>
      </w:r>
      <w:r>
        <w:t>and</w:t>
      </w:r>
      <w:r>
        <w:rPr>
          <w:spacing w:val="-1"/>
        </w:rPr>
        <w:t xml:space="preserve"> </w:t>
      </w:r>
      <w:r>
        <w:t>liabilities</w:t>
      </w:r>
      <w:r>
        <w:rPr>
          <w:spacing w:val="-1"/>
        </w:rPr>
        <w:t xml:space="preserve"> </w:t>
      </w:r>
      <w:r>
        <w:t>for</w:t>
      </w:r>
      <w:r>
        <w:rPr>
          <w:spacing w:val="-1"/>
        </w:rPr>
        <w:t xml:space="preserve"> </w:t>
      </w:r>
      <w:r>
        <w:t>deferred</w:t>
      </w:r>
      <w:r>
        <w:rPr>
          <w:spacing w:val="-1"/>
        </w:rPr>
        <w:t xml:space="preserve"> </w:t>
      </w:r>
      <w:r>
        <w:t>compensation</w:t>
      </w:r>
      <w:r>
        <w:rPr>
          <w:spacing w:val="-1"/>
        </w:rPr>
        <w:t xml:space="preserve"> </w:t>
      </w:r>
      <w:r>
        <w:t>plans</w:t>
      </w:r>
      <w:r>
        <w:rPr>
          <w:spacing w:val="-1"/>
        </w:rPr>
        <w:t xml:space="preserve"> </w:t>
      </w:r>
      <w:r>
        <w:t>and</w:t>
      </w:r>
      <w:r>
        <w:rPr>
          <w:spacing w:val="-1"/>
        </w:rPr>
        <w:t xml:space="preserve"> </w:t>
      </w:r>
      <w:r>
        <w:t>other</w:t>
      </w:r>
      <w:r>
        <w:rPr>
          <w:spacing w:val="-1"/>
        </w:rPr>
        <w:t xml:space="preserve"> </w:t>
      </w:r>
      <w:r>
        <w:t>corporate</w:t>
      </w:r>
      <w:r>
        <w:rPr>
          <w:spacing w:val="-1"/>
        </w:rPr>
        <w:t xml:space="preserve"> </w:t>
      </w:r>
      <w:r>
        <w:t>costs.</w:t>
      </w:r>
      <w:r>
        <w:rPr>
          <w:spacing w:val="-1"/>
        </w:rPr>
        <w:t xml:space="preserve"> </w:t>
      </w:r>
      <w:r>
        <w:t>These</w:t>
      </w:r>
      <w:r>
        <w:rPr>
          <w:spacing w:val="-1"/>
        </w:rPr>
        <w:t xml:space="preserve"> </w:t>
      </w:r>
      <w:r>
        <w:t>items</w:t>
      </w:r>
      <w:r>
        <w:rPr>
          <w:spacing w:val="-1"/>
        </w:rPr>
        <w:t xml:space="preserve"> </w:t>
      </w:r>
      <w:r>
        <w:t>are</w:t>
      </w:r>
      <w:r>
        <w:rPr>
          <w:spacing w:val="-1"/>
        </w:rPr>
        <w:t xml:space="preserve"> </w:t>
      </w:r>
      <w:r>
        <w:t>not</w:t>
      </w:r>
      <w:r>
        <w:rPr>
          <w:spacing w:val="-1"/>
        </w:rPr>
        <w:t xml:space="preserve"> </w:t>
      </w:r>
      <w:r>
        <w:t>allocated</w:t>
      </w:r>
      <w:r>
        <w:rPr>
          <w:spacing w:val="-1"/>
        </w:rPr>
        <w:t xml:space="preserve"> </w:t>
      </w:r>
      <w:r>
        <w:t>to</w:t>
      </w:r>
      <w:r>
        <w:rPr>
          <w:spacing w:val="-1"/>
        </w:rPr>
        <w:t xml:space="preserve"> </w:t>
      </w:r>
      <w:r>
        <w:t>the</w:t>
      </w:r>
      <w:r>
        <w:rPr>
          <w:spacing w:val="-1"/>
        </w:rPr>
        <w:t xml:space="preserve"> </w:t>
      </w:r>
      <w:r>
        <w:t>business</w:t>
      </w:r>
      <w:r>
        <w:rPr>
          <w:spacing w:val="-1"/>
        </w:rPr>
        <w:t xml:space="preserve"> </w:t>
      </w:r>
      <w:r>
        <w:t>segments and,</w:t>
      </w:r>
      <w:r>
        <w:rPr>
          <w:spacing w:val="34"/>
        </w:rPr>
        <w:t xml:space="preserve"> </w:t>
      </w:r>
      <w:r>
        <w:t>therefore,</w:t>
      </w:r>
      <w:r>
        <w:rPr>
          <w:spacing w:val="34"/>
        </w:rPr>
        <w:t xml:space="preserve"> </w:t>
      </w:r>
      <w:r>
        <w:t>are</w:t>
      </w:r>
      <w:r>
        <w:rPr>
          <w:spacing w:val="34"/>
        </w:rPr>
        <w:t xml:space="preserve"> </w:t>
      </w:r>
      <w:r>
        <w:t>not</w:t>
      </w:r>
      <w:r>
        <w:rPr>
          <w:spacing w:val="34"/>
        </w:rPr>
        <w:t xml:space="preserve"> </w:t>
      </w:r>
      <w:r>
        <w:t>allocated</w:t>
      </w:r>
      <w:r>
        <w:rPr>
          <w:spacing w:val="34"/>
        </w:rPr>
        <w:t xml:space="preserve"> </w:t>
      </w:r>
      <w:r>
        <w:t>to</w:t>
      </w:r>
      <w:r>
        <w:rPr>
          <w:spacing w:val="34"/>
        </w:rPr>
        <w:t xml:space="preserve"> </w:t>
      </w:r>
      <w:r>
        <w:t>cost</w:t>
      </w:r>
      <w:r>
        <w:rPr>
          <w:spacing w:val="34"/>
        </w:rPr>
        <w:t xml:space="preserve"> </w:t>
      </w:r>
      <w:r>
        <w:t>of</w:t>
      </w:r>
      <w:r>
        <w:rPr>
          <w:spacing w:val="34"/>
        </w:rPr>
        <w:t xml:space="preserve"> </w:t>
      </w:r>
      <w:r>
        <w:t>sales</w:t>
      </w:r>
      <w:r>
        <w:rPr>
          <w:spacing w:val="34"/>
        </w:rPr>
        <w:t xml:space="preserve"> </w:t>
      </w:r>
      <w:r>
        <w:t>for</w:t>
      </w:r>
      <w:r>
        <w:rPr>
          <w:spacing w:val="34"/>
        </w:rPr>
        <w:t xml:space="preserve"> </w:t>
      </w:r>
      <w:r>
        <w:t>products</w:t>
      </w:r>
      <w:r>
        <w:rPr>
          <w:spacing w:val="34"/>
        </w:rPr>
        <w:t xml:space="preserve"> </w:t>
      </w:r>
      <w:r>
        <w:t>or</w:t>
      </w:r>
      <w:r>
        <w:rPr>
          <w:spacing w:val="34"/>
        </w:rPr>
        <w:t xml:space="preserve"> </w:t>
      </w:r>
      <w:r>
        <w:t>services.</w:t>
      </w:r>
      <w:r>
        <w:rPr>
          <w:spacing w:val="34"/>
        </w:rPr>
        <w:t xml:space="preserve"> </w:t>
      </w:r>
      <w:r>
        <w:t>Other</w:t>
      </w:r>
      <w:r>
        <w:rPr>
          <w:spacing w:val="34"/>
        </w:rPr>
        <w:t xml:space="preserve"> </w:t>
      </w:r>
      <w:r>
        <w:t>unallocated,</w:t>
      </w:r>
      <w:r>
        <w:rPr>
          <w:spacing w:val="34"/>
        </w:rPr>
        <w:t xml:space="preserve"> </w:t>
      </w:r>
      <w:r>
        <w:t>net</w:t>
      </w:r>
      <w:r>
        <w:rPr>
          <w:spacing w:val="34"/>
        </w:rPr>
        <w:t xml:space="preserve"> </w:t>
      </w:r>
      <w:r>
        <w:t>reduced</w:t>
      </w:r>
      <w:r>
        <w:rPr>
          <w:spacing w:val="34"/>
        </w:rPr>
        <w:t xml:space="preserve"> </w:t>
      </w:r>
      <w:r>
        <w:t>cost</w:t>
      </w:r>
      <w:r>
        <w:rPr>
          <w:spacing w:val="34"/>
        </w:rPr>
        <w:t xml:space="preserve"> </w:t>
      </w:r>
      <w:r>
        <w:t>of</w:t>
      </w:r>
      <w:r>
        <w:rPr>
          <w:spacing w:val="34"/>
        </w:rPr>
        <w:t xml:space="preserve"> </w:t>
      </w:r>
      <w:r>
        <w:t>sales</w:t>
      </w:r>
      <w:r>
        <w:rPr>
          <w:spacing w:val="34"/>
        </w:rPr>
        <w:t xml:space="preserve"> </w:t>
      </w:r>
      <w:r>
        <w:t>by</w:t>
      </w:r>
    </w:p>
    <w:p w14:paraId="755D9DA8" w14:textId="77777777" w:rsidR="00AE2255" w:rsidRDefault="00000000">
      <w:pPr>
        <w:pStyle w:val="BodyText"/>
        <w:spacing w:before="4" w:line="249" w:lineRule="auto"/>
        <w:ind w:left="610" w:right="429"/>
        <w:jc w:val="both"/>
      </w:pPr>
      <w:r>
        <w:t>$1.3 billion in 2022, compared to $1.8 billion in 2021. Other unallocated, net during 2022 was lower primarily due to a</w:t>
      </w:r>
      <w:r>
        <w:rPr>
          <w:spacing w:val="40"/>
        </w:rPr>
        <w:t xml:space="preserve"> </w:t>
      </w:r>
      <w:r>
        <w:t>decrease in our FAS/CAS pension operating adjustment due to lower CAS cost from the American Rescue Plan Act of 2021 (ARPA) legislation, declines in the fair value of investments and liabilities for deferred compensation plans, and fluctuations in costs associated with various corporate items, none of which were individually significant. See “Business Segment Results of Operations” and “Critical Accounting Policies - Postretirement Benefit Plans” discussion below for more information on our pension cost.</w:t>
      </w:r>
    </w:p>
    <w:p w14:paraId="23762D18" w14:textId="77777777" w:rsidR="00AE2255" w:rsidRDefault="00AE2255">
      <w:pPr>
        <w:pStyle w:val="BodyText"/>
        <w:spacing w:before="6"/>
        <w:rPr>
          <w:sz w:val="17"/>
        </w:rPr>
      </w:pPr>
    </w:p>
    <w:p w14:paraId="07ACBD53" w14:textId="77777777" w:rsidR="00AE2255" w:rsidRDefault="00000000">
      <w:pPr>
        <w:pStyle w:val="Heading2"/>
      </w:pPr>
      <w:r>
        <w:t>Other</w:t>
      </w:r>
      <w:r>
        <w:rPr>
          <w:spacing w:val="-5"/>
        </w:rPr>
        <w:t xml:space="preserve"> </w:t>
      </w:r>
      <w:r>
        <w:t>Income</w:t>
      </w:r>
      <w:r>
        <w:rPr>
          <w:spacing w:val="-5"/>
        </w:rPr>
        <w:t xml:space="preserve"> </w:t>
      </w:r>
      <w:r>
        <w:t>(Expense),</w:t>
      </w:r>
      <w:r>
        <w:rPr>
          <w:spacing w:val="-4"/>
        </w:rPr>
        <w:t xml:space="preserve"> </w:t>
      </w:r>
      <w:r>
        <w:rPr>
          <w:spacing w:val="-5"/>
        </w:rPr>
        <w:t>Net</w:t>
      </w:r>
    </w:p>
    <w:p w14:paraId="08E7D732" w14:textId="77777777" w:rsidR="00AE2255" w:rsidRDefault="00AE2255">
      <w:pPr>
        <w:pStyle w:val="BodyText"/>
        <w:spacing w:before="6"/>
        <w:rPr>
          <w:b/>
          <w:sz w:val="18"/>
        </w:rPr>
      </w:pPr>
    </w:p>
    <w:p w14:paraId="41375BED" w14:textId="77777777" w:rsidR="00AE2255" w:rsidRDefault="00000000">
      <w:pPr>
        <w:pStyle w:val="BodyText"/>
        <w:spacing w:line="249" w:lineRule="auto"/>
        <w:ind w:left="610" w:right="431" w:firstLine="360"/>
        <w:jc w:val="both"/>
      </w:pPr>
      <w:r>
        <w:t>Other income (expense), net primarily includes earnings generated by equity method investees. Other income, net in 2022 was $61 million, compared to $62 million in 2021.</w:t>
      </w:r>
    </w:p>
    <w:p w14:paraId="03CE66DF" w14:textId="77777777" w:rsidR="00AE2255" w:rsidRDefault="00AE2255">
      <w:pPr>
        <w:pStyle w:val="BodyText"/>
        <w:spacing w:before="3"/>
        <w:rPr>
          <w:sz w:val="17"/>
        </w:rPr>
      </w:pPr>
    </w:p>
    <w:p w14:paraId="204D2F56" w14:textId="77777777" w:rsidR="00AE2255" w:rsidRDefault="00000000">
      <w:pPr>
        <w:pStyle w:val="Heading2"/>
      </w:pPr>
      <w:r>
        <w:t>Interest</w:t>
      </w:r>
      <w:r>
        <w:rPr>
          <w:spacing w:val="-6"/>
        </w:rPr>
        <w:t xml:space="preserve"> </w:t>
      </w:r>
      <w:r>
        <w:rPr>
          <w:spacing w:val="-2"/>
        </w:rPr>
        <w:t>Expense</w:t>
      </w:r>
    </w:p>
    <w:p w14:paraId="4C1DC42B" w14:textId="77777777" w:rsidR="00AE2255" w:rsidRDefault="00AE2255">
      <w:pPr>
        <w:pStyle w:val="BodyText"/>
        <w:spacing w:before="6"/>
        <w:rPr>
          <w:b/>
          <w:sz w:val="18"/>
        </w:rPr>
      </w:pPr>
    </w:p>
    <w:p w14:paraId="2CFB7BDD" w14:textId="77777777" w:rsidR="00AE2255" w:rsidRDefault="00000000">
      <w:pPr>
        <w:pStyle w:val="BodyText"/>
        <w:spacing w:line="249" w:lineRule="auto"/>
        <w:ind w:left="610" w:right="427" w:firstLine="360"/>
        <w:jc w:val="both"/>
      </w:pPr>
      <w:r>
        <w:t>Interest expense in 2022 was $623 million, compared to $569 million in 2021. The increase in interest expense in 2022 resulted primarily from the issuance of notes in October of 2022 to fund share repurchases. See “Capital Structure, Resources and Other” included within “Liquidity and Cash Flows” discussion below and “Note 10 – Debt” included in our Notes to Consolidated Financial Statements for a discussion of our debt.</w:t>
      </w:r>
    </w:p>
    <w:p w14:paraId="46CBA9BF" w14:textId="77777777" w:rsidR="00AE2255" w:rsidRDefault="00AE2255">
      <w:pPr>
        <w:pStyle w:val="BodyText"/>
        <w:spacing w:before="5"/>
        <w:rPr>
          <w:sz w:val="17"/>
        </w:rPr>
      </w:pPr>
    </w:p>
    <w:p w14:paraId="0E3BE3C6" w14:textId="77777777" w:rsidR="00AE2255" w:rsidRDefault="00000000">
      <w:pPr>
        <w:pStyle w:val="Heading2"/>
      </w:pPr>
      <w:r>
        <w:t>Non-Service</w:t>
      </w:r>
      <w:r>
        <w:rPr>
          <w:spacing w:val="-8"/>
        </w:rPr>
        <w:t xml:space="preserve"> </w:t>
      </w:r>
      <w:r>
        <w:t>FAS</w:t>
      </w:r>
      <w:r>
        <w:rPr>
          <w:spacing w:val="-6"/>
        </w:rPr>
        <w:t xml:space="preserve"> </w:t>
      </w:r>
      <w:r>
        <w:t>Pension</w:t>
      </w:r>
      <w:r>
        <w:rPr>
          <w:spacing w:val="-6"/>
        </w:rPr>
        <w:t xml:space="preserve"> </w:t>
      </w:r>
      <w:r>
        <w:t>(Expense)</w:t>
      </w:r>
      <w:r>
        <w:rPr>
          <w:spacing w:val="-5"/>
        </w:rPr>
        <w:t xml:space="preserve"> </w:t>
      </w:r>
      <w:r>
        <w:rPr>
          <w:spacing w:val="-2"/>
        </w:rPr>
        <w:t>Income</w:t>
      </w:r>
    </w:p>
    <w:p w14:paraId="2A9DDF2C" w14:textId="77777777" w:rsidR="00AE2255" w:rsidRDefault="00AE2255">
      <w:pPr>
        <w:pStyle w:val="BodyText"/>
        <w:spacing w:before="6"/>
        <w:rPr>
          <w:b/>
          <w:sz w:val="18"/>
        </w:rPr>
      </w:pPr>
    </w:p>
    <w:p w14:paraId="05877653" w14:textId="77777777" w:rsidR="00AE2255" w:rsidRDefault="00000000">
      <w:pPr>
        <w:pStyle w:val="BodyText"/>
        <w:spacing w:line="249" w:lineRule="auto"/>
        <w:ind w:left="610" w:right="429" w:firstLine="360"/>
        <w:jc w:val="both"/>
      </w:pPr>
      <w:r>
        <w:t>Non-service FAS pension expense was $1.0 billion in 2022, compared to $1.3 billion in 2021. Non-service FAS pension expense in 2022 includes a noncash, non-operating pension settlement charge of $1.5 billion ($1.2 billion, or $4.33 per share, after-tax), related to the transfer of $4.3 billion of our gross defined benefit pension obligations and related plan assets to an insurance</w:t>
      </w:r>
      <w:r>
        <w:rPr>
          <w:spacing w:val="-1"/>
        </w:rPr>
        <w:t xml:space="preserve"> </w:t>
      </w:r>
      <w:r>
        <w:t>company</w:t>
      </w:r>
      <w:r>
        <w:rPr>
          <w:spacing w:val="-1"/>
        </w:rPr>
        <w:t xml:space="preserve"> </w:t>
      </w:r>
      <w:r>
        <w:t>in</w:t>
      </w:r>
      <w:r>
        <w:rPr>
          <w:spacing w:val="-1"/>
        </w:rPr>
        <w:t xml:space="preserve"> </w:t>
      </w:r>
      <w:r>
        <w:t>the</w:t>
      </w:r>
      <w:r>
        <w:rPr>
          <w:spacing w:val="-1"/>
        </w:rPr>
        <w:t xml:space="preserve"> </w:t>
      </w:r>
      <w:r>
        <w:t>second</w:t>
      </w:r>
      <w:r>
        <w:rPr>
          <w:spacing w:val="-1"/>
        </w:rPr>
        <w:t xml:space="preserve"> </w:t>
      </w:r>
      <w:r>
        <w:t>quarter</w:t>
      </w:r>
      <w:r>
        <w:rPr>
          <w:spacing w:val="-1"/>
        </w:rPr>
        <w:t xml:space="preserve"> </w:t>
      </w:r>
      <w:r>
        <w:t>of</w:t>
      </w:r>
      <w:r>
        <w:rPr>
          <w:spacing w:val="-1"/>
        </w:rPr>
        <w:t xml:space="preserve"> </w:t>
      </w:r>
      <w:r>
        <w:t>2022.</w:t>
      </w:r>
      <w:r>
        <w:rPr>
          <w:spacing w:val="-1"/>
        </w:rPr>
        <w:t xml:space="preserve"> </w:t>
      </w:r>
      <w:r>
        <w:t>Non-service</w:t>
      </w:r>
      <w:r>
        <w:rPr>
          <w:spacing w:val="-1"/>
        </w:rPr>
        <w:t xml:space="preserve"> </w:t>
      </w:r>
      <w:r>
        <w:t>FAS</w:t>
      </w:r>
      <w:r>
        <w:rPr>
          <w:spacing w:val="-1"/>
        </w:rPr>
        <w:t xml:space="preserve"> </w:t>
      </w:r>
      <w:r>
        <w:t>pension</w:t>
      </w:r>
      <w:r>
        <w:rPr>
          <w:spacing w:val="-1"/>
        </w:rPr>
        <w:t xml:space="preserve"> </w:t>
      </w:r>
      <w:r>
        <w:t>expense</w:t>
      </w:r>
      <w:r>
        <w:rPr>
          <w:spacing w:val="-1"/>
        </w:rPr>
        <w:t xml:space="preserve"> </w:t>
      </w:r>
      <w:r>
        <w:t>in</w:t>
      </w:r>
      <w:r>
        <w:rPr>
          <w:spacing w:val="-1"/>
        </w:rPr>
        <w:t xml:space="preserve"> </w:t>
      </w:r>
      <w:r>
        <w:t>2021</w:t>
      </w:r>
      <w:r>
        <w:rPr>
          <w:spacing w:val="-1"/>
        </w:rPr>
        <w:t xml:space="preserve"> </w:t>
      </w:r>
      <w:r>
        <w:t>includes</w:t>
      </w:r>
      <w:r>
        <w:rPr>
          <w:spacing w:val="-1"/>
        </w:rPr>
        <w:t xml:space="preserve"> </w:t>
      </w:r>
      <w:r>
        <w:t>a</w:t>
      </w:r>
      <w:r>
        <w:rPr>
          <w:spacing w:val="-1"/>
        </w:rPr>
        <w:t xml:space="preserve"> </w:t>
      </w:r>
      <w:r>
        <w:t>noncash,</w:t>
      </w:r>
      <w:r>
        <w:rPr>
          <w:spacing w:val="-1"/>
        </w:rPr>
        <w:t xml:space="preserve"> </w:t>
      </w:r>
      <w:r>
        <w:t xml:space="preserve">non-operating pension settlement charge of $1.7 billion ($1.3 billion, or $4.72 per share, after-tax), related to the transfer of $4.9 billion of </w:t>
      </w:r>
      <w:proofErr w:type="gramStart"/>
      <w:r>
        <w:t>our</w:t>
      </w:r>
      <w:proofErr w:type="gramEnd"/>
    </w:p>
    <w:p w14:paraId="38D311BD" w14:textId="77777777" w:rsidR="00AE2255" w:rsidRDefault="00AE2255">
      <w:pPr>
        <w:spacing w:line="249" w:lineRule="auto"/>
        <w:jc w:val="both"/>
        <w:sectPr w:rsidR="00AE2255">
          <w:pgSz w:w="12240" w:h="15840"/>
          <w:pgMar w:top="440" w:right="560" w:bottom="720" w:left="380" w:header="230" w:footer="531" w:gutter="0"/>
          <w:cols w:space="720"/>
        </w:sectPr>
      </w:pPr>
    </w:p>
    <w:p w14:paraId="145C535C" w14:textId="77777777" w:rsidR="00AE2255" w:rsidRDefault="00AE2255">
      <w:pPr>
        <w:pStyle w:val="BodyText"/>
        <w:spacing w:before="10"/>
        <w:rPr>
          <w:sz w:val="22"/>
        </w:rPr>
      </w:pPr>
    </w:p>
    <w:p w14:paraId="34F69FC7" w14:textId="77777777" w:rsidR="00AE2255" w:rsidRDefault="00000000">
      <w:pPr>
        <w:pStyle w:val="BodyText"/>
        <w:spacing w:before="92" w:line="249" w:lineRule="auto"/>
        <w:ind w:left="610" w:right="428"/>
        <w:jc w:val="both"/>
      </w:pPr>
      <w:r>
        <w:t>gross defined benefit pension obligations and related plan assets to an insurance company in the third quarter of 2021. See “Note 11 – Postretirement Benefit Plans” included in our Notes to Consolidated Financial Statements for additional</w:t>
      </w:r>
      <w:r>
        <w:rPr>
          <w:spacing w:val="40"/>
        </w:rPr>
        <w:t xml:space="preserve"> </w:t>
      </w:r>
      <w:r>
        <w:rPr>
          <w:spacing w:val="-2"/>
        </w:rPr>
        <w:t>information.</w:t>
      </w:r>
    </w:p>
    <w:p w14:paraId="745C6756" w14:textId="77777777" w:rsidR="00AE2255" w:rsidRDefault="00AE2255">
      <w:pPr>
        <w:pStyle w:val="BodyText"/>
        <w:spacing w:before="3"/>
        <w:rPr>
          <w:sz w:val="17"/>
        </w:rPr>
      </w:pPr>
    </w:p>
    <w:p w14:paraId="17F54A7A" w14:textId="77777777" w:rsidR="00AE2255" w:rsidRDefault="00000000">
      <w:pPr>
        <w:pStyle w:val="Heading2"/>
        <w:spacing w:before="1"/>
      </w:pPr>
      <w:r>
        <w:t>Other</w:t>
      </w:r>
      <w:r>
        <w:rPr>
          <w:spacing w:val="-6"/>
        </w:rPr>
        <w:t xml:space="preserve"> </w:t>
      </w:r>
      <w:r>
        <w:t>Non-operating</w:t>
      </w:r>
      <w:r>
        <w:rPr>
          <w:spacing w:val="-5"/>
        </w:rPr>
        <w:t xml:space="preserve"> </w:t>
      </w:r>
      <w:r>
        <w:t>(Expense)</w:t>
      </w:r>
      <w:r>
        <w:rPr>
          <w:spacing w:val="-5"/>
        </w:rPr>
        <w:t xml:space="preserve"> </w:t>
      </w:r>
      <w:r>
        <w:t>Income,</w:t>
      </w:r>
      <w:r>
        <w:rPr>
          <w:spacing w:val="-5"/>
        </w:rPr>
        <w:t xml:space="preserve"> Net</w:t>
      </w:r>
    </w:p>
    <w:p w14:paraId="3836E417" w14:textId="77777777" w:rsidR="00AE2255" w:rsidRDefault="00AE2255">
      <w:pPr>
        <w:pStyle w:val="BodyText"/>
        <w:spacing w:before="6"/>
        <w:rPr>
          <w:b/>
          <w:sz w:val="18"/>
        </w:rPr>
      </w:pPr>
    </w:p>
    <w:p w14:paraId="2CD921EB" w14:textId="77777777" w:rsidR="00AE2255" w:rsidRDefault="00000000">
      <w:pPr>
        <w:pStyle w:val="BodyText"/>
        <w:ind w:left="610" w:right="428" w:firstLine="360"/>
        <w:jc w:val="both"/>
      </w:pPr>
      <w:r>
        <w:t>Other non-operating (expense) income, net primarily includes gains or losses related to changes in the fair value of mark- to-market investments. See “Note 1 – Organization and Significant Accounting Policies” included in our Notes to Consolidated Financial Statements for additional information. Other non-operating expense, net in 2022 was $74 million, compared to other non-operating income, net of $288 million in 2021. The decrease in 2022 was primarily due to decreases in the fair value of certain mark-to-market investments.</w:t>
      </w:r>
    </w:p>
    <w:p w14:paraId="20F70CDD" w14:textId="77777777" w:rsidR="00AE2255" w:rsidRDefault="00AE2255">
      <w:pPr>
        <w:pStyle w:val="BodyText"/>
        <w:spacing w:before="2"/>
        <w:rPr>
          <w:sz w:val="19"/>
        </w:rPr>
      </w:pPr>
    </w:p>
    <w:p w14:paraId="40B5419E" w14:textId="77777777" w:rsidR="00AE2255" w:rsidRDefault="00000000">
      <w:pPr>
        <w:pStyle w:val="Heading2"/>
      </w:pPr>
      <w:r>
        <w:t>Income</w:t>
      </w:r>
      <w:r>
        <w:rPr>
          <w:spacing w:val="-3"/>
        </w:rPr>
        <w:t xml:space="preserve"> </w:t>
      </w:r>
      <w:r>
        <w:t>Tax</w:t>
      </w:r>
      <w:r>
        <w:rPr>
          <w:spacing w:val="-2"/>
        </w:rPr>
        <w:t xml:space="preserve"> Expense</w:t>
      </w:r>
    </w:p>
    <w:p w14:paraId="04A3213F" w14:textId="77777777" w:rsidR="00AE2255" w:rsidRDefault="00000000">
      <w:pPr>
        <w:pStyle w:val="BodyText"/>
        <w:spacing w:before="197"/>
        <w:ind w:left="610" w:right="429" w:firstLine="450"/>
        <w:jc w:val="both"/>
      </w:pPr>
      <w:r>
        <w:t>Our</w:t>
      </w:r>
      <w:r>
        <w:rPr>
          <w:spacing w:val="-1"/>
        </w:rPr>
        <w:t xml:space="preserve"> </w:t>
      </w:r>
      <w:r>
        <w:t>effective</w:t>
      </w:r>
      <w:r>
        <w:rPr>
          <w:spacing w:val="-1"/>
        </w:rPr>
        <w:t xml:space="preserve"> </w:t>
      </w:r>
      <w:r>
        <w:t>income</w:t>
      </w:r>
      <w:r>
        <w:rPr>
          <w:spacing w:val="-1"/>
        </w:rPr>
        <w:t xml:space="preserve"> </w:t>
      </w:r>
      <w:r>
        <w:t>tax</w:t>
      </w:r>
      <w:r>
        <w:rPr>
          <w:spacing w:val="-1"/>
        </w:rPr>
        <w:t xml:space="preserve"> </w:t>
      </w:r>
      <w:r>
        <w:t>rate</w:t>
      </w:r>
      <w:r>
        <w:rPr>
          <w:spacing w:val="-1"/>
        </w:rPr>
        <w:t xml:space="preserve"> </w:t>
      </w:r>
      <w:r>
        <w:t>was</w:t>
      </w:r>
      <w:r>
        <w:rPr>
          <w:spacing w:val="-1"/>
        </w:rPr>
        <w:t xml:space="preserve"> </w:t>
      </w:r>
      <w:r>
        <w:t>14.2%</w:t>
      </w:r>
      <w:r>
        <w:rPr>
          <w:spacing w:val="-1"/>
        </w:rPr>
        <w:t xml:space="preserve"> </w:t>
      </w:r>
      <w:r>
        <w:t>for</w:t>
      </w:r>
      <w:r>
        <w:rPr>
          <w:spacing w:val="-1"/>
        </w:rPr>
        <w:t xml:space="preserve"> </w:t>
      </w:r>
      <w:r>
        <w:t>2022</w:t>
      </w:r>
      <w:r>
        <w:rPr>
          <w:spacing w:val="-1"/>
        </w:rPr>
        <w:t xml:space="preserve"> </w:t>
      </w:r>
      <w:r>
        <w:t>and</w:t>
      </w:r>
      <w:r>
        <w:rPr>
          <w:spacing w:val="-1"/>
        </w:rPr>
        <w:t xml:space="preserve"> </w:t>
      </w:r>
      <w:r>
        <w:t>16.4%</w:t>
      </w:r>
      <w:r>
        <w:rPr>
          <w:spacing w:val="-1"/>
        </w:rPr>
        <w:t xml:space="preserve"> </w:t>
      </w:r>
      <w:r>
        <w:t>for</w:t>
      </w:r>
      <w:r>
        <w:rPr>
          <w:spacing w:val="-1"/>
        </w:rPr>
        <w:t xml:space="preserve"> </w:t>
      </w:r>
      <w:r>
        <w:t>2021.</w:t>
      </w:r>
      <w:r>
        <w:rPr>
          <w:spacing w:val="-1"/>
        </w:rPr>
        <w:t xml:space="preserve"> </w:t>
      </w:r>
      <w:r>
        <w:t>The</w:t>
      </w:r>
      <w:r>
        <w:rPr>
          <w:spacing w:val="-1"/>
        </w:rPr>
        <w:t xml:space="preserve"> </w:t>
      </w:r>
      <w:r>
        <w:t>rate</w:t>
      </w:r>
      <w:r>
        <w:rPr>
          <w:spacing w:val="-1"/>
        </w:rPr>
        <w:t xml:space="preserve"> </w:t>
      </w:r>
      <w:r>
        <w:t>for</w:t>
      </w:r>
      <w:r>
        <w:rPr>
          <w:spacing w:val="-1"/>
        </w:rPr>
        <w:t xml:space="preserve"> </w:t>
      </w:r>
      <w:r>
        <w:t>2022</w:t>
      </w:r>
      <w:r>
        <w:rPr>
          <w:spacing w:val="-1"/>
        </w:rPr>
        <w:t xml:space="preserve"> </w:t>
      </w:r>
      <w:r>
        <w:t>was</w:t>
      </w:r>
      <w:r>
        <w:rPr>
          <w:spacing w:val="-1"/>
        </w:rPr>
        <w:t xml:space="preserve"> </w:t>
      </w:r>
      <w:r>
        <w:t>lower</w:t>
      </w:r>
      <w:r>
        <w:rPr>
          <w:spacing w:val="-1"/>
        </w:rPr>
        <w:t xml:space="preserve"> </w:t>
      </w:r>
      <w:r>
        <w:t>than</w:t>
      </w:r>
      <w:r>
        <w:rPr>
          <w:spacing w:val="-1"/>
        </w:rPr>
        <w:t xml:space="preserve"> </w:t>
      </w:r>
      <w:r>
        <w:t>the</w:t>
      </w:r>
      <w:r>
        <w:rPr>
          <w:spacing w:val="-1"/>
        </w:rPr>
        <w:t xml:space="preserve"> </w:t>
      </w:r>
      <w:r>
        <w:t>rate</w:t>
      </w:r>
      <w:r>
        <w:rPr>
          <w:spacing w:val="-1"/>
        </w:rPr>
        <w:t xml:space="preserve"> </w:t>
      </w:r>
      <w:r>
        <w:t>for</w:t>
      </w:r>
      <w:r>
        <w:rPr>
          <w:spacing w:val="-1"/>
        </w:rPr>
        <w:t xml:space="preserve"> </w:t>
      </w:r>
      <w:r>
        <w:t>2021 primarily due to increased research and development tax credits. The rates for both 2022 and 2021 benefited from tax deductions for foreign derived intangible income, dividends paid to the company's defined contribution plans with an employee stock ownership plan feature, and employee equity awards.</w:t>
      </w:r>
    </w:p>
    <w:p w14:paraId="013F0F02" w14:textId="77777777" w:rsidR="00AE2255" w:rsidRDefault="00AE2255">
      <w:pPr>
        <w:pStyle w:val="BodyText"/>
        <w:spacing w:before="5"/>
        <w:rPr>
          <w:sz w:val="17"/>
        </w:rPr>
      </w:pPr>
    </w:p>
    <w:p w14:paraId="6B2F7E24" w14:textId="77777777" w:rsidR="00AE2255" w:rsidRDefault="00000000">
      <w:pPr>
        <w:pStyle w:val="BodyText"/>
        <w:ind w:left="610" w:right="427" w:firstLine="450"/>
        <w:jc w:val="both"/>
      </w:pPr>
      <w:r>
        <w:t>Changes in U.S. (federal or state) or foreign tax laws and regulations, or their interpretation and application (including those</w:t>
      </w:r>
      <w:r>
        <w:rPr>
          <w:spacing w:val="-1"/>
        </w:rPr>
        <w:t xml:space="preserve"> </w:t>
      </w:r>
      <w:r>
        <w:t>with</w:t>
      </w:r>
      <w:r>
        <w:rPr>
          <w:spacing w:val="-1"/>
        </w:rPr>
        <w:t xml:space="preserve"> </w:t>
      </w:r>
      <w:r>
        <w:t>retroactive</w:t>
      </w:r>
      <w:r>
        <w:rPr>
          <w:spacing w:val="-1"/>
        </w:rPr>
        <w:t xml:space="preserve"> </w:t>
      </w:r>
      <w:r>
        <w:t>effect),</w:t>
      </w:r>
      <w:r>
        <w:rPr>
          <w:spacing w:val="-1"/>
        </w:rPr>
        <w:t xml:space="preserve"> </w:t>
      </w:r>
      <w:r>
        <w:t>such</w:t>
      </w:r>
      <w:r>
        <w:rPr>
          <w:spacing w:val="-1"/>
        </w:rPr>
        <w:t xml:space="preserve"> </w:t>
      </w:r>
      <w:r>
        <w:t>as</w:t>
      </w:r>
      <w:r>
        <w:rPr>
          <w:spacing w:val="-1"/>
        </w:rPr>
        <w:t xml:space="preserve"> </w:t>
      </w:r>
      <w:r>
        <w:t>the</w:t>
      </w:r>
      <w:r>
        <w:rPr>
          <w:spacing w:val="-1"/>
        </w:rPr>
        <w:t xml:space="preserve"> </w:t>
      </w:r>
      <w:r>
        <w:t>amortization</w:t>
      </w:r>
      <w:r>
        <w:rPr>
          <w:spacing w:val="-1"/>
        </w:rPr>
        <w:t xml:space="preserve"> </w:t>
      </w:r>
      <w:r>
        <w:t>for</w:t>
      </w:r>
      <w:r>
        <w:rPr>
          <w:spacing w:val="-1"/>
        </w:rPr>
        <w:t xml:space="preserve"> </w:t>
      </w:r>
      <w:r>
        <w:t>research</w:t>
      </w:r>
      <w:r>
        <w:rPr>
          <w:spacing w:val="-1"/>
        </w:rPr>
        <w:t xml:space="preserve"> </w:t>
      </w:r>
      <w:r>
        <w:t>or</w:t>
      </w:r>
      <w:r>
        <w:rPr>
          <w:spacing w:val="-1"/>
        </w:rPr>
        <w:t xml:space="preserve"> </w:t>
      </w:r>
      <w:r>
        <w:t>experimental</w:t>
      </w:r>
      <w:r>
        <w:rPr>
          <w:spacing w:val="-1"/>
        </w:rPr>
        <w:t xml:space="preserve"> </w:t>
      </w:r>
      <w:r>
        <w:t>expenditures,</w:t>
      </w:r>
      <w:r>
        <w:rPr>
          <w:spacing w:val="-1"/>
        </w:rPr>
        <w:t xml:space="preserve"> </w:t>
      </w:r>
      <w:r>
        <w:t>could</w:t>
      </w:r>
      <w:r>
        <w:rPr>
          <w:spacing w:val="-1"/>
        </w:rPr>
        <w:t xml:space="preserve"> </w:t>
      </w:r>
      <w:r>
        <w:t>significantly</w:t>
      </w:r>
      <w:r>
        <w:rPr>
          <w:spacing w:val="-1"/>
        </w:rPr>
        <w:t xml:space="preserve"> </w:t>
      </w:r>
      <w:r>
        <w:t>impact</w:t>
      </w:r>
      <w:r>
        <w:rPr>
          <w:spacing w:val="-1"/>
        </w:rPr>
        <w:t xml:space="preserve"> </w:t>
      </w:r>
      <w:r>
        <w:t>our provision for income taxes, the amount of taxes payable, our deferred tax asset and liability balances, and stockholders’ equity. In</w:t>
      </w:r>
      <w:r>
        <w:rPr>
          <w:spacing w:val="-1"/>
        </w:rPr>
        <w:t xml:space="preserve"> </w:t>
      </w:r>
      <w:r>
        <w:t>addition</w:t>
      </w:r>
      <w:r>
        <w:rPr>
          <w:spacing w:val="-1"/>
        </w:rPr>
        <w:t xml:space="preserve"> </w:t>
      </w:r>
      <w:r>
        <w:t>to</w:t>
      </w:r>
      <w:r>
        <w:rPr>
          <w:spacing w:val="-1"/>
        </w:rPr>
        <w:t xml:space="preserve"> </w:t>
      </w:r>
      <w:r>
        <w:t>future</w:t>
      </w:r>
      <w:r>
        <w:rPr>
          <w:spacing w:val="-2"/>
        </w:rPr>
        <w:t xml:space="preserve"> </w:t>
      </w:r>
      <w:r>
        <w:t>changes</w:t>
      </w:r>
      <w:r>
        <w:rPr>
          <w:spacing w:val="-2"/>
        </w:rPr>
        <w:t xml:space="preserve"> </w:t>
      </w:r>
      <w:r>
        <w:t>in</w:t>
      </w:r>
      <w:r>
        <w:rPr>
          <w:spacing w:val="-1"/>
        </w:rPr>
        <w:t xml:space="preserve"> </w:t>
      </w:r>
      <w:r>
        <w:t>tax</w:t>
      </w:r>
      <w:r>
        <w:rPr>
          <w:spacing w:val="-1"/>
        </w:rPr>
        <w:t xml:space="preserve"> </w:t>
      </w:r>
      <w:r>
        <w:t>laws,</w:t>
      </w:r>
      <w:r>
        <w:rPr>
          <w:spacing w:val="-1"/>
        </w:rPr>
        <w:t xml:space="preserve"> </w:t>
      </w:r>
      <w:r>
        <w:t>the</w:t>
      </w:r>
      <w:r>
        <w:rPr>
          <w:spacing w:val="-2"/>
        </w:rPr>
        <w:t xml:space="preserve"> </w:t>
      </w:r>
      <w:r>
        <w:t>amount</w:t>
      </w:r>
      <w:r>
        <w:rPr>
          <w:spacing w:val="-2"/>
        </w:rPr>
        <w:t xml:space="preserve"> </w:t>
      </w:r>
      <w:r>
        <w:t>of</w:t>
      </w:r>
      <w:r>
        <w:rPr>
          <w:spacing w:val="-1"/>
        </w:rPr>
        <w:t xml:space="preserve"> </w:t>
      </w:r>
      <w:r>
        <w:t>net</w:t>
      </w:r>
      <w:r>
        <w:rPr>
          <w:spacing w:val="-2"/>
        </w:rPr>
        <w:t xml:space="preserve"> </w:t>
      </w:r>
      <w:r>
        <w:t>deferred</w:t>
      </w:r>
      <w:r>
        <w:rPr>
          <w:spacing w:val="-1"/>
        </w:rPr>
        <w:t xml:space="preserve"> </w:t>
      </w:r>
      <w:r>
        <w:t>tax</w:t>
      </w:r>
      <w:r>
        <w:rPr>
          <w:spacing w:val="-1"/>
        </w:rPr>
        <w:t xml:space="preserve"> </w:t>
      </w:r>
      <w:r>
        <w:t>assets</w:t>
      </w:r>
      <w:r>
        <w:rPr>
          <w:spacing w:val="-2"/>
        </w:rPr>
        <w:t xml:space="preserve"> </w:t>
      </w:r>
      <w:r>
        <w:t>will</w:t>
      </w:r>
      <w:r>
        <w:rPr>
          <w:spacing w:val="-2"/>
        </w:rPr>
        <w:t xml:space="preserve"> </w:t>
      </w:r>
      <w:r>
        <w:t>change</w:t>
      </w:r>
      <w:r>
        <w:rPr>
          <w:spacing w:val="-2"/>
        </w:rPr>
        <w:t xml:space="preserve"> </w:t>
      </w:r>
      <w:r>
        <w:t>periodically</w:t>
      </w:r>
      <w:r>
        <w:rPr>
          <w:spacing w:val="-1"/>
        </w:rPr>
        <w:t xml:space="preserve"> </w:t>
      </w:r>
      <w:r>
        <w:t>based</w:t>
      </w:r>
      <w:r>
        <w:rPr>
          <w:spacing w:val="-1"/>
        </w:rPr>
        <w:t xml:space="preserve"> </w:t>
      </w:r>
      <w:r>
        <w:t>on</w:t>
      </w:r>
      <w:r>
        <w:rPr>
          <w:spacing w:val="-1"/>
        </w:rPr>
        <w:t xml:space="preserve"> </w:t>
      </w:r>
      <w:r>
        <w:t>several</w:t>
      </w:r>
      <w:r>
        <w:rPr>
          <w:spacing w:val="-2"/>
        </w:rPr>
        <w:t xml:space="preserve"> </w:t>
      </w:r>
      <w:r>
        <w:t>factors, including</w:t>
      </w:r>
      <w:r>
        <w:rPr>
          <w:spacing w:val="-3"/>
        </w:rPr>
        <w:t xml:space="preserve"> </w:t>
      </w:r>
      <w:r>
        <w:t>the</w:t>
      </w:r>
      <w:r>
        <w:rPr>
          <w:spacing w:val="-3"/>
        </w:rPr>
        <w:t xml:space="preserve"> </w:t>
      </w:r>
      <w:r>
        <w:t>measurement</w:t>
      </w:r>
      <w:r>
        <w:rPr>
          <w:spacing w:val="-3"/>
        </w:rPr>
        <w:t xml:space="preserve"> </w:t>
      </w:r>
      <w:r>
        <w:t>of</w:t>
      </w:r>
      <w:r>
        <w:rPr>
          <w:spacing w:val="-3"/>
        </w:rPr>
        <w:t xml:space="preserve"> </w:t>
      </w:r>
      <w:r>
        <w:t>our</w:t>
      </w:r>
      <w:r>
        <w:rPr>
          <w:spacing w:val="-3"/>
        </w:rPr>
        <w:t xml:space="preserve"> </w:t>
      </w:r>
      <w:r>
        <w:t>postretirement</w:t>
      </w:r>
      <w:r>
        <w:rPr>
          <w:spacing w:val="-3"/>
        </w:rPr>
        <w:t xml:space="preserve"> </w:t>
      </w:r>
      <w:r>
        <w:t>benefit</w:t>
      </w:r>
      <w:r>
        <w:rPr>
          <w:spacing w:val="-3"/>
        </w:rPr>
        <w:t xml:space="preserve"> </w:t>
      </w:r>
      <w:r>
        <w:t>plan</w:t>
      </w:r>
      <w:r>
        <w:rPr>
          <w:spacing w:val="-3"/>
        </w:rPr>
        <w:t xml:space="preserve"> </w:t>
      </w:r>
      <w:r>
        <w:t>obligations,</w:t>
      </w:r>
      <w:r>
        <w:rPr>
          <w:spacing w:val="-3"/>
        </w:rPr>
        <w:t xml:space="preserve"> </w:t>
      </w:r>
      <w:r>
        <w:t>actual</w:t>
      </w:r>
      <w:r>
        <w:rPr>
          <w:spacing w:val="-3"/>
        </w:rPr>
        <w:t xml:space="preserve"> </w:t>
      </w:r>
      <w:r>
        <w:t>cash</w:t>
      </w:r>
      <w:r>
        <w:rPr>
          <w:spacing w:val="-3"/>
        </w:rPr>
        <w:t xml:space="preserve"> </w:t>
      </w:r>
      <w:r>
        <w:t>contributions</w:t>
      </w:r>
      <w:r>
        <w:rPr>
          <w:spacing w:val="-3"/>
        </w:rPr>
        <w:t xml:space="preserve"> </w:t>
      </w:r>
      <w:r>
        <w:t>to</w:t>
      </w:r>
      <w:r>
        <w:rPr>
          <w:spacing w:val="-3"/>
        </w:rPr>
        <w:t xml:space="preserve"> </w:t>
      </w:r>
      <w:r>
        <w:t>our</w:t>
      </w:r>
      <w:r>
        <w:rPr>
          <w:spacing w:val="-3"/>
        </w:rPr>
        <w:t xml:space="preserve"> </w:t>
      </w:r>
      <w:r>
        <w:t>postretirement</w:t>
      </w:r>
      <w:r>
        <w:rPr>
          <w:spacing w:val="-3"/>
        </w:rPr>
        <w:t xml:space="preserve"> </w:t>
      </w:r>
      <w:r>
        <w:t>benefit plans and the change in the amount or reevaluation of uncertain tax positions.</w:t>
      </w:r>
    </w:p>
    <w:p w14:paraId="180710AF" w14:textId="77777777" w:rsidR="00AE2255" w:rsidRDefault="00AE2255">
      <w:pPr>
        <w:pStyle w:val="BodyText"/>
        <w:spacing w:before="4"/>
        <w:rPr>
          <w:sz w:val="17"/>
        </w:rPr>
      </w:pPr>
    </w:p>
    <w:p w14:paraId="6217D447" w14:textId="77777777" w:rsidR="00AE2255" w:rsidRDefault="00000000">
      <w:pPr>
        <w:pStyle w:val="BodyText"/>
        <w:spacing w:before="1"/>
        <w:ind w:left="610" w:right="429" w:firstLine="450"/>
        <w:jc w:val="both"/>
      </w:pPr>
      <w:r>
        <w:t>Beginning in 2022, the Tax Cuts and Jobs Act of 2017 eliminated the option to deduct research and development expenditures immediately in the year incurred and requires taxpayers to amortize such expenditures over five years for tax purposes. This provision resulted in a cash tax liability for the 2022 tax year of approximately $660 million. Our net deferred tax assets increased in 2022 by approximately $660 million as a result as well. This provision is expected to increase our 2023 cash tax liability by approximately $575 million. The actual impact on 2023 cash tax liability will depend on the amount of research and development expenses paid or incurred in 2023 among other factors. While the largest impact of this provision</w:t>
      </w:r>
      <w:r>
        <w:rPr>
          <w:spacing w:val="40"/>
        </w:rPr>
        <w:t xml:space="preserve"> </w:t>
      </w:r>
      <w:r>
        <w:t>will be to 2022 cash tax liability, the impact will continue over the five-year amortization period, but will decrease over the period and be immaterial in year six.</w:t>
      </w:r>
    </w:p>
    <w:p w14:paraId="4737854E" w14:textId="77777777" w:rsidR="00AE2255" w:rsidRDefault="00AE2255">
      <w:pPr>
        <w:pStyle w:val="BodyText"/>
        <w:spacing w:before="4"/>
        <w:rPr>
          <w:sz w:val="17"/>
        </w:rPr>
      </w:pPr>
    </w:p>
    <w:p w14:paraId="3801CF30" w14:textId="77777777" w:rsidR="00AE2255" w:rsidRDefault="00000000">
      <w:pPr>
        <w:pStyle w:val="BodyText"/>
        <w:ind w:left="610" w:right="429" w:firstLine="450"/>
        <w:jc w:val="both"/>
      </w:pPr>
      <w:r>
        <w:t>As of December 31, 2021, our liabilities associated with uncertain tax positions were not material. As of December 31, 2022, our liabilities associated with uncertain tax positions increased to $1.6 billion with a corresponding increase to net deferred</w:t>
      </w:r>
      <w:r>
        <w:rPr>
          <w:spacing w:val="-2"/>
        </w:rPr>
        <w:t xml:space="preserve"> </w:t>
      </w:r>
      <w:r>
        <w:t>tax</w:t>
      </w:r>
      <w:r>
        <w:rPr>
          <w:spacing w:val="-2"/>
        </w:rPr>
        <w:t xml:space="preserve"> </w:t>
      </w:r>
      <w:r>
        <w:t>assets</w:t>
      </w:r>
      <w:r>
        <w:rPr>
          <w:spacing w:val="-2"/>
        </w:rPr>
        <w:t xml:space="preserve"> </w:t>
      </w:r>
      <w:r>
        <w:t>primarily</w:t>
      </w:r>
      <w:r>
        <w:rPr>
          <w:spacing w:val="-2"/>
        </w:rPr>
        <w:t xml:space="preserve"> </w:t>
      </w:r>
      <w:proofErr w:type="gramStart"/>
      <w:r>
        <w:t>as</w:t>
      </w:r>
      <w:r>
        <w:rPr>
          <w:spacing w:val="-2"/>
        </w:rPr>
        <w:t xml:space="preserve"> </w:t>
      </w:r>
      <w:r>
        <w:t>a</w:t>
      </w:r>
      <w:r>
        <w:rPr>
          <w:spacing w:val="-2"/>
        </w:rPr>
        <w:t xml:space="preserve"> </w:t>
      </w:r>
      <w:r>
        <w:t>result</w:t>
      </w:r>
      <w:r>
        <w:rPr>
          <w:spacing w:val="-2"/>
        </w:rPr>
        <w:t xml:space="preserve"> </w:t>
      </w:r>
      <w:r>
        <w:t>of</w:t>
      </w:r>
      <w:proofErr w:type="gramEnd"/>
      <w:r>
        <w:rPr>
          <w:spacing w:val="-2"/>
        </w:rPr>
        <w:t xml:space="preserve"> </w:t>
      </w:r>
      <w:r>
        <w:t>the</w:t>
      </w:r>
      <w:r>
        <w:rPr>
          <w:spacing w:val="-2"/>
        </w:rPr>
        <w:t xml:space="preserve"> </w:t>
      </w:r>
      <w:r>
        <w:t>provision</w:t>
      </w:r>
      <w:r>
        <w:rPr>
          <w:spacing w:val="-2"/>
        </w:rPr>
        <w:t xml:space="preserve"> </w:t>
      </w:r>
      <w:r>
        <w:t>described</w:t>
      </w:r>
      <w:r>
        <w:rPr>
          <w:spacing w:val="-2"/>
        </w:rPr>
        <w:t xml:space="preserve"> </w:t>
      </w:r>
      <w:r>
        <w:t>above</w:t>
      </w:r>
      <w:r>
        <w:rPr>
          <w:spacing w:val="-2"/>
        </w:rPr>
        <w:t xml:space="preserve"> </w:t>
      </w:r>
      <w:r>
        <w:t>from</w:t>
      </w:r>
      <w:r>
        <w:rPr>
          <w:spacing w:val="-2"/>
        </w:rPr>
        <w:t xml:space="preserve"> </w:t>
      </w:r>
      <w:r>
        <w:t>the</w:t>
      </w:r>
      <w:r>
        <w:rPr>
          <w:spacing w:val="-2"/>
        </w:rPr>
        <w:t xml:space="preserve"> </w:t>
      </w:r>
      <w:r>
        <w:t>Tax</w:t>
      </w:r>
      <w:r>
        <w:rPr>
          <w:spacing w:val="-2"/>
        </w:rPr>
        <w:t xml:space="preserve"> </w:t>
      </w:r>
      <w:r>
        <w:t>Cuts</w:t>
      </w:r>
      <w:r>
        <w:rPr>
          <w:spacing w:val="-2"/>
        </w:rPr>
        <w:t xml:space="preserve"> </w:t>
      </w:r>
      <w:r>
        <w:t>and</w:t>
      </w:r>
      <w:r>
        <w:rPr>
          <w:spacing w:val="-2"/>
        </w:rPr>
        <w:t xml:space="preserve"> </w:t>
      </w:r>
      <w:r>
        <w:t>Jobs</w:t>
      </w:r>
      <w:r>
        <w:rPr>
          <w:spacing w:val="-2"/>
        </w:rPr>
        <w:t xml:space="preserve"> </w:t>
      </w:r>
      <w:r>
        <w:t>Act</w:t>
      </w:r>
      <w:r>
        <w:rPr>
          <w:spacing w:val="-2"/>
        </w:rPr>
        <w:t xml:space="preserve"> </w:t>
      </w:r>
      <w:r>
        <w:t>of</w:t>
      </w:r>
      <w:r>
        <w:rPr>
          <w:spacing w:val="-2"/>
        </w:rPr>
        <w:t xml:space="preserve"> </w:t>
      </w:r>
      <w:r>
        <w:t>2017.</w:t>
      </w:r>
      <w:r>
        <w:rPr>
          <w:spacing w:val="-2"/>
        </w:rPr>
        <w:t xml:space="preserve"> </w:t>
      </w:r>
      <w:r>
        <w:t>See</w:t>
      </w:r>
      <w:r>
        <w:rPr>
          <w:spacing w:val="-2"/>
        </w:rPr>
        <w:t xml:space="preserve"> </w:t>
      </w:r>
      <w:r>
        <w:t>“Note</w:t>
      </w:r>
      <w:r>
        <w:rPr>
          <w:spacing w:val="-2"/>
        </w:rPr>
        <w:t xml:space="preserve"> </w:t>
      </w:r>
      <w:r>
        <w:t>9</w:t>
      </w:r>
      <w:r>
        <w:rPr>
          <w:spacing w:val="-2"/>
        </w:rPr>
        <w:t xml:space="preserve"> </w:t>
      </w:r>
      <w:r>
        <w:t>– Income Taxes” included in our Notes to Consolidated Financial Statements for additional information.</w:t>
      </w:r>
    </w:p>
    <w:p w14:paraId="387633B6" w14:textId="77777777" w:rsidR="00AE2255" w:rsidRDefault="00AE2255">
      <w:pPr>
        <w:pStyle w:val="BodyText"/>
        <w:spacing w:before="5"/>
        <w:rPr>
          <w:sz w:val="17"/>
        </w:rPr>
      </w:pPr>
    </w:p>
    <w:p w14:paraId="29AAADB4" w14:textId="77777777" w:rsidR="00AE2255" w:rsidRDefault="00000000">
      <w:pPr>
        <w:pStyle w:val="BodyText"/>
        <w:ind w:left="610" w:right="429" w:firstLine="450"/>
        <w:jc w:val="both"/>
      </w:pPr>
      <w:r>
        <w:t>We are regularly under audit or examination by tax authorities, including foreign tax authorities (including in, amongst others, Australia, Canada, India, Italy, Japan, Poland, and the United Kingdom). The final determination of tax audits and any related litigation could similarly result in unanticipated increases in our tax expense and affect profitability and cash flows.</w:t>
      </w:r>
    </w:p>
    <w:p w14:paraId="13D68B0A" w14:textId="77777777" w:rsidR="00AE2255" w:rsidRDefault="00AE2255">
      <w:pPr>
        <w:pStyle w:val="BodyText"/>
        <w:spacing w:before="4"/>
        <w:rPr>
          <w:sz w:val="17"/>
        </w:rPr>
      </w:pPr>
    </w:p>
    <w:p w14:paraId="28A0BE66" w14:textId="77777777" w:rsidR="00AE2255" w:rsidRDefault="00000000">
      <w:pPr>
        <w:pStyle w:val="BodyText"/>
        <w:ind w:left="610" w:right="428" w:firstLine="450"/>
        <w:jc w:val="both"/>
      </w:pPr>
      <w:r>
        <w:t xml:space="preserve">On August 16, 2022, the President signed into law the Inflation Reduction Act of 2022 which contained provisions effective January 1, 2023, including a 15% corporate minimum tax and a 1% excise tax on stock buybacks, both of which we expect to be immaterial to our financial results, financial </w:t>
      </w:r>
      <w:proofErr w:type="gramStart"/>
      <w:r>
        <w:t>position</w:t>
      </w:r>
      <w:proofErr w:type="gramEnd"/>
      <w:r>
        <w:t xml:space="preserve"> and cash flows.</w:t>
      </w:r>
    </w:p>
    <w:p w14:paraId="39B518A3" w14:textId="77777777" w:rsidR="00AE2255" w:rsidRDefault="00000000">
      <w:pPr>
        <w:pStyle w:val="Heading2"/>
        <w:spacing w:before="197"/>
      </w:pPr>
      <w:r>
        <w:t>Net</w:t>
      </w:r>
      <w:r>
        <w:rPr>
          <w:spacing w:val="-2"/>
        </w:rPr>
        <w:t xml:space="preserve"> Earnings</w:t>
      </w:r>
    </w:p>
    <w:p w14:paraId="737EE6ED" w14:textId="77777777" w:rsidR="00AE2255" w:rsidRDefault="00AE2255">
      <w:pPr>
        <w:pStyle w:val="BodyText"/>
        <w:spacing w:before="6"/>
        <w:rPr>
          <w:b/>
          <w:sz w:val="18"/>
        </w:rPr>
      </w:pPr>
    </w:p>
    <w:p w14:paraId="666DF766" w14:textId="77777777" w:rsidR="00AE2255" w:rsidRDefault="00000000">
      <w:pPr>
        <w:pStyle w:val="BodyText"/>
        <w:spacing w:before="1" w:line="249" w:lineRule="auto"/>
        <w:ind w:left="610" w:right="428" w:firstLine="360"/>
        <w:jc w:val="both"/>
      </w:pPr>
      <w:r>
        <w:t>We reported net earnings of $5.7 billion ($21.66 per share) in 2022 and $6.3 billion ($22.76 per share) in 2021. Both net earnings and earnings per share in 2022 were affected by the factors mentioned above. Earnings per share also benefited from a net decrease of approximately 12.8 million weighted average common shares outstanding in 2022, compared to 2021. The reduction in weighted average common shares was a result of share repurchases, partially offset by share issuance under our stock-based awards and certain defined contribution plans.</w:t>
      </w:r>
    </w:p>
    <w:p w14:paraId="23B8F413" w14:textId="77777777" w:rsidR="00AE2255" w:rsidRDefault="00AE2255">
      <w:pPr>
        <w:spacing w:line="249" w:lineRule="auto"/>
        <w:jc w:val="both"/>
        <w:sectPr w:rsidR="00AE2255">
          <w:pgSz w:w="12240" w:h="15840"/>
          <w:pgMar w:top="440" w:right="560" w:bottom="720" w:left="380" w:header="230" w:footer="531" w:gutter="0"/>
          <w:cols w:space="720"/>
        </w:sectPr>
      </w:pPr>
    </w:p>
    <w:p w14:paraId="09784596" w14:textId="77777777" w:rsidR="00AE2255" w:rsidRDefault="00AE2255">
      <w:pPr>
        <w:pStyle w:val="BodyText"/>
        <w:spacing w:before="7"/>
        <w:rPr>
          <w:sz w:val="22"/>
        </w:rPr>
      </w:pPr>
    </w:p>
    <w:p w14:paraId="6612464F" w14:textId="77777777" w:rsidR="00AE2255" w:rsidRDefault="00000000">
      <w:pPr>
        <w:pStyle w:val="Heading2"/>
        <w:spacing w:before="92"/>
      </w:pPr>
      <w:bookmarkStart w:id="28" w:name="Business_Segment_Results_of_Operations"/>
      <w:bookmarkEnd w:id="28"/>
      <w:r>
        <w:t>Business</w:t>
      </w:r>
      <w:r>
        <w:rPr>
          <w:spacing w:val="-5"/>
        </w:rPr>
        <w:t xml:space="preserve"> </w:t>
      </w:r>
      <w:r>
        <w:t>Segment</w:t>
      </w:r>
      <w:r>
        <w:rPr>
          <w:spacing w:val="-4"/>
        </w:rPr>
        <w:t xml:space="preserve"> </w:t>
      </w:r>
      <w:r>
        <w:t>Results</w:t>
      </w:r>
      <w:r>
        <w:rPr>
          <w:spacing w:val="-5"/>
        </w:rPr>
        <w:t xml:space="preserve"> </w:t>
      </w:r>
      <w:r>
        <w:t>of</w:t>
      </w:r>
      <w:r>
        <w:rPr>
          <w:spacing w:val="-4"/>
        </w:rPr>
        <w:t xml:space="preserve"> </w:t>
      </w:r>
      <w:r>
        <w:rPr>
          <w:spacing w:val="-2"/>
        </w:rPr>
        <w:t>Operations</w:t>
      </w:r>
    </w:p>
    <w:p w14:paraId="66203517" w14:textId="77777777" w:rsidR="00AE2255" w:rsidRDefault="00AE2255">
      <w:pPr>
        <w:pStyle w:val="BodyText"/>
        <w:spacing w:before="6"/>
        <w:rPr>
          <w:b/>
          <w:sz w:val="18"/>
        </w:rPr>
      </w:pPr>
    </w:p>
    <w:p w14:paraId="7CA19EE0" w14:textId="77777777" w:rsidR="00AE2255" w:rsidRDefault="00000000">
      <w:pPr>
        <w:pStyle w:val="BodyText"/>
        <w:spacing w:line="249" w:lineRule="auto"/>
        <w:ind w:left="610" w:right="429" w:firstLine="360"/>
        <w:jc w:val="both"/>
      </w:pPr>
      <w:r>
        <w:t>We operate in four business segments: Aeronautics, MFC, RMS and Space. We organize our business segments based on the nature of products and services offered.</w:t>
      </w:r>
    </w:p>
    <w:p w14:paraId="5F58EA50" w14:textId="77777777" w:rsidR="00AE2255" w:rsidRDefault="00AE2255">
      <w:pPr>
        <w:pStyle w:val="BodyText"/>
        <w:spacing w:before="6"/>
        <w:rPr>
          <w:sz w:val="17"/>
        </w:rPr>
      </w:pPr>
    </w:p>
    <w:p w14:paraId="7121F17A" w14:textId="77777777" w:rsidR="00AE2255" w:rsidRDefault="00000000">
      <w:pPr>
        <w:pStyle w:val="BodyText"/>
        <w:ind w:left="610" w:right="428" w:firstLine="450"/>
        <w:jc w:val="both"/>
      </w:pPr>
      <w:r>
        <w:t>Net sales and operating profit of our business segments exclude intersegment sales, cost of sales, and profit as these activities are eliminated in consolidation and not included in management’s evaluation of performance of each segment. Business segment operating profit includes our share of earnings or losses from equity method investees as the operating activities of the equity method investees are closely aligned with the operations of our business segments. United Launch Alliance (ULA), results of which are included in our Space business segment, is our largest equity method investee.</w:t>
      </w:r>
    </w:p>
    <w:p w14:paraId="3E39BD2C" w14:textId="77777777" w:rsidR="00AE2255" w:rsidRDefault="00AE2255">
      <w:pPr>
        <w:pStyle w:val="BodyText"/>
        <w:spacing w:before="4"/>
        <w:rPr>
          <w:sz w:val="17"/>
        </w:rPr>
      </w:pPr>
    </w:p>
    <w:p w14:paraId="481B1188" w14:textId="77777777" w:rsidR="00AE2255" w:rsidRDefault="00000000">
      <w:pPr>
        <w:pStyle w:val="BodyText"/>
        <w:spacing w:before="1"/>
        <w:ind w:left="610" w:right="429" w:firstLine="450"/>
        <w:jc w:val="both"/>
      </w:pPr>
      <w:r>
        <w:t>Business</w:t>
      </w:r>
      <w:r>
        <w:rPr>
          <w:spacing w:val="-2"/>
        </w:rPr>
        <w:t xml:space="preserve"> </w:t>
      </w:r>
      <w:r>
        <w:t>segment</w:t>
      </w:r>
      <w:r>
        <w:rPr>
          <w:spacing w:val="-2"/>
        </w:rPr>
        <w:t xml:space="preserve"> </w:t>
      </w:r>
      <w:r>
        <w:t>operating</w:t>
      </w:r>
      <w:r>
        <w:rPr>
          <w:spacing w:val="-2"/>
        </w:rPr>
        <w:t xml:space="preserve"> </w:t>
      </w:r>
      <w:r>
        <w:t>profit</w:t>
      </w:r>
      <w:r>
        <w:rPr>
          <w:spacing w:val="-2"/>
        </w:rPr>
        <w:t xml:space="preserve"> </w:t>
      </w:r>
      <w:r>
        <w:t>also</w:t>
      </w:r>
      <w:r>
        <w:rPr>
          <w:spacing w:val="-2"/>
        </w:rPr>
        <w:t xml:space="preserve"> </w:t>
      </w:r>
      <w:r>
        <w:t>excludes</w:t>
      </w:r>
      <w:r>
        <w:rPr>
          <w:spacing w:val="-2"/>
        </w:rPr>
        <w:t xml:space="preserve"> </w:t>
      </w:r>
      <w:r>
        <w:t>the</w:t>
      </w:r>
      <w:r>
        <w:rPr>
          <w:spacing w:val="-2"/>
        </w:rPr>
        <w:t xml:space="preserve"> </w:t>
      </w:r>
      <w:r>
        <w:t>FAS/CAS</w:t>
      </w:r>
      <w:r>
        <w:rPr>
          <w:spacing w:val="-2"/>
        </w:rPr>
        <w:t xml:space="preserve"> </w:t>
      </w:r>
      <w:r>
        <w:t>pension</w:t>
      </w:r>
      <w:r>
        <w:rPr>
          <w:spacing w:val="-2"/>
        </w:rPr>
        <w:t xml:space="preserve"> </w:t>
      </w:r>
      <w:r>
        <w:t>operating</w:t>
      </w:r>
      <w:r>
        <w:rPr>
          <w:spacing w:val="-2"/>
        </w:rPr>
        <w:t xml:space="preserve"> </w:t>
      </w:r>
      <w:r>
        <w:t>adjustment</w:t>
      </w:r>
      <w:r>
        <w:rPr>
          <w:spacing w:val="-2"/>
        </w:rPr>
        <w:t xml:space="preserve"> </w:t>
      </w:r>
      <w:r>
        <w:t>described</w:t>
      </w:r>
      <w:r>
        <w:rPr>
          <w:spacing w:val="-2"/>
        </w:rPr>
        <w:t xml:space="preserve"> </w:t>
      </w:r>
      <w:r>
        <w:t>below,</w:t>
      </w:r>
      <w:r>
        <w:rPr>
          <w:spacing w:val="-2"/>
        </w:rPr>
        <w:t xml:space="preserve"> </w:t>
      </w:r>
      <w:r>
        <w:t>a</w:t>
      </w:r>
      <w:r>
        <w:rPr>
          <w:spacing w:val="-2"/>
        </w:rPr>
        <w:t xml:space="preserve"> </w:t>
      </w:r>
      <w:r>
        <w:t>portion</w:t>
      </w:r>
      <w:r>
        <w:rPr>
          <w:spacing w:val="-2"/>
        </w:rPr>
        <w:t xml:space="preserve"> </w:t>
      </w:r>
      <w:r>
        <w:t>of corporate costs not considered allowable or allocable to contracts with the U.S. Government under the applicable U.S. Government cost accounting standards (CAS) or federal acquisition regulations (FAR), and other items not considered part of management’s evaluation of segment operating performance such as a portion of management and administration costs, legal fees and settlements, environmental costs, changes in the fair value of certain mark-to-market investments, stock-based compensation expense, changes in the fair value of investments and liabilities for deferred compensation plans, retiree benefits, significant</w:t>
      </w:r>
      <w:r>
        <w:rPr>
          <w:spacing w:val="-2"/>
        </w:rPr>
        <w:t xml:space="preserve"> </w:t>
      </w:r>
      <w:r>
        <w:t>severance</w:t>
      </w:r>
      <w:r>
        <w:rPr>
          <w:spacing w:val="-2"/>
        </w:rPr>
        <w:t xml:space="preserve"> </w:t>
      </w:r>
      <w:r>
        <w:t>actions,</w:t>
      </w:r>
      <w:r>
        <w:rPr>
          <w:spacing w:val="-2"/>
        </w:rPr>
        <w:t xml:space="preserve"> </w:t>
      </w:r>
      <w:r>
        <w:t>significant</w:t>
      </w:r>
      <w:r>
        <w:rPr>
          <w:spacing w:val="-2"/>
        </w:rPr>
        <w:t xml:space="preserve"> </w:t>
      </w:r>
      <w:r>
        <w:t>asset</w:t>
      </w:r>
      <w:r>
        <w:rPr>
          <w:spacing w:val="-2"/>
        </w:rPr>
        <w:t xml:space="preserve"> </w:t>
      </w:r>
      <w:r>
        <w:t>impairments,</w:t>
      </w:r>
      <w:r>
        <w:rPr>
          <w:spacing w:val="-2"/>
        </w:rPr>
        <w:t xml:space="preserve"> </w:t>
      </w:r>
      <w:r>
        <w:t>gains</w:t>
      </w:r>
      <w:r>
        <w:rPr>
          <w:spacing w:val="-2"/>
        </w:rPr>
        <w:t xml:space="preserve"> </w:t>
      </w:r>
      <w:r>
        <w:t>or</w:t>
      </w:r>
      <w:r>
        <w:rPr>
          <w:spacing w:val="-2"/>
        </w:rPr>
        <w:t xml:space="preserve"> </w:t>
      </w:r>
      <w:r>
        <w:t>losses</w:t>
      </w:r>
      <w:r>
        <w:rPr>
          <w:spacing w:val="-2"/>
        </w:rPr>
        <w:t xml:space="preserve"> </w:t>
      </w:r>
      <w:r>
        <w:t>from</w:t>
      </w:r>
      <w:r>
        <w:rPr>
          <w:spacing w:val="-2"/>
        </w:rPr>
        <w:t xml:space="preserve"> </w:t>
      </w:r>
      <w:r>
        <w:t>divestitures,</w:t>
      </w:r>
      <w:r>
        <w:rPr>
          <w:spacing w:val="-2"/>
        </w:rPr>
        <w:t xml:space="preserve"> </w:t>
      </w:r>
      <w:r>
        <w:t>and</w:t>
      </w:r>
      <w:r>
        <w:rPr>
          <w:spacing w:val="-2"/>
        </w:rPr>
        <w:t xml:space="preserve"> </w:t>
      </w:r>
      <w:r>
        <w:t>other</w:t>
      </w:r>
      <w:r>
        <w:rPr>
          <w:spacing w:val="-2"/>
        </w:rPr>
        <w:t xml:space="preserve"> </w:t>
      </w:r>
      <w:r>
        <w:t>miscellaneous</w:t>
      </w:r>
      <w:r>
        <w:rPr>
          <w:spacing w:val="-2"/>
        </w:rPr>
        <w:t xml:space="preserve"> </w:t>
      </w:r>
      <w:r>
        <w:t xml:space="preserve">corporate </w:t>
      </w:r>
      <w:r>
        <w:rPr>
          <w:spacing w:val="-2"/>
        </w:rPr>
        <w:t>activities.</w:t>
      </w:r>
    </w:p>
    <w:p w14:paraId="517C725C" w14:textId="77777777" w:rsidR="00AE2255" w:rsidRDefault="00AE2255">
      <w:pPr>
        <w:pStyle w:val="BodyText"/>
        <w:spacing w:before="4"/>
        <w:rPr>
          <w:sz w:val="17"/>
        </w:rPr>
      </w:pPr>
    </w:p>
    <w:p w14:paraId="2E3C191A" w14:textId="77777777" w:rsidR="00AE2255" w:rsidRDefault="00000000">
      <w:pPr>
        <w:pStyle w:val="BodyText"/>
        <w:spacing w:line="249" w:lineRule="auto"/>
        <w:ind w:left="610" w:right="428" w:firstLine="450"/>
        <w:jc w:val="both"/>
      </w:pPr>
      <w:r>
        <w:t>Excluded items are included in the reconciling item “Unallocated items” between operating profit from our business segments and our consolidated operating profit. See “Note 1 – Organization and Significant Accounting Policies” for a discussion related to certain factors that may impact the comparability of net sales and operating profit of our business</w:t>
      </w:r>
      <w:r>
        <w:rPr>
          <w:spacing w:val="40"/>
        </w:rPr>
        <w:t xml:space="preserve"> </w:t>
      </w:r>
      <w:r>
        <w:rPr>
          <w:spacing w:val="-2"/>
        </w:rPr>
        <w:t>segments.</w:t>
      </w:r>
    </w:p>
    <w:p w14:paraId="529BC094" w14:textId="77777777" w:rsidR="00AE2255" w:rsidRDefault="00AE2255">
      <w:pPr>
        <w:spacing w:line="249" w:lineRule="auto"/>
        <w:jc w:val="both"/>
        <w:sectPr w:rsidR="00AE2255">
          <w:pgSz w:w="12240" w:h="15840"/>
          <w:pgMar w:top="440" w:right="560" w:bottom="720" w:left="380" w:header="230" w:footer="531" w:gutter="0"/>
          <w:cols w:space="720"/>
        </w:sectPr>
      </w:pPr>
    </w:p>
    <w:p w14:paraId="3C37C834" w14:textId="77777777" w:rsidR="00AE2255" w:rsidRDefault="00AE2255">
      <w:pPr>
        <w:pStyle w:val="BodyText"/>
        <w:spacing w:before="10"/>
        <w:rPr>
          <w:sz w:val="22"/>
        </w:rPr>
      </w:pPr>
    </w:p>
    <w:p w14:paraId="430855F2" w14:textId="77777777" w:rsidR="00AE2255" w:rsidRDefault="00000000">
      <w:pPr>
        <w:pStyle w:val="BodyText"/>
        <w:spacing w:before="92"/>
        <w:ind w:left="970"/>
      </w:pPr>
      <w:r>
        <w:t>Summary</w:t>
      </w:r>
      <w:r>
        <w:rPr>
          <w:spacing w:val="-5"/>
        </w:rPr>
        <w:t xml:space="preserve"> </w:t>
      </w:r>
      <w:r>
        <w:t>operating</w:t>
      </w:r>
      <w:r>
        <w:rPr>
          <w:spacing w:val="-2"/>
        </w:rPr>
        <w:t xml:space="preserve"> </w:t>
      </w:r>
      <w:r>
        <w:t>results</w:t>
      </w:r>
      <w:r>
        <w:rPr>
          <w:spacing w:val="-4"/>
        </w:rPr>
        <w:t xml:space="preserve"> </w:t>
      </w:r>
      <w:r>
        <w:t>for</w:t>
      </w:r>
      <w:r>
        <w:rPr>
          <w:spacing w:val="-2"/>
        </w:rPr>
        <w:t xml:space="preserve"> </w:t>
      </w:r>
      <w:r>
        <w:t>each</w:t>
      </w:r>
      <w:r>
        <w:rPr>
          <w:spacing w:val="-2"/>
        </w:rPr>
        <w:t xml:space="preserve"> </w:t>
      </w:r>
      <w:r>
        <w:t>of</w:t>
      </w:r>
      <w:r>
        <w:rPr>
          <w:spacing w:val="-3"/>
        </w:rPr>
        <w:t xml:space="preserve"> </w:t>
      </w:r>
      <w:r>
        <w:t>our</w:t>
      </w:r>
      <w:r>
        <w:rPr>
          <w:spacing w:val="-2"/>
        </w:rPr>
        <w:t xml:space="preserve"> </w:t>
      </w:r>
      <w:r>
        <w:t>business</w:t>
      </w:r>
      <w:r>
        <w:rPr>
          <w:spacing w:val="-4"/>
        </w:rPr>
        <w:t xml:space="preserve"> </w:t>
      </w:r>
      <w:r>
        <w:t>segments</w:t>
      </w:r>
      <w:r>
        <w:rPr>
          <w:spacing w:val="-3"/>
        </w:rPr>
        <w:t xml:space="preserve"> </w:t>
      </w:r>
      <w:r>
        <w:t>were</w:t>
      </w:r>
      <w:r>
        <w:rPr>
          <w:spacing w:val="-3"/>
        </w:rPr>
        <w:t xml:space="preserve"> </w:t>
      </w:r>
      <w:r>
        <w:t>as</w:t>
      </w:r>
      <w:r>
        <w:rPr>
          <w:spacing w:val="-4"/>
        </w:rPr>
        <w:t xml:space="preserve"> </w:t>
      </w:r>
      <w:r>
        <w:t>follows</w:t>
      </w:r>
      <w:r>
        <w:rPr>
          <w:spacing w:val="-3"/>
        </w:rPr>
        <w:t xml:space="preserve"> </w:t>
      </w:r>
      <w:r>
        <w:t>(in</w:t>
      </w:r>
      <w:r>
        <w:rPr>
          <w:spacing w:val="-2"/>
        </w:rPr>
        <w:t xml:space="preserve"> millions):</w:t>
      </w:r>
    </w:p>
    <w:p w14:paraId="31D603B3" w14:textId="77777777" w:rsidR="00AE2255" w:rsidRDefault="00AE2255">
      <w:pPr>
        <w:pStyle w:val="BodyText"/>
        <w:spacing w:before="11"/>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5354"/>
        <w:gridCol w:w="2787"/>
        <w:gridCol w:w="1080"/>
        <w:gridCol w:w="1024"/>
      </w:tblGrid>
      <w:tr w:rsidR="00AE2255" w14:paraId="68603365" w14:textId="77777777">
        <w:trPr>
          <w:trHeight w:val="241"/>
        </w:trPr>
        <w:tc>
          <w:tcPr>
            <w:tcW w:w="5354" w:type="dxa"/>
            <w:tcBorders>
              <w:bottom w:val="single" w:sz="8" w:space="0" w:color="auto"/>
            </w:tcBorders>
          </w:tcPr>
          <w:p w14:paraId="7A58BB3F" w14:textId="77777777" w:rsidR="00AE2255" w:rsidRDefault="00AE2255">
            <w:pPr>
              <w:pStyle w:val="TableParagraph"/>
              <w:spacing w:before="0"/>
              <w:jc w:val="left"/>
              <w:rPr>
                <w:sz w:val="16"/>
              </w:rPr>
            </w:pPr>
          </w:p>
        </w:tc>
        <w:tc>
          <w:tcPr>
            <w:tcW w:w="2787" w:type="dxa"/>
            <w:tcBorders>
              <w:bottom w:val="single" w:sz="8" w:space="0" w:color="auto"/>
            </w:tcBorders>
          </w:tcPr>
          <w:p w14:paraId="39145C32" w14:textId="77777777" w:rsidR="00AE2255" w:rsidRDefault="00000000">
            <w:pPr>
              <w:pStyle w:val="TableParagraph"/>
              <w:spacing w:before="0" w:line="221" w:lineRule="exact"/>
              <w:ind w:right="106"/>
              <w:rPr>
                <w:b/>
                <w:sz w:val="20"/>
              </w:rPr>
            </w:pPr>
            <w:r>
              <w:rPr>
                <w:b/>
                <w:spacing w:val="-4"/>
                <w:sz w:val="20"/>
              </w:rPr>
              <w:t>2022</w:t>
            </w:r>
          </w:p>
        </w:tc>
        <w:tc>
          <w:tcPr>
            <w:tcW w:w="1080" w:type="dxa"/>
            <w:tcBorders>
              <w:bottom w:val="single" w:sz="8" w:space="0" w:color="auto"/>
            </w:tcBorders>
          </w:tcPr>
          <w:p w14:paraId="5D21AAD3" w14:textId="77777777" w:rsidR="00AE2255" w:rsidRDefault="00000000">
            <w:pPr>
              <w:pStyle w:val="TableParagraph"/>
              <w:spacing w:before="0" w:line="221" w:lineRule="exact"/>
              <w:ind w:right="106"/>
              <w:rPr>
                <w:b/>
                <w:sz w:val="20"/>
              </w:rPr>
            </w:pPr>
            <w:r>
              <w:rPr>
                <w:b/>
                <w:spacing w:val="-4"/>
                <w:sz w:val="20"/>
              </w:rPr>
              <w:t>2021</w:t>
            </w:r>
          </w:p>
        </w:tc>
        <w:tc>
          <w:tcPr>
            <w:tcW w:w="1024" w:type="dxa"/>
            <w:tcBorders>
              <w:bottom w:val="single" w:sz="8" w:space="0" w:color="auto"/>
            </w:tcBorders>
          </w:tcPr>
          <w:p w14:paraId="6FA3577C" w14:textId="77777777" w:rsidR="00AE2255" w:rsidRDefault="00000000">
            <w:pPr>
              <w:pStyle w:val="TableParagraph"/>
              <w:spacing w:before="0" w:line="221" w:lineRule="exact"/>
              <w:ind w:right="50"/>
              <w:rPr>
                <w:b/>
                <w:sz w:val="20"/>
              </w:rPr>
            </w:pPr>
            <w:r>
              <w:rPr>
                <w:b/>
                <w:spacing w:val="-4"/>
                <w:sz w:val="20"/>
              </w:rPr>
              <w:t>2020</w:t>
            </w:r>
          </w:p>
        </w:tc>
      </w:tr>
      <w:tr w:rsidR="00AE2255" w14:paraId="14BF71B2" w14:textId="77777777">
        <w:trPr>
          <w:trHeight w:val="245"/>
        </w:trPr>
        <w:tc>
          <w:tcPr>
            <w:tcW w:w="5354" w:type="dxa"/>
            <w:tcBorders>
              <w:top w:val="single" w:sz="8" w:space="0" w:color="CCEDFF"/>
            </w:tcBorders>
            <w:shd w:val="clear" w:color="auto" w:fill="CCEDFF"/>
          </w:tcPr>
          <w:p w14:paraId="4DA09391" w14:textId="77777777" w:rsidR="00AE2255" w:rsidRDefault="00000000">
            <w:pPr>
              <w:pStyle w:val="TableParagraph"/>
              <w:spacing w:before="13" w:line="211" w:lineRule="exact"/>
              <w:ind w:left="52"/>
              <w:jc w:val="left"/>
              <w:rPr>
                <w:b/>
                <w:sz w:val="20"/>
              </w:rPr>
            </w:pPr>
            <w:r>
              <w:rPr>
                <w:b/>
                <w:sz w:val="20"/>
              </w:rPr>
              <w:t>Net</w:t>
            </w:r>
            <w:r>
              <w:rPr>
                <w:b/>
                <w:spacing w:val="-4"/>
                <w:sz w:val="20"/>
              </w:rPr>
              <w:t xml:space="preserve"> </w:t>
            </w:r>
            <w:r>
              <w:rPr>
                <w:b/>
                <w:spacing w:val="-2"/>
                <w:sz w:val="20"/>
              </w:rPr>
              <w:t>sales</w:t>
            </w:r>
          </w:p>
        </w:tc>
        <w:tc>
          <w:tcPr>
            <w:tcW w:w="2787" w:type="dxa"/>
            <w:tcBorders>
              <w:top w:val="single" w:sz="8" w:space="0" w:color="CCEDFF"/>
            </w:tcBorders>
            <w:shd w:val="clear" w:color="auto" w:fill="CCEDFF"/>
          </w:tcPr>
          <w:p w14:paraId="2449EE68" w14:textId="77777777" w:rsidR="00AE2255" w:rsidRDefault="00AE2255">
            <w:pPr>
              <w:pStyle w:val="TableParagraph"/>
              <w:spacing w:before="0"/>
              <w:jc w:val="left"/>
              <w:rPr>
                <w:sz w:val="16"/>
              </w:rPr>
            </w:pPr>
          </w:p>
        </w:tc>
        <w:tc>
          <w:tcPr>
            <w:tcW w:w="1080" w:type="dxa"/>
            <w:tcBorders>
              <w:top w:val="single" w:sz="8" w:space="0" w:color="CCEDFF"/>
            </w:tcBorders>
            <w:shd w:val="clear" w:color="auto" w:fill="CCEDFF"/>
          </w:tcPr>
          <w:p w14:paraId="434BBF42" w14:textId="77777777" w:rsidR="00AE2255" w:rsidRDefault="00AE2255">
            <w:pPr>
              <w:pStyle w:val="TableParagraph"/>
              <w:spacing w:before="0"/>
              <w:jc w:val="left"/>
              <w:rPr>
                <w:sz w:val="16"/>
              </w:rPr>
            </w:pPr>
          </w:p>
        </w:tc>
        <w:tc>
          <w:tcPr>
            <w:tcW w:w="1024" w:type="dxa"/>
            <w:tcBorders>
              <w:top w:val="single" w:sz="8" w:space="0" w:color="CCEDFF"/>
            </w:tcBorders>
            <w:shd w:val="clear" w:color="auto" w:fill="CCEDFF"/>
          </w:tcPr>
          <w:p w14:paraId="4BF518A6" w14:textId="77777777" w:rsidR="00AE2255" w:rsidRDefault="00AE2255">
            <w:pPr>
              <w:pStyle w:val="TableParagraph"/>
              <w:spacing w:before="0"/>
              <w:jc w:val="left"/>
              <w:rPr>
                <w:sz w:val="16"/>
              </w:rPr>
            </w:pPr>
          </w:p>
        </w:tc>
      </w:tr>
      <w:tr w:rsidR="00AE2255" w14:paraId="722C3BD1" w14:textId="77777777">
        <w:trPr>
          <w:trHeight w:val="285"/>
        </w:trPr>
        <w:tc>
          <w:tcPr>
            <w:tcW w:w="5354" w:type="dxa"/>
          </w:tcPr>
          <w:p w14:paraId="0F7987E4" w14:textId="77777777" w:rsidR="00AE2255" w:rsidRDefault="00000000">
            <w:pPr>
              <w:pStyle w:val="TableParagraph"/>
              <w:spacing w:before="27"/>
              <w:ind w:left="187"/>
              <w:jc w:val="left"/>
              <w:rPr>
                <w:sz w:val="20"/>
              </w:rPr>
            </w:pPr>
            <w:r>
              <w:rPr>
                <w:spacing w:val="-2"/>
                <w:sz w:val="20"/>
              </w:rPr>
              <w:t>Aeronautics</w:t>
            </w:r>
          </w:p>
        </w:tc>
        <w:tc>
          <w:tcPr>
            <w:tcW w:w="2787" w:type="dxa"/>
          </w:tcPr>
          <w:p w14:paraId="445F0195" w14:textId="77777777" w:rsidR="00AE2255" w:rsidRDefault="00000000">
            <w:pPr>
              <w:pStyle w:val="TableParagraph"/>
              <w:tabs>
                <w:tab w:val="left" w:pos="320"/>
              </w:tabs>
              <w:ind w:right="135"/>
              <w:rPr>
                <w:b/>
                <w:sz w:val="20"/>
              </w:rPr>
            </w:pPr>
            <w:r>
              <w:rPr>
                <w:b/>
                <w:spacing w:val="-10"/>
                <w:sz w:val="20"/>
              </w:rPr>
              <w:t>$</w:t>
            </w:r>
            <w:r>
              <w:rPr>
                <w:b/>
                <w:sz w:val="20"/>
              </w:rPr>
              <w:tab/>
            </w:r>
            <w:r>
              <w:rPr>
                <w:b/>
                <w:spacing w:val="-2"/>
                <w:sz w:val="20"/>
              </w:rPr>
              <w:t>26,987</w:t>
            </w:r>
          </w:p>
        </w:tc>
        <w:tc>
          <w:tcPr>
            <w:tcW w:w="1080" w:type="dxa"/>
          </w:tcPr>
          <w:p w14:paraId="0BCC7D1C" w14:textId="77777777" w:rsidR="00AE2255" w:rsidRDefault="00000000">
            <w:pPr>
              <w:pStyle w:val="TableParagraph"/>
              <w:tabs>
                <w:tab w:val="left" w:pos="320"/>
              </w:tabs>
              <w:ind w:right="135"/>
              <w:rPr>
                <w:sz w:val="20"/>
              </w:rPr>
            </w:pPr>
            <w:r>
              <w:rPr>
                <w:spacing w:val="-10"/>
                <w:sz w:val="20"/>
              </w:rPr>
              <w:t>$</w:t>
            </w:r>
            <w:r>
              <w:rPr>
                <w:sz w:val="20"/>
              </w:rPr>
              <w:tab/>
            </w:r>
            <w:r>
              <w:rPr>
                <w:spacing w:val="-2"/>
                <w:sz w:val="20"/>
              </w:rPr>
              <w:t>26,748</w:t>
            </w:r>
          </w:p>
        </w:tc>
        <w:tc>
          <w:tcPr>
            <w:tcW w:w="1024" w:type="dxa"/>
          </w:tcPr>
          <w:p w14:paraId="3EE855B1" w14:textId="77777777" w:rsidR="00AE2255" w:rsidRDefault="00000000">
            <w:pPr>
              <w:pStyle w:val="TableParagraph"/>
              <w:tabs>
                <w:tab w:val="left" w:pos="392"/>
              </w:tabs>
              <w:ind w:left="71"/>
              <w:jc w:val="left"/>
              <w:rPr>
                <w:sz w:val="20"/>
              </w:rPr>
            </w:pPr>
            <w:r>
              <w:rPr>
                <w:spacing w:val="-10"/>
                <w:sz w:val="20"/>
              </w:rPr>
              <w:t>$</w:t>
            </w:r>
            <w:r>
              <w:rPr>
                <w:sz w:val="20"/>
              </w:rPr>
              <w:tab/>
            </w:r>
            <w:r>
              <w:rPr>
                <w:spacing w:val="-2"/>
                <w:sz w:val="20"/>
              </w:rPr>
              <w:t>26,266</w:t>
            </w:r>
          </w:p>
        </w:tc>
      </w:tr>
      <w:tr w:rsidR="00AE2255" w14:paraId="6992752D" w14:textId="77777777">
        <w:trPr>
          <w:trHeight w:val="285"/>
        </w:trPr>
        <w:tc>
          <w:tcPr>
            <w:tcW w:w="5354" w:type="dxa"/>
            <w:shd w:val="clear" w:color="auto" w:fill="CCEDFF"/>
          </w:tcPr>
          <w:p w14:paraId="25FFBCEF" w14:textId="77777777" w:rsidR="00AE2255" w:rsidRDefault="00000000">
            <w:pPr>
              <w:pStyle w:val="TableParagraph"/>
              <w:spacing w:before="27"/>
              <w:ind w:left="187"/>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787" w:type="dxa"/>
            <w:shd w:val="clear" w:color="auto" w:fill="CCEDFF"/>
          </w:tcPr>
          <w:p w14:paraId="5EFFE7FA" w14:textId="77777777" w:rsidR="00AE2255" w:rsidRDefault="00000000">
            <w:pPr>
              <w:pStyle w:val="TableParagraph"/>
              <w:ind w:right="135"/>
              <w:rPr>
                <w:b/>
                <w:sz w:val="20"/>
              </w:rPr>
            </w:pPr>
            <w:r>
              <w:rPr>
                <w:b/>
                <w:spacing w:val="-2"/>
                <w:sz w:val="20"/>
              </w:rPr>
              <w:t>11,317</w:t>
            </w:r>
          </w:p>
        </w:tc>
        <w:tc>
          <w:tcPr>
            <w:tcW w:w="1080" w:type="dxa"/>
            <w:shd w:val="clear" w:color="auto" w:fill="CCEDFF"/>
          </w:tcPr>
          <w:p w14:paraId="1A7342C8" w14:textId="77777777" w:rsidR="00AE2255" w:rsidRDefault="00000000">
            <w:pPr>
              <w:pStyle w:val="TableParagraph"/>
              <w:ind w:right="135"/>
              <w:rPr>
                <w:sz w:val="20"/>
              </w:rPr>
            </w:pPr>
            <w:r>
              <w:rPr>
                <w:spacing w:val="-2"/>
                <w:sz w:val="20"/>
              </w:rPr>
              <w:t>11,693</w:t>
            </w:r>
          </w:p>
        </w:tc>
        <w:tc>
          <w:tcPr>
            <w:tcW w:w="1024" w:type="dxa"/>
            <w:shd w:val="clear" w:color="auto" w:fill="CCEDFF"/>
          </w:tcPr>
          <w:p w14:paraId="52D5A7C8" w14:textId="77777777" w:rsidR="00AE2255" w:rsidRDefault="00000000">
            <w:pPr>
              <w:pStyle w:val="TableParagraph"/>
              <w:ind w:right="79"/>
              <w:rPr>
                <w:sz w:val="20"/>
              </w:rPr>
            </w:pPr>
            <w:r>
              <w:rPr>
                <w:spacing w:val="-2"/>
                <w:sz w:val="20"/>
              </w:rPr>
              <w:t>11,257</w:t>
            </w:r>
          </w:p>
        </w:tc>
      </w:tr>
      <w:tr w:rsidR="00AE2255" w14:paraId="551E64F7" w14:textId="77777777">
        <w:trPr>
          <w:trHeight w:val="285"/>
        </w:trPr>
        <w:tc>
          <w:tcPr>
            <w:tcW w:w="5354" w:type="dxa"/>
          </w:tcPr>
          <w:p w14:paraId="32A6312A" w14:textId="77777777" w:rsidR="00AE2255" w:rsidRDefault="00000000">
            <w:pPr>
              <w:pStyle w:val="TableParagraph"/>
              <w:spacing w:before="27"/>
              <w:ind w:left="187"/>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787" w:type="dxa"/>
          </w:tcPr>
          <w:p w14:paraId="2CB8EEBA" w14:textId="77777777" w:rsidR="00AE2255" w:rsidRDefault="00000000">
            <w:pPr>
              <w:pStyle w:val="TableParagraph"/>
              <w:ind w:right="135"/>
              <w:rPr>
                <w:b/>
                <w:sz w:val="20"/>
              </w:rPr>
            </w:pPr>
            <w:r>
              <w:rPr>
                <w:b/>
                <w:spacing w:val="-2"/>
                <w:sz w:val="20"/>
              </w:rPr>
              <w:t>16,148</w:t>
            </w:r>
          </w:p>
        </w:tc>
        <w:tc>
          <w:tcPr>
            <w:tcW w:w="1080" w:type="dxa"/>
          </w:tcPr>
          <w:p w14:paraId="4DAB2093" w14:textId="77777777" w:rsidR="00AE2255" w:rsidRDefault="00000000">
            <w:pPr>
              <w:pStyle w:val="TableParagraph"/>
              <w:ind w:right="135"/>
              <w:rPr>
                <w:sz w:val="20"/>
              </w:rPr>
            </w:pPr>
            <w:r>
              <w:rPr>
                <w:spacing w:val="-2"/>
                <w:sz w:val="20"/>
              </w:rPr>
              <w:t>16,789</w:t>
            </w:r>
          </w:p>
        </w:tc>
        <w:tc>
          <w:tcPr>
            <w:tcW w:w="1024" w:type="dxa"/>
          </w:tcPr>
          <w:p w14:paraId="390D7A6C" w14:textId="77777777" w:rsidR="00AE2255" w:rsidRDefault="00000000">
            <w:pPr>
              <w:pStyle w:val="TableParagraph"/>
              <w:ind w:right="79"/>
              <w:rPr>
                <w:sz w:val="20"/>
              </w:rPr>
            </w:pPr>
            <w:r>
              <w:rPr>
                <w:spacing w:val="-2"/>
                <w:sz w:val="20"/>
              </w:rPr>
              <w:t>15,995</w:t>
            </w:r>
          </w:p>
        </w:tc>
      </w:tr>
      <w:tr w:rsidR="00AE2255" w14:paraId="03FCB940" w14:textId="77777777">
        <w:trPr>
          <w:trHeight w:val="275"/>
        </w:trPr>
        <w:tc>
          <w:tcPr>
            <w:tcW w:w="5354" w:type="dxa"/>
            <w:tcBorders>
              <w:bottom w:val="single" w:sz="8" w:space="0" w:color="CCEDFF"/>
            </w:tcBorders>
            <w:shd w:val="clear" w:color="auto" w:fill="CCEDFF"/>
          </w:tcPr>
          <w:p w14:paraId="0A142882" w14:textId="77777777" w:rsidR="00AE2255" w:rsidRDefault="00000000">
            <w:pPr>
              <w:pStyle w:val="TableParagraph"/>
              <w:spacing w:before="27" w:line="228" w:lineRule="exact"/>
              <w:ind w:left="187"/>
              <w:jc w:val="left"/>
              <w:rPr>
                <w:sz w:val="20"/>
              </w:rPr>
            </w:pPr>
            <w:r>
              <w:rPr>
                <w:spacing w:val="-2"/>
                <w:sz w:val="20"/>
              </w:rPr>
              <w:t>Space</w:t>
            </w:r>
          </w:p>
        </w:tc>
        <w:tc>
          <w:tcPr>
            <w:tcW w:w="2787" w:type="dxa"/>
            <w:tcBorders>
              <w:bottom w:val="single" w:sz="8" w:space="0" w:color="CCEDFF"/>
            </w:tcBorders>
            <w:shd w:val="clear" w:color="auto" w:fill="CCEDFF"/>
          </w:tcPr>
          <w:p w14:paraId="4262AF5C" w14:textId="77777777" w:rsidR="00AE2255" w:rsidRDefault="00000000">
            <w:pPr>
              <w:pStyle w:val="TableParagraph"/>
              <w:spacing w:line="230" w:lineRule="exact"/>
              <w:ind w:right="135"/>
              <w:rPr>
                <w:b/>
                <w:sz w:val="20"/>
              </w:rPr>
            </w:pPr>
            <w:r>
              <w:rPr>
                <w:b/>
                <w:spacing w:val="-2"/>
                <w:sz w:val="20"/>
              </w:rPr>
              <w:t>11,532</w:t>
            </w:r>
          </w:p>
        </w:tc>
        <w:tc>
          <w:tcPr>
            <w:tcW w:w="1080" w:type="dxa"/>
            <w:tcBorders>
              <w:bottom w:val="single" w:sz="8" w:space="0" w:color="CCEDFF"/>
            </w:tcBorders>
            <w:shd w:val="clear" w:color="auto" w:fill="CCEDFF"/>
          </w:tcPr>
          <w:p w14:paraId="5EEE35BC" w14:textId="77777777" w:rsidR="00AE2255" w:rsidRDefault="00000000">
            <w:pPr>
              <w:pStyle w:val="TableParagraph"/>
              <w:spacing w:line="230" w:lineRule="exact"/>
              <w:ind w:right="135"/>
              <w:rPr>
                <w:sz w:val="20"/>
              </w:rPr>
            </w:pPr>
            <w:r>
              <w:rPr>
                <w:spacing w:val="-2"/>
                <w:sz w:val="20"/>
              </w:rPr>
              <w:t>11,814</w:t>
            </w:r>
          </w:p>
        </w:tc>
        <w:tc>
          <w:tcPr>
            <w:tcW w:w="1024" w:type="dxa"/>
            <w:tcBorders>
              <w:bottom w:val="single" w:sz="8" w:space="0" w:color="CCEDFF"/>
            </w:tcBorders>
            <w:shd w:val="clear" w:color="auto" w:fill="CCEDFF"/>
          </w:tcPr>
          <w:p w14:paraId="73905AEA" w14:textId="77777777" w:rsidR="00AE2255" w:rsidRDefault="00000000">
            <w:pPr>
              <w:pStyle w:val="TableParagraph"/>
              <w:spacing w:line="230" w:lineRule="exact"/>
              <w:ind w:right="79"/>
              <w:rPr>
                <w:sz w:val="20"/>
              </w:rPr>
            </w:pPr>
            <w:r>
              <w:rPr>
                <w:spacing w:val="-2"/>
                <w:sz w:val="20"/>
              </w:rPr>
              <w:t>11,880</w:t>
            </w:r>
          </w:p>
        </w:tc>
      </w:tr>
      <w:tr w:rsidR="00AE2255" w14:paraId="02902221" w14:textId="77777777">
        <w:trPr>
          <w:trHeight w:val="265"/>
        </w:trPr>
        <w:tc>
          <w:tcPr>
            <w:tcW w:w="5354" w:type="dxa"/>
            <w:tcBorders>
              <w:top w:val="single" w:sz="8" w:space="0" w:color="auto"/>
              <w:bottom w:val="single" w:sz="8" w:space="0" w:color="auto"/>
            </w:tcBorders>
          </w:tcPr>
          <w:p w14:paraId="115B71A4" w14:textId="77777777" w:rsidR="00AE2255" w:rsidRDefault="00000000">
            <w:pPr>
              <w:pStyle w:val="TableParagraph"/>
              <w:spacing w:before="17" w:line="228" w:lineRule="exact"/>
              <w:ind w:left="412"/>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2787" w:type="dxa"/>
            <w:tcBorders>
              <w:top w:val="single" w:sz="8" w:space="0" w:color="auto"/>
              <w:bottom w:val="single" w:sz="8" w:space="0" w:color="auto"/>
            </w:tcBorders>
          </w:tcPr>
          <w:p w14:paraId="7C236C8D" w14:textId="77777777" w:rsidR="00AE2255" w:rsidRDefault="00000000">
            <w:pPr>
              <w:pStyle w:val="TableParagraph"/>
              <w:tabs>
                <w:tab w:val="left" w:pos="320"/>
              </w:tabs>
              <w:spacing w:before="15" w:line="230" w:lineRule="exact"/>
              <w:ind w:right="135"/>
              <w:rPr>
                <w:b/>
                <w:sz w:val="20"/>
              </w:rPr>
            </w:pPr>
            <w:r>
              <w:rPr>
                <w:b/>
                <w:spacing w:val="-10"/>
                <w:sz w:val="20"/>
              </w:rPr>
              <w:t>$</w:t>
            </w:r>
            <w:r>
              <w:rPr>
                <w:b/>
                <w:sz w:val="20"/>
              </w:rPr>
              <w:tab/>
            </w:r>
            <w:r>
              <w:rPr>
                <w:b/>
                <w:spacing w:val="-2"/>
                <w:sz w:val="20"/>
              </w:rPr>
              <w:t>65,984</w:t>
            </w:r>
          </w:p>
        </w:tc>
        <w:tc>
          <w:tcPr>
            <w:tcW w:w="1080" w:type="dxa"/>
            <w:tcBorders>
              <w:top w:val="single" w:sz="8" w:space="0" w:color="auto"/>
              <w:bottom w:val="single" w:sz="8" w:space="0" w:color="auto"/>
            </w:tcBorders>
          </w:tcPr>
          <w:p w14:paraId="76086477" w14:textId="77777777" w:rsidR="00AE2255" w:rsidRDefault="00000000">
            <w:pPr>
              <w:pStyle w:val="TableParagraph"/>
              <w:tabs>
                <w:tab w:val="left" w:pos="320"/>
              </w:tabs>
              <w:spacing w:before="15" w:line="230" w:lineRule="exact"/>
              <w:ind w:right="135"/>
              <w:rPr>
                <w:sz w:val="20"/>
              </w:rPr>
            </w:pPr>
            <w:r>
              <w:rPr>
                <w:spacing w:val="-10"/>
                <w:sz w:val="20"/>
              </w:rPr>
              <w:t>$</w:t>
            </w:r>
            <w:r>
              <w:rPr>
                <w:sz w:val="20"/>
              </w:rPr>
              <w:tab/>
            </w:r>
            <w:r>
              <w:rPr>
                <w:spacing w:val="-2"/>
                <w:sz w:val="20"/>
              </w:rPr>
              <w:t>67,044</w:t>
            </w:r>
          </w:p>
        </w:tc>
        <w:tc>
          <w:tcPr>
            <w:tcW w:w="1024" w:type="dxa"/>
            <w:tcBorders>
              <w:top w:val="single" w:sz="8" w:space="0" w:color="auto"/>
              <w:bottom w:val="single" w:sz="8" w:space="0" w:color="auto"/>
            </w:tcBorders>
          </w:tcPr>
          <w:p w14:paraId="3B032430" w14:textId="77777777" w:rsidR="00AE2255" w:rsidRDefault="00000000">
            <w:pPr>
              <w:pStyle w:val="TableParagraph"/>
              <w:tabs>
                <w:tab w:val="left" w:pos="392"/>
              </w:tabs>
              <w:spacing w:before="15" w:line="230" w:lineRule="exact"/>
              <w:ind w:left="71"/>
              <w:jc w:val="left"/>
              <w:rPr>
                <w:sz w:val="20"/>
              </w:rPr>
            </w:pPr>
            <w:r>
              <w:rPr>
                <w:spacing w:val="-10"/>
                <w:sz w:val="20"/>
              </w:rPr>
              <w:t>$</w:t>
            </w:r>
            <w:r>
              <w:rPr>
                <w:sz w:val="20"/>
              </w:rPr>
              <w:tab/>
            </w:r>
            <w:r>
              <w:rPr>
                <w:spacing w:val="-2"/>
                <w:sz w:val="20"/>
              </w:rPr>
              <w:t>65,398</w:t>
            </w:r>
          </w:p>
        </w:tc>
      </w:tr>
      <w:tr w:rsidR="00AE2255" w14:paraId="5AA1F89D" w14:textId="77777777">
        <w:trPr>
          <w:trHeight w:val="245"/>
        </w:trPr>
        <w:tc>
          <w:tcPr>
            <w:tcW w:w="5354" w:type="dxa"/>
            <w:tcBorders>
              <w:top w:val="single" w:sz="8" w:space="0" w:color="CCEDFF"/>
            </w:tcBorders>
            <w:shd w:val="clear" w:color="auto" w:fill="CCEDFF"/>
          </w:tcPr>
          <w:p w14:paraId="6E79F38C" w14:textId="77777777" w:rsidR="00AE2255" w:rsidRDefault="00000000">
            <w:pPr>
              <w:pStyle w:val="TableParagraph"/>
              <w:spacing w:before="13" w:line="211" w:lineRule="exact"/>
              <w:ind w:left="52"/>
              <w:jc w:val="left"/>
              <w:rPr>
                <w:b/>
                <w:sz w:val="20"/>
              </w:rPr>
            </w:pPr>
            <w:r>
              <w:rPr>
                <w:b/>
                <w:sz w:val="20"/>
              </w:rPr>
              <w:t>Operating</w:t>
            </w:r>
            <w:r>
              <w:rPr>
                <w:b/>
                <w:spacing w:val="-6"/>
                <w:sz w:val="20"/>
              </w:rPr>
              <w:t xml:space="preserve"> </w:t>
            </w:r>
            <w:r>
              <w:rPr>
                <w:b/>
                <w:spacing w:val="-2"/>
                <w:sz w:val="20"/>
              </w:rPr>
              <w:t>profit</w:t>
            </w:r>
          </w:p>
        </w:tc>
        <w:tc>
          <w:tcPr>
            <w:tcW w:w="2787" w:type="dxa"/>
            <w:tcBorders>
              <w:top w:val="single" w:sz="8" w:space="0" w:color="CCEDFF"/>
            </w:tcBorders>
            <w:shd w:val="clear" w:color="auto" w:fill="CCEDFF"/>
          </w:tcPr>
          <w:p w14:paraId="57813E77" w14:textId="77777777" w:rsidR="00AE2255" w:rsidRDefault="00AE2255">
            <w:pPr>
              <w:pStyle w:val="TableParagraph"/>
              <w:spacing w:before="0"/>
              <w:jc w:val="left"/>
              <w:rPr>
                <w:sz w:val="16"/>
              </w:rPr>
            </w:pPr>
          </w:p>
        </w:tc>
        <w:tc>
          <w:tcPr>
            <w:tcW w:w="1080" w:type="dxa"/>
            <w:tcBorders>
              <w:top w:val="single" w:sz="8" w:space="0" w:color="CCEDFF"/>
            </w:tcBorders>
            <w:shd w:val="clear" w:color="auto" w:fill="CCEDFF"/>
          </w:tcPr>
          <w:p w14:paraId="14464EB3" w14:textId="77777777" w:rsidR="00AE2255" w:rsidRDefault="00AE2255">
            <w:pPr>
              <w:pStyle w:val="TableParagraph"/>
              <w:spacing w:before="0"/>
              <w:jc w:val="left"/>
              <w:rPr>
                <w:sz w:val="16"/>
              </w:rPr>
            </w:pPr>
          </w:p>
        </w:tc>
        <w:tc>
          <w:tcPr>
            <w:tcW w:w="1024" w:type="dxa"/>
            <w:tcBorders>
              <w:top w:val="single" w:sz="8" w:space="0" w:color="CCEDFF"/>
            </w:tcBorders>
            <w:shd w:val="clear" w:color="auto" w:fill="CCEDFF"/>
          </w:tcPr>
          <w:p w14:paraId="6845D8FB" w14:textId="77777777" w:rsidR="00AE2255" w:rsidRDefault="00AE2255">
            <w:pPr>
              <w:pStyle w:val="TableParagraph"/>
              <w:spacing w:before="0"/>
              <w:jc w:val="left"/>
              <w:rPr>
                <w:sz w:val="16"/>
              </w:rPr>
            </w:pPr>
          </w:p>
        </w:tc>
      </w:tr>
      <w:tr w:rsidR="00AE2255" w14:paraId="60041995" w14:textId="77777777">
        <w:trPr>
          <w:trHeight w:val="285"/>
        </w:trPr>
        <w:tc>
          <w:tcPr>
            <w:tcW w:w="5354" w:type="dxa"/>
          </w:tcPr>
          <w:p w14:paraId="12CB7A4D" w14:textId="77777777" w:rsidR="00AE2255" w:rsidRDefault="00000000">
            <w:pPr>
              <w:pStyle w:val="TableParagraph"/>
              <w:spacing w:before="27"/>
              <w:ind w:left="187"/>
              <w:jc w:val="left"/>
              <w:rPr>
                <w:sz w:val="20"/>
              </w:rPr>
            </w:pPr>
            <w:r>
              <w:rPr>
                <w:spacing w:val="-2"/>
                <w:sz w:val="20"/>
              </w:rPr>
              <w:t>Aeronautics</w:t>
            </w:r>
          </w:p>
        </w:tc>
        <w:tc>
          <w:tcPr>
            <w:tcW w:w="2787" w:type="dxa"/>
          </w:tcPr>
          <w:p w14:paraId="231F9897" w14:textId="77777777" w:rsidR="00AE2255" w:rsidRDefault="00000000">
            <w:pPr>
              <w:pStyle w:val="TableParagraph"/>
              <w:tabs>
                <w:tab w:val="left" w:pos="420"/>
              </w:tabs>
              <w:ind w:right="135"/>
              <w:rPr>
                <w:b/>
                <w:sz w:val="20"/>
              </w:rPr>
            </w:pPr>
            <w:r>
              <w:rPr>
                <w:b/>
                <w:spacing w:val="-10"/>
                <w:sz w:val="20"/>
              </w:rPr>
              <w:t>$</w:t>
            </w:r>
            <w:r>
              <w:rPr>
                <w:b/>
                <w:sz w:val="20"/>
              </w:rPr>
              <w:tab/>
            </w:r>
            <w:r>
              <w:rPr>
                <w:b/>
                <w:spacing w:val="-2"/>
                <w:sz w:val="20"/>
              </w:rPr>
              <w:t>2,866</w:t>
            </w:r>
          </w:p>
        </w:tc>
        <w:tc>
          <w:tcPr>
            <w:tcW w:w="1080" w:type="dxa"/>
          </w:tcPr>
          <w:p w14:paraId="0E2DB0AD"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2,799</w:t>
            </w:r>
          </w:p>
        </w:tc>
        <w:tc>
          <w:tcPr>
            <w:tcW w:w="1024" w:type="dxa"/>
          </w:tcPr>
          <w:p w14:paraId="09DF8BD5"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2,843</w:t>
            </w:r>
          </w:p>
        </w:tc>
      </w:tr>
      <w:tr w:rsidR="00AE2255" w14:paraId="0E2D8716" w14:textId="77777777">
        <w:trPr>
          <w:trHeight w:val="285"/>
        </w:trPr>
        <w:tc>
          <w:tcPr>
            <w:tcW w:w="5354" w:type="dxa"/>
            <w:shd w:val="clear" w:color="auto" w:fill="CCEDFF"/>
          </w:tcPr>
          <w:p w14:paraId="1856539B" w14:textId="77777777" w:rsidR="00AE2255" w:rsidRDefault="00000000">
            <w:pPr>
              <w:pStyle w:val="TableParagraph"/>
              <w:spacing w:before="27"/>
              <w:ind w:left="187"/>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787" w:type="dxa"/>
            <w:shd w:val="clear" w:color="auto" w:fill="CCEDFF"/>
          </w:tcPr>
          <w:p w14:paraId="42D2190E" w14:textId="77777777" w:rsidR="00AE2255" w:rsidRDefault="00000000">
            <w:pPr>
              <w:pStyle w:val="TableParagraph"/>
              <w:ind w:right="135"/>
              <w:rPr>
                <w:b/>
                <w:sz w:val="20"/>
              </w:rPr>
            </w:pPr>
            <w:r>
              <w:rPr>
                <w:b/>
                <w:spacing w:val="-2"/>
                <w:sz w:val="20"/>
              </w:rPr>
              <w:t>1,635</w:t>
            </w:r>
          </w:p>
        </w:tc>
        <w:tc>
          <w:tcPr>
            <w:tcW w:w="1080" w:type="dxa"/>
            <w:shd w:val="clear" w:color="auto" w:fill="CCEDFF"/>
          </w:tcPr>
          <w:p w14:paraId="11180D53" w14:textId="77777777" w:rsidR="00AE2255" w:rsidRDefault="00000000">
            <w:pPr>
              <w:pStyle w:val="TableParagraph"/>
              <w:ind w:right="135"/>
              <w:rPr>
                <w:sz w:val="20"/>
              </w:rPr>
            </w:pPr>
            <w:r>
              <w:rPr>
                <w:spacing w:val="-2"/>
                <w:sz w:val="20"/>
              </w:rPr>
              <w:t>1,648</w:t>
            </w:r>
          </w:p>
        </w:tc>
        <w:tc>
          <w:tcPr>
            <w:tcW w:w="1024" w:type="dxa"/>
            <w:shd w:val="clear" w:color="auto" w:fill="CCEDFF"/>
          </w:tcPr>
          <w:p w14:paraId="62C3D775" w14:textId="77777777" w:rsidR="00AE2255" w:rsidRDefault="00000000">
            <w:pPr>
              <w:pStyle w:val="TableParagraph"/>
              <w:ind w:right="79"/>
              <w:rPr>
                <w:sz w:val="20"/>
              </w:rPr>
            </w:pPr>
            <w:r>
              <w:rPr>
                <w:spacing w:val="-2"/>
                <w:sz w:val="20"/>
              </w:rPr>
              <w:t>1,545</w:t>
            </w:r>
          </w:p>
        </w:tc>
      </w:tr>
      <w:tr w:rsidR="00AE2255" w14:paraId="33439950" w14:textId="77777777">
        <w:trPr>
          <w:trHeight w:val="285"/>
        </w:trPr>
        <w:tc>
          <w:tcPr>
            <w:tcW w:w="5354" w:type="dxa"/>
          </w:tcPr>
          <w:p w14:paraId="03A419D5" w14:textId="77777777" w:rsidR="00AE2255" w:rsidRDefault="00000000">
            <w:pPr>
              <w:pStyle w:val="TableParagraph"/>
              <w:spacing w:before="27"/>
              <w:ind w:left="187"/>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787" w:type="dxa"/>
          </w:tcPr>
          <w:p w14:paraId="497FB4C1" w14:textId="77777777" w:rsidR="00AE2255" w:rsidRDefault="00000000">
            <w:pPr>
              <w:pStyle w:val="TableParagraph"/>
              <w:ind w:right="135"/>
              <w:rPr>
                <w:b/>
                <w:sz w:val="20"/>
              </w:rPr>
            </w:pPr>
            <w:r>
              <w:rPr>
                <w:b/>
                <w:spacing w:val="-2"/>
                <w:sz w:val="20"/>
              </w:rPr>
              <w:t>1,673</w:t>
            </w:r>
          </w:p>
        </w:tc>
        <w:tc>
          <w:tcPr>
            <w:tcW w:w="1080" w:type="dxa"/>
          </w:tcPr>
          <w:p w14:paraId="434628AE" w14:textId="77777777" w:rsidR="00AE2255" w:rsidRDefault="00000000">
            <w:pPr>
              <w:pStyle w:val="TableParagraph"/>
              <w:ind w:right="135"/>
              <w:rPr>
                <w:sz w:val="20"/>
              </w:rPr>
            </w:pPr>
            <w:r>
              <w:rPr>
                <w:spacing w:val="-2"/>
                <w:sz w:val="20"/>
              </w:rPr>
              <w:t>1,798</w:t>
            </w:r>
          </w:p>
        </w:tc>
        <w:tc>
          <w:tcPr>
            <w:tcW w:w="1024" w:type="dxa"/>
          </w:tcPr>
          <w:p w14:paraId="75936982" w14:textId="77777777" w:rsidR="00AE2255" w:rsidRDefault="00000000">
            <w:pPr>
              <w:pStyle w:val="TableParagraph"/>
              <w:ind w:right="79"/>
              <w:rPr>
                <w:sz w:val="20"/>
              </w:rPr>
            </w:pPr>
            <w:r>
              <w:rPr>
                <w:spacing w:val="-2"/>
                <w:sz w:val="20"/>
              </w:rPr>
              <w:t>1,615</w:t>
            </w:r>
          </w:p>
        </w:tc>
      </w:tr>
      <w:tr w:rsidR="00AE2255" w14:paraId="179C4E9A" w14:textId="77777777">
        <w:trPr>
          <w:trHeight w:val="275"/>
        </w:trPr>
        <w:tc>
          <w:tcPr>
            <w:tcW w:w="5354" w:type="dxa"/>
            <w:tcBorders>
              <w:bottom w:val="single" w:sz="8" w:space="0" w:color="CCEDFF"/>
            </w:tcBorders>
            <w:shd w:val="clear" w:color="auto" w:fill="CCEDFF"/>
          </w:tcPr>
          <w:p w14:paraId="435D59EB" w14:textId="77777777" w:rsidR="00AE2255" w:rsidRDefault="00000000">
            <w:pPr>
              <w:pStyle w:val="TableParagraph"/>
              <w:spacing w:before="27" w:line="228" w:lineRule="exact"/>
              <w:ind w:left="187"/>
              <w:jc w:val="left"/>
              <w:rPr>
                <w:sz w:val="20"/>
              </w:rPr>
            </w:pPr>
            <w:r>
              <w:rPr>
                <w:spacing w:val="-2"/>
                <w:sz w:val="20"/>
              </w:rPr>
              <w:t>Space</w:t>
            </w:r>
          </w:p>
        </w:tc>
        <w:tc>
          <w:tcPr>
            <w:tcW w:w="2787" w:type="dxa"/>
            <w:tcBorders>
              <w:bottom w:val="single" w:sz="8" w:space="0" w:color="CCEDFF"/>
            </w:tcBorders>
            <w:shd w:val="clear" w:color="auto" w:fill="CCEDFF"/>
          </w:tcPr>
          <w:p w14:paraId="6F4F6DA0" w14:textId="77777777" w:rsidR="00AE2255" w:rsidRDefault="00000000">
            <w:pPr>
              <w:pStyle w:val="TableParagraph"/>
              <w:spacing w:line="230" w:lineRule="exact"/>
              <w:ind w:right="135"/>
              <w:rPr>
                <w:b/>
                <w:sz w:val="20"/>
              </w:rPr>
            </w:pPr>
            <w:r>
              <w:rPr>
                <w:b/>
                <w:spacing w:val="-2"/>
                <w:sz w:val="20"/>
              </w:rPr>
              <w:t>1,045</w:t>
            </w:r>
          </w:p>
        </w:tc>
        <w:tc>
          <w:tcPr>
            <w:tcW w:w="1080" w:type="dxa"/>
            <w:tcBorders>
              <w:bottom w:val="single" w:sz="8" w:space="0" w:color="CCEDFF"/>
            </w:tcBorders>
            <w:shd w:val="clear" w:color="auto" w:fill="CCEDFF"/>
          </w:tcPr>
          <w:p w14:paraId="552D8A7C" w14:textId="77777777" w:rsidR="00AE2255" w:rsidRDefault="00000000">
            <w:pPr>
              <w:pStyle w:val="TableParagraph"/>
              <w:spacing w:line="230" w:lineRule="exact"/>
              <w:ind w:right="135"/>
              <w:rPr>
                <w:sz w:val="20"/>
              </w:rPr>
            </w:pPr>
            <w:r>
              <w:rPr>
                <w:spacing w:val="-2"/>
                <w:sz w:val="20"/>
              </w:rPr>
              <w:t>1,134</w:t>
            </w:r>
          </w:p>
        </w:tc>
        <w:tc>
          <w:tcPr>
            <w:tcW w:w="1024" w:type="dxa"/>
            <w:tcBorders>
              <w:bottom w:val="single" w:sz="8" w:space="0" w:color="CCEDFF"/>
            </w:tcBorders>
            <w:shd w:val="clear" w:color="auto" w:fill="CCEDFF"/>
          </w:tcPr>
          <w:p w14:paraId="4F269E86" w14:textId="77777777" w:rsidR="00AE2255" w:rsidRDefault="00000000">
            <w:pPr>
              <w:pStyle w:val="TableParagraph"/>
              <w:spacing w:line="230" w:lineRule="exact"/>
              <w:ind w:right="79"/>
              <w:rPr>
                <w:sz w:val="20"/>
              </w:rPr>
            </w:pPr>
            <w:r>
              <w:rPr>
                <w:spacing w:val="-2"/>
                <w:sz w:val="20"/>
              </w:rPr>
              <w:t>1,149</w:t>
            </w:r>
          </w:p>
        </w:tc>
      </w:tr>
      <w:tr w:rsidR="00AE2255" w14:paraId="66FF3A86" w14:textId="77777777">
        <w:trPr>
          <w:trHeight w:val="265"/>
        </w:trPr>
        <w:tc>
          <w:tcPr>
            <w:tcW w:w="5354" w:type="dxa"/>
            <w:tcBorders>
              <w:top w:val="single" w:sz="8" w:space="0" w:color="auto"/>
              <w:bottom w:val="single" w:sz="8" w:space="0" w:color="auto"/>
            </w:tcBorders>
          </w:tcPr>
          <w:p w14:paraId="62802E34" w14:textId="77777777" w:rsidR="00AE2255" w:rsidRDefault="00000000">
            <w:pPr>
              <w:pStyle w:val="TableParagraph"/>
              <w:spacing w:before="17" w:line="228" w:lineRule="exact"/>
              <w:ind w:left="412"/>
              <w:jc w:val="left"/>
              <w:rPr>
                <w:sz w:val="20"/>
              </w:rPr>
            </w:pPr>
            <w:r>
              <w:rPr>
                <w:sz w:val="20"/>
              </w:rPr>
              <w:t>Total</w:t>
            </w:r>
            <w:r>
              <w:rPr>
                <w:spacing w:val="-5"/>
                <w:sz w:val="20"/>
              </w:rPr>
              <w:t xml:space="preserve"> </w:t>
            </w:r>
            <w:r>
              <w:rPr>
                <w:sz w:val="20"/>
              </w:rPr>
              <w:t>business</w:t>
            </w:r>
            <w:r>
              <w:rPr>
                <w:spacing w:val="-5"/>
                <w:sz w:val="20"/>
              </w:rPr>
              <w:t xml:space="preserve"> </w:t>
            </w:r>
            <w:r>
              <w:rPr>
                <w:sz w:val="20"/>
              </w:rPr>
              <w:t>segment</w:t>
            </w:r>
            <w:r>
              <w:rPr>
                <w:spacing w:val="-5"/>
                <w:sz w:val="20"/>
              </w:rPr>
              <w:t xml:space="preserve"> </w:t>
            </w:r>
            <w:r>
              <w:rPr>
                <w:sz w:val="20"/>
              </w:rPr>
              <w:t>operating</w:t>
            </w:r>
            <w:r>
              <w:rPr>
                <w:spacing w:val="-3"/>
                <w:sz w:val="20"/>
              </w:rPr>
              <w:t xml:space="preserve"> </w:t>
            </w:r>
            <w:r>
              <w:rPr>
                <w:spacing w:val="-2"/>
                <w:sz w:val="20"/>
              </w:rPr>
              <w:t>profit</w:t>
            </w:r>
          </w:p>
        </w:tc>
        <w:tc>
          <w:tcPr>
            <w:tcW w:w="2787" w:type="dxa"/>
            <w:tcBorders>
              <w:top w:val="single" w:sz="8" w:space="0" w:color="auto"/>
              <w:bottom w:val="single" w:sz="8" w:space="0" w:color="auto"/>
            </w:tcBorders>
          </w:tcPr>
          <w:p w14:paraId="6A796CEF" w14:textId="77777777" w:rsidR="00AE2255" w:rsidRDefault="00000000">
            <w:pPr>
              <w:pStyle w:val="TableParagraph"/>
              <w:spacing w:before="15" w:line="230" w:lineRule="exact"/>
              <w:ind w:right="135"/>
              <w:rPr>
                <w:b/>
                <w:sz w:val="20"/>
              </w:rPr>
            </w:pPr>
            <w:r>
              <w:rPr>
                <w:b/>
                <w:spacing w:val="-2"/>
                <w:sz w:val="20"/>
              </w:rPr>
              <w:t>7,219</w:t>
            </w:r>
          </w:p>
        </w:tc>
        <w:tc>
          <w:tcPr>
            <w:tcW w:w="1080" w:type="dxa"/>
            <w:tcBorders>
              <w:top w:val="single" w:sz="8" w:space="0" w:color="auto"/>
              <w:bottom w:val="single" w:sz="8" w:space="0" w:color="auto"/>
            </w:tcBorders>
          </w:tcPr>
          <w:p w14:paraId="4F550A2E" w14:textId="77777777" w:rsidR="00AE2255" w:rsidRDefault="00000000">
            <w:pPr>
              <w:pStyle w:val="TableParagraph"/>
              <w:spacing w:before="15" w:line="230" w:lineRule="exact"/>
              <w:ind w:right="135"/>
              <w:rPr>
                <w:sz w:val="20"/>
              </w:rPr>
            </w:pPr>
            <w:r>
              <w:rPr>
                <w:spacing w:val="-2"/>
                <w:sz w:val="20"/>
              </w:rPr>
              <w:t>7,379</w:t>
            </w:r>
          </w:p>
        </w:tc>
        <w:tc>
          <w:tcPr>
            <w:tcW w:w="1024" w:type="dxa"/>
            <w:tcBorders>
              <w:top w:val="single" w:sz="8" w:space="0" w:color="auto"/>
              <w:bottom w:val="single" w:sz="8" w:space="0" w:color="auto"/>
            </w:tcBorders>
          </w:tcPr>
          <w:p w14:paraId="0C745C22" w14:textId="77777777" w:rsidR="00AE2255" w:rsidRDefault="00000000">
            <w:pPr>
              <w:pStyle w:val="TableParagraph"/>
              <w:spacing w:before="15" w:line="230" w:lineRule="exact"/>
              <w:ind w:right="79"/>
              <w:rPr>
                <w:sz w:val="20"/>
              </w:rPr>
            </w:pPr>
            <w:r>
              <w:rPr>
                <w:spacing w:val="-2"/>
                <w:sz w:val="20"/>
              </w:rPr>
              <w:t>7,152</w:t>
            </w:r>
          </w:p>
        </w:tc>
      </w:tr>
      <w:tr w:rsidR="00AE2255" w14:paraId="191BBCE8" w14:textId="77777777">
        <w:trPr>
          <w:trHeight w:val="275"/>
        </w:trPr>
        <w:tc>
          <w:tcPr>
            <w:tcW w:w="5354" w:type="dxa"/>
            <w:tcBorders>
              <w:top w:val="single" w:sz="8" w:space="0" w:color="CCEDFF"/>
            </w:tcBorders>
            <w:shd w:val="clear" w:color="auto" w:fill="CCEDFF"/>
          </w:tcPr>
          <w:p w14:paraId="68750D08" w14:textId="77777777" w:rsidR="00AE2255" w:rsidRDefault="00000000">
            <w:pPr>
              <w:pStyle w:val="TableParagraph"/>
              <w:spacing w:before="17"/>
              <w:ind w:left="187"/>
              <w:jc w:val="left"/>
              <w:rPr>
                <w:sz w:val="20"/>
              </w:rPr>
            </w:pPr>
            <w:r>
              <w:rPr>
                <w:sz w:val="20"/>
              </w:rPr>
              <w:t>Unallocated</w:t>
            </w:r>
            <w:r>
              <w:rPr>
                <w:spacing w:val="-8"/>
                <w:sz w:val="20"/>
              </w:rPr>
              <w:t xml:space="preserve"> </w:t>
            </w:r>
            <w:r>
              <w:rPr>
                <w:spacing w:val="-2"/>
                <w:sz w:val="20"/>
              </w:rPr>
              <w:t>items</w:t>
            </w:r>
          </w:p>
        </w:tc>
        <w:tc>
          <w:tcPr>
            <w:tcW w:w="2787" w:type="dxa"/>
            <w:tcBorders>
              <w:top w:val="single" w:sz="8" w:space="0" w:color="CCEDFF"/>
            </w:tcBorders>
            <w:shd w:val="clear" w:color="auto" w:fill="CCEDFF"/>
          </w:tcPr>
          <w:p w14:paraId="6D81CA63" w14:textId="77777777" w:rsidR="00AE2255" w:rsidRDefault="00AE2255">
            <w:pPr>
              <w:pStyle w:val="TableParagraph"/>
              <w:spacing w:before="0"/>
              <w:jc w:val="left"/>
              <w:rPr>
                <w:sz w:val="18"/>
              </w:rPr>
            </w:pPr>
          </w:p>
        </w:tc>
        <w:tc>
          <w:tcPr>
            <w:tcW w:w="1080" w:type="dxa"/>
            <w:tcBorders>
              <w:top w:val="single" w:sz="8" w:space="0" w:color="CCEDFF"/>
            </w:tcBorders>
            <w:shd w:val="clear" w:color="auto" w:fill="CCEDFF"/>
          </w:tcPr>
          <w:p w14:paraId="273E3A0B" w14:textId="77777777" w:rsidR="00AE2255" w:rsidRDefault="00AE2255">
            <w:pPr>
              <w:pStyle w:val="TableParagraph"/>
              <w:spacing w:before="0"/>
              <w:jc w:val="left"/>
              <w:rPr>
                <w:sz w:val="18"/>
              </w:rPr>
            </w:pPr>
          </w:p>
        </w:tc>
        <w:tc>
          <w:tcPr>
            <w:tcW w:w="1024" w:type="dxa"/>
            <w:tcBorders>
              <w:top w:val="single" w:sz="8" w:space="0" w:color="CCEDFF"/>
            </w:tcBorders>
            <w:shd w:val="clear" w:color="auto" w:fill="CCEDFF"/>
          </w:tcPr>
          <w:p w14:paraId="19457810" w14:textId="77777777" w:rsidR="00AE2255" w:rsidRDefault="00AE2255">
            <w:pPr>
              <w:pStyle w:val="TableParagraph"/>
              <w:spacing w:before="0"/>
              <w:jc w:val="left"/>
              <w:rPr>
                <w:sz w:val="18"/>
              </w:rPr>
            </w:pPr>
          </w:p>
        </w:tc>
      </w:tr>
      <w:tr w:rsidR="00AE2255" w14:paraId="126AD0E2" w14:textId="77777777">
        <w:trPr>
          <w:trHeight w:val="285"/>
        </w:trPr>
        <w:tc>
          <w:tcPr>
            <w:tcW w:w="5354" w:type="dxa"/>
          </w:tcPr>
          <w:p w14:paraId="582AC182" w14:textId="77777777" w:rsidR="00AE2255" w:rsidRDefault="00000000">
            <w:pPr>
              <w:pStyle w:val="TableParagraph"/>
              <w:ind w:left="302"/>
              <w:jc w:val="left"/>
              <w:rPr>
                <w:sz w:val="20"/>
              </w:rPr>
            </w:pPr>
            <w:r>
              <w:rPr>
                <w:sz w:val="20"/>
              </w:rPr>
              <w:t>FAS/CAS</w:t>
            </w:r>
            <w:r>
              <w:rPr>
                <w:spacing w:val="-6"/>
                <w:sz w:val="20"/>
              </w:rPr>
              <w:t xml:space="preserve"> </w:t>
            </w:r>
            <w:r>
              <w:rPr>
                <w:sz w:val="20"/>
              </w:rPr>
              <w:t>pension</w:t>
            </w:r>
            <w:r>
              <w:rPr>
                <w:spacing w:val="-4"/>
                <w:sz w:val="20"/>
              </w:rPr>
              <w:t xml:space="preserve"> </w:t>
            </w:r>
            <w:r>
              <w:rPr>
                <w:sz w:val="20"/>
              </w:rPr>
              <w:t>operating</w:t>
            </w:r>
            <w:r>
              <w:rPr>
                <w:spacing w:val="-4"/>
                <w:sz w:val="20"/>
              </w:rPr>
              <w:t xml:space="preserve"> </w:t>
            </w:r>
            <w:r>
              <w:rPr>
                <w:spacing w:val="-2"/>
                <w:sz w:val="20"/>
              </w:rPr>
              <w:t>adjustment</w:t>
            </w:r>
          </w:p>
        </w:tc>
        <w:tc>
          <w:tcPr>
            <w:tcW w:w="2787" w:type="dxa"/>
          </w:tcPr>
          <w:p w14:paraId="7B4E7F06" w14:textId="77777777" w:rsidR="00AE2255" w:rsidRDefault="00000000">
            <w:pPr>
              <w:pStyle w:val="TableParagraph"/>
              <w:ind w:right="135"/>
              <w:rPr>
                <w:b/>
                <w:sz w:val="20"/>
              </w:rPr>
            </w:pPr>
            <w:r>
              <w:rPr>
                <w:b/>
                <w:spacing w:val="-2"/>
                <w:sz w:val="20"/>
              </w:rPr>
              <w:t>1,709</w:t>
            </w:r>
          </w:p>
        </w:tc>
        <w:tc>
          <w:tcPr>
            <w:tcW w:w="1080" w:type="dxa"/>
          </w:tcPr>
          <w:p w14:paraId="0D6C117A" w14:textId="77777777" w:rsidR="00AE2255" w:rsidRDefault="00000000">
            <w:pPr>
              <w:pStyle w:val="TableParagraph"/>
              <w:ind w:right="135"/>
              <w:rPr>
                <w:sz w:val="20"/>
              </w:rPr>
            </w:pPr>
            <w:r>
              <w:rPr>
                <w:spacing w:val="-2"/>
                <w:sz w:val="20"/>
              </w:rPr>
              <w:t>1,960</w:t>
            </w:r>
          </w:p>
        </w:tc>
        <w:tc>
          <w:tcPr>
            <w:tcW w:w="1024" w:type="dxa"/>
          </w:tcPr>
          <w:p w14:paraId="05E73863" w14:textId="77777777" w:rsidR="00AE2255" w:rsidRDefault="00000000">
            <w:pPr>
              <w:pStyle w:val="TableParagraph"/>
              <w:ind w:right="79"/>
              <w:rPr>
                <w:sz w:val="20"/>
              </w:rPr>
            </w:pPr>
            <w:r>
              <w:rPr>
                <w:spacing w:val="-2"/>
                <w:sz w:val="20"/>
              </w:rPr>
              <w:t>1,876</w:t>
            </w:r>
          </w:p>
        </w:tc>
      </w:tr>
      <w:tr w:rsidR="00AE2255" w14:paraId="5363E472" w14:textId="77777777">
        <w:trPr>
          <w:trHeight w:val="285"/>
        </w:trPr>
        <w:tc>
          <w:tcPr>
            <w:tcW w:w="5354" w:type="dxa"/>
            <w:shd w:val="clear" w:color="auto" w:fill="CCEDFF"/>
          </w:tcPr>
          <w:p w14:paraId="26DC3A4E" w14:textId="77777777" w:rsidR="00AE2255" w:rsidRDefault="00000000">
            <w:pPr>
              <w:pStyle w:val="TableParagraph"/>
              <w:ind w:left="302"/>
              <w:jc w:val="left"/>
              <w:rPr>
                <w:sz w:val="20"/>
              </w:rPr>
            </w:pPr>
            <w:r>
              <w:rPr>
                <w:sz w:val="20"/>
              </w:rPr>
              <w:t>Severance</w:t>
            </w:r>
            <w:r>
              <w:rPr>
                <w:spacing w:val="-4"/>
                <w:sz w:val="20"/>
              </w:rPr>
              <w:t xml:space="preserve"> </w:t>
            </w:r>
            <w:r>
              <w:rPr>
                <w:sz w:val="20"/>
              </w:rPr>
              <w:t>and</w:t>
            </w:r>
            <w:r>
              <w:rPr>
                <w:spacing w:val="-3"/>
                <w:sz w:val="20"/>
              </w:rPr>
              <w:t xml:space="preserve"> </w:t>
            </w:r>
            <w:r>
              <w:rPr>
                <w:sz w:val="20"/>
              </w:rPr>
              <w:t>other</w:t>
            </w:r>
            <w:r>
              <w:rPr>
                <w:spacing w:val="-3"/>
                <w:sz w:val="20"/>
              </w:rPr>
              <w:t xml:space="preserve"> </w:t>
            </w:r>
            <w:r>
              <w:rPr>
                <w:sz w:val="20"/>
              </w:rPr>
              <w:t>charges</w:t>
            </w:r>
            <w:r>
              <w:rPr>
                <w:spacing w:val="-3"/>
                <w:sz w:val="20"/>
              </w:rPr>
              <w:t xml:space="preserve"> </w:t>
            </w:r>
            <w:r>
              <w:rPr>
                <w:spacing w:val="-5"/>
                <w:sz w:val="20"/>
                <w:vertAlign w:val="superscript"/>
              </w:rPr>
              <w:t>(a)</w:t>
            </w:r>
          </w:p>
        </w:tc>
        <w:tc>
          <w:tcPr>
            <w:tcW w:w="2787" w:type="dxa"/>
            <w:shd w:val="clear" w:color="auto" w:fill="CCEDFF"/>
          </w:tcPr>
          <w:p w14:paraId="69B591C2" w14:textId="77777777" w:rsidR="00AE2255" w:rsidRDefault="00000000">
            <w:pPr>
              <w:pStyle w:val="TableParagraph"/>
              <w:ind w:right="70"/>
              <w:rPr>
                <w:b/>
                <w:sz w:val="20"/>
              </w:rPr>
            </w:pPr>
            <w:r>
              <w:rPr>
                <w:b/>
                <w:spacing w:val="-2"/>
                <w:sz w:val="20"/>
              </w:rPr>
              <w:t>(100)</w:t>
            </w:r>
          </w:p>
        </w:tc>
        <w:tc>
          <w:tcPr>
            <w:tcW w:w="1080" w:type="dxa"/>
            <w:shd w:val="clear" w:color="auto" w:fill="CCEDFF"/>
          </w:tcPr>
          <w:p w14:paraId="75A5ADFE" w14:textId="77777777" w:rsidR="00AE2255" w:rsidRDefault="00000000">
            <w:pPr>
              <w:pStyle w:val="TableParagraph"/>
              <w:ind w:right="70"/>
              <w:rPr>
                <w:sz w:val="20"/>
              </w:rPr>
            </w:pPr>
            <w:r>
              <w:rPr>
                <w:spacing w:val="-4"/>
                <w:sz w:val="20"/>
              </w:rPr>
              <w:t>(36)</w:t>
            </w:r>
          </w:p>
        </w:tc>
        <w:tc>
          <w:tcPr>
            <w:tcW w:w="1024" w:type="dxa"/>
            <w:shd w:val="clear" w:color="auto" w:fill="CCEDFF"/>
          </w:tcPr>
          <w:p w14:paraId="7010E667" w14:textId="77777777" w:rsidR="00AE2255" w:rsidRDefault="00000000">
            <w:pPr>
              <w:pStyle w:val="TableParagraph"/>
              <w:ind w:right="14"/>
              <w:rPr>
                <w:sz w:val="20"/>
              </w:rPr>
            </w:pPr>
            <w:r>
              <w:rPr>
                <w:spacing w:val="-4"/>
                <w:sz w:val="20"/>
              </w:rPr>
              <w:t>(27)</w:t>
            </w:r>
          </w:p>
        </w:tc>
      </w:tr>
      <w:tr w:rsidR="00AE2255" w14:paraId="40A98C02" w14:textId="77777777">
        <w:trPr>
          <w:trHeight w:val="275"/>
        </w:trPr>
        <w:tc>
          <w:tcPr>
            <w:tcW w:w="5354" w:type="dxa"/>
            <w:tcBorders>
              <w:bottom w:val="single" w:sz="8" w:space="0" w:color="000000"/>
            </w:tcBorders>
          </w:tcPr>
          <w:p w14:paraId="3A3FB9F6" w14:textId="77777777" w:rsidR="00AE2255" w:rsidRDefault="00000000">
            <w:pPr>
              <w:pStyle w:val="TableParagraph"/>
              <w:spacing w:line="230" w:lineRule="exact"/>
              <w:ind w:left="292"/>
              <w:jc w:val="left"/>
              <w:rPr>
                <w:sz w:val="20"/>
              </w:rPr>
            </w:pPr>
            <w:r>
              <w:rPr>
                <w:sz w:val="20"/>
              </w:rPr>
              <w:t>Other,</w:t>
            </w:r>
            <w:r>
              <w:rPr>
                <w:spacing w:val="-3"/>
                <w:sz w:val="20"/>
              </w:rPr>
              <w:t xml:space="preserve"> </w:t>
            </w:r>
            <w:r>
              <w:rPr>
                <w:sz w:val="20"/>
              </w:rPr>
              <w:t>net</w:t>
            </w:r>
            <w:r>
              <w:rPr>
                <w:spacing w:val="-2"/>
                <w:sz w:val="20"/>
              </w:rPr>
              <w:t xml:space="preserve"> </w:t>
            </w:r>
            <w:r>
              <w:rPr>
                <w:spacing w:val="-5"/>
                <w:sz w:val="20"/>
                <w:vertAlign w:val="superscript"/>
              </w:rPr>
              <w:t>(b)</w:t>
            </w:r>
          </w:p>
        </w:tc>
        <w:tc>
          <w:tcPr>
            <w:tcW w:w="2787" w:type="dxa"/>
            <w:tcBorders>
              <w:bottom w:val="single" w:sz="8" w:space="0" w:color="000000"/>
            </w:tcBorders>
          </w:tcPr>
          <w:p w14:paraId="39CDF652" w14:textId="77777777" w:rsidR="00AE2255" w:rsidRDefault="00000000">
            <w:pPr>
              <w:pStyle w:val="TableParagraph"/>
              <w:spacing w:line="230" w:lineRule="exact"/>
              <w:ind w:right="70"/>
              <w:rPr>
                <w:b/>
                <w:sz w:val="20"/>
              </w:rPr>
            </w:pPr>
            <w:r>
              <w:rPr>
                <w:b/>
                <w:spacing w:val="-2"/>
                <w:sz w:val="20"/>
              </w:rPr>
              <w:t>(480)</w:t>
            </w:r>
          </w:p>
        </w:tc>
        <w:tc>
          <w:tcPr>
            <w:tcW w:w="1080" w:type="dxa"/>
            <w:tcBorders>
              <w:bottom w:val="single" w:sz="8" w:space="0" w:color="000000"/>
            </w:tcBorders>
          </w:tcPr>
          <w:p w14:paraId="2D6F8D78" w14:textId="77777777" w:rsidR="00AE2255" w:rsidRDefault="00000000">
            <w:pPr>
              <w:pStyle w:val="TableParagraph"/>
              <w:spacing w:line="230" w:lineRule="exact"/>
              <w:ind w:right="70"/>
              <w:rPr>
                <w:sz w:val="20"/>
              </w:rPr>
            </w:pPr>
            <w:r>
              <w:rPr>
                <w:spacing w:val="-2"/>
                <w:sz w:val="20"/>
              </w:rPr>
              <w:t>(180)</w:t>
            </w:r>
          </w:p>
        </w:tc>
        <w:tc>
          <w:tcPr>
            <w:tcW w:w="1024" w:type="dxa"/>
            <w:tcBorders>
              <w:bottom w:val="single" w:sz="8" w:space="0" w:color="000000"/>
            </w:tcBorders>
          </w:tcPr>
          <w:p w14:paraId="2B92FABA" w14:textId="77777777" w:rsidR="00AE2255" w:rsidRDefault="00000000">
            <w:pPr>
              <w:pStyle w:val="TableParagraph"/>
              <w:spacing w:line="230" w:lineRule="exact"/>
              <w:ind w:right="14"/>
              <w:rPr>
                <w:sz w:val="20"/>
              </w:rPr>
            </w:pPr>
            <w:r>
              <w:rPr>
                <w:spacing w:val="-2"/>
                <w:sz w:val="20"/>
              </w:rPr>
              <w:t>(357)</w:t>
            </w:r>
          </w:p>
        </w:tc>
      </w:tr>
      <w:tr w:rsidR="00AE2255" w14:paraId="6A433889" w14:textId="77777777">
        <w:trPr>
          <w:trHeight w:val="265"/>
        </w:trPr>
        <w:tc>
          <w:tcPr>
            <w:tcW w:w="5354" w:type="dxa"/>
            <w:tcBorders>
              <w:top w:val="single" w:sz="8" w:space="0" w:color="000000"/>
              <w:bottom w:val="single" w:sz="8" w:space="0" w:color="CCEDFF"/>
            </w:tcBorders>
            <w:shd w:val="clear" w:color="auto" w:fill="CCEDFF"/>
          </w:tcPr>
          <w:p w14:paraId="436D0BC8" w14:textId="77777777" w:rsidR="00AE2255" w:rsidRDefault="00000000">
            <w:pPr>
              <w:pStyle w:val="TableParagraph"/>
              <w:spacing w:before="17" w:line="228" w:lineRule="exact"/>
              <w:ind w:left="412"/>
              <w:jc w:val="left"/>
              <w:rPr>
                <w:sz w:val="20"/>
              </w:rPr>
            </w:pPr>
            <w:r>
              <w:rPr>
                <w:sz w:val="20"/>
              </w:rPr>
              <w:t>Total</w:t>
            </w:r>
            <w:r>
              <w:rPr>
                <w:spacing w:val="-6"/>
                <w:sz w:val="20"/>
              </w:rPr>
              <w:t xml:space="preserve"> </w:t>
            </w:r>
            <w:r>
              <w:rPr>
                <w:sz w:val="20"/>
              </w:rPr>
              <w:t>unallocated,</w:t>
            </w:r>
            <w:r>
              <w:rPr>
                <w:spacing w:val="-5"/>
                <w:sz w:val="20"/>
              </w:rPr>
              <w:t xml:space="preserve"> net</w:t>
            </w:r>
          </w:p>
        </w:tc>
        <w:tc>
          <w:tcPr>
            <w:tcW w:w="2787" w:type="dxa"/>
            <w:tcBorders>
              <w:top w:val="single" w:sz="8" w:space="0" w:color="000000"/>
              <w:bottom w:val="single" w:sz="8" w:space="0" w:color="CCEDFF"/>
            </w:tcBorders>
            <w:shd w:val="clear" w:color="auto" w:fill="CCEDFF"/>
          </w:tcPr>
          <w:p w14:paraId="4969D671" w14:textId="77777777" w:rsidR="00AE2255" w:rsidRDefault="00000000">
            <w:pPr>
              <w:pStyle w:val="TableParagraph"/>
              <w:spacing w:before="15" w:line="230" w:lineRule="exact"/>
              <w:ind w:right="135"/>
              <w:rPr>
                <w:b/>
                <w:sz w:val="20"/>
              </w:rPr>
            </w:pPr>
            <w:r>
              <w:rPr>
                <w:b/>
                <w:spacing w:val="-2"/>
                <w:sz w:val="20"/>
              </w:rPr>
              <w:t>1,129</w:t>
            </w:r>
          </w:p>
        </w:tc>
        <w:tc>
          <w:tcPr>
            <w:tcW w:w="1080" w:type="dxa"/>
            <w:tcBorders>
              <w:top w:val="single" w:sz="8" w:space="0" w:color="000000"/>
              <w:bottom w:val="single" w:sz="8" w:space="0" w:color="CCEDFF"/>
            </w:tcBorders>
            <w:shd w:val="clear" w:color="auto" w:fill="CCEDFF"/>
          </w:tcPr>
          <w:p w14:paraId="7C547E45" w14:textId="77777777" w:rsidR="00AE2255" w:rsidRDefault="00000000">
            <w:pPr>
              <w:pStyle w:val="TableParagraph"/>
              <w:spacing w:before="15" w:line="230" w:lineRule="exact"/>
              <w:ind w:right="135"/>
              <w:rPr>
                <w:sz w:val="20"/>
              </w:rPr>
            </w:pPr>
            <w:r>
              <w:rPr>
                <w:spacing w:val="-2"/>
                <w:sz w:val="20"/>
              </w:rPr>
              <w:t>1,744</w:t>
            </w:r>
          </w:p>
        </w:tc>
        <w:tc>
          <w:tcPr>
            <w:tcW w:w="1024" w:type="dxa"/>
            <w:tcBorders>
              <w:top w:val="single" w:sz="8" w:space="0" w:color="000000"/>
              <w:bottom w:val="single" w:sz="8" w:space="0" w:color="CCEDFF"/>
            </w:tcBorders>
            <w:shd w:val="clear" w:color="auto" w:fill="CCEDFF"/>
          </w:tcPr>
          <w:p w14:paraId="507D195F" w14:textId="77777777" w:rsidR="00AE2255" w:rsidRDefault="00000000">
            <w:pPr>
              <w:pStyle w:val="TableParagraph"/>
              <w:spacing w:before="15" w:line="230" w:lineRule="exact"/>
              <w:ind w:right="79"/>
              <w:rPr>
                <w:sz w:val="20"/>
              </w:rPr>
            </w:pPr>
            <w:r>
              <w:rPr>
                <w:spacing w:val="-2"/>
                <w:sz w:val="20"/>
              </w:rPr>
              <w:t>1,492</w:t>
            </w:r>
          </w:p>
        </w:tc>
      </w:tr>
      <w:tr w:rsidR="00AE2255" w14:paraId="28DB2EDC" w14:textId="77777777">
        <w:trPr>
          <w:trHeight w:val="252"/>
        </w:trPr>
        <w:tc>
          <w:tcPr>
            <w:tcW w:w="5354" w:type="dxa"/>
            <w:tcBorders>
              <w:top w:val="single" w:sz="8" w:space="0" w:color="auto"/>
              <w:bottom w:val="single" w:sz="18" w:space="0" w:color="000000"/>
            </w:tcBorders>
          </w:tcPr>
          <w:p w14:paraId="2FDCD69B" w14:textId="77777777" w:rsidR="00AE2255" w:rsidRDefault="00000000">
            <w:pPr>
              <w:pStyle w:val="TableParagraph"/>
              <w:spacing w:before="17" w:line="216" w:lineRule="exact"/>
              <w:ind w:left="412"/>
              <w:jc w:val="left"/>
              <w:rPr>
                <w:sz w:val="20"/>
              </w:rPr>
            </w:pPr>
            <w:r>
              <w:rPr>
                <w:sz w:val="20"/>
              </w:rPr>
              <w:t>Total</w:t>
            </w:r>
            <w:r>
              <w:rPr>
                <w:spacing w:val="-6"/>
                <w:sz w:val="20"/>
              </w:rPr>
              <w:t xml:space="preserve"> </w:t>
            </w:r>
            <w:r>
              <w:rPr>
                <w:sz w:val="20"/>
              </w:rPr>
              <w:t>consolidated</w:t>
            </w:r>
            <w:r>
              <w:rPr>
                <w:spacing w:val="-5"/>
                <w:sz w:val="20"/>
              </w:rPr>
              <w:t xml:space="preserve"> </w:t>
            </w:r>
            <w:r>
              <w:rPr>
                <w:sz w:val="20"/>
              </w:rPr>
              <w:t>operating</w:t>
            </w:r>
            <w:r>
              <w:rPr>
                <w:spacing w:val="-4"/>
                <w:sz w:val="20"/>
              </w:rPr>
              <w:t xml:space="preserve"> </w:t>
            </w:r>
            <w:r>
              <w:rPr>
                <w:spacing w:val="-2"/>
                <w:sz w:val="20"/>
              </w:rPr>
              <w:t>profit</w:t>
            </w:r>
          </w:p>
        </w:tc>
        <w:tc>
          <w:tcPr>
            <w:tcW w:w="2787" w:type="dxa"/>
            <w:tcBorders>
              <w:top w:val="single" w:sz="8" w:space="0" w:color="auto"/>
              <w:bottom w:val="single" w:sz="18" w:space="0" w:color="000000"/>
            </w:tcBorders>
          </w:tcPr>
          <w:p w14:paraId="4621D54B" w14:textId="77777777" w:rsidR="00AE2255" w:rsidRDefault="00000000">
            <w:pPr>
              <w:pStyle w:val="TableParagraph"/>
              <w:tabs>
                <w:tab w:val="left" w:pos="420"/>
              </w:tabs>
              <w:spacing w:before="15" w:line="217" w:lineRule="exact"/>
              <w:ind w:right="135"/>
              <w:rPr>
                <w:b/>
                <w:sz w:val="20"/>
              </w:rPr>
            </w:pPr>
            <w:r>
              <w:rPr>
                <w:b/>
                <w:spacing w:val="-10"/>
                <w:sz w:val="20"/>
              </w:rPr>
              <w:t>$</w:t>
            </w:r>
            <w:r>
              <w:rPr>
                <w:b/>
                <w:sz w:val="20"/>
              </w:rPr>
              <w:tab/>
            </w:r>
            <w:r>
              <w:rPr>
                <w:b/>
                <w:spacing w:val="-2"/>
                <w:sz w:val="20"/>
              </w:rPr>
              <w:t>8,348</w:t>
            </w:r>
          </w:p>
        </w:tc>
        <w:tc>
          <w:tcPr>
            <w:tcW w:w="1080" w:type="dxa"/>
            <w:tcBorders>
              <w:top w:val="single" w:sz="8" w:space="0" w:color="auto"/>
              <w:bottom w:val="single" w:sz="18" w:space="0" w:color="000000"/>
            </w:tcBorders>
          </w:tcPr>
          <w:p w14:paraId="1B00880C" w14:textId="77777777" w:rsidR="00AE2255" w:rsidRDefault="00000000">
            <w:pPr>
              <w:pStyle w:val="TableParagraph"/>
              <w:tabs>
                <w:tab w:val="left" w:pos="420"/>
              </w:tabs>
              <w:spacing w:before="15" w:line="217" w:lineRule="exact"/>
              <w:ind w:right="135"/>
              <w:rPr>
                <w:sz w:val="20"/>
              </w:rPr>
            </w:pPr>
            <w:r>
              <w:rPr>
                <w:spacing w:val="-10"/>
                <w:sz w:val="20"/>
              </w:rPr>
              <w:t>$</w:t>
            </w:r>
            <w:r>
              <w:rPr>
                <w:sz w:val="20"/>
              </w:rPr>
              <w:tab/>
            </w:r>
            <w:r>
              <w:rPr>
                <w:spacing w:val="-2"/>
                <w:sz w:val="20"/>
              </w:rPr>
              <w:t>9,123</w:t>
            </w:r>
          </w:p>
        </w:tc>
        <w:tc>
          <w:tcPr>
            <w:tcW w:w="1024" w:type="dxa"/>
            <w:tcBorders>
              <w:top w:val="single" w:sz="8" w:space="0" w:color="auto"/>
              <w:bottom w:val="single" w:sz="18" w:space="0" w:color="000000"/>
            </w:tcBorders>
          </w:tcPr>
          <w:p w14:paraId="7E6FFA1D"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8,644</w:t>
            </w:r>
          </w:p>
        </w:tc>
      </w:tr>
    </w:tbl>
    <w:p w14:paraId="7BA17F5E" w14:textId="77777777" w:rsidR="00AE2255" w:rsidRDefault="00000000">
      <w:pPr>
        <w:spacing w:before="95" w:line="249" w:lineRule="auto"/>
        <w:ind w:left="970" w:right="425" w:hanging="360"/>
        <w:jc w:val="both"/>
        <w:rPr>
          <w:sz w:val="18"/>
        </w:rPr>
      </w:pPr>
      <w:r>
        <w:rPr>
          <w:sz w:val="18"/>
          <w:vertAlign w:val="superscript"/>
        </w:rPr>
        <w:t>(a)</w:t>
      </w:r>
      <w:r>
        <w:rPr>
          <w:spacing w:val="80"/>
          <w:w w:val="150"/>
          <w:sz w:val="18"/>
        </w:rPr>
        <w:t xml:space="preserve"> </w:t>
      </w:r>
      <w:r>
        <w:rPr>
          <w:sz w:val="18"/>
        </w:rPr>
        <w:t>See “Consolidated Results of Operations – Severance and Other Charges” discussion above for information on charges related to certain severance and other actions across our organization.</w:t>
      </w:r>
    </w:p>
    <w:p w14:paraId="7DA023FE" w14:textId="77777777" w:rsidR="00AE2255" w:rsidRDefault="00000000">
      <w:pPr>
        <w:spacing w:before="2" w:line="249" w:lineRule="auto"/>
        <w:ind w:left="970" w:right="429" w:hanging="360"/>
        <w:jc w:val="both"/>
        <w:rPr>
          <w:sz w:val="18"/>
        </w:rPr>
      </w:pPr>
      <w:r>
        <w:rPr>
          <w:sz w:val="18"/>
          <w:vertAlign w:val="superscript"/>
        </w:rPr>
        <w:t>(b)</w:t>
      </w:r>
      <w:r>
        <w:rPr>
          <w:spacing w:val="80"/>
          <w:w w:val="150"/>
          <w:sz w:val="18"/>
        </w:rPr>
        <w:t xml:space="preserve"> </w:t>
      </w:r>
      <w:r>
        <w:rPr>
          <w:sz w:val="18"/>
        </w:rPr>
        <w:t>Other, net in 2020 includes a noncash impairment charge of $128 million recognized on our investment in the international equity</w:t>
      </w:r>
      <w:r>
        <w:rPr>
          <w:spacing w:val="80"/>
          <w:sz w:val="18"/>
        </w:rPr>
        <w:t xml:space="preserve"> </w:t>
      </w:r>
      <w:r>
        <w:rPr>
          <w:sz w:val="18"/>
        </w:rPr>
        <w:t>method investee, Advanced Military Maintenance, Repair and Overhaul Center (AMMROC). (See “Note 1 – Organization and Significant Accounting Policies” included in our Notes to Consolidated Financial Statements for more information).</w:t>
      </w:r>
    </w:p>
    <w:p w14:paraId="0391C861" w14:textId="77777777" w:rsidR="00AE2255" w:rsidRDefault="00AE2255">
      <w:pPr>
        <w:pStyle w:val="BodyText"/>
        <w:spacing w:before="1"/>
        <w:rPr>
          <w:sz w:val="17"/>
        </w:rPr>
      </w:pPr>
    </w:p>
    <w:p w14:paraId="0AC0E385" w14:textId="77777777" w:rsidR="00AE2255" w:rsidRDefault="00000000">
      <w:pPr>
        <w:pStyle w:val="BodyText"/>
        <w:spacing w:line="249" w:lineRule="auto"/>
        <w:ind w:left="610" w:right="427" w:firstLine="360"/>
        <w:jc w:val="both"/>
      </w:pPr>
      <w:r>
        <w:t>Our business segments’ results of operations include pension expense only as calculated under U.S. Government Cost Accounting Standards (CAS), which we refer to as CAS pension cost. We recover CAS pension and other postretirement</w:t>
      </w:r>
      <w:r>
        <w:rPr>
          <w:spacing w:val="40"/>
        </w:rPr>
        <w:t xml:space="preserve"> </w:t>
      </w:r>
      <w:r>
        <w:t>benefit plan cost through the pricing of our products and services on U.S. Government contracts and, therefore, recognize CAS pension cost in each of our business segment’s net sales and cost of sales. Our consolidated financial statements must present pension and other postretirement benefit plan (expense) income calculated in accordance with Financial Accounting Standards (FAS) requirements under U.S. GAAP. The operating portion of the total FAS/CAS pension adjustment represents the difference between the service cost component of FAS pension (expense) income and total CAS pension cost. The non-service FAS pension (expense) income components are included in non-service FAS pension (expense) income in our consolidated statements of earnings. As a result, to the extent that CAS pension cost exceeds the service cost component of FAS pension (expense) income, we have a favorable FAS/CAS pension operating adjustment.</w:t>
      </w:r>
    </w:p>
    <w:p w14:paraId="24E51439" w14:textId="77777777" w:rsidR="00AE2255" w:rsidRDefault="00AE2255">
      <w:pPr>
        <w:spacing w:line="249" w:lineRule="auto"/>
        <w:jc w:val="both"/>
        <w:sectPr w:rsidR="00AE2255">
          <w:pgSz w:w="12240" w:h="15840"/>
          <w:pgMar w:top="440" w:right="560" w:bottom="720" w:left="380" w:header="230" w:footer="531" w:gutter="0"/>
          <w:cols w:space="720"/>
        </w:sectPr>
      </w:pPr>
    </w:p>
    <w:p w14:paraId="03459D50" w14:textId="77777777" w:rsidR="00AE2255" w:rsidRDefault="00AE2255">
      <w:pPr>
        <w:pStyle w:val="BodyText"/>
        <w:spacing w:before="10"/>
        <w:rPr>
          <w:sz w:val="22"/>
        </w:rPr>
      </w:pPr>
    </w:p>
    <w:p w14:paraId="20B0A7EF" w14:textId="77777777" w:rsidR="00AE2255" w:rsidRDefault="00000000">
      <w:pPr>
        <w:pStyle w:val="BodyText"/>
        <w:spacing w:before="97" w:line="232" w:lineRule="auto"/>
        <w:ind w:left="610" w:right="428" w:firstLine="360"/>
        <w:jc w:val="both"/>
      </w:pPr>
      <w:r>
        <w:t>The</w:t>
      </w:r>
      <w:r>
        <w:rPr>
          <w:spacing w:val="-1"/>
        </w:rPr>
        <w:t xml:space="preserve"> </w:t>
      </w:r>
      <w:r>
        <w:t>total</w:t>
      </w:r>
      <w:r>
        <w:rPr>
          <w:spacing w:val="-1"/>
        </w:rPr>
        <w:t xml:space="preserve"> </w:t>
      </w:r>
      <w:r>
        <w:t>FAS/CAS</w:t>
      </w:r>
      <w:r>
        <w:rPr>
          <w:spacing w:val="-1"/>
        </w:rPr>
        <w:t xml:space="preserve"> </w:t>
      </w:r>
      <w:r>
        <w:t>pension</w:t>
      </w:r>
      <w:r>
        <w:rPr>
          <w:spacing w:val="-1"/>
        </w:rPr>
        <w:t xml:space="preserve"> </w:t>
      </w:r>
      <w:r>
        <w:t>adjustments,</w:t>
      </w:r>
      <w:r>
        <w:rPr>
          <w:spacing w:val="-1"/>
        </w:rPr>
        <w:t xml:space="preserve"> </w:t>
      </w:r>
      <w:r>
        <w:t>including</w:t>
      </w:r>
      <w:r>
        <w:rPr>
          <w:spacing w:val="-1"/>
        </w:rPr>
        <w:t xml:space="preserve"> </w:t>
      </w:r>
      <w:r>
        <w:t>the</w:t>
      </w:r>
      <w:r>
        <w:rPr>
          <w:spacing w:val="-1"/>
        </w:rPr>
        <w:t xml:space="preserve"> </w:t>
      </w:r>
      <w:r>
        <w:t>service</w:t>
      </w:r>
      <w:r>
        <w:rPr>
          <w:spacing w:val="-1"/>
        </w:rPr>
        <w:t xml:space="preserve"> </w:t>
      </w:r>
      <w:r>
        <w:t>and</w:t>
      </w:r>
      <w:r>
        <w:rPr>
          <w:spacing w:val="-1"/>
        </w:rPr>
        <w:t xml:space="preserve"> </w:t>
      </w:r>
      <w:r>
        <w:t>non-service</w:t>
      </w:r>
      <w:r>
        <w:rPr>
          <w:spacing w:val="-1"/>
        </w:rPr>
        <w:t xml:space="preserve"> </w:t>
      </w:r>
      <w:r>
        <w:t>cost</w:t>
      </w:r>
      <w:r>
        <w:rPr>
          <w:spacing w:val="-1"/>
        </w:rPr>
        <w:t xml:space="preserve"> </w:t>
      </w:r>
      <w:r>
        <w:t>components</w:t>
      </w:r>
      <w:r>
        <w:rPr>
          <w:spacing w:val="-1"/>
        </w:rPr>
        <w:t xml:space="preserve"> </w:t>
      </w:r>
      <w:r>
        <w:t>of</w:t>
      </w:r>
      <w:r>
        <w:rPr>
          <w:spacing w:val="-1"/>
        </w:rPr>
        <w:t xml:space="preserve"> </w:t>
      </w:r>
      <w:r>
        <w:t>FAS</w:t>
      </w:r>
      <w:r>
        <w:rPr>
          <w:spacing w:val="-1"/>
        </w:rPr>
        <w:t xml:space="preserve"> </w:t>
      </w:r>
      <w:r>
        <w:t>pension</w:t>
      </w:r>
      <w:r>
        <w:rPr>
          <w:spacing w:val="-1"/>
        </w:rPr>
        <w:t xml:space="preserve"> </w:t>
      </w:r>
      <w:r>
        <w:t>(expense) income for our qualified defined benefit pension plans, were as follows (in millions):</w:t>
      </w:r>
    </w:p>
    <w:p w14:paraId="34273333" w14:textId="77777777" w:rsidR="00AE2255" w:rsidRDefault="00AE2255">
      <w:pPr>
        <w:pStyle w:val="BodyText"/>
        <w:spacing w:before="2"/>
        <w:rPr>
          <w:sz w:val="24"/>
        </w:rPr>
      </w:pPr>
    </w:p>
    <w:tbl>
      <w:tblPr>
        <w:tblW w:w="0" w:type="auto"/>
        <w:tblInd w:w="617" w:type="dxa"/>
        <w:tblLayout w:type="fixed"/>
        <w:tblCellMar>
          <w:left w:w="0" w:type="dxa"/>
          <w:right w:w="0" w:type="dxa"/>
        </w:tblCellMar>
        <w:tblLook w:val="01E0" w:firstRow="1" w:lastRow="1" w:firstColumn="1" w:lastColumn="1" w:noHBand="0" w:noVBand="0"/>
      </w:tblPr>
      <w:tblGrid>
        <w:gridCol w:w="5833"/>
        <w:gridCol w:w="2504"/>
        <w:gridCol w:w="976"/>
        <w:gridCol w:w="920"/>
      </w:tblGrid>
      <w:tr w:rsidR="00AE2255" w14:paraId="476008A7" w14:textId="77777777">
        <w:trPr>
          <w:trHeight w:val="241"/>
        </w:trPr>
        <w:tc>
          <w:tcPr>
            <w:tcW w:w="5833" w:type="dxa"/>
            <w:tcBorders>
              <w:bottom w:val="single" w:sz="8" w:space="0" w:color="auto"/>
            </w:tcBorders>
          </w:tcPr>
          <w:p w14:paraId="5EE3FEEC" w14:textId="77777777" w:rsidR="00AE2255" w:rsidRDefault="00AE2255">
            <w:pPr>
              <w:pStyle w:val="TableParagraph"/>
              <w:spacing w:before="0"/>
              <w:jc w:val="left"/>
              <w:rPr>
                <w:sz w:val="16"/>
              </w:rPr>
            </w:pPr>
          </w:p>
        </w:tc>
        <w:tc>
          <w:tcPr>
            <w:tcW w:w="2504" w:type="dxa"/>
            <w:tcBorders>
              <w:bottom w:val="single" w:sz="8" w:space="0" w:color="auto"/>
            </w:tcBorders>
          </w:tcPr>
          <w:p w14:paraId="6BB783F1" w14:textId="77777777" w:rsidR="00AE2255" w:rsidRDefault="00000000">
            <w:pPr>
              <w:pStyle w:val="TableParagraph"/>
              <w:spacing w:before="0" w:line="221" w:lineRule="exact"/>
              <w:ind w:right="107"/>
              <w:rPr>
                <w:b/>
                <w:sz w:val="20"/>
              </w:rPr>
            </w:pPr>
            <w:r>
              <w:rPr>
                <w:b/>
                <w:spacing w:val="-4"/>
                <w:sz w:val="20"/>
              </w:rPr>
              <w:t>2022</w:t>
            </w:r>
          </w:p>
        </w:tc>
        <w:tc>
          <w:tcPr>
            <w:tcW w:w="976" w:type="dxa"/>
            <w:tcBorders>
              <w:bottom w:val="single" w:sz="8" w:space="0" w:color="auto"/>
            </w:tcBorders>
          </w:tcPr>
          <w:p w14:paraId="7A4D9714" w14:textId="77777777" w:rsidR="00AE2255" w:rsidRDefault="00000000">
            <w:pPr>
              <w:pStyle w:val="TableParagraph"/>
              <w:spacing w:before="0" w:line="221" w:lineRule="exact"/>
              <w:ind w:right="108"/>
              <w:rPr>
                <w:b/>
                <w:sz w:val="20"/>
              </w:rPr>
            </w:pPr>
            <w:r>
              <w:rPr>
                <w:b/>
                <w:spacing w:val="-4"/>
                <w:sz w:val="20"/>
              </w:rPr>
              <w:t>2021</w:t>
            </w:r>
          </w:p>
        </w:tc>
        <w:tc>
          <w:tcPr>
            <w:tcW w:w="920" w:type="dxa"/>
            <w:tcBorders>
              <w:bottom w:val="single" w:sz="8" w:space="0" w:color="auto"/>
            </w:tcBorders>
          </w:tcPr>
          <w:p w14:paraId="0DA9D514" w14:textId="77777777" w:rsidR="00AE2255" w:rsidRDefault="00000000">
            <w:pPr>
              <w:pStyle w:val="TableParagraph"/>
              <w:spacing w:before="0" w:line="221" w:lineRule="exact"/>
              <w:ind w:right="53"/>
              <w:rPr>
                <w:b/>
                <w:sz w:val="20"/>
              </w:rPr>
            </w:pPr>
            <w:r>
              <w:rPr>
                <w:b/>
                <w:spacing w:val="-4"/>
                <w:sz w:val="20"/>
              </w:rPr>
              <w:t>2020</w:t>
            </w:r>
          </w:p>
        </w:tc>
      </w:tr>
      <w:tr w:rsidR="00AE2255" w14:paraId="4DD315C0" w14:textId="77777777">
        <w:trPr>
          <w:trHeight w:val="275"/>
        </w:trPr>
        <w:tc>
          <w:tcPr>
            <w:tcW w:w="5833" w:type="dxa"/>
            <w:tcBorders>
              <w:top w:val="single" w:sz="8" w:space="0" w:color="CCEDFF"/>
            </w:tcBorders>
            <w:shd w:val="clear" w:color="auto" w:fill="CCEDFF"/>
          </w:tcPr>
          <w:p w14:paraId="4A38C4D6" w14:textId="77777777" w:rsidR="00AE2255" w:rsidRDefault="00000000">
            <w:pPr>
              <w:pStyle w:val="TableParagraph"/>
              <w:spacing w:before="15"/>
              <w:ind w:left="52"/>
              <w:jc w:val="left"/>
              <w:rPr>
                <w:b/>
                <w:sz w:val="20"/>
              </w:rPr>
            </w:pPr>
            <w:r>
              <w:rPr>
                <w:b/>
                <w:sz w:val="20"/>
              </w:rPr>
              <w:t>Total</w:t>
            </w:r>
            <w:r>
              <w:rPr>
                <w:b/>
                <w:spacing w:val="-4"/>
                <w:sz w:val="20"/>
              </w:rPr>
              <w:t xml:space="preserve"> </w:t>
            </w:r>
            <w:r>
              <w:rPr>
                <w:b/>
                <w:sz w:val="20"/>
              </w:rPr>
              <w:t>FAS</w:t>
            </w:r>
            <w:r>
              <w:rPr>
                <w:b/>
                <w:spacing w:val="-3"/>
                <w:sz w:val="20"/>
              </w:rPr>
              <w:t xml:space="preserve"> </w:t>
            </w:r>
            <w:r>
              <w:rPr>
                <w:b/>
                <w:sz w:val="20"/>
              </w:rPr>
              <w:t>(expense)</w:t>
            </w:r>
            <w:r>
              <w:rPr>
                <w:b/>
                <w:spacing w:val="-3"/>
                <w:sz w:val="20"/>
              </w:rPr>
              <w:t xml:space="preserve"> </w:t>
            </w:r>
            <w:r>
              <w:rPr>
                <w:b/>
                <w:sz w:val="20"/>
              </w:rPr>
              <w:t>income</w:t>
            </w:r>
            <w:r>
              <w:rPr>
                <w:b/>
                <w:spacing w:val="-4"/>
                <w:sz w:val="20"/>
              </w:rPr>
              <w:t xml:space="preserve"> </w:t>
            </w:r>
            <w:r>
              <w:rPr>
                <w:b/>
                <w:sz w:val="20"/>
              </w:rPr>
              <w:t>and</w:t>
            </w:r>
            <w:r>
              <w:rPr>
                <w:b/>
                <w:spacing w:val="-3"/>
                <w:sz w:val="20"/>
              </w:rPr>
              <w:t xml:space="preserve"> </w:t>
            </w:r>
            <w:r>
              <w:rPr>
                <w:b/>
                <w:sz w:val="20"/>
              </w:rPr>
              <w:t>CAS</w:t>
            </w:r>
            <w:r>
              <w:rPr>
                <w:b/>
                <w:spacing w:val="-3"/>
                <w:sz w:val="20"/>
              </w:rPr>
              <w:t xml:space="preserve"> </w:t>
            </w:r>
            <w:r>
              <w:rPr>
                <w:b/>
                <w:spacing w:val="-4"/>
                <w:sz w:val="20"/>
              </w:rPr>
              <w:t>cost</w:t>
            </w:r>
          </w:p>
        </w:tc>
        <w:tc>
          <w:tcPr>
            <w:tcW w:w="2504" w:type="dxa"/>
            <w:tcBorders>
              <w:top w:val="single" w:sz="8" w:space="0" w:color="CCEDFF"/>
            </w:tcBorders>
            <w:shd w:val="clear" w:color="auto" w:fill="CCEDFF"/>
          </w:tcPr>
          <w:p w14:paraId="7EE41B3B" w14:textId="77777777" w:rsidR="00AE2255" w:rsidRDefault="00AE2255">
            <w:pPr>
              <w:pStyle w:val="TableParagraph"/>
              <w:spacing w:before="0"/>
              <w:jc w:val="left"/>
              <w:rPr>
                <w:sz w:val="20"/>
              </w:rPr>
            </w:pPr>
          </w:p>
        </w:tc>
        <w:tc>
          <w:tcPr>
            <w:tcW w:w="976" w:type="dxa"/>
            <w:tcBorders>
              <w:top w:val="single" w:sz="8" w:space="0" w:color="CCEDFF"/>
            </w:tcBorders>
            <w:shd w:val="clear" w:color="auto" w:fill="CCEDFF"/>
          </w:tcPr>
          <w:p w14:paraId="0FF5B04E" w14:textId="77777777" w:rsidR="00AE2255" w:rsidRDefault="00AE2255">
            <w:pPr>
              <w:pStyle w:val="TableParagraph"/>
              <w:spacing w:before="0"/>
              <w:jc w:val="left"/>
              <w:rPr>
                <w:sz w:val="20"/>
              </w:rPr>
            </w:pPr>
          </w:p>
        </w:tc>
        <w:tc>
          <w:tcPr>
            <w:tcW w:w="920" w:type="dxa"/>
            <w:tcBorders>
              <w:top w:val="single" w:sz="8" w:space="0" w:color="CCEDFF"/>
            </w:tcBorders>
            <w:shd w:val="clear" w:color="auto" w:fill="CCEDFF"/>
          </w:tcPr>
          <w:p w14:paraId="5F795C34" w14:textId="77777777" w:rsidR="00AE2255" w:rsidRDefault="00AE2255">
            <w:pPr>
              <w:pStyle w:val="TableParagraph"/>
              <w:spacing w:before="0"/>
              <w:jc w:val="left"/>
              <w:rPr>
                <w:sz w:val="20"/>
              </w:rPr>
            </w:pPr>
          </w:p>
        </w:tc>
      </w:tr>
      <w:tr w:rsidR="00AE2255" w14:paraId="36E948DC" w14:textId="77777777">
        <w:trPr>
          <w:trHeight w:val="285"/>
        </w:trPr>
        <w:tc>
          <w:tcPr>
            <w:tcW w:w="5833" w:type="dxa"/>
          </w:tcPr>
          <w:p w14:paraId="35F63EF1" w14:textId="77777777" w:rsidR="00AE2255" w:rsidRDefault="00000000">
            <w:pPr>
              <w:pStyle w:val="TableParagraph"/>
              <w:ind w:left="277"/>
              <w:jc w:val="left"/>
              <w:rPr>
                <w:sz w:val="20"/>
              </w:rPr>
            </w:pPr>
            <w:r>
              <w:rPr>
                <w:sz w:val="20"/>
              </w:rPr>
              <w:t>FAS</w:t>
            </w:r>
            <w:r>
              <w:rPr>
                <w:spacing w:val="-4"/>
                <w:sz w:val="20"/>
              </w:rPr>
              <w:t xml:space="preserve"> </w:t>
            </w:r>
            <w:r>
              <w:rPr>
                <w:sz w:val="20"/>
              </w:rPr>
              <w:t>pension</w:t>
            </w:r>
            <w:r>
              <w:rPr>
                <w:spacing w:val="-3"/>
                <w:sz w:val="20"/>
              </w:rPr>
              <w:t xml:space="preserve"> </w:t>
            </w:r>
            <w:r>
              <w:rPr>
                <w:sz w:val="20"/>
              </w:rPr>
              <w:t>(expense)</w:t>
            </w:r>
            <w:r>
              <w:rPr>
                <w:spacing w:val="-3"/>
                <w:sz w:val="20"/>
              </w:rPr>
              <w:t xml:space="preserve"> </w:t>
            </w:r>
            <w:r>
              <w:rPr>
                <w:spacing w:val="-2"/>
                <w:sz w:val="20"/>
              </w:rPr>
              <w:t>income</w:t>
            </w:r>
          </w:p>
        </w:tc>
        <w:tc>
          <w:tcPr>
            <w:tcW w:w="2504" w:type="dxa"/>
          </w:tcPr>
          <w:p w14:paraId="42D9755F" w14:textId="77777777" w:rsidR="00AE2255" w:rsidRDefault="00000000">
            <w:pPr>
              <w:pStyle w:val="TableParagraph"/>
              <w:ind w:right="71"/>
              <w:rPr>
                <w:b/>
                <w:sz w:val="20"/>
              </w:rPr>
            </w:pPr>
            <w:r>
              <w:rPr>
                <w:b/>
                <w:sz w:val="20"/>
              </w:rPr>
              <w:t>$</w:t>
            </w:r>
            <w:r>
              <w:rPr>
                <w:b/>
                <w:spacing w:val="74"/>
                <w:w w:val="150"/>
                <w:sz w:val="20"/>
              </w:rPr>
              <w:t xml:space="preserve"> </w:t>
            </w:r>
            <w:r>
              <w:rPr>
                <w:b/>
                <w:spacing w:val="-2"/>
                <w:sz w:val="20"/>
              </w:rPr>
              <w:t>(1,058)</w:t>
            </w:r>
          </w:p>
        </w:tc>
        <w:tc>
          <w:tcPr>
            <w:tcW w:w="976" w:type="dxa"/>
          </w:tcPr>
          <w:p w14:paraId="2B78A4D7" w14:textId="77777777" w:rsidR="00AE2255" w:rsidRDefault="00000000">
            <w:pPr>
              <w:pStyle w:val="TableParagraph"/>
              <w:ind w:right="72"/>
              <w:rPr>
                <w:sz w:val="20"/>
              </w:rPr>
            </w:pPr>
            <w:r>
              <w:rPr>
                <w:sz w:val="20"/>
              </w:rPr>
              <w:t>$</w:t>
            </w:r>
            <w:r>
              <w:rPr>
                <w:spacing w:val="74"/>
                <w:w w:val="150"/>
                <w:sz w:val="20"/>
              </w:rPr>
              <w:t xml:space="preserve"> </w:t>
            </w:r>
            <w:r>
              <w:rPr>
                <w:spacing w:val="-2"/>
                <w:sz w:val="20"/>
              </w:rPr>
              <w:t>(1,398)</w:t>
            </w:r>
          </w:p>
        </w:tc>
        <w:tc>
          <w:tcPr>
            <w:tcW w:w="920" w:type="dxa"/>
          </w:tcPr>
          <w:p w14:paraId="4E589217" w14:textId="77777777" w:rsidR="00AE2255" w:rsidRDefault="00000000">
            <w:pPr>
              <w:pStyle w:val="TableParagraph"/>
              <w:tabs>
                <w:tab w:val="left" w:pos="535"/>
              </w:tabs>
              <w:ind w:left="69"/>
              <w:jc w:val="left"/>
              <w:rPr>
                <w:sz w:val="20"/>
              </w:rPr>
            </w:pPr>
            <w:r>
              <w:rPr>
                <w:spacing w:val="-10"/>
                <w:sz w:val="20"/>
              </w:rPr>
              <w:t>$</w:t>
            </w:r>
            <w:r>
              <w:rPr>
                <w:sz w:val="20"/>
              </w:rPr>
              <w:tab/>
            </w:r>
            <w:r>
              <w:rPr>
                <w:spacing w:val="-5"/>
                <w:sz w:val="20"/>
              </w:rPr>
              <w:t>118</w:t>
            </w:r>
          </w:p>
        </w:tc>
      </w:tr>
      <w:tr w:rsidR="00AE2255" w14:paraId="7F8EF3F2" w14:textId="77777777">
        <w:trPr>
          <w:trHeight w:val="275"/>
        </w:trPr>
        <w:tc>
          <w:tcPr>
            <w:tcW w:w="5833" w:type="dxa"/>
            <w:tcBorders>
              <w:bottom w:val="single" w:sz="8" w:space="0" w:color="CCEDFF"/>
            </w:tcBorders>
            <w:shd w:val="clear" w:color="auto" w:fill="CCEDFF"/>
          </w:tcPr>
          <w:p w14:paraId="2E9CE4DB" w14:textId="77777777" w:rsidR="00AE2255" w:rsidRDefault="00000000">
            <w:pPr>
              <w:pStyle w:val="TableParagraph"/>
              <w:spacing w:line="230" w:lineRule="exact"/>
              <w:ind w:left="277"/>
              <w:jc w:val="left"/>
              <w:rPr>
                <w:sz w:val="20"/>
              </w:rPr>
            </w:pPr>
            <w:r>
              <w:rPr>
                <w:sz w:val="20"/>
              </w:rPr>
              <w:t>Less:</w:t>
            </w:r>
            <w:r>
              <w:rPr>
                <w:spacing w:val="-4"/>
                <w:sz w:val="20"/>
              </w:rPr>
              <w:t xml:space="preserve"> </w:t>
            </w:r>
            <w:r>
              <w:rPr>
                <w:sz w:val="20"/>
              </w:rPr>
              <w:t>CAS</w:t>
            </w:r>
            <w:r>
              <w:rPr>
                <w:spacing w:val="-4"/>
                <w:sz w:val="20"/>
              </w:rPr>
              <w:t xml:space="preserve"> </w:t>
            </w:r>
            <w:r>
              <w:rPr>
                <w:sz w:val="20"/>
              </w:rPr>
              <w:t>pension</w:t>
            </w:r>
            <w:r>
              <w:rPr>
                <w:spacing w:val="-3"/>
                <w:sz w:val="20"/>
              </w:rPr>
              <w:t xml:space="preserve"> </w:t>
            </w:r>
            <w:r>
              <w:rPr>
                <w:spacing w:val="-4"/>
                <w:sz w:val="20"/>
              </w:rPr>
              <w:t>cost</w:t>
            </w:r>
          </w:p>
        </w:tc>
        <w:tc>
          <w:tcPr>
            <w:tcW w:w="2504" w:type="dxa"/>
            <w:tcBorders>
              <w:bottom w:val="single" w:sz="8" w:space="0" w:color="CCEDFF"/>
            </w:tcBorders>
            <w:shd w:val="clear" w:color="auto" w:fill="CCEDFF"/>
          </w:tcPr>
          <w:p w14:paraId="54048398" w14:textId="77777777" w:rsidR="00AE2255" w:rsidRDefault="00000000">
            <w:pPr>
              <w:pStyle w:val="TableParagraph"/>
              <w:spacing w:line="230" w:lineRule="exact"/>
              <w:ind w:right="136"/>
              <w:rPr>
                <w:b/>
                <w:sz w:val="20"/>
              </w:rPr>
            </w:pPr>
            <w:r>
              <w:rPr>
                <w:b/>
                <w:spacing w:val="-2"/>
                <w:sz w:val="20"/>
              </w:rPr>
              <w:t>1,796</w:t>
            </w:r>
          </w:p>
        </w:tc>
        <w:tc>
          <w:tcPr>
            <w:tcW w:w="976" w:type="dxa"/>
            <w:tcBorders>
              <w:bottom w:val="single" w:sz="8" w:space="0" w:color="CCEDFF"/>
            </w:tcBorders>
            <w:shd w:val="clear" w:color="auto" w:fill="CCEDFF"/>
          </w:tcPr>
          <w:p w14:paraId="4C39367C" w14:textId="77777777" w:rsidR="00AE2255" w:rsidRDefault="00000000">
            <w:pPr>
              <w:pStyle w:val="TableParagraph"/>
              <w:spacing w:line="230" w:lineRule="exact"/>
              <w:ind w:right="137"/>
              <w:rPr>
                <w:sz w:val="20"/>
              </w:rPr>
            </w:pPr>
            <w:r>
              <w:rPr>
                <w:spacing w:val="-2"/>
                <w:sz w:val="20"/>
              </w:rPr>
              <w:t>2,066</w:t>
            </w:r>
          </w:p>
        </w:tc>
        <w:tc>
          <w:tcPr>
            <w:tcW w:w="920" w:type="dxa"/>
            <w:tcBorders>
              <w:bottom w:val="single" w:sz="8" w:space="0" w:color="CCEDFF"/>
            </w:tcBorders>
            <w:shd w:val="clear" w:color="auto" w:fill="CCEDFF"/>
          </w:tcPr>
          <w:p w14:paraId="49EC0BD6" w14:textId="77777777" w:rsidR="00AE2255" w:rsidRDefault="00000000">
            <w:pPr>
              <w:pStyle w:val="TableParagraph"/>
              <w:spacing w:line="230" w:lineRule="exact"/>
              <w:ind w:right="82"/>
              <w:rPr>
                <w:sz w:val="20"/>
              </w:rPr>
            </w:pPr>
            <w:r>
              <w:rPr>
                <w:spacing w:val="-2"/>
                <w:sz w:val="20"/>
              </w:rPr>
              <w:t>1,977</w:t>
            </w:r>
          </w:p>
        </w:tc>
      </w:tr>
      <w:tr w:rsidR="00AE2255" w14:paraId="0C718888" w14:textId="77777777">
        <w:trPr>
          <w:trHeight w:val="265"/>
        </w:trPr>
        <w:tc>
          <w:tcPr>
            <w:tcW w:w="5833" w:type="dxa"/>
            <w:tcBorders>
              <w:top w:val="single" w:sz="8" w:space="0" w:color="auto"/>
              <w:bottom w:val="single" w:sz="8" w:space="0" w:color="auto"/>
            </w:tcBorders>
          </w:tcPr>
          <w:p w14:paraId="2A3177A3" w14:textId="77777777" w:rsidR="00AE2255" w:rsidRDefault="00000000">
            <w:pPr>
              <w:pStyle w:val="TableParagraph"/>
              <w:spacing w:before="15" w:line="230" w:lineRule="exact"/>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pacing w:val="-2"/>
                <w:sz w:val="20"/>
              </w:rPr>
              <w:t>adjustment</w:t>
            </w:r>
          </w:p>
        </w:tc>
        <w:tc>
          <w:tcPr>
            <w:tcW w:w="2504" w:type="dxa"/>
            <w:tcBorders>
              <w:top w:val="single" w:sz="8" w:space="0" w:color="auto"/>
              <w:bottom w:val="single" w:sz="8" w:space="0" w:color="auto"/>
            </w:tcBorders>
          </w:tcPr>
          <w:p w14:paraId="46C77145" w14:textId="77777777" w:rsidR="00AE2255" w:rsidRDefault="00000000">
            <w:pPr>
              <w:pStyle w:val="TableParagraph"/>
              <w:tabs>
                <w:tab w:val="left" w:pos="465"/>
              </w:tabs>
              <w:spacing w:before="15" w:line="230" w:lineRule="exact"/>
              <w:ind w:right="136"/>
              <w:rPr>
                <w:b/>
                <w:sz w:val="20"/>
              </w:rPr>
            </w:pPr>
            <w:r>
              <w:rPr>
                <w:b/>
                <w:spacing w:val="-10"/>
                <w:sz w:val="20"/>
              </w:rPr>
              <w:t>$</w:t>
            </w:r>
            <w:r>
              <w:rPr>
                <w:b/>
                <w:sz w:val="20"/>
              </w:rPr>
              <w:tab/>
            </w:r>
            <w:r>
              <w:rPr>
                <w:b/>
                <w:spacing w:val="-5"/>
                <w:sz w:val="20"/>
              </w:rPr>
              <w:t>738</w:t>
            </w:r>
          </w:p>
        </w:tc>
        <w:tc>
          <w:tcPr>
            <w:tcW w:w="976" w:type="dxa"/>
            <w:tcBorders>
              <w:top w:val="single" w:sz="8" w:space="0" w:color="auto"/>
              <w:bottom w:val="single" w:sz="8" w:space="0" w:color="auto"/>
            </w:tcBorders>
          </w:tcPr>
          <w:p w14:paraId="6C5141B9" w14:textId="77777777" w:rsidR="00AE2255" w:rsidRDefault="00000000">
            <w:pPr>
              <w:pStyle w:val="TableParagraph"/>
              <w:tabs>
                <w:tab w:val="left" w:pos="465"/>
              </w:tabs>
              <w:spacing w:before="15" w:line="230" w:lineRule="exact"/>
              <w:ind w:right="137"/>
              <w:rPr>
                <w:sz w:val="20"/>
              </w:rPr>
            </w:pPr>
            <w:r>
              <w:rPr>
                <w:spacing w:val="-10"/>
                <w:sz w:val="20"/>
              </w:rPr>
              <w:t>$</w:t>
            </w:r>
            <w:r>
              <w:rPr>
                <w:sz w:val="20"/>
              </w:rPr>
              <w:tab/>
            </w:r>
            <w:r>
              <w:rPr>
                <w:spacing w:val="-5"/>
                <w:sz w:val="20"/>
              </w:rPr>
              <w:t>668</w:t>
            </w:r>
          </w:p>
        </w:tc>
        <w:tc>
          <w:tcPr>
            <w:tcW w:w="920" w:type="dxa"/>
            <w:tcBorders>
              <w:top w:val="single" w:sz="8" w:space="0" w:color="auto"/>
              <w:bottom w:val="single" w:sz="8" w:space="0" w:color="auto"/>
            </w:tcBorders>
          </w:tcPr>
          <w:p w14:paraId="0453585D" w14:textId="77777777" w:rsidR="00AE2255" w:rsidRDefault="00000000">
            <w:pPr>
              <w:pStyle w:val="TableParagraph"/>
              <w:tabs>
                <w:tab w:val="left" w:pos="385"/>
              </w:tabs>
              <w:spacing w:before="15" w:line="230" w:lineRule="exact"/>
              <w:ind w:left="69"/>
              <w:jc w:val="left"/>
              <w:rPr>
                <w:sz w:val="20"/>
              </w:rPr>
            </w:pPr>
            <w:r>
              <w:rPr>
                <w:spacing w:val="-10"/>
                <w:sz w:val="20"/>
              </w:rPr>
              <w:t>$</w:t>
            </w:r>
            <w:r>
              <w:rPr>
                <w:sz w:val="20"/>
              </w:rPr>
              <w:tab/>
            </w:r>
            <w:r>
              <w:rPr>
                <w:spacing w:val="-2"/>
                <w:sz w:val="20"/>
              </w:rPr>
              <w:t>2,095</w:t>
            </w:r>
          </w:p>
        </w:tc>
      </w:tr>
      <w:tr w:rsidR="00AE2255" w14:paraId="1583D930" w14:textId="77777777">
        <w:trPr>
          <w:trHeight w:val="275"/>
        </w:trPr>
        <w:tc>
          <w:tcPr>
            <w:tcW w:w="5833" w:type="dxa"/>
            <w:tcBorders>
              <w:top w:val="single" w:sz="8" w:space="0" w:color="CCEDFF"/>
            </w:tcBorders>
            <w:shd w:val="clear" w:color="auto" w:fill="CCEDFF"/>
          </w:tcPr>
          <w:p w14:paraId="7A8F8B57" w14:textId="77777777" w:rsidR="00AE2255" w:rsidRDefault="00AE2255">
            <w:pPr>
              <w:pStyle w:val="TableParagraph"/>
              <w:spacing w:before="0"/>
              <w:jc w:val="left"/>
              <w:rPr>
                <w:sz w:val="20"/>
              </w:rPr>
            </w:pPr>
          </w:p>
        </w:tc>
        <w:tc>
          <w:tcPr>
            <w:tcW w:w="2504" w:type="dxa"/>
            <w:tcBorders>
              <w:top w:val="single" w:sz="8" w:space="0" w:color="CCEDFF"/>
            </w:tcBorders>
            <w:shd w:val="clear" w:color="auto" w:fill="CCEDFF"/>
          </w:tcPr>
          <w:p w14:paraId="6FE182D0" w14:textId="77777777" w:rsidR="00AE2255" w:rsidRDefault="00AE2255">
            <w:pPr>
              <w:pStyle w:val="TableParagraph"/>
              <w:spacing w:before="0"/>
              <w:jc w:val="left"/>
              <w:rPr>
                <w:sz w:val="20"/>
              </w:rPr>
            </w:pPr>
          </w:p>
        </w:tc>
        <w:tc>
          <w:tcPr>
            <w:tcW w:w="976" w:type="dxa"/>
            <w:tcBorders>
              <w:top w:val="single" w:sz="8" w:space="0" w:color="CCEDFF"/>
            </w:tcBorders>
            <w:shd w:val="clear" w:color="auto" w:fill="CCEDFF"/>
          </w:tcPr>
          <w:p w14:paraId="3964494B" w14:textId="77777777" w:rsidR="00AE2255" w:rsidRDefault="00AE2255">
            <w:pPr>
              <w:pStyle w:val="TableParagraph"/>
              <w:spacing w:before="0"/>
              <w:jc w:val="left"/>
              <w:rPr>
                <w:sz w:val="20"/>
              </w:rPr>
            </w:pPr>
          </w:p>
        </w:tc>
        <w:tc>
          <w:tcPr>
            <w:tcW w:w="920" w:type="dxa"/>
            <w:tcBorders>
              <w:top w:val="single" w:sz="8" w:space="0" w:color="CCEDFF"/>
            </w:tcBorders>
            <w:shd w:val="clear" w:color="auto" w:fill="CCEDFF"/>
          </w:tcPr>
          <w:p w14:paraId="575C9318" w14:textId="77777777" w:rsidR="00AE2255" w:rsidRDefault="00AE2255">
            <w:pPr>
              <w:pStyle w:val="TableParagraph"/>
              <w:spacing w:before="0"/>
              <w:jc w:val="left"/>
              <w:rPr>
                <w:sz w:val="20"/>
              </w:rPr>
            </w:pPr>
          </w:p>
        </w:tc>
      </w:tr>
      <w:tr w:rsidR="00AE2255" w14:paraId="606413DC" w14:textId="77777777">
        <w:trPr>
          <w:trHeight w:val="285"/>
        </w:trPr>
        <w:tc>
          <w:tcPr>
            <w:tcW w:w="5833" w:type="dxa"/>
          </w:tcPr>
          <w:p w14:paraId="7E2FB544" w14:textId="77777777" w:rsidR="00AE2255" w:rsidRDefault="00000000">
            <w:pPr>
              <w:pStyle w:val="TableParagraph"/>
              <w:ind w:left="52"/>
              <w:jc w:val="left"/>
              <w:rPr>
                <w:b/>
                <w:sz w:val="20"/>
              </w:rPr>
            </w:pPr>
            <w:r>
              <w:rPr>
                <w:b/>
                <w:sz w:val="20"/>
              </w:rPr>
              <w:t>Service</w:t>
            </w:r>
            <w:r>
              <w:rPr>
                <w:b/>
                <w:spacing w:val="-5"/>
                <w:sz w:val="20"/>
              </w:rPr>
              <w:t xml:space="preserve"> </w:t>
            </w:r>
            <w:r>
              <w:rPr>
                <w:b/>
                <w:sz w:val="20"/>
              </w:rPr>
              <w:t>and</w:t>
            </w:r>
            <w:r>
              <w:rPr>
                <w:b/>
                <w:spacing w:val="-5"/>
                <w:sz w:val="20"/>
              </w:rPr>
              <w:t xml:space="preserve"> </w:t>
            </w:r>
            <w:r>
              <w:rPr>
                <w:b/>
                <w:sz w:val="20"/>
              </w:rPr>
              <w:t>non-service</w:t>
            </w:r>
            <w:r>
              <w:rPr>
                <w:b/>
                <w:spacing w:val="-5"/>
                <w:sz w:val="20"/>
              </w:rPr>
              <w:t xml:space="preserve"> </w:t>
            </w:r>
            <w:r>
              <w:rPr>
                <w:b/>
                <w:sz w:val="20"/>
              </w:rPr>
              <w:t>cost</w:t>
            </w:r>
            <w:r>
              <w:rPr>
                <w:b/>
                <w:spacing w:val="-3"/>
                <w:sz w:val="20"/>
              </w:rPr>
              <w:t xml:space="preserve"> </w:t>
            </w:r>
            <w:r>
              <w:rPr>
                <w:b/>
                <w:spacing w:val="-2"/>
                <w:sz w:val="20"/>
              </w:rPr>
              <w:t>reconciliation</w:t>
            </w:r>
          </w:p>
        </w:tc>
        <w:tc>
          <w:tcPr>
            <w:tcW w:w="2504" w:type="dxa"/>
          </w:tcPr>
          <w:p w14:paraId="0749DFB4" w14:textId="77777777" w:rsidR="00AE2255" w:rsidRDefault="00AE2255">
            <w:pPr>
              <w:pStyle w:val="TableParagraph"/>
              <w:spacing w:before="0"/>
              <w:jc w:val="left"/>
              <w:rPr>
                <w:sz w:val="20"/>
              </w:rPr>
            </w:pPr>
          </w:p>
        </w:tc>
        <w:tc>
          <w:tcPr>
            <w:tcW w:w="976" w:type="dxa"/>
          </w:tcPr>
          <w:p w14:paraId="3817A261" w14:textId="77777777" w:rsidR="00AE2255" w:rsidRDefault="00AE2255">
            <w:pPr>
              <w:pStyle w:val="TableParagraph"/>
              <w:spacing w:before="0"/>
              <w:jc w:val="left"/>
              <w:rPr>
                <w:sz w:val="20"/>
              </w:rPr>
            </w:pPr>
          </w:p>
        </w:tc>
        <w:tc>
          <w:tcPr>
            <w:tcW w:w="920" w:type="dxa"/>
          </w:tcPr>
          <w:p w14:paraId="7DBD4098" w14:textId="77777777" w:rsidR="00AE2255" w:rsidRDefault="00AE2255">
            <w:pPr>
              <w:pStyle w:val="TableParagraph"/>
              <w:spacing w:before="0"/>
              <w:jc w:val="left"/>
              <w:rPr>
                <w:sz w:val="20"/>
              </w:rPr>
            </w:pPr>
          </w:p>
        </w:tc>
      </w:tr>
      <w:tr w:rsidR="00AE2255" w14:paraId="7FC25DD3" w14:textId="77777777">
        <w:trPr>
          <w:trHeight w:val="285"/>
        </w:trPr>
        <w:tc>
          <w:tcPr>
            <w:tcW w:w="5833" w:type="dxa"/>
            <w:shd w:val="clear" w:color="auto" w:fill="CCEDFF"/>
          </w:tcPr>
          <w:p w14:paraId="7A5AB683" w14:textId="77777777" w:rsidR="00AE2255" w:rsidRDefault="00000000">
            <w:pPr>
              <w:pStyle w:val="TableParagraph"/>
              <w:ind w:left="277"/>
              <w:jc w:val="left"/>
              <w:rPr>
                <w:sz w:val="20"/>
              </w:rPr>
            </w:pPr>
            <w:r>
              <w:rPr>
                <w:sz w:val="20"/>
              </w:rPr>
              <w:t>FAS</w:t>
            </w:r>
            <w:r>
              <w:rPr>
                <w:spacing w:val="-4"/>
                <w:sz w:val="20"/>
              </w:rPr>
              <w:t xml:space="preserve"> </w:t>
            </w:r>
            <w:r>
              <w:rPr>
                <w:sz w:val="20"/>
              </w:rPr>
              <w:t>pension</w:t>
            </w:r>
            <w:r>
              <w:rPr>
                <w:spacing w:val="-4"/>
                <w:sz w:val="20"/>
              </w:rPr>
              <w:t xml:space="preserve"> </w:t>
            </w:r>
            <w:r>
              <w:rPr>
                <w:sz w:val="20"/>
              </w:rPr>
              <w:t>service</w:t>
            </w:r>
            <w:r>
              <w:rPr>
                <w:spacing w:val="-3"/>
                <w:sz w:val="20"/>
              </w:rPr>
              <w:t xml:space="preserve"> </w:t>
            </w:r>
            <w:r>
              <w:rPr>
                <w:spacing w:val="-4"/>
                <w:sz w:val="20"/>
              </w:rPr>
              <w:t>cost</w:t>
            </w:r>
          </w:p>
        </w:tc>
        <w:tc>
          <w:tcPr>
            <w:tcW w:w="2504" w:type="dxa"/>
            <w:shd w:val="clear" w:color="auto" w:fill="CCEDFF"/>
          </w:tcPr>
          <w:p w14:paraId="0518A665" w14:textId="77777777" w:rsidR="00AE2255" w:rsidRDefault="00000000">
            <w:pPr>
              <w:pStyle w:val="TableParagraph"/>
              <w:tabs>
                <w:tab w:val="left" w:pos="499"/>
              </w:tabs>
              <w:ind w:right="71"/>
              <w:rPr>
                <w:b/>
                <w:sz w:val="20"/>
              </w:rPr>
            </w:pPr>
            <w:r>
              <w:rPr>
                <w:b/>
                <w:spacing w:val="-10"/>
                <w:sz w:val="20"/>
              </w:rPr>
              <w:t>$</w:t>
            </w:r>
            <w:r>
              <w:rPr>
                <w:b/>
                <w:sz w:val="20"/>
              </w:rPr>
              <w:tab/>
            </w:r>
            <w:r>
              <w:rPr>
                <w:b/>
                <w:spacing w:val="-4"/>
                <w:sz w:val="20"/>
              </w:rPr>
              <w:t>(87)</w:t>
            </w:r>
          </w:p>
        </w:tc>
        <w:tc>
          <w:tcPr>
            <w:tcW w:w="976" w:type="dxa"/>
            <w:shd w:val="clear" w:color="auto" w:fill="CCEDFF"/>
          </w:tcPr>
          <w:p w14:paraId="1DB42C43" w14:textId="77777777" w:rsidR="00AE2255" w:rsidRDefault="00000000">
            <w:pPr>
              <w:pStyle w:val="TableParagraph"/>
              <w:tabs>
                <w:tab w:val="left" w:pos="399"/>
              </w:tabs>
              <w:ind w:right="72"/>
              <w:rPr>
                <w:sz w:val="20"/>
              </w:rPr>
            </w:pPr>
            <w:r>
              <w:rPr>
                <w:spacing w:val="-10"/>
                <w:sz w:val="20"/>
              </w:rPr>
              <w:t>$</w:t>
            </w:r>
            <w:r>
              <w:rPr>
                <w:sz w:val="20"/>
              </w:rPr>
              <w:tab/>
            </w:r>
            <w:r>
              <w:rPr>
                <w:spacing w:val="-2"/>
                <w:sz w:val="20"/>
              </w:rPr>
              <w:t>(106)</w:t>
            </w:r>
          </w:p>
        </w:tc>
        <w:tc>
          <w:tcPr>
            <w:tcW w:w="920" w:type="dxa"/>
            <w:shd w:val="clear" w:color="auto" w:fill="CCEDFF"/>
          </w:tcPr>
          <w:p w14:paraId="2412C954" w14:textId="77777777" w:rsidR="00AE2255" w:rsidRDefault="00000000">
            <w:pPr>
              <w:pStyle w:val="TableParagraph"/>
              <w:tabs>
                <w:tab w:val="left" w:pos="399"/>
              </w:tabs>
              <w:ind w:right="17"/>
              <w:rPr>
                <w:sz w:val="20"/>
              </w:rPr>
            </w:pPr>
            <w:r>
              <w:rPr>
                <w:spacing w:val="-10"/>
                <w:sz w:val="20"/>
              </w:rPr>
              <w:t>$</w:t>
            </w:r>
            <w:r>
              <w:rPr>
                <w:sz w:val="20"/>
              </w:rPr>
              <w:tab/>
            </w:r>
            <w:r>
              <w:rPr>
                <w:spacing w:val="-2"/>
                <w:sz w:val="20"/>
              </w:rPr>
              <w:t>(101)</w:t>
            </w:r>
          </w:p>
        </w:tc>
      </w:tr>
      <w:tr w:rsidR="00AE2255" w14:paraId="03FD5DA2" w14:textId="77777777">
        <w:trPr>
          <w:trHeight w:val="275"/>
        </w:trPr>
        <w:tc>
          <w:tcPr>
            <w:tcW w:w="5833" w:type="dxa"/>
            <w:tcBorders>
              <w:bottom w:val="single" w:sz="8" w:space="0" w:color="auto"/>
            </w:tcBorders>
          </w:tcPr>
          <w:p w14:paraId="5E965E56" w14:textId="77777777" w:rsidR="00AE2255" w:rsidRDefault="00000000">
            <w:pPr>
              <w:pStyle w:val="TableParagraph"/>
              <w:spacing w:line="230" w:lineRule="exact"/>
              <w:ind w:left="277"/>
              <w:jc w:val="left"/>
              <w:rPr>
                <w:sz w:val="20"/>
              </w:rPr>
            </w:pPr>
            <w:r>
              <w:rPr>
                <w:sz w:val="20"/>
              </w:rPr>
              <w:t>Less:</w:t>
            </w:r>
            <w:r>
              <w:rPr>
                <w:spacing w:val="-4"/>
                <w:sz w:val="20"/>
              </w:rPr>
              <w:t xml:space="preserve"> </w:t>
            </w:r>
            <w:r>
              <w:rPr>
                <w:sz w:val="20"/>
              </w:rPr>
              <w:t>CAS</w:t>
            </w:r>
            <w:r>
              <w:rPr>
                <w:spacing w:val="-4"/>
                <w:sz w:val="20"/>
              </w:rPr>
              <w:t xml:space="preserve"> </w:t>
            </w:r>
            <w:r>
              <w:rPr>
                <w:sz w:val="20"/>
              </w:rPr>
              <w:t>pension</w:t>
            </w:r>
            <w:r>
              <w:rPr>
                <w:spacing w:val="-3"/>
                <w:sz w:val="20"/>
              </w:rPr>
              <w:t xml:space="preserve"> </w:t>
            </w:r>
            <w:r>
              <w:rPr>
                <w:spacing w:val="-4"/>
                <w:sz w:val="20"/>
              </w:rPr>
              <w:t>cost</w:t>
            </w:r>
          </w:p>
        </w:tc>
        <w:tc>
          <w:tcPr>
            <w:tcW w:w="2504" w:type="dxa"/>
            <w:tcBorders>
              <w:bottom w:val="single" w:sz="8" w:space="0" w:color="auto"/>
            </w:tcBorders>
          </w:tcPr>
          <w:p w14:paraId="49ADFEA8" w14:textId="77777777" w:rsidR="00AE2255" w:rsidRDefault="00000000">
            <w:pPr>
              <w:pStyle w:val="TableParagraph"/>
              <w:spacing w:line="230" w:lineRule="exact"/>
              <w:ind w:right="136"/>
              <w:rPr>
                <w:b/>
                <w:sz w:val="20"/>
              </w:rPr>
            </w:pPr>
            <w:r>
              <w:rPr>
                <w:b/>
                <w:spacing w:val="-2"/>
                <w:sz w:val="20"/>
              </w:rPr>
              <w:t>1,796</w:t>
            </w:r>
          </w:p>
        </w:tc>
        <w:tc>
          <w:tcPr>
            <w:tcW w:w="976" w:type="dxa"/>
            <w:tcBorders>
              <w:bottom w:val="single" w:sz="8" w:space="0" w:color="auto"/>
            </w:tcBorders>
          </w:tcPr>
          <w:p w14:paraId="330F3EB6" w14:textId="77777777" w:rsidR="00AE2255" w:rsidRDefault="00000000">
            <w:pPr>
              <w:pStyle w:val="TableParagraph"/>
              <w:spacing w:line="230" w:lineRule="exact"/>
              <w:ind w:right="137"/>
              <w:rPr>
                <w:sz w:val="20"/>
              </w:rPr>
            </w:pPr>
            <w:r>
              <w:rPr>
                <w:spacing w:val="-2"/>
                <w:sz w:val="20"/>
              </w:rPr>
              <w:t>2,066</w:t>
            </w:r>
          </w:p>
        </w:tc>
        <w:tc>
          <w:tcPr>
            <w:tcW w:w="920" w:type="dxa"/>
            <w:tcBorders>
              <w:bottom w:val="single" w:sz="8" w:space="0" w:color="auto"/>
            </w:tcBorders>
          </w:tcPr>
          <w:p w14:paraId="6AE59120" w14:textId="77777777" w:rsidR="00AE2255" w:rsidRDefault="00000000">
            <w:pPr>
              <w:pStyle w:val="TableParagraph"/>
              <w:spacing w:line="230" w:lineRule="exact"/>
              <w:ind w:right="82"/>
              <w:rPr>
                <w:sz w:val="20"/>
              </w:rPr>
            </w:pPr>
            <w:r>
              <w:rPr>
                <w:spacing w:val="-2"/>
                <w:sz w:val="20"/>
              </w:rPr>
              <w:t>1,977</w:t>
            </w:r>
          </w:p>
        </w:tc>
      </w:tr>
      <w:tr w:rsidR="00AE2255" w14:paraId="7ED7A23B" w14:textId="77777777">
        <w:trPr>
          <w:trHeight w:val="275"/>
        </w:trPr>
        <w:tc>
          <w:tcPr>
            <w:tcW w:w="5833" w:type="dxa"/>
            <w:tcBorders>
              <w:top w:val="single" w:sz="8" w:space="0" w:color="CCEDFF"/>
            </w:tcBorders>
            <w:shd w:val="clear" w:color="auto" w:fill="CCEDFF"/>
          </w:tcPr>
          <w:p w14:paraId="29FDBDA2" w14:textId="77777777" w:rsidR="00AE2255" w:rsidRDefault="00000000">
            <w:pPr>
              <w:pStyle w:val="TableParagraph"/>
              <w:spacing w:before="15"/>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z w:val="20"/>
              </w:rPr>
              <w:t>operating</w:t>
            </w:r>
            <w:r>
              <w:rPr>
                <w:spacing w:val="-4"/>
                <w:sz w:val="20"/>
              </w:rPr>
              <w:t xml:space="preserve"> </w:t>
            </w:r>
            <w:r>
              <w:rPr>
                <w:spacing w:val="-2"/>
                <w:sz w:val="20"/>
              </w:rPr>
              <w:t>adjustment</w:t>
            </w:r>
          </w:p>
        </w:tc>
        <w:tc>
          <w:tcPr>
            <w:tcW w:w="2504" w:type="dxa"/>
            <w:tcBorders>
              <w:top w:val="single" w:sz="8" w:space="0" w:color="CCEDFF"/>
            </w:tcBorders>
            <w:shd w:val="clear" w:color="auto" w:fill="CCEDFF"/>
          </w:tcPr>
          <w:p w14:paraId="0660C905" w14:textId="77777777" w:rsidR="00AE2255" w:rsidRDefault="00000000">
            <w:pPr>
              <w:pStyle w:val="TableParagraph"/>
              <w:spacing w:before="15"/>
              <w:ind w:right="136"/>
              <w:rPr>
                <w:b/>
                <w:sz w:val="20"/>
              </w:rPr>
            </w:pPr>
            <w:r>
              <w:rPr>
                <w:b/>
                <w:spacing w:val="-2"/>
                <w:sz w:val="20"/>
              </w:rPr>
              <w:t>1,709</w:t>
            </w:r>
          </w:p>
        </w:tc>
        <w:tc>
          <w:tcPr>
            <w:tcW w:w="976" w:type="dxa"/>
            <w:tcBorders>
              <w:top w:val="single" w:sz="8" w:space="0" w:color="CCEDFF"/>
            </w:tcBorders>
            <w:shd w:val="clear" w:color="auto" w:fill="CCEDFF"/>
          </w:tcPr>
          <w:p w14:paraId="4A0C7E23" w14:textId="77777777" w:rsidR="00AE2255" w:rsidRDefault="00000000">
            <w:pPr>
              <w:pStyle w:val="TableParagraph"/>
              <w:spacing w:before="15"/>
              <w:ind w:right="137"/>
              <w:rPr>
                <w:sz w:val="20"/>
              </w:rPr>
            </w:pPr>
            <w:r>
              <w:rPr>
                <w:spacing w:val="-2"/>
                <w:sz w:val="20"/>
              </w:rPr>
              <w:t>1,960</w:t>
            </w:r>
          </w:p>
        </w:tc>
        <w:tc>
          <w:tcPr>
            <w:tcW w:w="920" w:type="dxa"/>
            <w:tcBorders>
              <w:top w:val="single" w:sz="8" w:space="0" w:color="CCEDFF"/>
            </w:tcBorders>
            <w:shd w:val="clear" w:color="auto" w:fill="CCEDFF"/>
          </w:tcPr>
          <w:p w14:paraId="5C4FDCD4" w14:textId="77777777" w:rsidR="00AE2255" w:rsidRDefault="00000000">
            <w:pPr>
              <w:pStyle w:val="TableParagraph"/>
              <w:spacing w:before="15"/>
              <w:ind w:right="82"/>
              <w:rPr>
                <w:sz w:val="20"/>
              </w:rPr>
            </w:pPr>
            <w:r>
              <w:rPr>
                <w:spacing w:val="-2"/>
                <w:sz w:val="20"/>
              </w:rPr>
              <w:t>1,876</w:t>
            </w:r>
          </w:p>
        </w:tc>
      </w:tr>
      <w:tr w:rsidR="00AE2255" w14:paraId="53F4810A" w14:textId="77777777">
        <w:trPr>
          <w:trHeight w:val="275"/>
        </w:trPr>
        <w:tc>
          <w:tcPr>
            <w:tcW w:w="5833" w:type="dxa"/>
            <w:tcBorders>
              <w:bottom w:val="single" w:sz="8" w:space="0" w:color="auto"/>
            </w:tcBorders>
          </w:tcPr>
          <w:p w14:paraId="31779CE2" w14:textId="77777777" w:rsidR="00AE2255" w:rsidRDefault="00000000">
            <w:pPr>
              <w:pStyle w:val="TableParagraph"/>
              <w:spacing w:line="230" w:lineRule="exact"/>
              <w:ind w:left="277"/>
              <w:jc w:val="left"/>
              <w:rPr>
                <w:sz w:val="20"/>
              </w:rPr>
            </w:pPr>
            <w:r>
              <w:rPr>
                <w:sz w:val="20"/>
              </w:rPr>
              <w:t>Non-service</w:t>
            </w:r>
            <w:r>
              <w:rPr>
                <w:spacing w:val="-5"/>
                <w:sz w:val="20"/>
              </w:rPr>
              <w:t xml:space="preserve"> </w:t>
            </w:r>
            <w:r>
              <w:rPr>
                <w:sz w:val="20"/>
              </w:rPr>
              <w:t>FAS</w:t>
            </w:r>
            <w:r>
              <w:rPr>
                <w:spacing w:val="-4"/>
                <w:sz w:val="20"/>
              </w:rPr>
              <w:t xml:space="preserve"> </w:t>
            </w:r>
            <w:r>
              <w:rPr>
                <w:sz w:val="20"/>
              </w:rPr>
              <w:t>pension</w:t>
            </w:r>
            <w:r>
              <w:rPr>
                <w:spacing w:val="-4"/>
                <w:sz w:val="20"/>
              </w:rPr>
              <w:t xml:space="preserve"> </w:t>
            </w:r>
            <w:r>
              <w:rPr>
                <w:sz w:val="20"/>
              </w:rPr>
              <w:t>(expense)</w:t>
            </w:r>
            <w:r>
              <w:rPr>
                <w:spacing w:val="-3"/>
                <w:sz w:val="20"/>
              </w:rPr>
              <w:t xml:space="preserve"> </w:t>
            </w:r>
            <w:r>
              <w:rPr>
                <w:spacing w:val="-2"/>
                <w:sz w:val="20"/>
              </w:rPr>
              <w:t>income</w:t>
            </w:r>
          </w:p>
        </w:tc>
        <w:tc>
          <w:tcPr>
            <w:tcW w:w="2504" w:type="dxa"/>
            <w:tcBorders>
              <w:bottom w:val="single" w:sz="8" w:space="0" w:color="auto"/>
            </w:tcBorders>
          </w:tcPr>
          <w:p w14:paraId="54CA4FDC" w14:textId="77777777" w:rsidR="00AE2255" w:rsidRDefault="00000000">
            <w:pPr>
              <w:pStyle w:val="TableParagraph"/>
              <w:spacing w:line="230" w:lineRule="exact"/>
              <w:ind w:right="71"/>
              <w:rPr>
                <w:b/>
                <w:sz w:val="20"/>
              </w:rPr>
            </w:pPr>
            <w:r>
              <w:rPr>
                <w:b/>
                <w:spacing w:val="-2"/>
                <w:sz w:val="20"/>
              </w:rPr>
              <w:t>(971)</w:t>
            </w:r>
          </w:p>
        </w:tc>
        <w:tc>
          <w:tcPr>
            <w:tcW w:w="976" w:type="dxa"/>
            <w:tcBorders>
              <w:bottom w:val="single" w:sz="8" w:space="0" w:color="auto"/>
            </w:tcBorders>
          </w:tcPr>
          <w:p w14:paraId="706688E1" w14:textId="77777777" w:rsidR="00AE2255" w:rsidRDefault="00000000">
            <w:pPr>
              <w:pStyle w:val="TableParagraph"/>
              <w:spacing w:line="230" w:lineRule="exact"/>
              <w:ind w:right="72"/>
              <w:rPr>
                <w:sz w:val="20"/>
              </w:rPr>
            </w:pPr>
            <w:r>
              <w:rPr>
                <w:spacing w:val="-2"/>
                <w:sz w:val="20"/>
              </w:rPr>
              <w:t>(1,292)</w:t>
            </w:r>
          </w:p>
        </w:tc>
        <w:tc>
          <w:tcPr>
            <w:tcW w:w="920" w:type="dxa"/>
            <w:tcBorders>
              <w:bottom w:val="single" w:sz="8" w:space="0" w:color="auto"/>
            </w:tcBorders>
          </w:tcPr>
          <w:p w14:paraId="289E1767" w14:textId="77777777" w:rsidR="00AE2255" w:rsidRDefault="00000000">
            <w:pPr>
              <w:pStyle w:val="TableParagraph"/>
              <w:spacing w:line="230" w:lineRule="exact"/>
              <w:ind w:right="82"/>
              <w:rPr>
                <w:sz w:val="20"/>
              </w:rPr>
            </w:pPr>
            <w:r>
              <w:rPr>
                <w:spacing w:val="-5"/>
                <w:sz w:val="20"/>
              </w:rPr>
              <w:t>219</w:t>
            </w:r>
          </w:p>
        </w:tc>
      </w:tr>
      <w:tr w:rsidR="00AE2255" w14:paraId="3A95A814" w14:textId="77777777">
        <w:trPr>
          <w:trHeight w:val="252"/>
        </w:trPr>
        <w:tc>
          <w:tcPr>
            <w:tcW w:w="5833" w:type="dxa"/>
            <w:tcBorders>
              <w:top w:val="single" w:sz="8" w:space="0" w:color="CCEDFF"/>
              <w:bottom w:val="single" w:sz="18" w:space="0" w:color="CCEDFF"/>
            </w:tcBorders>
            <w:shd w:val="clear" w:color="auto" w:fill="CCEDFF"/>
          </w:tcPr>
          <w:p w14:paraId="6607466E" w14:textId="77777777" w:rsidR="00AE2255" w:rsidRDefault="00000000">
            <w:pPr>
              <w:pStyle w:val="TableParagraph"/>
              <w:spacing w:before="15" w:line="217" w:lineRule="exact"/>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pacing w:val="-2"/>
                <w:sz w:val="20"/>
              </w:rPr>
              <w:t>adjustment</w:t>
            </w:r>
          </w:p>
        </w:tc>
        <w:tc>
          <w:tcPr>
            <w:tcW w:w="2504" w:type="dxa"/>
            <w:tcBorders>
              <w:top w:val="single" w:sz="8" w:space="0" w:color="CCEDFF"/>
              <w:bottom w:val="single" w:sz="18" w:space="0" w:color="CCEDFF"/>
            </w:tcBorders>
            <w:shd w:val="clear" w:color="auto" w:fill="CCEDFF"/>
          </w:tcPr>
          <w:p w14:paraId="4025D615" w14:textId="77777777" w:rsidR="00AE2255" w:rsidRDefault="00000000">
            <w:pPr>
              <w:pStyle w:val="TableParagraph"/>
              <w:tabs>
                <w:tab w:val="left" w:pos="465"/>
              </w:tabs>
              <w:spacing w:before="15" w:line="217" w:lineRule="exact"/>
              <w:ind w:right="136"/>
              <w:rPr>
                <w:b/>
                <w:sz w:val="20"/>
              </w:rPr>
            </w:pPr>
            <w:r>
              <w:rPr>
                <w:b/>
                <w:spacing w:val="-10"/>
                <w:sz w:val="20"/>
              </w:rPr>
              <w:t>$</w:t>
            </w:r>
            <w:r>
              <w:rPr>
                <w:b/>
                <w:sz w:val="20"/>
              </w:rPr>
              <w:tab/>
            </w:r>
            <w:r>
              <w:rPr>
                <w:b/>
                <w:spacing w:val="-5"/>
                <w:sz w:val="20"/>
              </w:rPr>
              <w:t>738</w:t>
            </w:r>
          </w:p>
        </w:tc>
        <w:tc>
          <w:tcPr>
            <w:tcW w:w="976" w:type="dxa"/>
            <w:tcBorders>
              <w:top w:val="single" w:sz="8" w:space="0" w:color="CCEDFF"/>
              <w:bottom w:val="single" w:sz="18" w:space="0" w:color="CCEDFF"/>
            </w:tcBorders>
            <w:shd w:val="clear" w:color="auto" w:fill="CCEDFF"/>
          </w:tcPr>
          <w:p w14:paraId="0692C198" w14:textId="77777777" w:rsidR="00AE2255" w:rsidRDefault="00000000">
            <w:pPr>
              <w:pStyle w:val="TableParagraph"/>
              <w:tabs>
                <w:tab w:val="left" w:pos="465"/>
              </w:tabs>
              <w:spacing w:before="15" w:line="217" w:lineRule="exact"/>
              <w:ind w:right="137"/>
              <w:rPr>
                <w:sz w:val="20"/>
              </w:rPr>
            </w:pPr>
            <w:r>
              <w:rPr>
                <w:spacing w:val="-10"/>
                <w:sz w:val="20"/>
              </w:rPr>
              <w:t>$</w:t>
            </w:r>
            <w:r>
              <w:rPr>
                <w:sz w:val="20"/>
              </w:rPr>
              <w:tab/>
            </w:r>
            <w:r>
              <w:rPr>
                <w:spacing w:val="-5"/>
                <w:sz w:val="20"/>
              </w:rPr>
              <w:t>668</w:t>
            </w:r>
          </w:p>
        </w:tc>
        <w:tc>
          <w:tcPr>
            <w:tcW w:w="920" w:type="dxa"/>
            <w:tcBorders>
              <w:top w:val="single" w:sz="8" w:space="0" w:color="CCEDFF"/>
              <w:bottom w:val="single" w:sz="18" w:space="0" w:color="CCEDFF"/>
            </w:tcBorders>
            <w:shd w:val="clear" w:color="auto" w:fill="CCEDFF"/>
          </w:tcPr>
          <w:p w14:paraId="47198F27" w14:textId="77777777" w:rsidR="00AE2255" w:rsidRDefault="00000000">
            <w:pPr>
              <w:pStyle w:val="TableParagraph"/>
              <w:tabs>
                <w:tab w:val="left" w:pos="385"/>
              </w:tabs>
              <w:spacing w:before="15" w:line="217" w:lineRule="exact"/>
              <w:ind w:left="69"/>
              <w:jc w:val="left"/>
              <w:rPr>
                <w:sz w:val="20"/>
              </w:rPr>
            </w:pPr>
            <w:r>
              <w:rPr>
                <w:spacing w:val="-10"/>
                <w:sz w:val="20"/>
              </w:rPr>
              <w:t>$</w:t>
            </w:r>
            <w:r>
              <w:rPr>
                <w:sz w:val="20"/>
              </w:rPr>
              <w:tab/>
            </w:r>
            <w:r>
              <w:rPr>
                <w:spacing w:val="-2"/>
                <w:sz w:val="20"/>
              </w:rPr>
              <w:t>2,095</w:t>
            </w:r>
          </w:p>
        </w:tc>
      </w:tr>
    </w:tbl>
    <w:p w14:paraId="1A5DEA19" w14:textId="77777777" w:rsidR="00AE2255" w:rsidRDefault="00AE2255">
      <w:pPr>
        <w:pStyle w:val="BodyText"/>
      </w:pPr>
    </w:p>
    <w:p w14:paraId="1FEA8AF7" w14:textId="77777777" w:rsidR="00AE2255" w:rsidRDefault="00000000">
      <w:pPr>
        <w:pStyle w:val="BodyText"/>
        <w:ind w:left="1060"/>
        <w:jc w:val="both"/>
      </w:pPr>
      <w:r>
        <w:t>The</w:t>
      </w:r>
      <w:r>
        <w:rPr>
          <w:spacing w:val="62"/>
        </w:rPr>
        <w:t xml:space="preserve"> </w:t>
      </w:r>
      <w:r>
        <w:t>total</w:t>
      </w:r>
      <w:r>
        <w:rPr>
          <w:spacing w:val="63"/>
        </w:rPr>
        <w:t xml:space="preserve"> </w:t>
      </w:r>
      <w:r>
        <w:t>FAS/CAS</w:t>
      </w:r>
      <w:r>
        <w:rPr>
          <w:spacing w:val="63"/>
        </w:rPr>
        <w:t xml:space="preserve"> </w:t>
      </w:r>
      <w:r>
        <w:t>pension</w:t>
      </w:r>
      <w:r>
        <w:rPr>
          <w:spacing w:val="63"/>
        </w:rPr>
        <w:t xml:space="preserve"> </w:t>
      </w:r>
      <w:r>
        <w:t>adjustment</w:t>
      </w:r>
      <w:r>
        <w:rPr>
          <w:spacing w:val="62"/>
        </w:rPr>
        <w:t xml:space="preserve"> </w:t>
      </w:r>
      <w:r>
        <w:t>in</w:t>
      </w:r>
      <w:r>
        <w:rPr>
          <w:spacing w:val="63"/>
        </w:rPr>
        <w:t xml:space="preserve"> </w:t>
      </w:r>
      <w:r>
        <w:t>2022</w:t>
      </w:r>
      <w:r>
        <w:rPr>
          <w:spacing w:val="63"/>
        </w:rPr>
        <w:t xml:space="preserve"> </w:t>
      </w:r>
      <w:r>
        <w:t>reflects</w:t>
      </w:r>
      <w:r>
        <w:rPr>
          <w:spacing w:val="63"/>
        </w:rPr>
        <w:t xml:space="preserve"> </w:t>
      </w:r>
      <w:r>
        <w:t>a</w:t>
      </w:r>
      <w:r>
        <w:rPr>
          <w:spacing w:val="63"/>
        </w:rPr>
        <w:t xml:space="preserve"> </w:t>
      </w:r>
      <w:r>
        <w:t>noncash,</w:t>
      </w:r>
      <w:r>
        <w:rPr>
          <w:spacing w:val="62"/>
        </w:rPr>
        <w:t xml:space="preserve"> </w:t>
      </w:r>
      <w:r>
        <w:t>non-operating</w:t>
      </w:r>
      <w:r>
        <w:rPr>
          <w:spacing w:val="63"/>
        </w:rPr>
        <w:t xml:space="preserve"> </w:t>
      </w:r>
      <w:r>
        <w:t>pension</w:t>
      </w:r>
      <w:r>
        <w:rPr>
          <w:spacing w:val="63"/>
        </w:rPr>
        <w:t xml:space="preserve"> </w:t>
      </w:r>
      <w:r>
        <w:t>settlement</w:t>
      </w:r>
      <w:r>
        <w:rPr>
          <w:spacing w:val="63"/>
        </w:rPr>
        <w:t xml:space="preserve"> </w:t>
      </w:r>
      <w:r>
        <w:t>charge</w:t>
      </w:r>
      <w:r>
        <w:rPr>
          <w:spacing w:val="63"/>
        </w:rPr>
        <w:t xml:space="preserve"> </w:t>
      </w:r>
      <w:r>
        <w:rPr>
          <w:spacing w:val="-5"/>
        </w:rPr>
        <w:t>of</w:t>
      </w:r>
    </w:p>
    <w:p w14:paraId="03E1DCF5" w14:textId="77777777" w:rsidR="00AE2255" w:rsidRDefault="00000000">
      <w:pPr>
        <w:pStyle w:val="BodyText"/>
        <w:spacing w:before="10" w:line="249" w:lineRule="auto"/>
        <w:ind w:left="610" w:right="431"/>
        <w:jc w:val="both"/>
      </w:pPr>
      <w:r>
        <w:t>$1.5 billion ($1.2 billion, or $4.33 per share, after-tax) recognized in connection with the transfer of $4.3 billion of our gross defined benefit pension obligations and related plan assets to an insurance company in the second quarter of 2022. The total FAS/CAS pension adjustment in 2021 reflects a noncash, non-operating pension settlement charge of $1.7 billion ($1.3 billion, or $4.72 per share, after-tax) recognized in connection with the transfer of $4.9 billion of our gross defined benefit pension obligations and related plan assets to an insurance company in the third quarter of 2021. See “Note 11 – Postretirement Benefit Plans” included in our Notes to Consolidated Financial Statements.</w:t>
      </w:r>
    </w:p>
    <w:p w14:paraId="0AE65177" w14:textId="77777777" w:rsidR="00AE2255" w:rsidRDefault="00AE2255">
      <w:pPr>
        <w:pStyle w:val="BodyText"/>
        <w:spacing w:before="9"/>
        <w:rPr>
          <w:sz w:val="17"/>
        </w:rPr>
      </w:pPr>
    </w:p>
    <w:p w14:paraId="40CFE705" w14:textId="77777777" w:rsidR="00AE2255" w:rsidRDefault="00000000">
      <w:pPr>
        <w:pStyle w:val="BodyText"/>
        <w:spacing w:line="249" w:lineRule="auto"/>
        <w:ind w:left="610" w:right="428" w:firstLine="450"/>
        <w:jc w:val="both"/>
      </w:pPr>
      <w:r>
        <w:t xml:space="preserve">The following segment discussions also include information relating to backlog for each segment. Backlog was approximately $150.0 billion and $135.4 billion </w:t>
      </w:r>
      <w:proofErr w:type="gramStart"/>
      <w:r>
        <w:t>at</w:t>
      </w:r>
      <w:proofErr w:type="gramEnd"/>
      <w:r>
        <w:t xml:space="preserve"> December 31, 2022 and 2021. These amounts included both funded backlog (firm orders for which funding has been both authorized and appropriated by the customer) and unfunded backlog (firm orders for which funding has not yet been appropriated). Backlog does not include unexercised options or task orders to be issued under</w:t>
      </w:r>
      <w:r>
        <w:rPr>
          <w:spacing w:val="-2"/>
        </w:rPr>
        <w:t xml:space="preserve"> </w:t>
      </w:r>
      <w:r>
        <w:t>indefinite-delivery,</w:t>
      </w:r>
      <w:r>
        <w:rPr>
          <w:spacing w:val="-2"/>
        </w:rPr>
        <w:t xml:space="preserve"> </w:t>
      </w:r>
      <w:r>
        <w:t>indefinite-quantity</w:t>
      </w:r>
      <w:r>
        <w:rPr>
          <w:spacing w:val="-2"/>
        </w:rPr>
        <w:t xml:space="preserve"> </w:t>
      </w:r>
      <w:r>
        <w:t>contracts.</w:t>
      </w:r>
      <w:r>
        <w:rPr>
          <w:spacing w:val="-2"/>
        </w:rPr>
        <w:t xml:space="preserve"> </w:t>
      </w:r>
      <w:r>
        <w:t>Funded</w:t>
      </w:r>
      <w:r>
        <w:rPr>
          <w:spacing w:val="-2"/>
        </w:rPr>
        <w:t xml:space="preserve"> </w:t>
      </w:r>
      <w:r>
        <w:t>backlog</w:t>
      </w:r>
      <w:r>
        <w:rPr>
          <w:spacing w:val="-2"/>
        </w:rPr>
        <w:t xml:space="preserve"> </w:t>
      </w:r>
      <w:r>
        <w:t>was</w:t>
      </w:r>
      <w:r>
        <w:rPr>
          <w:spacing w:val="-3"/>
        </w:rPr>
        <w:t xml:space="preserve"> </w:t>
      </w:r>
      <w:r>
        <w:t>approximately</w:t>
      </w:r>
      <w:r>
        <w:rPr>
          <w:spacing w:val="-2"/>
        </w:rPr>
        <w:t xml:space="preserve"> </w:t>
      </w:r>
      <w:r>
        <w:t>$95.5</w:t>
      </w:r>
      <w:r>
        <w:rPr>
          <w:spacing w:val="-2"/>
        </w:rPr>
        <w:t xml:space="preserve"> </w:t>
      </w:r>
      <w:r>
        <w:t>billion</w:t>
      </w:r>
      <w:r>
        <w:rPr>
          <w:spacing w:val="-2"/>
        </w:rPr>
        <w:t xml:space="preserve"> </w:t>
      </w:r>
      <w:proofErr w:type="gramStart"/>
      <w:r>
        <w:t>at</w:t>
      </w:r>
      <w:proofErr w:type="gramEnd"/>
      <w:r>
        <w:rPr>
          <w:spacing w:val="-3"/>
        </w:rPr>
        <w:t xml:space="preserve"> </w:t>
      </w:r>
      <w:r>
        <w:t>December</w:t>
      </w:r>
      <w:r>
        <w:rPr>
          <w:spacing w:val="-2"/>
        </w:rPr>
        <w:t xml:space="preserve"> </w:t>
      </w:r>
      <w:r>
        <w:t>31,</w:t>
      </w:r>
      <w:r>
        <w:rPr>
          <w:spacing w:val="-2"/>
        </w:rPr>
        <w:t xml:space="preserve"> </w:t>
      </w:r>
      <w:r>
        <w:t>2022, as compared to $88.5 billion at December 31, 2021. If any of our contracts with firm orders were to be terminated, our backlog would be reduced by the expected value of the unfilled orders of such contracts.</w:t>
      </w:r>
    </w:p>
    <w:p w14:paraId="02DE8BC7" w14:textId="77777777" w:rsidR="00AE2255" w:rsidRDefault="00AE2255">
      <w:pPr>
        <w:pStyle w:val="BodyText"/>
        <w:spacing w:before="10"/>
        <w:rPr>
          <w:sz w:val="17"/>
        </w:rPr>
      </w:pPr>
    </w:p>
    <w:p w14:paraId="2EA5066B" w14:textId="77777777" w:rsidR="00AE2255" w:rsidRDefault="00000000">
      <w:pPr>
        <w:pStyle w:val="BodyText"/>
        <w:spacing w:before="1" w:line="249" w:lineRule="auto"/>
        <w:ind w:left="610" w:right="429" w:firstLine="450"/>
        <w:jc w:val="both"/>
      </w:pPr>
      <w:r>
        <w:t>Management evaluates performance on our contracts by focusing on net sales and operating profit and not by type or amount</w:t>
      </w:r>
      <w:r>
        <w:rPr>
          <w:spacing w:val="-3"/>
        </w:rPr>
        <w:t xml:space="preserve"> </w:t>
      </w:r>
      <w:r>
        <w:t>of</w:t>
      </w:r>
      <w:r>
        <w:rPr>
          <w:spacing w:val="-3"/>
        </w:rPr>
        <w:t xml:space="preserve"> </w:t>
      </w:r>
      <w:r>
        <w:t>operating</w:t>
      </w:r>
      <w:r>
        <w:rPr>
          <w:spacing w:val="-3"/>
        </w:rPr>
        <w:t xml:space="preserve"> </w:t>
      </w:r>
      <w:r>
        <w:t>expense.</w:t>
      </w:r>
      <w:r>
        <w:rPr>
          <w:spacing w:val="-3"/>
        </w:rPr>
        <w:t xml:space="preserve"> </w:t>
      </w:r>
      <w:r>
        <w:t>Consequently,</w:t>
      </w:r>
      <w:r>
        <w:rPr>
          <w:spacing w:val="-3"/>
        </w:rPr>
        <w:t xml:space="preserve"> </w:t>
      </w:r>
      <w:r>
        <w:t>our</w:t>
      </w:r>
      <w:r>
        <w:rPr>
          <w:spacing w:val="-3"/>
        </w:rPr>
        <w:t xml:space="preserve"> </w:t>
      </w:r>
      <w:r>
        <w:t>discussion</w:t>
      </w:r>
      <w:r>
        <w:rPr>
          <w:spacing w:val="-3"/>
        </w:rPr>
        <w:t xml:space="preserve"> </w:t>
      </w:r>
      <w:r>
        <w:t>of</w:t>
      </w:r>
      <w:r>
        <w:rPr>
          <w:spacing w:val="-3"/>
        </w:rPr>
        <w:t xml:space="preserve"> </w:t>
      </w:r>
      <w:r>
        <w:t>business</w:t>
      </w:r>
      <w:r>
        <w:rPr>
          <w:spacing w:val="-3"/>
        </w:rPr>
        <w:t xml:space="preserve"> </w:t>
      </w:r>
      <w:r>
        <w:t>segment</w:t>
      </w:r>
      <w:r>
        <w:rPr>
          <w:spacing w:val="-3"/>
        </w:rPr>
        <w:t xml:space="preserve"> </w:t>
      </w:r>
      <w:r>
        <w:t>performance</w:t>
      </w:r>
      <w:r>
        <w:rPr>
          <w:spacing w:val="-3"/>
        </w:rPr>
        <w:t xml:space="preserve"> </w:t>
      </w:r>
      <w:r>
        <w:t>focuses</w:t>
      </w:r>
      <w:r>
        <w:rPr>
          <w:spacing w:val="-3"/>
        </w:rPr>
        <w:t xml:space="preserve"> </w:t>
      </w:r>
      <w:r>
        <w:t>on</w:t>
      </w:r>
      <w:r>
        <w:rPr>
          <w:spacing w:val="-3"/>
        </w:rPr>
        <w:t xml:space="preserve"> </w:t>
      </w:r>
      <w:r>
        <w:t>net</w:t>
      </w:r>
      <w:r>
        <w:rPr>
          <w:spacing w:val="-3"/>
        </w:rPr>
        <w:t xml:space="preserve"> </w:t>
      </w:r>
      <w:r>
        <w:t>sales</w:t>
      </w:r>
      <w:r>
        <w:rPr>
          <w:spacing w:val="-3"/>
        </w:rPr>
        <w:t xml:space="preserve"> </w:t>
      </w:r>
      <w:r>
        <w:t>and</w:t>
      </w:r>
      <w:r>
        <w:rPr>
          <w:spacing w:val="-3"/>
        </w:rPr>
        <w:t xml:space="preserve"> </w:t>
      </w:r>
      <w:r>
        <w:t>operating profit, consistent with our approach for managing the business. This approach is consistent throughout the life cycle of our contracts, as management assesses the bidding of each contract by focusing on net sales and operating profit and monitors performance on our contracts in a similar manner through their completion.</w:t>
      </w:r>
    </w:p>
    <w:p w14:paraId="0BF40866" w14:textId="77777777" w:rsidR="00AE2255" w:rsidRDefault="00AE2255">
      <w:pPr>
        <w:pStyle w:val="BodyText"/>
        <w:spacing w:before="8"/>
        <w:rPr>
          <w:sz w:val="17"/>
        </w:rPr>
      </w:pPr>
    </w:p>
    <w:p w14:paraId="2BF2ED26" w14:textId="77777777" w:rsidR="00AE2255" w:rsidRDefault="00000000">
      <w:pPr>
        <w:pStyle w:val="BodyText"/>
        <w:spacing w:line="249" w:lineRule="auto"/>
        <w:ind w:left="610" w:right="428" w:firstLine="450"/>
        <w:jc w:val="both"/>
      </w:pPr>
      <w:r>
        <w:t xml:space="preserve">We regularly provide customers with reports of our costs as the contract progresses. The cost information in the reports is accumulated in a manner specified by the requirements of each contract. For example, cost data provided to a customer for a product would typically align to the subcomponents of that product (such as a wing-box on an aircraft) and for services would align to the type of work being performed (such as aircraft sustainment). Our contracts generally allow for the recovery of costs in the pricing of our products and services. Most of our contracts are bid and negotiated with our customers </w:t>
      </w:r>
      <w:proofErr w:type="gramStart"/>
      <w:r>
        <w:t>under</w:t>
      </w:r>
      <w:r>
        <w:rPr>
          <w:spacing w:val="40"/>
        </w:rPr>
        <w:t xml:space="preserve"> </w:t>
      </w:r>
      <w:r>
        <w:t>circumstances</w:t>
      </w:r>
      <w:r>
        <w:rPr>
          <w:spacing w:val="-1"/>
        </w:rPr>
        <w:t xml:space="preserve"> </w:t>
      </w:r>
      <w:r>
        <w:t>in</w:t>
      </w:r>
      <w:r>
        <w:rPr>
          <w:spacing w:val="-1"/>
        </w:rPr>
        <w:t xml:space="preserve"> </w:t>
      </w:r>
      <w:r>
        <w:t>which</w:t>
      </w:r>
      <w:proofErr w:type="gramEnd"/>
      <w:r>
        <w:rPr>
          <w:spacing w:val="-1"/>
        </w:rPr>
        <w:t xml:space="preserve"> </w:t>
      </w:r>
      <w:r>
        <w:t>we</w:t>
      </w:r>
      <w:r>
        <w:rPr>
          <w:spacing w:val="-1"/>
        </w:rPr>
        <w:t xml:space="preserve"> </w:t>
      </w:r>
      <w:r>
        <w:t>are</w:t>
      </w:r>
      <w:r>
        <w:rPr>
          <w:spacing w:val="-1"/>
        </w:rPr>
        <w:t xml:space="preserve"> </w:t>
      </w:r>
      <w:r>
        <w:t>required</w:t>
      </w:r>
      <w:r>
        <w:rPr>
          <w:spacing w:val="-1"/>
        </w:rPr>
        <w:t xml:space="preserve"> </w:t>
      </w:r>
      <w:r>
        <w:t>to</w:t>
      </w:r>
      <w:r>
        <w:rPr>
          <w:spacing w:val="-1"/>
        </w:rPr>
        <w:t xml:space="preserve"> </w:t>
      </w:r>
      <w:r>
        <w:t>disclose</w:t>
      </w:r>
      <w:r>
        <w:rPr>
          <w:spacing w:val="-1"/>
        </w:rPr>
        <w:t xml:space="preserve"> </w:t>
      </w:r>
      <w:r>
        <w:t>our</w:t>
      </w:r>
      <w:r>
        <w:rPr>
          <w:spacing w:val="-1"/>
        </w:rPr>
        <w:t xml:space="preserve"> </w:t>
      </w:r>
      <w:r>
        <w:t>estimated</w:t>
      </w:r>
      <w:r>
        <w:rPr>
          <w:spacing w:val="-1"/>
        </w:rPr>
        <w:t xml:space="preserve"> </w:t>
      </w:r>
      <w:r>
        <w:t>total</w:t>
      </w:r>
      <w:r>
        <w:rPr>
          <w:spacing w:val="-1"/>
        </w:rPr>
        <w:t xml:space="preserve"> </w:t>
      </w:r>
      <w:r>
        <w:t>costs</w:t>
      </w:r>
      <w:r>
        <w:rPr>
          <w:spacing w:val="-1"/>
        </w:rPr>
        <w:t xml:space="preserve"> </w:t>
      </w:r>
      <w:r>
        <w:t>to</w:t>
      </w:r>
      <w:r>
        <w:rPr>
          <w:spacing w:val="-1"/>
        </w:rPr>
        <w:t xml:space="preserve"> </w:t>
      </w:r>
      <w:r>
        <w:t>provide</w:t>
      </w:r>
      <w:r>
        <w:rPr>
          <w:spacing w:val="-1"/>
        </w:rPr>
        <w:t xml:space="preserve"> </w:t>
      </w:r>
      <w:r>
        <w:t>the</w:t>
      </w:r>
      <w:r>
        <w:rPr>
          <w:spacing w:val="-1"/>
        </w:rPr>
        <w:t xml:space="preserve"> </w:t>
      </w:r>
      <w:r>
        <w:t>product</w:t>
      </w:r>
      <w:r>
        <w:rPr>
          <w:spacing w:val="-1"/>
        </w:rPr>
        <w:t xml:space="preserve"> </w:t>
      </w:r>
      <w:r>
        <w:t>or</w:t>
      </w:r>
      <w:r>
        <w:rPr>
          <w:spacing w:val="-1"/>
        </w:rPr>
        <w:t xml:space="preserve"> </w:t>
      </w:r>
      <w:r>
        <w:t>service.</w:t>
      </w:r>
      <w:r>
        <w:rPr>
          <w:spacing w:val="-1"/>
        </w:rPr>
        <w:t xml:space="preserve"> </w:t>
      </w:r>
      <w:r>
        <w:t>This</w:t>
      </w:r>
      <w:r>
        <w:rPr>
          <w:spacing w:val="-1"/>
        </w:rPr>
        <w:t xml:space="preserve"> </w:t>
      </w:r>
      <w:r>
        <w:t>approach</w:t>
      </w:r>
      <w:r>
        <w:rPr>
          <w:spacing w:val="-1"/>
        </w:rPr>
        <w:t xml:space="preserve"> </w:t>
      </w:r>
      <w:r>
        <w:t xml:space="preserve">for negotiating contracts with our U.S. Government customers generally allows for recovery of our actual costs plus a reasonable profit margin. We also may </w:t>
      </w:r>
      <w:proofErr w:type="gramStart"/>
      <w:r>
        <w:t>enter into</w:t>
      </w:r>
      <w:proofErr w:type="gramEnd"/>
      <w:r>
        <w:t xml:space="preserve"> long-term supply contracts for certain materials or components to coincide with the production schedule of certain products and to ensure their availability at known unit prices.</w:t>
      </w:r>
    </w:p>
    <w:p w14:paraId="21809835" w14:textId="77777777" w:rsidR="00AE2255" w:rsidRDefault="00AE2255">
      <w:pPr>
        <w:pStyle w:val="BodyText"/>
        <w:rPr>
          <w:sz w:val="18"/>
        </w:rPr>
      </w:pPr>
    </w:p>
    <w:p w14:paraId="5D5BF514" w14:textId="77777777" w:rsidR="00AE2255" w:rsidRDefault="00000000">
      <w:pPr>
        <w:pStyle w:val="BodyText"/>
        <w:spacing w:before="1" w:line="249" w:lineRule="auto"/>
        <w:ind w:left="610" w:right="427" w:firstLine="450"/>
        <w:jc w:val="both"/>
      </w:pPr>
      <w:r>
        <w:t>Many of our contracts span several years and include highly complex technical requirements. At the outset of a contract, we identify and monitor risks to the achievement of the technical, schedule and cost aspects of the contract and assess the</w:t>
      </w:r>
      <w:r>
        <w:rPr>
          <w:spacing w:val="40"/>
        </w:rPr>
        <w:t xml:space="preserve"> </w:t>
      </w:r>
      <w:r>
        <w:t xml:space="preserve">effects of those risks on our estimates of total costs to complete the contract. The estimates consider the technical requirements (e.g., a </w:t>
      </w:r>
      <w:proofErr w:type="gramStart"/>
      <w:r>
        <w:t>newly-developed</w:t>
      </w:r>
      <w:proofErr w:type="gramEnd"/>
      <w:r>
        <w:t xml:space="preserve"> product versus a mature product), the schedule and associated tasks (e.g., the number and type of milestone events) and costs (e.g., material, labor, subcontractor, overhead and the estimated costs to fulfill our industrial cooperation agreements, sometimes referred to as offset agreements, required under certain contracts with international customers). The initial profit booking rate of each contract considers risks surrounding the ability to achieve the technical requirements, </w:t>
      </w:r>
      <w:proofErr w:type="gramStart"/>
      <w:r>
        <w:t>schedule</w:t>
      </w:r>
      <w:proofErr w:type="gramEnd"/>
      <w:r>
        <w:t xml:space="preserve"> and costs in the initial estimated total costs to complete the contract and variable considerations. Profit booking</w:t>
      </w:r>
      <w:r>
        <w:rPr>
          <w:spacing w:val="33"/>
        </w:rPr>
        <w:t xml:space="preserve"> </w:t>
      </w:r>
      <w:r>
        <w:t>rates</w:t>
      </w:r>
      <w:r>
        <w:rPr>
          <w:spacing w:val="33"/>
        </w:rPr>
        <w:t xml:space="preserve"> </w:t>
      </w:r>
      <w:r>
        <w:t>may</w:t>
      </w:r>
      <w:r>
        <w:rPr>
          <w:spacing w:val="33"/>
        </w:rPr>
        <w:t xml:space="preserve"> </w:t>
      </w:r>
      <w:r>
        <w:t>increase</w:t>
      </w:r>
      <w:r>
        <w:rPr>
          <w:spacing w:val="33"/>
        </w:rPr>
        <w:t xml:space="preserve"> </w:t>
      </w:r>
      <w:r>
        <w:t>during</w:t>
      </w:r>
      <w:r>
        <w:rPr>
          <w:spacing w:val="33"/>
        </w:rPr>
        <w:t xml:space="preserve"> </w:t>
      </w:r>
      <w:r>
        <w:t>the</w:t>
      </w:r>
      <w:r>
        <w:rPr>
          <w:spacing w:val="33"/>
        </w:rPr>
        <w:t xml:space="preserve"> </w:t>
      </w:r>
      <w:r>
        <w:t>performance</w:t>
      </w:r>
      <w:r>
        <w:rPr>
          <w:spacing w:val="33"/>
        </w:rPr>
        <w:t xml:space="preserve"> </w:t>
      </w:r>
      <w:r>
        <w:t>of</w:t>
      </w:r>
      <w:r>
        <w:rPr>
          <w:spacing w:val="33"/>
        </w:rPr>
        <w:t xml:space="preserve"> </w:t>
      </w:r>
      <w:r>
        <w:t>the</w:t>
      </w:r>
      <w:r>
        <w:rPr>
          <w:spacing w:val="33"/>
        </w:rPr>
        <w:t xml:space="preserve"> </w:t>
      </w:r>
      <w:r>
        <w:t>contract</w:t>
      </w:r>
      <w:r>
        <w:rPr>
          <w:spacing w:val="33"/>
        </w:rPr>
        <w:t xml:space="preserve"> </w:t>
      </w:r>
      <w:r>
        <w:t>if</w:t>
      </w:r>
      <w:r>
        <w:rPr>
          <w:spacing w:val="33"/>
        </w:rPr>
        <w:t xml:space="preserve"> </w:t>
      </w:r>
      <w:r>
        <w:t>we</w:t>
      </w:r>
      <w:r>
        <w:rPr>
          <w:spacing w:val="33"/>
        </w:rPr>
        <w:t xml:space="preserve"> </w:t>
      </w:r>
      <w:r>
        <w:t>successfully</w:t>
      </w:r>
      <w:r>
        <w:rPr>
          <w:spacing w:val="33"/>
        </w:rPr>
        <w:t xml:space="preserve"> </w:t>
      </w:r>
      <w:r>
        <w:t>retire</w:t>
      </w:r>
      <w:r>
        <w:rPr>
          <w:spacing w:val="33"/>
        </w:rPr>
        <w:t xml:space="preserve"> </w:t>
      </w:r>
      <w:r>
        <w:t>risks</w:t>
      </w:r>
      <w:r>
        <w:rPr>
          <w:spacing w:val="33"/>
        </w:rPr>
        <w:t xml:space="preserve"> </w:t>
      </w:r>
      <w:r>
        <w:t>related</w:t>
      </w:r>
      <w:r>
        <w:rPr>
          <w:spacing w:val="33"/>
        </w:rPr>
        <w:t xml:space="preserve"> </w:t>
      </w:r>
      <w:r>
        <w:t>to</w:t>
      </w:r>
      <w:r>
        <w:rPr>
          <w:spacing w:val="33"/>
        </w:rPr>
        <w:t xml:space="preserve"> </w:t>
      </w:r>
      <w:r>
        <w:t>the</w:t>
      </w:r>
      <w:r>
        <w:rPr>
          <w:spacing w:val="33"/>
        </w:rPr>
        <w:t xml:space="preserve"> </w:t>
      </w:r>
      <w:r>
        <w:t>technical,</w:t>
      </w:r>
    </w:p>
    <w:p w14:paraId="2BD5F993" w14:textId="77777777" w:rsidR="00AE2255" w:rsidRDefault="00AE2255">
      <w:pPr>
        <w:spacing w:line="249" w:lineRule="auto"/>
        <w:jc w:val="both"/>
        <w:sectPr w:rsidR="00AE2255">
          <w:pgSz w:w="12240" w:h="15840"/>
          <w:pgMar w:top="440" w:right="560" w:bottom="720" w:left="380" w:header="230" w:footer="531" w:gutter="0"/>
          <w:cols w:space="720"/>
        </w:sectPr>
      </w:pPr>
    </w:p>
    <w:p w14:paraId="4AD4592A" w14:textId="77777777" w:rsidR="00AE2255" w:rsidRDefault="00AE2255">
      <w:pPr>
        <w:pStyle w:val="BodyText"/>
        <w:spacing w:before="10"/>
        <w:rPr>
          <w:sz w:val="22"/>
        </w:rPr>
      </w:pPr>
    </w:p>
    <w:p w14:paraId="4F6D7527" w14:textId="77777777" w:rsidR="00AE2255" w:rsidRDefault="00000000">
      <w:pPr>
        <w:pStyle w:val="BodyText"/>
        <w:spacing w:before="92" w:line="249" w:lineRule="auto"/>
        <w:ind w:left="610" w:right="429"/>
        <w:jc w:val="both"/>
      </w:pPr>
      <w:r>
        <w:t xml:space="preserve">schedule and cost aspects of the contract, which decreases the estimated total costs to complete the contract. Conversely, our profit booking rates may decrease if the estimated total costs to complete the contract increase. </w:t>
      </w:r>
      <w:proofErr w:type="gramStart"/>
      <w:r>
        <w:t>All of</w:t>
      </w:r>
      <w:proofErr w:type="gramEnd"/>
      <w:r>
        <w:t xml:space="preserve"> the estimates are subject to change during the performance of the contract and may affect the profit booking rate. For further discussion on fixed-price contracts, see “Note 1 – Organization and Significant Accounting Policies” included in our Notes to Consolidated Financial </w:t>
      </w:r>
      <w:r>
        <w:rPr>
          <w:spacing w:val="-2"/>
        </w:rPr>
        <w:t>Statements.</w:t>
      </w:r>
    </w:p>
    <w:p w14:paraId="35342B4A" w14:textId="77777777" w:rsidR="00AE2255" w:rsidRDefault="00AE2255">
      <w:pPr>
        <w:pStyle w:val="BodyText"/>
        <w:spacing w:before="8"/>
        <w:rPr>
          <w:sz w:val="17"/>
        </w:rPr>
      </w:pPr>
    </w:p>
    <w:p w14:paraId="2D6D92B8" w14:textId="77777777" w:rsidR="00AE2255" w:rsidRDefault="00000000">
      <w:pPr>
        <w:pStyle w:val="BodyText"/>
        <w:spacing w:line="249" w:lineRule="auto"/>
        <w:ind w:left="610" w:right="428" w:firstLine="450"/>
        <w:jc w:val="both"/>
      </w:pPr>
      <w:r>
        <w:t xml:space="preserve">We have </w:t>
      </w:r>
      <w:proofErr w:type="gramStart"/>
      <w:r>
        <w:t>a number of</w:t>
      </w:r>
      <w:proofErr w:type="gramEnd"/>
      <w:r>
        <w:t xml:space="preserve"> programs that are designated as classified by the U.S. Government which cannot be specifically described. The operating results of these classified programs are included in our consolidated and business segment results and are subjected to the same oversight and internal controls as our other programs.</w:t>
      </w:r>
    </w:p>
    <w:p w14:paraId="5FA278B4" w14:textId="77777777" w:rsidR="00AE2255" w:rsidRDefault="00AE2255">
      <w:pPr>
        <w:pStyle w:val="BodyText"/>
        <w:spacing w:before="7"/>
        <w:rPr>
          <w:sz w:val="17"/>
        </w:rPr>
      </w:pPr>
    </w:p>
    <w:p w14:paraId="76FD85C0" w14:textId="77777777" w:rsidR="00AE2255" w:rsidRDefault="00000000">
      <w:pPr>
        <w:pStyle w:val="BodyText"/>
        <w:spacing w:line="249" w:lineRule="auto"/>
        <w:ind w:left="610" w:right="428" w:firstLine="450"/>
        <w:jc w:val="both"/>
      </w:pPr>
      <w:r>
        <w:t>Our net sales are primarily derived from long-term contracts for products and services provided to the U.S. Government</w:t>
      </w:r>
      <w:r>
        <w:rPr>
          <w:spacing w:val="40"/>
        </w:rPr>
        <w:t xml:space="preserve"> </w:t>
      </w:r>
      <w:r>
        <w:t>as well as FMS contracted through the U.S. Government. We recognize revenue as performance obligations are satisfied and</w:t>
      </w:r>
      <w:r>
        <w:rPr>
          <w:spacing w:val="40"/>
        </w:rPr>
        <w:t xml:space="preserve"> </w:t>
      </w:r>
      <w:r>
        <w:t>the customer obtains control of the products and services. For performance obligations to deliver products with continuous transfer of control to the customer, revenue is recognized based on the extent of progress towards completion of the performance obligation, generally using the percentage-of-completion cost-to-cost measure of progress for our contracts because it best depicts the transfer of control to the customer as we incur costs on our contracts. For performance obligations in which control does not continuously transfer to the customer, we recognize revenue at the point in time in which each performance obligation is fully satisfied.</w:t>
      </w:r>
    </w:p>
    <w:p w14:paraId="77011A52" w14:textId="77777777" w:rsidR="00AE2255" w:rsidRDefault="00AE2255">
      <w:pPr>
        <w:pStyle w:val="BodyText"/>
        <w:rPr>
          <w:sz w:val="18"/>
        </w:rPr>
      </w:pPr>
    </w:p>
    <w:p w14:paraId="005BBA7F" w14:textId="77777777" w:rsidR="00AE2255" w:rsidRDefault="00000000">
      <w:pPr>
        <w:pStyle w:val="BodyText"/>
        <w:spacing w:line="249" w:lineRule="auto"/>
        <w:ind w:left="610" w:right="428" w:firstLine="450"/>
        <w:jc w:val="both"/>
      </w:pPr>
      <w:r>
        <w:t>Changes in net sales and operating profit generally are expressed in terms of volume. Changes in volume refer to</w:t>
      </w:r>
      <w:r>
        <w:rPr>
          <w:spacing w:val="40"/>
        </w:rPr>
        <w:t xml:space="preserve"> </w:t>
      </w:r>
      <w:r>
        <w:t xml:space="preserve">increases or decreases in sales or operating profit resulting from varying production activity levels, </w:t>
      </w:r>
      <w:proofErr w:type="gramStart"/>
      <w:r>
        <w:t>deliveries</w:t>
      </w:r>
      <w:proofErr w:type="gramEnd"/>
      <w:r>
        <w:t xml:space="preserve"> or service levels on individual contracts. Volume changes in segment operating profit are typically based on the current profit booking rate for a particular contract.</w:t>
      </w:r>
    </w:p>
    <w:p w14:paraId="5A0E539B" w14:textId="77777777" w:rsidR="00AE2255" w:rsidRDefault="00AE2255">
      <w:pPr>
        <w:pStyle w:val="BodyText"/>
        <w:spacing w:before="8"/>
        <w:rPr>
          <w:sz w:val="17"/>
        </w:rPr>
      </w:pPr>
    </w:p>
    <w:p w14:paraId="72AA475C" w14:textId="77777777" w:rsidR="00AE2255" w:rsidRDefault="00000000">
      <w:pPr>
        <w:pStyle w:val="BodyText"/>
        <w:spacing w:line="249" w:lineRule="auto"/>
        <w:ind w:left="610" w:right="427" w:firstLine="360"/>
        <w:jc w:val="both"/>
      </w:pPr>
      <w:r>
        <w:t>In addition, comparability of our segment sales, operating profit and operating margin may be impacted favorably or unfavorably by changes in profit booking rates on our contracts for which we recognize revenue over time using the</w:t>
      </w:r>
      <w:r>
        <w:rPr>
          <w:spacing w:val="40"/>
        </w:rPr>
        <w:t xml:space="preserve"> </w:t>
      </w:r>
      <w:r>
        <w:t>percentage-of-completion cost-to-cost method to measure progress towards completion. Increases in the profit booking rates, typically referred to as favorable profit adjustments, usually relate to revisions in the estimated total costs to fulfill the performance obligations that reflect improved conditions on a particular contract. Conversely, conditions on a particular</w:t>
      </w:r>
      <w:r>
        <w:rPr>
          <w:spacing w:val="40"/>
        </w:rPr>
        <w:t xml:space="preserve"> </w:t>
      </w:r>
      <w:r>
        <w:t>contract may deteriorate, resulting in an increase in the estimated total costs to fulfill the performance obligations and a reduction in the profit booking rate and are typically referred to as unfavorable profit adjustments. Increases or decreases in profit booking rates are recognized in the current period they are determined and reflect the inception-to-date effect of such changes. Segment operating profit and margin may also be impacted favorably or unfavorably by other items, which may or may not impact sales. Favorable items may include the positive resolution of contractual matters, cost recoveries on severance and restructuring, insurance recoveries and gains on sales of assets. Unfavorable items may include the adverse resolution of contractual matters; COVID-19 impacts or supply chain disruptions; restructuring charges (except for significant severance actions, which are excluded from segment operating results); reserves for disputes; certain asset impairments; and losses on sales of certain assets.</w:t>
      </w:r>
    </w:p>
    <w:p w14:paraId="09808BC9" w14:textId="77777777" w:rsidR="00AE2255" w:rsidRDefault="00AE2255">
      <w:pPr>
        <w:pStyle w:val="BodyText"/>
        <w:spacing w:before="4"/>
        <w:rPr>
          <w:sz w:val="18"/>
        </w:rPr>
      </w:pPr>
    </w:p>
    <w:p w14:paraId="237F5F22" w14:textId="77777777" w:rsidR="00AE2255" w:rsidRDefault="00000000">
      <w:pPr>
        <w:pStyle w:val="BodyText"/>
        <w:spacing w:line="249" w:lineRule="auto"/>
        <w:ind w:left="610" w:right="428" w:firstLine="450"/>
        <w:jc w:val="both"/>
      </w:pPr>
      <w:r>
        <w:t>Our consolidated net profit booking rate adjustments increased segment operating profit by approximately $1.8 billion in 2022 and $2.0 billion in 2021. The consolidated net profit booking rate adjustments in 2022 compared to 2021 decreased primarily</w:t>
      </w:r>
      <w:r>
        <w:rPr>
          <w:spacing w:val="-2"/>
        </w:rPr>
        <w:t xml:space="preserve"> </w:t>
      </w:r>
      <w:r>
        <w:t>due</w:t>
      </w:r>
      <w:r>
        <w:rPr>
          <w:spacing w:val="-2"/>
        </w:rPr>
        <w:t xml:space="preserve"> </w:t>
      </w:r>
      <w:r>
        <w:t>to</w:t>
      </w:r>
      <w:r>
        <w:rPr>
          <w:spacing w:val="-2"/>
        </w:rPr>
        <w:t xml:space="preserve"> </w:t>
      </w:r>
      <w:r>
        <w:t>decreases</w:t>
      </w:r>
      <w:r>
        <w:rPr>
          <w:spacing w:val="-2"/>
        </w:rPr>
        <w:t xml:space="preserve"> </w:t>
      </w:r>
      <w:r>
        <w:t>in</w:t>
      </w:r>
      <w:r>
        <w:rPr>
          <w:spacing w:val="-2"/>
        </w:rPr>
        <w:t xml:space="preserve"> </w:t>
      </w:r>
      <w:r>
        <w:t>profit</w:t>
      </w:r>
      <w:r>
        <w:rPr>
          <w:spacing w:val="-2"/>
        </w:rPr>
        <w:t xml:space="preserve"> </w:t>
      </w:r>
      <w:r>
        <w:t>booking</w:t>
      </w:r>
      <w:r>
        <w:rPr>
          <w:spacing w:val="-2"/>
        </w:rPr>
        <w:t xml:space="preserve"> </w:t>
      </w:r>
      <w:r>
        <w:t>rate</w:t>
      </w:r>
      <w:r>
        <w:rPr>
          <w:spacing w:val="-2"/>
        </w:rPr>
        <w:t xml:space="preserve"> </w:t>
      </w:r>
      <w:r>
        <w:t>adjustments</w:t>
      </w:r>
      <w:r>
        <w:rPr>
          <w:spacing w:val="-2"/>
        </w:rPr>
        <w:t xml:space="preserve"> </w:t>
      </w:r>
      <w:r>
        <w:t>at</w:t>
      </w:r>
      <w:r>
        <w:rPr>
          <w:spacing w:val="-2"/>
        </w:rPr>
        <w:t xml:space="preserve"> </w:t>
      </w:r>
      <w:r>
        <w:t>Space,</w:t>
      </w:r>
      <w:r>
        <w:rPr>
          <w:spacing w:val="-2"/>
        </w:rPr>
        <w:t xml:space="preserve"> </w:t>
      </w:r>
      <w:r>
        <w:t>RMS</w:t>
      </w:r>
      <w:r>
        <w:rPr>
          <w:spacing w:val="-2"/>
        </w:rPr>
        <w:t xml:space="preserve"> </w:t>
      </w:r>
      <w:r>
        <w:t>and</w:t>
      </w:r>
      <w:r>
        <w:rPr>
          <w:spacing w:val="-2"/>
        </w:rPr>
        <w:t xml:space="preserve"> </w:t>
      </w:r>
      <w:r>
        <w:t>MFC</w:t>
      </w:r>
      <w:r>
        <w:rPr>
          <w:spacing w:val="-2"/>
        </w:rPr>
        <w:t xml:space="preserve"> </w:t>
      </w:r>
      <w:r>
        <w:t>offset</w:t>
      </w:r>
      <w:r>
        <w:rPr>
          <w:spacing w:val="-2"/>
        </w:rPr>
        <w:t xml:space="preserve"> </w:t>
      </w:r>
      <w:r>
        <w:t>by</w:t>
      </w:r>
      <w:r>
        <w:rPr>
          <w:spacing w:val="-2"/>
        </w:rPr>
        <w:t xml:space="preserve"> </w:t>
      </w:r>
      <w:r>
        <w:t>an</w:t>
      </w:r>
      <w:r>
        <w:rPr>
          <w:spacing w:val="-2"/>
        </w:rPr>
        <w:t xml:space="preserve"> </w:t>
      </w:r>
      <w:r>
        <w:t>increase</w:t>
      </w:r>
      <w:r>
        <w:rPr>
          <w:spacing w:val="-2"/>
        </w:rPr>
        <w:t xml:space="preserve"> </w:t>
      </w:r>
      <w:r>
        <w:t>in</w:t>
      </w:r>
      <w:r>
        <w:rPr>
          <w:spacing w:val="-2"/>
        </w:rPr>
        <w:t xml:space="preserve"> </w:t>
      </w:r>
      <w:r>
        <w:t>Aeronautics.</w:t>
      </w:r>
      <w:r>
        <w:rPr>
          <w:spacing w:val="-2"/>
        </w:rPr>
        <w:t xml:space="preserve"> </w:t>
      </w:r>
      <w:r>
        <w:t>The consolidated net adjustments for 2022 and 2021 are inclusive of approximately $780 million and $900 million in unfavorable items, which include reserves for a classified program at Aeronautics, various programs at RMS and a ground solutions</w:t>
      </w:r>
      <w:r>
        <w:rPr>
          <w:spacing w:val="40"/>
        </w:rPr>
        <w:t xml:space="preserve"> </w:t>
      </w:r>
      <w:r>
        <w:t>program at Space.</w:t>
      </w:r>
    </w:p>
    <w:p w14:paraId="68716F45" w14:textId="77777777" w:rsidR="00AE2255" w:rsidRDefault="00AE2255">
      <w:pPr>
        <w:pStyle w:val="BodyText"/>
        <w:spacing w:before="9"/>
        <w:rPr>
          <w:sz w:val="17"/>
        </w:rPr>
      </w:pPr>
    </w:p>
    <w:p w14:paraId="62C694B0" w14:textId="77777777" w:rsidR="00AE2255" w:rsidRDefault="00000000">
      <w:pPr>
        <w:pStyle w:val="BodyText"/>
        <w:spacing w:before="1" w:line="249" w:lineRule="auto"/>
        <w:ind w:left="610" w:right="430" w:firstLine="450"/>
      </w:pPr>
      <w:r>
        <w:t>We</w:t>
      </w:r>
      <w:r>
        <w:rPr>
          <w:spacing w:val="-4"/>
        </w:rPr>
        <w:t xml:space="preserve"> </w:t>
      </w:r>
      <w:r>
        <w:t>periodically</w:t>
      </w:r>
      <w:r>
        <w:rPr>
          <w:spacing w:val="-3"/>
        </w:rPr>
        <w:t xml:space="preserve"> </w:t>
      </w:r>
      <w:r>
        <w:t>experience</w:t>
      </w:r>
      <w:r>
        <w:rPr>
          <w:spacing w:val="-4"/>
        </w:rPr>
        <w:t xml:space="preserve"> </w:t>
      </w:r>
      <w:r>
        <w:t>performance</w:t>
      </w:r>
      <w:r>
        <w:rPr>
          <w:spacing w:val="-4"/>
        </w:rPr>
        <w:t xml:space="preserve"> </w:t>
      </w:r>
      <w:r>
        <w:t>issues</w:t>
      </w:r>
      <w:r>
        <w:rPr>
          <w:spacing w:val="-4"/>
        </w:rPr>
        <w:t xml:space="preserve"> </w:t>
      </w:r>
      <w:r>
        <w:t>and</w:t>
      </w:r>
      <w:r>
        <w:rPr>
          <w:spacing w:val="-3"/>
        </w:rPr>
        <w:t xml:space="preserve"> </w:t>
      </w:r>
      <w:r>
        <w:t>record</w:t>
      </w:r>
      <w:r>
        <w:rPr>
          <w:spacing w:val="-3"/>
        </w:rPr>
        <w:t xml:space="preserve"> </w:t>
      </w:r>
      <w:r>
        <w:t>losses</w:t>
      </w:r>
      <w:r>
        <w:rPr>
          <w:spacing w:val="-4"/>
        </w:rPr>
        <w:t xml:space="preserve"> </w:t>
      </w:r>
      <w:r>
        <w:t>for</w:t>
      </w:r>
      <w:r>
        <w:rPr>
          <w:spacing w:val="-3"/>
        </w:rPr>
        <w:t xml:space="preserve"> </w:t>
      </w:r>
      <w:r>
        <w:t>certain</w:t>
      </w:r>
      <w:r>
        <w:rPr>
          <w:spacing w:val="-3"/>
        </w:rPr>
        <w:t xml:space="preserve"> </w:t>
      </w:r>
      <w:r>
        <w:t>programs.</w:t>
      </w:r>
      <w:r>
        <w:rPr>
          <w:spacing w:val="-3"/>
        </w:rPr>
        <w:t xml:space="preserve"> </w:t>
      </w:r>
      <w:r>
        <w:t>For</w:t>
      </w:r>
      <w:r>
        <w:rPr>
          <w:spacing w:val="-3"/>
        </w:rPr>
        <w:t xml:space="preserve"> </w:t>
      </w:r>
      <w:r>
        <w:t>further</w:t>
      </w:r>
      <w:r>
        <w:rPr>
          <w:spacing w:val="-3"/>
        </w:rPr>
        <w:t xml:space="preserve"> </w:t>
      </w:r>
      <w:r>
        <w:t>discussion</w:t>
      </w:r>
      <w:r>
        <w:rPr>
          <w:spacing w:val="-3"/>
        </w:rPr>
        <w:t xml:space="preserve"> </w:t>
      </w:r>
      <w:r>
        <w:t>on</w:t>
      </w:r>
      <w:r>
        <w:rPr>
          <w:spacing w:val="-3"/>
        </w:rPr>
        <w:t xml:space="preserve"> </w:t>
      </w:r>
      <w:r>
        <w:t>programs at Aeronautics and RMS, see “Note 1 – Organization and Significant Accounting Policies” included in our Notes to Consolidated Financial Statements for more information.</w:t>
      </w:r>
    </w:p>
    <w:p w14:paraId="77430FFB" w14:textId="77777777" w:rsidR="00AE2255" w:rsidRDefault="00AE2255">
      <w:pPr>
        <w:spacing w:line="249" w:lineRule="auto"/>
        <w:sectPr w:rsidR="00AE2255">
          <w:pgSz w:w="12240" w:h="15840"/>
          <w:pgMar w:top="440" w:right="560" w:bottom="720" w:left="380" w:header="230" w:footer="531" w:gutter="0"/>
          <w:cols w:space="720"/>
        </w:sectPr>
      </w:pPr>
    </w:p>
    <w:p w14:paraId="62C90D89" w14:textId="77777777" w:rsidR="00AE2255" w:rsidRDefault="00AE2255">
      <w:pPr>
        <w:pStyle w:val="BodyText"/>
        <w:spacing w:before="10"/>
        <w:rPr>
          <w:sz w:val="22"/>
        </w:rPr>
      </w:pPr>
    </w:p>
    <w:p w14:paraId="56193CA0" w14:textId="77777777" w:rsidR="00AE2255" w:rsidRDefault="00000000">
      <w:pPr>
        <w:pStyle w:val="BodyText"/>
        <w:spacing w:before="92" w:line="249" w:lineRule="auto"/>
        <w:ind w:left="610" w:right="428" w:firstLine="450"/>
        <w:jc w:val="both"/>
      </w:pPr>
      <w:r>
        <w:t xml:space="preserve">We have contracted with the Canadian Government for the Canadian Maritime Helicopter Program at our RMS business segment that provide for design, development, and production of CH-148 aircraft (the Original Equipment contract), which is a military variant of the S-92 helicopter, and for logistical support to the fleet (the </w:t>
      </w:r>
      <w:proofErr w:type="gramStart"/>
      <w:r>
        <w:t>In Service</w:t>
      </w:r>
      <w:proofErr w:type="gramEnd"/>
      <w:r>
        <w:t xml:space="preserve"> Support contract) over an extended time period. The program has experienced performance issues, including delays in the final aircraft deliveries from the original contract requirement, and to date the Royal Canadian Air Force’s flight hours have been less than originally anticipated, which has impacted program revenues and the recovery of our costs under this program. Future sales and recovery of existing and future costs under the program are highly dependent upon achieving a certain number of flight hours, which could be adversely impacted by aircraft availability and performance, and the availability of Canadian government resources. We are currently in discussions with the Canadian Government to potentially restructure certain contractual terms and conditions that may be beneficial to both parties. Future performance issues or changes in our estimates due to revised contract scope or customer requirements may affect our ability to recover our costs and may result in a loss that could be material to our operating results.</w:t>
      </w:r>
    </w:p>
    <w:p w14:paraId="2137A9A2" w14:textId="77777777" w:rsidR="00AE2255" w:rsidRDefault="00AE2255">
      <w:pPr>
        <w:pStyle w:val="BodyText"/>
        <w:spacing w:before="2"/>
        <w:rPr>
          <w:sz w:val="18"/>
        </w:rPr>
      </w:pPr>
    </w:p>
    <w:p w14:paraId="6F7367B7" w14:textId="77777777" w:rsidR="00AE2255" w:rsidRDefault="00000000">
      <w:pPr>
        <w:pStyle w:val="BodyText"/>
        <w:spacing w:line="249" w:lineRule="auto"/>
        <w:ind w:left="610" w:right="430" w:firstLine="450"/>
        <w:jc w:val="both"/>
      </w:pPr>
      <w:r>
        <w:t xml:space="preserve">We also have </w:t>
      </w:r>
      <w:proofErr w:type="gramStart"/>
      <w:r>
        <w:t>a number of</w:t>
      </w:r>
      <w:proofErr w:type="gramEnd"/>
      <w:r>
        <w:t xml:space="preserve"> contracts with </w:t>
      </w:r>
      <w:proofErr w:type="spellStart"/>
      <w:r>
        <w:t>Türkish</w:t>
      </w:r>
      <w:proofErr w:type="spellEnd"/>
      <w:r>
        <w:t xml:space="preserve"> industry for the </w:t>
      </w:r>
      <w:proofErr w:type="spellStart"/>
      <w:r>
        <w:t>Türkish</w:t>
      </w:r>
      <w:proofErr w:type="spellEnd"/>
      <w:r>
        <w:t xml:space="preserve"> Utility Helicopter Program (TUHP), which anticipates co-production with </w:t>
      </w:r>
      <w:proofErr w:type="spellStart"/>
      <w:r>
        <w:t>Türkish</w:t>
      </w:r>
      <w:proofErr w:type="spellEnd"/>
      <w:r>
        <w:t xml:space="preserve"> industry for production of T70 helicopters for use in </w:t>
      </w:r>
      <w:proofErr w:type="spellStart"/>
      <w:r>
        <w:t>Türkiye</w:t>
      </w:r>
      <w:proofErr w:type="spellEnd"/>
      <w:r>
        <w:t xml:space="preserve">, as well as the related provision of </w:t>
      </w:r>
      <w:proofErr w:type="spellStart"/>
      <w:r>
        <w:t>Türkish</w:t>
      </w:r>
      <w:proofErr w:type="spellEnd"/>
      <w:r>
        <w:t xml:space="preserve"> goods and services under buy-back or offset obligations, to include the future sales of helicopters built in </w:t>
      </w:r>
      <w:proofErr w:type="spellStart"/>
      <w:r>
        <w:t>Türkiye</w:t>
      </w:r>
      <w:proofErr w:type="spellEnd"/>
      <w:r>
        <w:t xml:space="preserve"> for sale globally. The U.S. Government has imposed certain sanctions on </w:t>
      </w:r>
      <w:proofErr w:type="spellStart"/>
      <w:r>
        <w:t>Türkish</w:t>
      </w:r>
      <w:proofErr w:type="spellEnd"/>
      <w:r>
        <w:t xml:space="preserve"> entities and persons that has affected our ability to perform under contracts supporting the </w:t>
      </w:r>
      <w:proofErr w:type="spellStart"/>
      <w:r>
        <w:t>Türkish</w:t>
      </w:r>
      <w:proofErr w:type="spellEnd"/>
      <w:r>
        <w:t xml:space="preserve"> Utility Helicopter Program. As a result of the sanctions, we have provided force majeure notices under the affected contracts and these contracts may be restructured or terminated, either in whole or in part, which could result in a further reduction in sales, the imposition of penalties or assessment of damages, and increased unrecoverable costs, which could have an adverse effect on our financial results.</w:t>
      </w:r>
    </w:p>
    <w:p w14:paraId="395EDCB4" w14:textId="77777777" w:rsidR="00AE2255" w:rsidRDefault="00AE2255">
      <w:pPr>
        <w:pStyle w:val="BodyText"/>
        <w:spacing w:before="7"/>
        <w:rPr>
          <w:sz w:val="17"/>
        </w:rPr>
      </w:pPr>
    </w:p>
    <w:p w14:paraId="0745BDBC" w14:textId="77777777" w:rsidR="00AE2255" w:rsidRDefault="00000000">
      <w:pPr>
        <w:pStyle w:val="Heading2"/>
        <w:spacing w:before="1"/>
      </w:pPr>
      <w:r>
        <w:rPr>
          <w:spacing w:val="-2"/>
        </w:rPr>
        <w:t>Aeronautics</w:t>
      </w:r>
    </w:p>
    <w:p w14:paraId="198C8EB2" w14:textId="77777777" w:rsidR="00AE2255" w:rsidRDefault="00AE2255">
      <w:pPr>
        <w:pStyle w:val="BodyText"/>
        <w:spacing w:before="5"/>
        <w:rPr>
          <w:b/>
          <w:sz w:val="19"/>
        </w:rPr>
      </w:pPr>
    </w:p>
    <w:p w14:paraId="404AFB63" w14:textId="77777777" w:rsidR="00AE2255" w:rsidRDefault="00000000">
      <w:pPr>
        <w:pStyle w:val="BodyText"/>
        <w:spacing w:before="1" w:line="225" w:lineRule="auto"/>
        <w:ind w:left="610" w:right="428" w:firstLine="360"/>
        <w:jc w:val="both"/>
      </w:pPr>
      <w:r>
        <w:t xml:space="preserve">Our Aeronautics business segment is engaged in the research, design, development, manufacture, integration, sustainment, </w:t>
      </w:r>
      <w:proofErr w:type="gramStart"/>
      <w:r>
        <w:t>support</w:t>
      </w:r>
      <w:proofErr w:type="gramEnd"/>
      <w:r>
        <w:rPr>
          <w:spacing w:val="-2"/>
        </w:rPr>
        <w:t xml:space="preserve"> </w:t>
      </w:r>
      <w:r>
        <w:t>and</w:t>
      </w:r>
      <w:r>
        <w:rPr>
          <w:spacing w:val="-2"/>
        </w:rPr>
        <w:t xml:space="preserve"> </w:t>
      </w:r>
      <w:r>
        <w:t>upgrade</w:t>
      </w:r>
      <w:r>
        <w:rPr>
          <w:spacing w:val="-2"/>
        </w:rPr>
        <w:t xml:space="preserve"> </w:t>
      </w:r>
      <w:r>
        <w:t>of</w:t>
      </w:r>
      <w:r>
        <w:rPr>
          <w:spacing w:val="-2"/>
        </w:rPr>
        <w:t xml:space="preserve"> </w:t>
      </w:r>
      <w:r>
        <w:t>advanced</w:t>
      </w:r>
      <w:r>
        <w:rPr>
          <w:spacing w:val="-2"/>
        </w:rPr>
        <w:t xml:space="preserve"> </w:t>
      </w:r>
      <w:r>
        <w:t>military</w:t>
      </w:r>
      <w:r>
        <w:rPr>
          <w:spacing w:val="-2"/>
        </w:rPr>
        <w:t xml:space="preserve"> </w:t>
      </w:r>
      <w:r>
        <w:t>aircraft,</w:t>
      </w:r>
      <w:r>
        <w:rPr>
          <w:spacing w:val="-2"/>
        </w:rPr>
        <w:t xml:space="preserve"> </w:t>
      </w:r>
      <w:r>
        <w:t>including</w:t>
      </w:r>
      <w:r>
        <w:rPr>
          <w:spacing w:val="-2"/>
        </w:rPr>
        <w:t xml:space="preserve"> </w:t>
      </w:r>
      <w:r>
        <w:t>combat</w:t>
      </w:r>
      <w:r>
        <w:rPr>
          <w:spacing w:val="-2"/>
        </w:rPr>
        <w:t xml:space="preserve"> </w:t>
      </w:r>
      <w:r>
        <w:t>and</w:t>
      </w:r>
      <w:r>
        <w:rPr>
          <w:spacing w:val="-2"/>
        </w:rPr>
        <w:t xml:space="preserve"> </w:t>
      </w:r>
      <w:r>
        <w:t>air</w:t>
      </w:r>
      <w:r>
        <w:rPr>
          <w:spacing w:val="-2"/>
        </w:rPr>
        <w:t xml:space="preserve"> </w:t>
      </w:r>
      <w:r>
        <w:t>mobility</w:t>
      </w:r>
      <w:r>
        <w:rPr>
          <w:spacing w:val="-2"/>
        </w:rPr>
        <w:t xml:space="preserve"> </w:t>
      </w:r>
      <w:r>
        <w:t>aircraft,</w:t>
      </w:r>
      <w:r>
        <w:rPr>
          <w:spacing w:val="-2"/>
        </w:rPr>
        <w:t xml:space="preserve"> </w:t>
      </w:r>
      <w:r>
        <w:t>unmanned</w:t>
      </w:r>
      <w:r>
        <w:rPr>
          <w:spacing w:val="-2"/>
        </w:rPr>
        <w:t xml:space="preserve"> </w:t>
      </w:r>
      <w:r>
        <w:t>air</w:t>
      </w:r>
      <w:r>
        <w:rPr>
          <w:spacing w:val="-2"/>
        </w:rPr>
        <w:t xml:space="preserve"> </w:t>
      </w:r>
      <w:r>
        <w:t>vehicles</w:t>
      </w:r>
      <w:r>
        <w:rPr>
          <w:spacing w:val="-2"/>
        </w:rPr>
        <w:t xml:space="preserve"> </w:t>
      </w:r>
      <w:r>
        <w:t>and</w:t>
      </w:r>
      <w:r>
        <w:rPr>
          <w:spacing w:val="-2"/>
        </w:rPr>
        <w:t xml:space="preserve"> </w:t>
      </w:r>
      <w:r>
        <w:t>related technologies.</w:t>
      </w:r>
      <w:r>
        <w:rPr>
          <w:spacing w:val="29"/>
        </w:rPr>
        <w:t xml:space="preserve"> </w:t>
      </w:r>
      <w:r>
        <w:t>Aeronautics’</w:t>
      </w:r>
      <w:r>
        <w:rPr>
          <w:spacing w:val="29"/>
        </w:rPr>
        <w:t xml:space="preserve"> </w:t>
      </w:r>
      <w:r>
        <w:t>major</w:t>
      </w:r>
      <w:r>
        <w:rPr>
          <w:spacing w:val="29"/>
        </w:rPr>
        <w:t xml:space="preserve"> </w:t>
      </w:r>
      <w:r>
        <w:t>programs</w:t>
      </w:r>
      <w:r>
        <w:rPr>
          <w:spacing w:val="29"/>
        </w:rPr>
        <w:t xml:space="preserve"> </w:t>
      </w:r>
      <w:r>
        <w:t>include</w:t>
      </w:r>
      <w:r>
        <w:rPr>
          <w:spacing w:val="29"/>
        </w:rPr>
        <w:t xml:space="preserve"> </w:t>
      </w:r>
      <w:r>
        <w:t>the</w:t>
      </w:r>
      <w:r>
        <w:rPr>
          <w:spacing w:val="29"/>
        </w:rPr>
        <w:t xml:space="preserve"> </w:t>
      </w:r>
      <w:r>
        <w:t>F-35</w:t>
      </w:r>
      <w:r>
        <w:rPr>
          <w:spacing w:val="29"/>
        </w:rPr>
        <w:t xml:space="preserve"> </w:t>
      </w:r>
      <w:r>
        <w:t>Lightning</w:t>
      </w:r>
      <w:r>
        <w:rPr>
          <w:spacing w:val="29"/>
        </w:rPr>
        <w:t xml:space="preserve"> </w:t>
      </w:r>
      <w:r>
        <w:t>II,</w:t>
      </w:r>
      <w:r>
        <w:rPr>
          <w:spacing w:val="29"/>
        </w:rPr>
        <w:t xml:space="preserve"> </w:t>
      </w:r>
      <w:r>
        <w:t>C</w:t>
      </w:r>
      <w:r>
        <w:rPr>
          <w:rFonts w:ascii="Arial Unicode MS" w:hAnsi="Arial Unicode MS"/>
        </w:rPr>
        <w:t>-</w:t>
      </w:r>
      <w:r>
        <w:t>130</w:t>
      </w:r>
      <w:r>
        <w:rPr>
          <w:spacing w:val="29"/>
        </w:rPr>
        <w:t xml:space="preserve"> </w:t>
      </w:r>
      <w:r>
        <w:t>Hercules,</w:t>
      </w:r>
      <w:r>
        <w:rPr>
          <w:spacing w:val="29"/>
        </w:rPr>
        <w:t xml:space="preserve"> </w:t>
      </w:r>
      <w:r>
        <w:t>F-16</w:t>
      </w:r>
      <w:r>
        <w:rPr>
          <w:spacing w:val="29"/>
        </w:rPr>
        <w:t xml:space="preserve"> </w:t>
      </w:r>
      <w:r>
        <w:t>Fighting</w:t>
      </w:r>
      <w:r>
        <w:rPr>
          <w:spacing w:val="29"/>
        </w:rPr>
        <w:t xml:space="preserve"> </w:t>
      </w:r>
      <w:proofErr w:type="gramStart"/>
      <w:r>
        <w:t>Falcon</w:t>
      </w:r>
      <w:proofErr w:type="gramEnd"/>
      <w:r>
        <w:rPr>
          <w:spacing w:val="29"/>
        </w:rPr>
        <w:t xml:space="preserve"> </w:t>
      </w:r>
      <w:r>
        <w:t>and</w:t>
      </w:r>
      <w:r>
        <w:rPr>
          <w:spacing w:val="29"/>
        </w:rPr>
        <w:t xml:space="preserve"> </w:t>
      </w:r>
      <w:r>
        <w:t>F-22</w:t>
      </w:r>
    </w:p>
    <w:p w14:paraId="179ACBB3" w14:textId="77777777" w:rsidR="00AE2255" w:rsidRDefault="00000000">
      <w:pPr>
        <w:pStyle w:val="BodyText"/>
        <w:spacing w:line="179" w:lineRule="exact"/>
        <w:ind w:left="610"/>
        <w:jc w:val="both"/>
      </w:pPr>
      <w:r>
        <w:t>Raptor.</w:t>
      </w:r>
      <w:r>
        <w:rPr>
          <w:spacing w:val="-6"/>
        </w:rPr>
        <w:t xml:space="preserve"> </w:t>
      </w:r>
      <w:r>
        <w:t>Aeronautics’</w:t>
      </w:r>
      <w:r>
        <w:rPr>
          <w:spacing w:val="-4"/>
        </w:rPr>
        <w:t xml:space="preserve"> </w:t>
      </w:r>
      <w:r>
        <w:t>operating</w:t>
      </w:r>
      <w:r>
        <w:rPr>
          <w:spacing w:val="-3"/>
        </w:rPr>
        <w:t xml:space="preserve"> </w:t>
      </w:r>
      <w:r>
        <w:t>results</w:t>
      </w:r>
      <w:r>
        <w:rPr>
          <w:spacing w:val="-4"/>
        </w:rPr>
        <w:t xml:space="preserve"> </w:t>
      </w:r>
      <w:r>
        <w:t>included</w:t>
      </w:r>
      <w:r>
        <w:rPr>
          <w:spacing w:val="-4"/>
        </w:rPr>
        <w:t xml:space="preserve"> </w:t>
      </w:r>
      <w:r>
        <w:t>the</w:t>
      </w:r>
      <w:r>
        <w:rPr>
          <w:spacing w:val="-4"/>
        </w:rPr>
        <w:t xml:space="preserve"> </w:t>
      </w:r>
      <w:r>
        <w:t>following</w:t>
      </w:r>
      <w:r>
        <w:rPr>
          <w:spacing w:val="-4"/>
        </w:rPr>
        <w:t xml:space="preserve"> </w:t>
      </w:r>
      <w:r>
        <w:t>(in</w:t>
      </w:r>
      <w:r>
        <w:rPr>
          <w:spacing w:val="-3"/>
        </w:rPr>
        <w:t xml:space="preserve"> </w:t>
      </w:r>
      <w:r>
        <w:rPr>
          <w:spacing w:val="-2"/>
        </w:rPr>
        <w:t>millions):</w:t>
      </w:r>
    </w:p>
    <w:p w14:paraId="2885577D" w14:textId="77777777" w:rsidR="00AE2255" w:rsidRDefault="00AE2255">
      <w:pPr>
        <w:pStyle w:val="BodyText"/>
      </w:pPr>
    </w:p>
    <w:p w14:paraId="1E7A1880" w14:textId="77777777" w:rsidR="00AE2255" w:rsidRDefault="00AE2255">
      <w:pPr>
        <w:pStyle w:val="BodyText"/>
        <w:spacing w:before="6" w:after="1"/>
        <w:rPr>
          <w:sz w:val="10"/>
        </w:rPr>
      </w:pPr>
    </w:p>
    <w:tbl>
      <w:tblPr>
        <w:tblW w:w="0" w:type="auto"/>
        <w:tblInd w:w="617" w:type="dxa"/>
        <w:tblLayout w:type="fixed"/>
        <w:tblCellMar>
          <w:left w:w="0" w:type="dxa"/>
          <w:right w:w="0" w:type="dxa"/>
        </w:tblCellMar>
        <w:tblLook w:val="01E0" w:firstRow="1" w:lastRow="1" w:firstColumn="1" w:lastColumn="1" w:noHBand="0" w:noVBand="0"/>
      </w:tblPr>
      <w:tblGrid>
        <w:gridCol w:w="4187"/>
        <w:gridCol w:w="3358"/>
        <w:gridCol w:w="318"/>
        <w:gridCol w:w="898"/>
        <w:gridCol w:w="302"/>
        <w:gridCol w:w="1170"/>
      </w:tblGrid>
      <w:tr w:rsidR="00AE2255" w14:paraId="7C70C207" w14:textId="77777777">
        <w:trPr>
          <w:trHeight w:val="241"/>
        </w:trPr>
        <w:tc>
          <w:tcPr>
            <w:tcW w:w="4187" w:type="dxa"/>
            <w:tcBorders>
              <w:bottom w:val="single" w:sz="8" w:space="0" w:color="auto"/>
            </w:tcBorders>
          </w:tcPr>
          <w:p w14:paraId="4D0AA1EB" w14:textId="77777777" w:rsidR="00AE2255" w:rsidRDefault="00AE2255">
            <w:pPr>
              <w:pStyle w:val="TableParagraph"/>
              <w:spacing w:before="0"/>
              <w:jc w:val="left"/>
              <w:rPr>
                <w:sz w:val="16"/>
              </w:rPr>
            </w:pPr>
          </w:p>
        </w:tc>
        <w:tc>
          <w:tcPr>
            <w:tcW w:w="3358" w:type="dxa"/>
            <w:tcBorders>
              <w:bottom w:val="single" w:sz="8" w:space="0" w:color="auto"/>
            </w:tcBorders>
          </w:tcPr>
          <w:p w14:paraId="2BF28FC9" w14:textId="77777777" w:rsidR="00AE2255" w:rsidRDefault="00000000">
            <w:pPr>
              <w:pStyle w:val="TableParagraph"/>
              <w:spacing w:before="0" w:line="221" w:lineRule="exact"/>
              <w:ind w:right="50"/>
              <w:rPr>
                <w:b/>
                <w:sz w:val="20"/>
              </w:rPr>
            </w:pPr>
            <w:r>
              <w:rPr>
                <w:b/>
                <w:spacing w:val="-4"/>
                <w:sz w:val="20"/>
              </w:rPr>
              <w:t>2022</w:t>
            </w:r>
          </w:p>
        </w:tc>
        <w:tc>
          <w:tcPr>
            <w:tcW w:w="318" w:type="dxa"/>
            <w:tcBorders>
              <w:bottom w:val="single" w:sz="8" w:space="0" w:color="auto"/>
            </w:tcBorders>
          </w:tcPr>
          <w:p w14:paraId="1382DC94" w14:textId="77777777" w:rsidR="00AE2255" w:rsidRDefault="00AE2255">
            <w:pPr>
              <w:pStyle w:val="TableParagraph"/>
              <w:spacing w:before="0"/>
              <w:jc w:val="left"/>
              <w:rPr>
                <w:sz w:val="16"/>
              </w:rPr>
            </w:pPr>
          </w:p>
        </w:tc>
        <w:tc>
          <w:tcPr>
            <w:tcW w:w="898" w:type="dxa"/>
            <w:tcBorders>
              <w:bottom w:val="single" w:sz="8" w:space="0" w:color="auto"/>
            </w:tcBorders>
          </w:tcPr>
          <w:p w14:paraId="1E54C2FB" w14:textId="77777777" w:rsidR="00AE2255" w:rsidRDefault="00000000">
            <w:pPr>
              <w:pStyle w:val="TableParagraph"/>
              <w:spacing w:before="0" w:line="221" w:lineRule="exact"/>
              <w:ind w:right="51"/>
              <w:rPr>
                <w:b/>
                <w:sz w:val="20"/>
              </w:rPr>
            </w:pPr>
            <w:r>
              <w:rPr>
                <w:b/>
                <w:spacing w:val="-4"/>
                <w:sz w:val="20"/>
              </w:rPr>
              <w:t>2021</w:t>
            </w:r>
          </w:p>
        </w:tc>
        <w:tc>
          <w:tcPr>
            <w:tcW w:w="302" w:type="dxa"/>
            <w:tcBorders>
              <w:bottom w:val="single" w:sz="8" w:space="0" w:color="auto"/>
            </w:tcBorders>
          </w:tcPr>
          <w:p w14:paraId="34C8C6EA" w14:textId="77777777" w:rsidR="00AE2255" w:rsidRDefault="00AE2255">
            <w:pPr>
              <w:pStyle w:val="TableParagraph"/>
              <w:spacing w:before="0"/>
              <w:jc w:val="left"/>
              <w:rPr>
                <w:sz w:val="16"/>
              </w:rPr>
            </w:pPr>
          </w:p>
        </w:tc>
        <w:tc>
          <w:tcPr>
            <w:tcW w:w="1170" w:type="dxa"/>
            <w:tcBorders>
              <w:bottom w:val="single" w:sz="8" w:space="0" w:color="auto"/>
            </w:tcBorders>
          </w:tcPr>
          <w:p w14:paraId="1583CD89" w14:textId="77777777" w:rsidR="00AE2255" w:rsidRDefault="00000000">
            <w:pPr>
              <w:pStyle w:val="TableParagraph"/>
              <w:spacing w:before="0" w:line="221" w:lineRule="exact"/>
              <w:ind w:left="459"/>
              <w:jc w:val="left"/>
              <w:rPr>
                <w:b/>
                <w:sz w:val="20"/>
              </w:rPr>
            </w:pPr>
            <w:r>
              <w:rPr>
                <w:b/>
                <w:spacing w:val="-4"/>
                <w:sz w:val="20"/>
              </w:rPr>
              <w:t>2020</w:t>
            </w:r>
          </w:p>
        </w:tc>
      </w:tr>
      <w:tr w:rsidR="00AE2255" w14:paraId="115F373E" w14:textId="77777777">
        <w:trPr>
          <w:trHeight w:val="275"/>
        </w:trPr>
        <w:tc>
          <w:tcPr>
            <w:tcW w:w="4187" w:type="dxa"/>
            <w:tcBorders>
              <w:top w:val="single" w:sz="8" w:space="0" w:color="CCEDFF"/>
            </w:tcBorders>
            <w:shd w:val="clear" w:color="auto" w:fill="CCEDFF"/>
          </w:tcPr>
          <w:p w14:paraId="0CD08EC4"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sales</w:t>
            </w:r>
          </w:p>
        </w:tc>
        <w:tc>
          <w:tcPr>
            <w:tcW w:w="3358" w:type="dxa"/>
            <w:tcBorders>
              <w:top w:val="single" w:sz="8" w:space="0" w:color="CCEDFF"/>
            </w:tcBorders>
            <w:shd w:val="clear" w:color="auto" w:fill="CCEDFF"/>
          </w:tcPr>
          <w:p w14:paraId="3801B15F" w14:textId="77777777" w:rsidR="00AE2255" w:rsidRDefault="00000000">
            <w:pPr>
              <w:pStyle w:val="TableParagraph"/>
              <w:spacing w:before="15"/>
              <w:ind w:right="79"/>
              <w:rPr>
                <w:b/>
                <w:sz w:val="20"/>
              </w:rPr>
            </w:pPr>
            <w:r>
              <w:rPr>
                <w:b/>
                <w:sz w:val="20"/>
              </w:rPr>
              <w:t>$</w:t>
            </w:r>
            <w:r>
              <w:rPr>
                <w:b/>
                <w:spacing w:val="50"/>
                <w:sz w:val="20"/>
              </w:rPr>
              <w:t xml:space="preserve"> </w:t>
            </w:r>
            <w:r>
              <w:rPr>
                <w:b/>
                <w:spacing w:val="-2"/>
                <w:sz w:val="20"/>
              </w:rPr>
              <w:t>26,987</w:t>
            </w:r>
          </w:p>
        </w:tc>
        <w:tc>
          <w:tcPr>
            <w:tcW w:w="318" w:type="dxa"/>
            <w:tcBorders>
              <w:top w:val="single" w:sz="8" w:space="0" w:color="CCEDFF"/>
            </w:tcBorders>
            <w:shd w:val="clear" w:color="auto" w:fill="CCEDFF"/>
          </w:tcPr>
          <w:p w14:paraId="33FE5DE2" w14:textId="77777777" w:rsidR="00AE2255" w:rsidRDefault="00AE2255">
            <w:pPr>
              <w:pStyle w:val="TableParagraph"/>
              <w:spacing w:before="0"/>
              <w:jc w:val="left"/>
              <w:rPr>
                <w:sz w:val="20"/>
              </w:rPr>
            </w:pPr>
          </w:p>
        </w:tc>
        <w:tc>
          <w:tcPr>
            <w:tcW w:w="898" w:type="dxa"/>
            <w:tcBorders>
              <w:top w:val="single" w:sz="8" w:space="0" w:color="CCEDFF"/>
            </w:tcBorders>
            <w:shd w:val="clear" w:color="auto" w:fill="CCEDFF"/>
          </w:tcPr>
          <w:p w14:paraId="40646ECF" w14:textId="77777777" w:rsidR="00AE2255" w:rsidRDefault="00000000">
            <w:pPr>
              <w:pStyle w:val="TableParagraph"/>
              <w:spacing w:before="15"/>
              <w:ind w:right="80"/>
              <w:rPr>
                <w:sz w:val="20"/>
              </w:rPr>
            </w:pPr>
            <w:r>
              <w:rPr>
                <w:sz w:val="20"/>
              </w:rPr>
              <w:t>$</w:t>
            </w:r>
            <w:r>
              <w:rPr>
                <w:spacing w:val="50"/>
                <w:sz w:val="20"/>
              </w:rPr>
              <w:t xml:space="preserve"> </w:t>
            </w:r>
            <w:r>
              <w:rPr>
                <w:spacing w:val="-2"/>
                <w:sz w:val="20"/>
              </w:rPr>
              <w:t>26,748</w:t>
            </w:r>
          </w:p>
        </w:tc>
        <w:tc>
          <w:tcPr>
            <w:tcW w:w="302" w:type="dxa"/>
            <w:tcBorders>
              <w:top w:val="single" w:sz="8" w:space="0" w:color="CCEDFF"/>
            </w:tcBorders>
            <w:shd w:val="clear" w:color="auto" w:fill="CCEDFF"/>
          </w:tcPr>
          <w:p w14:paraId="67FBCE84" w14:textId="77777777" w:rsidR="00AE2255" w:rsidRDefault="00AE2255">
            <w:pPr>
              <w:pStyle w:val="TableParagraph"/>
              <w:spacing w:before="0"/>
              <w:jc w:val="left"/>
              <w:rPr>
                <w:sz w:val="20"/>
              </w:rPr>
            </w:pPr>
          </w:p>
        </w:tc>
        <w:tc>
          <w:tcPr>
            <w:tcW w:w="1170" w:type="dxa"/>
            <w:tcBorders>
              <w:top w:val="single" w:sz="8" w:space="0" w:color="CCEDFF"/>
            </w:tcBorders>
            <w:shd w:val="clear" w:color="auto" w:fill="CCEDFF"/>
          </w:tcPr>
          <w:p w14:paraId="422E9D8E" w14:textId="77777777" w:rsidR="00AE2255" w:rsidRDefault="00000000">
            <w:pPr>
              <w:pStyle w:val="TableParagraph"/>
              <w:spacing w:before="15"/>
              <w:ind w:left="79"/>
              <w:jc w:val="left"/>
              <w:rPr>
                <w:sz w:val="20"/>
              </w:rPr>
            </w:pPr>
            <w:r>
              <w:rPr>
                <w:sz w:val="20"/>
              </w:rPr>
              <w:t>$</w:t>
            </w:r>
            <w:r>
              <w:rPr>
                <w:spacing w:val="50"/>
                <w:sz w:val="20"/>
              </w:rPr>
              <w:t xml:space="preserve"> </w:t>
            </w:r>
            <w:r>
              <w:rPr>
                <w:spacing w:val="-2"/>
                <w:sz w:val="20"/>
              </w:rPr>
              <w:t>26,266</w:t>
            </w:r>
          </w:p>
        </w:tc>
      </w:tr>
      <w:tr w:rsidR="00AE2255" w14:paraId="73CECD32" w14:textId="77777777">
        <w:trPr>
          <w:trHeight w:val="300"/>
        </w:trPr>
        <w:tc>
          <w:tcPr>
            <w:tcW w:w="4187" w:type="dxa"/>
          </w:tcPr>
          <w:p w14:paraId="0CD6F329"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profit</w:t>
            </w:r>
          </w:p>
        </w:tc>
        <w:tc>
          <w:tcPr>
            <w:tcW w:w="3358" w:type="dxa"/>
          </w:tcPr>
          <w:p w14:paraId="2D3B10C3" w14:textId="77777777" w:rsidR="00AE2255" w:rsidRDefault="00000000">
            <w:pPr>
              <w:pStyle w:val="TableParagraph"/>
              <w:spacing w:before="40"/>
              <w:ind w:right="79"/>
              <w:rPr>
                <w:b/>
                <w:sz w:val="20"/>
              </w:rPr>
            </w:pPr>
            <w:r>
              <w:rPr>
                <w:b/>
                <w:spacing w:val="-2"/>
                <w:sz w:val="20"/>
              </w:rPr>
              <w:t>2,866</w:t>
            </w:r>
          </w:p>
        </w:tc>
        <w:tc>
          <w:tcPr>
            <w:tcW w:w="318" w:type="dxa"/>
          </w:tcPr>
          <w:p w14:paraId="4DFECA67" w14:textId="77777777" w:rsidR="00AE2255" w:rsidRDefault="00AE2255">
            <w:pPr>
              <w:pStyle w:val="TableParagraph"/>
              <w:spacing w:before="0"/>
              <w:jc w:val="left"/>
              <w:rPr>
                <w:sz w:val="20"/>
              </w:rPr>
            </w:pPr>
          </w:p>
        </w:tc>
        <w:tc>
          <w:tcPr>
            <w:tcW w:w="898" w:type="dxa"/>
          </w:tcPr>
          <w:p w14:paraId="42A7A8C9" w14:textId="77777777" w:rsidR="00AE2255" w:rsidRDefault="00000000">
            <w:pPr>
              <w:pStyle w:val="TableParagraph"/>
              <w:spacing w:before="40"/>
              <w:ind w:right="80"/>
              <w:rPr>
                <w:sz w:val="20"/>
              </w:rPr>
            </w:pPr>
            <w:r>
              <w:rPr>
                <w:spacing w:val="-2"/>
                <w:sz w:val="20"/>
              </w:rPr>
              <w:t>2,799</w:t>
            </w:r>
          </w:p>
        </w:tc>
        <w:tc>
          <w:tcPr>
            <w:tcW w:w="302" w:type="dxa"/>
          </w:tcPr>
          <w:p w14:paraId="3502F8EB" w14:textId="77777777" w:rsidR="00AE2255" w:rsidRDefault="00AE2255">
            <w:pPr>
              <w:pStyle w:val="TableParagraph"/>
              <w:spacing w:before="0"/>
              <w:jc w:val="left"/>
              <w:rPr>
                <w:sz w:val="20"/>
              </w:rPr>
            </w:pPr>
          </w:p>
        </w:tc>
        <w:tc>
          <w:tcPr>
            <w:tcW w:w="1170" w:type="dxa"/>
          </w:tcPr>
          <w:p w14:paraId="4E14174D" w14:textId="77777777" w:rsidR="00AE2255" w:rsidRDefault="00000000">
            <w:pPr>
              <w:pStyle w:val="TableParagraph"/>
              <w:spacing w:before="40"/>
              <w:ind w:left="380"/>
              <w:jc w:val="left"/>
              <w:rPr>
                <w:sz w:val="20"/>
              </w:rPr>
            </w:pPr>
            <w:r>
              <w:rPr>
                <w:spacing w:val="-2"/>
                <w:sz w:val="20"/>
              </w:rPr>
              <w:t>2,843</w:t>
            </w:r>
          </w:p>
        </w:tc>
      </w:tr>
      <w:tr w:rsidR="00AE2255" w14:paraId="3B563B85" w14:textId="77777777">
        <w:trPr>
          <w:trHeight w:val="300"/>
        </w:trPr>
        <w:tc>
          <w:tcPr>
            <w:tcW w:w="4187" w:type="dxa"/>
            <w:shd w:val="clear" w:color="auto" w:fill="CCEDFF"/>
          </w:tcPr>
          <w:p w14:paraId="5FA2EA67"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margin</w:t>
            </w:r>
          </w:p>
        </w:tc>
        <w:tc>
          <w:tcPr>
            <w:tcW w:w="3358" w:type="dxa"/>
            <w:shd w:val="clear" w:color="auto" w:fill="CCEDFF"/>
          </w:tcPr>
          <w:p w14:paraId="08075959" w14:textId="77777777" w:rsidR="00AE2255" w:rsidRDefault="00000000">
            <w:pPr>
              <w:pStyle w:val="TableParagraph"/>
              <w:spacing w:before="40"/>
              <w:ind w:right="79"/>
              <w:rPr>
                <w:b/>
                <w:sz w:val="20"/>
              </w:rPr>
            </w:pPr>
            <w:r>
              <w:rPr>
                <w:b/>
                <w:spacing w:val="-4"/>
                <w:sz w:val="20"/>
              </w:rPr>
              <w:t>10.6</w:t>
            </w:r>
          </w:p>
        </w:tc>
        <w:tc>
          <w:tcPr>
            <w:tcW w:w="318" w:type="dxa"/>
            <w:shd w:val="clear" w:color="auto" w:fill="CCEDFF"/>
          </w:tcPr>
          <w:p w14:paraId="1CFB5C56" w14:textId="77777777" w:rsidR="00AE2255" w:rsidRDefault="00000000">
            <w:pPr>
              <w:pStyle w:val="TableParagraph"/>
              <w:spacing w:before="40"/>
              <w:ind w:left="52"/>
              <w:jc w:val="left"/>
              <w:rPr>
                <w:b/>
                <w:sz w:val="20"/>
              </w:rPr>
            </w:pPr>
            <w:r>
              <w:rPr>
                <w:b/>
                <w:sz w:val="20"/>
              </w:rPr>
              <w:t>%</w:t>
            </w:r>
          </w:p>
        </w:tc>
        <w:tc>
          <w:tcPr>
            <w:tcW w:w="898" w:type="dxa"/>
            <w:shd w:val="clear" w:color="auto" w:fill="CCEDFF"/>
          </w:tcPr>
          <w:p w14:paraId="72122123" w14:textId="77777777" w:rsidR="00AE2255" w:rsidRDefault="00000000">
            <w:pPr>
              <w:pStyle w:val="TableParagraph"/>
              <w:spacing w:before="40"/>
              <w:ind w:right="80"/>
              <w:rPr>
                <w:sz w:val="20"/>
              </w:rPr>
            </w:pPr>
            <w:r>
              <w:rPr>
                <w:spacing w:val="-4"/>
                <w:sz w:val="20"/>
              </w:rPr>
              <w:t>10.5</w:t>
            </w:r>
          </w:p>
        </w:tc>
        <w:tc>
          <w:tcPr>
            <w:tcW w:w="302" w:type="dxa"/>
            <w:shd w:val="clear" w:color="auto" w:fill="CCEDFF"/>
          </w:tcPr>
          <w:p w14:paraId="3C8E2A03" w14:textId="77777777" w:rsidR="00AE2255" w:rsidRDefault="00000000">
            <w:pPr>
              <w:pStyle w:val="TableParagraph"/>
              <w:spacing w:before="40"/>
              <w:ind w:left="51"/>
              <w:jc w:val="left"/>
              <w:rPr>
                <w:sz w:val="20"/>
              </w:rPr>
            </w:pPr>
            <w:r>
              <w:rPr>
                <w:sz w:val="20"/>
              </w:rPr>
              <w:t>%</w:t>
            </w:r>
          </w:p>
        </w:tc>
        <w:tc>
          <w:tcPr>
            <w:tcW w:w="1170" w:type="dxa"/>
            <w:shd w:val="clear" w:color="auto" w:fill="CCEDFF"/>
          </w:tcPr>
          <w:p w14:paraId="34EE76F4" w14:textId="77777777" w:rsidR="00AE2255" w:rsidRDefault="00000000">
            <w:pPr>
              <w:pStyle w:val="TableParagraph"/>
              <w:spacing w:before="40"/>
              <w:ind w:left="480"/>
              <w:jc w:val="left"/>
              <w:rPr>
                <w:sz w:val="20"/>
              </w:rPr>
            </w:pPr>
            <w:r>
              <w:rPr>
                <w:sz w:val="20"/>
              </w:rPr>
              <w:t>10.8</w:t>
            </w:r>
            <w:r>
              <w:rPr>
                <w:spacing w:val="59"/>
                <w:w w:val="150"/>
                <w:sz w:val="20"/>
              </w:rPr>
              <w:t xml:space="preserve"> </w:t>
            </w:r>
            <w:r>
              <w:rPr>
                <w:spacing w:val="-10"/>
                <w:sz w:val="20"/>
              </w:rPr>
              <w:t>%</w:t>
            </w:r>
          </w:p>
        </w:tc>
      </w:tr>
      <w:tr w:rsidR="00AE2255" w14:paraId="0F4A38CD" w14:textId="77777777">
        <w:trPr>
          <w:trHeight w:val="262"/>
        </w:trPr>
        <w:tc>
          <w:tcPr>
            <w:tcW w:w="4187" w:type="dxa"/>
            <w:tcBorders>
              <w:bottom w:val="single" w:sz="18" w:space="0" w:color="000000"/>
            </w:tcBorders>
          </w:tcPr>
          <w:p w14:paraId="76361EBA" w14:textId="77777777" w:rsidR="00AE2255" w:rsidRDefault="00000000">
            <w:pPr>
              <w:pStyle w:val="TableParagraph"/>
              <w:spacing w:line="217" w:lineRule="exact"/>
              <w:ind w:left="52"/>
              <w:jc w:val="left"/>
              <w:rPr>
                <w:sz w:val="20"/>
              </w:rPr>
            </w:pPr>
            <w:r>
              <w:rPr>
                <w:sz w:val="20"/>
              </w:rPr>
              <w:t>Backlog</w:t>
            </w:r>
            <w:r>
              <w:rPr>
                <w:spacing w:val="-4"/>
                <w:sz w:val="20"/>
              </w:rPr>
              <w:t xml:space="preserve"> </w:t>
            </w:r>
            <w:r>
              <w:rPr>
                <w:sz w:val="20"/>
              </w:rPr>
              <w:t>at</w:t>
            </w:r>
            <w:r>
              <w:rPr>
                <w:spacing w:val="-4"/>
                <w:sz w:val="20"/>
              </w:rPr>
              <w:t xml:space="preserve"> </w:t>
            </w:r>
            <w:r>
              <w:rPr>
                <w:sz w:val="20"/>
              </w:rPr>
              <w:t>year-</w:t>
            </w:r>
            <w:r>
              <w:rPr>
                <w:spacing w:val="-5"/>
                <w:sz w:val="20"/>
              </w:rPr>
              <w:t>end</w:t>
            </w:r>
          </w:p>
        </w:tc>
        <w:tc>
          <w:tcPr>
            <w:tcW w:w="3358" w:type="dxa"/>
            <w:tcBorders>
              <w:bottom w:val="single" w:sz="18" w:space="0" w:color="000000"/>
            </w:tcBorders>
          </w:tcPr>
          <w:p w14:paraId="1545B55E" w14:textId="77777777" w:rsidR="00AE2255" w:rsidRDefault="00000000">
            <w:pPr>
              <w:pStyle w:val="TableParagraph"/>
              <w:spacing w:line="217" w:lineRule="exact"/>
              <w:ind w:right="79"/>
              <w:rPr>
                <w:b/>
                <w:sz w:val="20"/>
              </w:rPr>
            </w:pPr>
            <w:r>
              <w:rPr>
                <w:b/>
                <w:sz w:val="20"/>
              </w:rPr>
              <w:t>$</w:t>
            </w:r>
            <w:r>
              <w:rPr>
                <w:b/>
                <w:spacing w:val="50"/>
                <w:sz w:val="20"/>
              </w:rPr>
              <w:t xml:space="preserve"> </w:t>
            </w:r>
            <w:r>
              <w:rPr>
                <w:b/>
                <w:spacing w:val="-2"/>
                <w:sz w:val="20"/>
              </w:rPr>
              <w:t>56,630</w:t>
            </w:r>
          </w:p>
        </w:tc>
        <w:tc>
          <w:tcPr>
            <w:tcW w:w="318" w:type="dxa"/>
            <w:tcBorders>
              <w:bottom w:val="single" w:sz="18" w:space="0" w:color="000000"/>
            </w:tcBorders>
          </w:tcPr>
          <w:p w14:paraId="2E4B8AED" w14:textId="77777777" w:rsidR="00AE2255" w:rsidRDefault="00AE2255">
            <w:pPr>
              <w:pStyle w:val="TableParagraph"/>
              <w:spacing w:before="0"/>
              <w:jc w:val="left"/>
              <w:rPr>
                <w:sz w:val="18"/>
              </w:rPr>
            </w:pPr>
          </w:p>
        </w:tc>
        <w:tc>
          <w:tcPr>
            <w:tcW w:w="898" w:type="dxa"/>
            <w:tcBorders>
              <w:bottom w:val="single" w:sz="18" w:space="0" w:color="000000"/>
            </w:tcBorders>
          </w:tcPr>
          <w:p w14:paraId="231D6D48" w14:textId="77777777" w:rsidR="00AE2255" w:rsidRDefault="00000000">
            <w:pPr>
              <w:pStyle w:val="TableParagraph"/>
              <w:spacing w:line="217" w:lineRule="exact"/>
              <w:ind w:right="80"/>
              <w:rPr>
                <w:sz w:val="20"/>
              </w:rPr>
            </w:pPr>
            <w:r>
              <w:rPr>
                <w:sz w:val="20"/>
              </w:rPr>
              <w:t>$</w:t>
            </w:r>
            <w:r>
              <w:rPr>
                <w:spacing w:val="50"/>
                <w:sz w:val="20"/>
              </w:rPr>
              <w:t xml:space="preserve"> </w:t>
            </w:r>
            <w:r>
              <w:rPr>
                <w:spacing w:val="-2"/>
                <w:sz w:val="20"/>
              </w:rPr>
              <w:t>49,118</w:t>
            </w:r>
          </w:p>
        </w:tc>
        <w:tc>
          <w:tcPr>
            <w:tcW w:w="302" w:type="dxa"/>
            <w:tcBorders>
              <w:bottom w:val="single" w:sz="18" w:space="0" w:color="000000"/>
            </w:tcBorders>
          </w:tcPr>
          <w:p w14:paraId="3AF62C10" w14:textId="77777777" w:rsidR="00AE2255" w:rsidRDefault="00AE2255">
            <w:pPr>
              <w:pStyle w:val="TableParagraph"/>
              <w:spacing w:before="0"/>
              <w:jc w:val="left"/>
              <w:rPr>
                <w:sz w:val="18"/>
              </w:rPr>
            </w:pPr>
          </w:p>
        </w:tc>
        <w:tc>
          <w:tcPr>
            <w:tcW w:w="1170" w:type="dxa"/>
            <w:tcBorders>
              <w:bottom w:val="single" w:sz="18" w:space="0" w:color="000000"/>
            </w:tcBorders>
          </w:tcPr>
          <w:p w14:paraId="1105318A" w14:textId="77777777" w:rsidR="00AE2255" w:rsidRDefault="00000000">
            <w:pPr>
              <w:pStyle w:val="TableParagraph"/>
              <w:spacing w:line="217" w:lineRule="exact"/>
              <w:ind w:left="79"/>
              <w:jc w:val="left"/>
              <w:rPr>
                <w:sz w:val="20"/>
              </w:rPr>
            </w:pPr>
            <w:r>
              <w:rPr>
                <w:sz w:val="20"/>
              </w:rPr>
              <w:t>$</w:t>
            </w:r>
            <w:r>
              <w:rPr>
                <w:spacing w:val="50"/>
                <w:sz w:val="20"/>
              </w:rPr>
              <w:t xml:space="preserve"> </w:t>
            </w:r>
            <w:r>
              <w:rPr>
                <w:spacing w:val="-2"/>
                <w:sz w:val="20"/>
              </w:rPr>
              <w:t>56,551</w:t>
            </w:r>
          </w:p>
        </w:tc>
      </w:tr>
    </w:tbl>
    <w:p w14:paraId="2D71D6C2" w14:textId="77777777" w:rsidR="00AE2255" w:rsidRDefault="00AE2255">
      <w:pPr>
        <w:pStyle w:val="BodyText"/>
      </w:pPr>
    </w:p>
    <w:p w14:paraId="0348927E" w14:textId="77777777" w:rsidR="00AE2255" w:rsidRDefault="00000000">
      <w:pPr>
        <w:pStyle w:val="BodyText"/>
        <w:ind w:left="970"/>
        <w:jc w:val="both"/>
      </w:pPr>
      <w:r>
        <w:t>Aeronautics’</w:t>
      </w:r>
      <w:r>
        <w:rPr>
          <w:spacing w:val="19"/>
        </w:rPr>
        <w:t xml:space="preserve"> </w:t>
      </w:r>
      <w:r>
        <w:t>net</w:t>
      </w:r>
      <w:r>
        <w:rPr>
          <w:spacing w:val="20"/>
        </w:rPr>
        <w:t xml:space="preserve"> </w:t>
      </w:r>
      <w:r>
        <w:t>sales</w:t>
      </w:r>
      <w:r>
        <w:rPr>
          <w:spacing w:val="19"/>
        </w:rPr>
        <w:t xml:space="preserve"> </w:t>
      </w:r>
      <w:r>
        <w:t>in</w:t>
      </w:r>
      <w:r>
        <w:rPr>
          <w:spacing w:val="20"/>
        </w:rPr>
        <w:t xml:space="preserve"> </w:t>
      </w:r>
      <w:r>
        <w:t>2022</w:t>
      </w:r>
      <w:r>
        <w:rPr>
          <w:spacing w:val="19"/>
        </w:rPr>
        <w:t xml:space="preserve"> </w:t>
      </w:r>
      <w:r>
        <w:t>increased</w:t>
      </w:r>
      <w:r>
        <w:rPr>
          <w:spacing w:val="20"/>
        </w:rPr>
        <w:t xml:space="preserve"> </w:t>
      </w:r>
      <w:r>
        <w:t>$239</w:t>
      </w:r>
      <w:r>
        <w:rPr>
          <w:spacing w:val="20"/>
        </w:rPr>
        <w:t xml:space="preserve"> </w:t>
      </w:r>
      <w:r>
        <w:t>million,</w:t>
      </w:r>
      <w:r>
        <w:rPr>
          <w:spacing w:val="19"/>
        </w:rPr>
        <w:t xml:space="preserve"> </w:t>
      </w:r>
      <w:r>
        <w:t>or</w:t>
      </w:r>
      <w:r>
        <w:rPr>
          <w:spacing w:val="20"/>
        </w:rPr>
        <w:t xml:space="preserve"> </w:t>
      </w:r>
      <w:r>
        <w:t>1%,</w:t>
      </w:r>
      <w:r>
        <w:rPr>
          <w:spacing w:val="19"/>
        </w:rPr>
        <w:t xml:space="preserve"> </w:t>
      </w:r>
      <w:r>
        <w:t>compared</w:t>
      </w:r>
      <w:r>
        <w:rPr>
          <w:spacing w:val="20"/>
        </w:rPr>
        <w:t xml:space="preserve"> </w:t>
      </w:r>
      <w:r>
        <w:t>to</w:t>
      </w:r>
      <w:r>
        <w:rPr>
          <w:spacing w:val="20"/>
        </w:rPr>
        <w:t xml:space="preserve"> </w:t>
      </w:r>
      <w:r>
        <w:t>2021.</w:t>
      </w:r>
      <w:r>
        <w:rPr>
          <w:spacing w:val="19"/>
        </w:rPr>
        <w:t xml:space="preserve"> </w:t>
      </w:r>
      <w:r>
        <w:t>Net</w:t>
      </w:r>
      <w:r>
        <w:rPr>
          <w:spacing w:val="20"/>
        </w:rPr>
        <w:t xml:space="preserve"> </w:t>
      </w:r>
      <w:r>
        <w:t>sales</w:t>
      </w:r>
      <w:r>
        <w:rPr>
          <w:spacing w:val="19"/>
        </w:rPr>
        <w:t xml:space="preserve"> </w:t>
      </w:r>
      <w:r>
        <w:t>increased</w:t>
      </w:r>
      <w:r>
        <w:rPr>
          <w:spacing w:val="20"/>
        </w:rPr>
        <w:t xml:space="preserve"> </w:t>
      </w:r>
      <w:r>
        <w:t>by</w:t>
      </w:r>
      <w:r>
        <w:rPr>
          <w:spacing w:val="20"/>
        </w:rPr>
        <w:t xml:space="preserve"> </w:t>
      </w:r>
      <w:r>
        <w:rPr>
          <w:spacing w:val="-2"/>
        </w:rPr>
        <w:t>approximately</w:t>
      </w:r>
    </w:p>
    <w:p w14:paraId="1228A03A" w14:textId="77777777" w:rsidR="00AE2255" w:rsidRDefault="00000000">
      <w:pPr>
        <w:pStyle w:val="BodyText"/>
        <w:spacing w:before="10" w:line="249" w:lineRule="auto"/>
        <w:ind w:left="610" w:right="428"/>
        <w:jc w:val="both"/>
      </w:pPr>
      <w:r>
        <w:t>$375 million on classified contracts primarily due to higher volume; about $80 million for the F-22 program due to higher net favorable</w:t>
      </w:r>
      <w:r>
        <w:rPr>
          <w:spacing w:val="-3"/>
        </w:rPr>
        <w:t xml:space="preserve"> </w:t>
      </w:r>
      <w:r>
        <w:t>profit</w:t>
      </w:r>
      <w:r>
        <w:rPr>
          <w:spacing w:val="-3"/>
        </w:rPr>
        <w:t xml:space="preserve"> </w:t>
      </w:r>
      <w:r>
        <w:t>adjustments;</w:t>
      </w:r>
      <w:r>
        <w:rPr>
          <w:spacing w:val="-3"/>
        </w:rPr>
        <w:t xml:space="preserve"> </w:t>
      </w:r>
      <w:r>
        <w:t>and</w:t>
      </w:r>
      <w:r>
        <w:rPr>
          <w:spacing w:val="-3"/>
        </w:rPr>
        <w:t xml:space="preserve"> </w:t>
      </w:r>
      <w:r>
        <w:t>approximately</w:t>
      </w:r>
      <w:r>
        <w:rPr>
          <w:spacing w:val="-3"/>
        </w:rPr>
        <w:t xml:space="preserve"> </w:t>
      </w:r>
      <w:r>
        <w:t>$55</w:t>
      </w:r>
      <w:r>
        <w:rPr>
          <w:spacing w:val="-3"/>
        </w:rPr>
        <w:t xml:space="preserve"> </w:t>
      </w:r>
      <w:r>
        <w:t>million</w:t>
      </w:r>
      <w:r>
        <w:rPr>
          <w:spacing w:val="-3"/>
        </w:rPr>
        <w:t xml:space="preserve"> </w:t>
      </w:r>
      <w:r>
        <w:t>for</w:t>
      </w:r>
      <w:r>
        <w:rPr>
          <w:spacing w:val="-3"/>
        </w:rPr>
        <w:t xml:space="preserve"> </w:t>
      </w:r>
      <w:r>
        <w:t>the</w:t>
      </w:r>
      <w:r>
        <w:rPr>
          <w:spacing w:val="-3"/>
        </w:rPr>
        <w:t xml:space="preserve"> </w:t>
      </w:r>
      <w:r>
        <w:t>F-16</w:t>
      </w:r>
      <w:r>
        <w:rPr>
          <w:spacing w:val="-3"/>
        </w:rPr>
        <w:t xml:space="preserve"> </w:t>
      </w:r>
      <w:r>
        <w:t>program</w:t>
      </w:r>
      <w:r>
        <w:rPr>
          <w:spacing w:val="-3"/>
        </w:rPr>
        <w:t xml:space="preserve"> </w:t>
      </w:r>
      <w:r>
        <w:t>due</w:t>
      </w:r>
      <w:r>
        <w:rPr>
          <w:spacing w:val="-3"/>
        </w:rPr>
        <w:t xml:space="preserve"> </w:t>
      </w:r>
      <w:r>
        <w:t>to</w:t>
      </w:r>
      <w:r>
        <w:rPr>
          <w:spacing w:val="-3"/>
        </w:rPr>
        <w:t xml:space="preserve"> </w:t>
      </w:r>
      <w:r>
        <w:t>higher</w:t>
      </w:r>
      <w:r>
        <w:rPr>
          <w:spacing w:val="-3"/>
        </w:rPr>
        <w:t xml:space="preserve"> </w:t>
      </w:r>
      <w:r>
        <w:t>volume</w:t>
      </w:r>
      <w:r>
        <w:rPr>
          <w:spacing w:val="-3"/>
        </w:rPr>
        <w:t xml:space="preserve"> </w:t>
      </w:r>
      <w:r>
        <w:t>on</w:t>
      </w:r>
      <w:r>
        <w:rPr>
          <w:spacing w:val="-3"/>
        </w:rPr>
        <w:t xml:space="preserve"> </w:t>
      </w:r>
      <w:r>
        <w:t>production</w:t>
      </w:r>
      <w:r>
        <w:rPr>
          <w:spacing w:val="-3"/>
        </w:rPr>
        <w:t xml:space="preserve"> </w:t>
      </w:r>
      <w:r>
        <w:t>contracts that was partially offset by lower volume on sustainment contracts and unfavorable profit adjustments on a production contract and modernization contracts. These increases were partially offset by a decrease of about $310 million for the F-35 program</w:t>
      </w:r>
      <w:r>
        <w:rPr>
          <w:spacing w:val="40"/>
        </w:rPr>
        <w:t xml:space="preserve"> </w:t>
      </w:r>
      <w:r>
        <w:t>due to lower volume and favorable profit adjustments on sustainment and production contracts that were partially offset by higher volume on development contracts.</w:t>
      </w:r>
    </w:p>
    <w:p w14:paraId="3B978A3E" w14:textId="77777777" w:rsidR="00AE2255" w:rsidRDefault="00AE2255">
      <w:pPr>
        <w:pStyle w:val="BodyText"/>
        <w:spacing w:before="9"/>
        <w:rPr>
          <w:sz w:val="17"/>
        </w:rPr>
      </w:pPr>
    </w:p>
    <w:p w14:paraId="3F9F4DB5" w14:textId="77777777" w:rsidR="00AE2255" w:rsidRDefault="00000000">
      <w:pPr>
        <w:pStyle w:val="BodyText"/>
        <w:spacing w:line="249" w:lineRule="auto"/>
        <w:ind w:left="610" w:right="429" w:firstLine="360"/>
        <w:jc w:val="both"/>
      </w:pPr>
      <w:r>
        <w:t>Aeronautics’ operating profit in 2022 increased $67 million, or 2%, compared to 2021. Operating profit increased approximately $145 million on classified contracts primarily due to lower unfavorable profit adjustments on a classified program ($45 million in 2022 compared to $225 million in 2021) that were partially offset by lower favorable profit adjustments; and about $100 million for the F-22 program due to higher net favorable profit adjustments. These increases were partially offset by lower operating profit of approximately $110 million for the F-16 program due to unfavorable profit adjustments in 2022 on a production contract and modernization contracts; and about $80 million for the F-35 program due to lower net favorable profit adjustments on production and sustainment contracts and volume on sustainment contracts. Net favorable profit booking rate adjustments were $30 million higher in 2022 compared to 2021.</w:t>
      </w:r>
    </w:p>
    <w:p w14:paraId="5D74E2C8" w14:textId="77777777" w:rsidR="00AE2255" w:rsidRDefault="00AE2255">
      <w:pPr>
        <w:pStyle w:val="BodyText"/>
        <w:rPr>
          <w:sz w:val="18"/>
        </w:rPr>
      </w:pPr>
    </w:p>
    <w:p w14:paraId="682CFE2D" w14:textId="77777777" w:rsidR="00AE2255" w:rsidRDefault="00000000">
      <w:pPr>
        <w:ind w:left="610"/>
        <w:rPr>
          <w:i/>
          <w:sz w:val="20"/>
        </w:rPr>
      </w:pPr>
      <w:r>
        <w:rPr>
          <w:i/>
          <w:spacing w:val="-2"/>
          <w:sz w:val="20"/>
        </w:rPr>
        <w:t>Backlog</w:t>
      </w:r>
    </w:p>
    <w:p w14:paraId="211FF74A" w14:textId="77777777" w:rsidR="00AE2255" w:rsidRDefault="00AE2255">
      <w:pPr>
        <w:pStyle w:val="BodyText"/>
        <w:spacing w:before="8"/>
        <w:rPr>
          <w:i/>
          <w:sz w:val="18"/>
        </w:rPr>
      </w:pPr>
    </w:p>
    <w:p w14:paraId="625E9DC9" w14:textId="77777777" w:rsidR="00AE2255" w:rsidRDefault="00000000">
      <w:pPr>
        <w:pStyle w:val="BodyText"/>
        <w:spacing w:line="232" w:lineRule="auto"/>
        <w:ind w:left="610" w:right="430" w:firstLine="360"/>
      </w:pPr>
      <w:r>
        <w:t>Backlog</w:t>
      </w:r>
      <w:r>
        <w:rPr>
          <w:spacing w:val="-2"/>
        </w:rPr>
        <w:t xml:space="preserve"> </w:t>
      </w:r>
      <w:r>
        <w:t>increased</w:t>
      </w:r>
      <w:r>
        <w:rPr>
          <w:spacing w:val="-2"/>
        </w:rPr>
        <w:t xml:space="preserve"> </w:t>
      </w:r>
      <w:r>
        <w:t>in</w:t>
      </w:r>
      <w:r>
        <w:rPr>
          <w:spacing w:val="-2"/>
        </w:rPr>
        <w:t xml:space="preserve"> </w:t>
      </w:r>
      <w:r>
        <w:t>2022</w:t>
      </w:r>
      <w:r>
        <w:rPr>
          <w:spacing w:val="-2"/>
        </w:rPr>
        <w:t xml:space="preserve"> </w:t>
      </w:r>
      <w:r>
        <w:t>compared</w:t>
      </w:r>
      <w:r>
        <w:rPr>
          <w:spacing w:val="-2"/>
        </w:rPr>
        <w:t xml:space="preserve"> </w:t>
      </w:r>
      <w:r>
        <w:t>to</w:t>
      </w:r>
      <w:r>
        <w:rPr>
          <w:spacing w:val="-2"/>
        </w:rPr>
        <w:t xml:space="preserve"> </w:t>
      </w:r>
      <w:r>
        <w:t>2021</w:t>
      </w:r>
      <w:r>
        <w:rPr>
          <w:spacing w:val="-2"/>
        </w:rPr>
        <w:t xml:space="preserve"> </w:t>
      </w:r>
      <w:r>
        <w:t>primarily</w:t>
      </w:r>
      <w:r>
        <w:rPr>
          <w:spacing w:val="-2"/>
        </w:rPr>
        <w:t xml:space="preserve"> </w:t>
      </w:r>
      <w:r>
        <w:t>due</w:t>
      </w:r>
      <w:r>
        <w:rPr>
          <w:spacing w:val="-3"/>
        </w:rPr>
        <w:t xml:space="preserve"> </w:t>
      </w:r>
      <w:r>
        <w:t>to</w:t>
      </w:r>
      <w:r>
        <w:rPr>
          <w:spacing w:val="-2"/>
        </w:rPr>
        <w:t xml:space="preserve"> </w:t>
      </w:r>
      <w:r>
        <w:t>the</w:t>
      </w:r>
      <w:r>
        <w:rPr>
          <w:spacing w:val="-3"/>
        </w:rPr>
        <w:t xml:space="preserve"> </w:t>
      </w:r>
      <w:r>
        <w:t>delay</w:t>
      </w:r>
      <w:r>
        <w:rPr>
          <w:spacing w:val="-2"/>
        </w:rPr>
        <w:t xml:space="preserve"> </w:t>
      </w:r>
      <w:r>
        <w:t>of</w:t>
      </w:r>
      <w:r>
        <w:rPr>
          <w:spacing w:val="-2"/>
        </w:rPr>
        <w:t xml:space="preserve"> </w:t>
      </w:r>
      <w:r>
        <w:t>F-35</w:t>
      </w:r>
      <w:r>
        <w:rPr>
          <w:spacing w:val="-2"/>
        </w:rPr>
        <w:t xml:space="preserve"> </w:t>
      </w:r>
      <w:r>
        <w:t>Lot</w:t>
      </w:r>
      <w:r>
        <w:rPr>
          <w:spacing w:val="-3"/>
        </w:rPr>
        <w:t xml:space="preserve"> </w:t>
      </w:r>
      <w:r>
        <w:t>15</w:t>
      </w:r>
      <w:r>
        <w:rPr>
          <w:spacing w:val="-2"/>
        </w:rPr>
        <w:t xml:space="preserve"> </w:t>
      </w:r>
      <w:r>
        <w:t>award</w:t>
      </w:r>
      <w:r>
        <w:rPr>
          <w:spacing w:val="-2"/>
        </w:rPr>
        <w:t xml:space="preserve"> </w:t>
      </w:r>
      <w:r>
        <w:t>from</w:t>
      </w:r>
      <w:r>
        <w:rPr>
          <w:spacing w:val="-3"/>
        </w:rPr>
        <w:t xml:space="preserve"> </w:t>
      </w:r>
      <w:r>
        <w:t>2021</w:t>
      </w:r>
      <w:r>
        <w:rPr>
          <w:spacing w:val="-2"/>
        </w:rPr>
        <w:t xml:space="preserve"> </w:t>
      </w:r>
      <w:r>
        <w:t>to</w:t>
      </w:r>
      <w:r>
        <w:rPr>
          <w:spacing w:val="-2"/>
        </w:rPr>
        <w:t xml:space="preserve"> </w:t>
      </w:r>
      <w:r>
        <w:t>2022</w:t>
      </w:r>
      <w:r>
        <w:rPr>
          <w:spacing w:val="-2"/>
        </w:rPr>
        <w:t xml:space="preserve"> </w:t>
      </w:r>
      <w:r>
        <w:t>and</w:t>
      </w:r>
      <w:r>
        <w:rPr>
          <w:spacing w:val="-2"/>
        </w:rPr>
        <w:t xml:space="preserve"> </w:t>
      </w:r>
      <w:r>
        <w:t>the award of the F-35 Lot 16 contract in December 2022.</w:t>
      </w:r>
    </w:p>
    <w:p w14:paraId="62D801EF" w14:textId="77777777" w:rsidR="00AE2255" w:rsidRDefault="00AE2255">
      <w:pPr>
        <w:spacing w:line="232" w:lineRule="auto"/>
        <w:sectPr w:rsidR="00AE2255">
          <w:pgSz w:w="12240" w:h="15840"/>
          <w:pgMar w:top="440" w:right="560" w:bottom="720" w:left="380" w:header="230" w:footer="531" w:gutter="0"/>
          <w:cols w:space="720"/>
        </w:sectPr>
      </w:pPr>
    </w:p>
    <w:p w14:paraId="13CF0678" w14:textId="77777777" w:rsidR="00AE2255" w:rsidRDefault="00AE2255">
      <w:pPr>
        <w:pStyle w:val="BodyText"/>
        <w:spacing w:before="7"/>
        <w:rPr>
          <w:sz w:val="22"/>
        </w:rPr>
      </w:pPr>
    </w:p>
    <w:p w14:paraId="0837D881" w14:textId="77777777" w:rsidR="00AE2255" w:rsidRDefault="00000000">
      <w:pPr>
        <w:pStyle w:val="Heading2"/>
        <w:spacing w:before="92"/>
        <w:jc w:val="both"/>
      </w:pPr>
      <w:r>
        <w:t>Missiles</w:t>
      </w:r>
      <w:r>
        <w:rPr>
          <w:spacing w:val="-5"/>
        </w:rPr>
        <w:t xml:space="preserve"> </w:t>
      </w:r>
      <w:r>
        <w:t>and</w:t>
      </w:r>
      <w:r>
        <w:rPr>
          <w:spacing w:val="-5"/>
        </w:rPr>
        <w:t xml:space="preserve"> </w:t>
      </w:r>
      <w:r>
        <w:t>Fire</w:t>
      </w:r>
      <w:r>
        <w:rPr>
          <w:spacing w:val="-4"/>
        </w:rPr>
        <w:t xml:space="preserve"> </w:t>
      </w:r>
      <w:r>
        <w:rPr>
          <w:spacing w:val="-2"/>
        </w:rPr>
        <w:t>Control</w:t>
      </w:r>
    </w:p>
    <w:p w14:paraId="61797519" w14:textId="77777777" w:rsidR="00AE2255" w:rsidRDefault="00AE2255">
      <w:pPr>
        <w:pStyle w:val="BodyText"/>
        <w:spacing w:before="1"/>
        <w:rPr>
          <w:b/>
        </w:rPr>
      </w:pPr>
    </w:p>
    <w:p w14:paraId="0B8E2EAE" w14:textId="77777777" w:rsidR="00AE2255" w:rsidRDefault="00000000">
      <w:pPr>
        <w:pStyle w:val="BodyText"/>
        <w:spacing w:line="216" w:lineRule="auto"/>
        <w:ind w:left="610" w:right="428" w:firstLine="360"/>
        <w:jc w:val="both"/>
      </w:pPr>
      <w:r>
        <w:t>Our MFC business segment provides air and missile defense systems; tactical missiles and air-to-ground precision strike weapon systems; logistics; fire control systems; mission operations support, readiness, engineering support and integration services;</w:t>
      </w:r>
      <w:r>
        <w:rPr>
          <w:spacing w:val="11"/>
        </w:rPr>
        <w:t xml:space="preserve"> </w:t>
      </w:r>
      <w:r>
        <w:t>manned</w:t>
      </w:r>
      <w:r>
        <w:rPr>
          <w:spacing w:val="12"/>
        </w:rPr>
        <w:t xml:space="preserve"> </w:t>
      </w:r>
      <w:r>
        <w:t>and</w:t>
      </w:r>
      <w:r>
        <w:rPr>
          <w:spacing w:val="12"/>
        </w:rPr>
        <w:t xml:space="preserve"> </w:t>
      </w:r>
      <w:r>
        <w:t>unmanned</w:t>
      </w:r>
      <w:r>
        <w:rPr>
          <w:spacing w:val="11"/>
        </w:rPr>
        <w:t xml:space="preserve"> </w:t>
      </w:r>
      <w:r>
        <w:t>ground</w:t>
      </w:r>
      <w:r>
        <w:rPr>
          <w:spacing w:val="12"/>
        </w:rPr>
        <w:t xml:space="preserve"> </w:t>
      </w:r>
      <w:r>
        <w:t>vehicles;</w:t>
      </w:r>
      <w:r>
        <w:rPr>
          <w:spacing w:val="12"/>
        </w:rPr>
        <w:t xml:space="preserve"> </w:t>
      </w:r>
      <w:r>
        <w:t>and</w:t>
      </w:r>
      <w:r>
        <w:rPr>
          <w:spacing w:val="11"/>
        </w:rPr>
        <w:t xml:space="preserve"> </w:t>
      </w:r>
      <w:r>
        <w:t>energy</w:t>
      </w:r>
      <w:r>
        <w:rPr>
          <w:spacing w:val="12"/>
        </w:rPr>
        <w:t xml:space="preserve"> </w:t>
      </w:r>
      <w:r>
        <w:t>management</w:t>
      </w:r>
      <w:r>
        <w:rPr>
          <w:spacing w:val="12"/>
        </w:rPr>
        <w:t xml:space="preserve"> </w:t>
      </w:r>
      <w:r>
        <w:t>solutions.</w:t>
      </w:r>
      <w:r>
        <w:rPr>
          <w:spacing w:val="11"/>
        </w:rPr>
        <w:t xml:space="preserve"> </w:t>
      </w:r>
      <w:r>
        <w:t>MFC’s</w:t>
      </w:r>
      <w:r>
        <w:rPr>
          <w:spacing w:val="12"/>
        </w:rPr>
        <w:t xml:space="preserve"> </w:t>
      </w:r>
      <w:r>
        <w:t>major</w:t>
      </w:r>
      <w:r>
        <w:rPr>
          <w:spacing w:val="12"/>
        </w:rPr>
        <w:t xml:space="preserve"> </w:t>
      </w:r>
      <w:r>
        <w:t>programs</w:t>
      </w:r>
      <w:r>
        <w:rPr>
          <w:spacing w:val="11"/>
        </w:rPr>
        <w:t xml:space="preserve"> </w:t>
      </w:r>
      <w:r>
        <w:t>include</w:t>
      </w:r>
      <w:r>
        <w:rPr>
          <w:spacing w:val="12"/>
        </w:rPr>
        <w:t xml:space="preserve"> </w:t>
      </w:r>
      <w:r>
        <w:t>PAC</w:t>
      </w:r>
      <w:r>
        <w:rPr>
          <w:rFonts w:ascii="Arial Unicode MS" w:hAnsi="Arial Unicode MS"/>
        </w:rPr>
        <w:t>-</w:t>
      </w:r>
      <w:r>
        <w:rPr>
          <w:spacing w:val="-5"/>
        </w:rPr>
        <w:t>3,</w:t>
      </w:r>
    </w:p>
    <w:p w14:paraId="68A18095" w14:textId="77777777" w:rsidR="00AE2255" w:rsidRDefault="00000000">
      <w:pPr>
        <w:pStyle w:val="BodyText"/>
        <w:spacing w:line="174" w:lineRule="exact"/>
        <w:ind w:left="610"/>
        <w:jc w:val="both"/>
      </w:pPr>
      <w:r>
        <w:t>THAAD,</w:t>
      </w:r>
      <w:r>
        <w:rPr>
          <w:spacing w:val="31"/>
        </w:rPr>
        <w:t xml:space="preserve"> </w:t>
      </w:r>
      <w:r>
        <w:t>Multiple</w:t>
      </w:r>
      <w:r>
        <w:rPr>
          <w:spacing w:val="34"/>
        </w:rPr>
        <w:t xml:space="preserve"> </w:t>
      </w:r>
      <w:r>
        <w:t>Launch</w:t>
      </w:r>
      <w:r>
        <w:rPr>
          <w:spacing w:val="34"/>
        </w:rPr>
        <w:t xml:space="preserve"> </w:t>
      </w:r>
      <w:r>
        <w:t>Rocket</w:t>
      </w:r>
      <w:r>
        <w:rPr>
          <w:spacing w:val="34"/>
        </w:rPr>
        <w:t xml:space="preserve"> </w:t>
      </w:r>
      <w:r>
        <w:t>System</w:t>
      </w:r>
      <w:r>
        <w:rPr>
          <w:spacing w:val="33"/>
        </w:rPr>
        <w:t xml:space="preserve"> </w:t>
      </w:r>
      <w:r>
        <w:t>(MLRS),</w:t>
      </w:r>
      <w:r>
        <w:rPr>
          <w:spacing w:val="34"/>
        </w:rPr>
        <w:t xml:space="preserve"> </w:t>
      </w:r>
      <w:r>
        <w:t>Hellfire,</w:t>
      </w:r>
      <w:r>
        <w:rPr>
          <w:spacing w:val="34"/>
        </w:rPr>
        <w:t xml:space="preserve"> </w:t>
      </w:r>
      <w:r>
        <w:t>Joint</w:t>
      </w:r>
      <w:r>
        <w:rPr>
          <w:spacing w:val="34"/>
        </w:rPr>
        <w:t xml:space="preserve"> </w:t>
      </w:r>
      <w:r>
        <w:t>Air-to-Surface</w:t>
      </w:r>
      <w:r>
        <w:rPr>
          <w:spacing w:val="33"/>
        </w:rPr>
        <w:t xml:space="preserve"> </w:t>
      </w:r>
      <w:r>
        <w:t>Standoff</w:t>
      </w:r>
      <w:r>
        <w:rPr>
          <w:spacing w:val="34"/>
        </w:rPr>
        <w:t xml:space="preserve"> </w:t>
      </w:r>
      <w:r>
        <w:t>Missile</w:t>
      </w:r>
      <w:r>
        <w:rPr>
          <w:spacing w:val="34"/>
        </w:rPr>
        <w:t xml:space="preserve"> </w:t>
      </w:r>
      <w:r>
        <w:t>(JASSM),</w:t>
      </w:r>
      <w:r>
        <w:rPr>
          <w:spacing w:val="34"/>
        </w:rPr>
        <w:t xml:space="preserve"> </w:t>
      </w:r>
      <w:r>
        <w:t>Apache</w:t>
      </w:r>
      <w:r>
        <w:rPr>
          <w:spacing w:val="34"/>
        </w:rPr>
        <w:t xml:space="preserve"> </w:t>
      </w:r>
      <w:r>
        <w:rPr>
          <w:spacing w:val="-4"/>
        </w:rPr>
        <w:t>fire</w:t>
      </w:r>
    </w:p>
    <w:p w14:paraId="16CEB6E3" w14:textId="77777777" w:rsidR="00AE2255" w:rsidRDefault="00000000">
      <w:pPr>
        <w:pStyle w:val="BodyText"/>
        <w:ind w:left="610" w:right="430"/>
        <w:jc w:val="both"/>
      </w:pPr>
      <w:r>
        <w:t>control system, Sniper Advanced Targeting Pod (SNIPER</w:t>
      </w:r>
      <w:r>
        <w:rPr>
          <w:vertAlign w:val="superscript"/>
        </w:rPr>
        <w:t>®</w:t>
      </w:r>
      <w:r>
        <w:t>), Infrared Search and Track (IRST21</w:t>
      </w:r>
      <w:r>
        <w:rPr>
          <w:vertAlign w:val="superscript"/>
        </w:rPr>
        <w:t>®</w:t>
      </w:r>
      <w:r>
        <w:t>) and Special Operations Forces Global Logistics Support Services (SOF GLSS). MFC’s operating results included the following (in millions):</w:t>
      </w:r>
    </w:p>
    <w:p w14:paraId="134AE561" w14:textId="77777777" w:rsidR="00AE2255" w:rsidRDefault="00AE2255">
      <w:pPr>
        <w:pStyle w:val="BodyText"/>
        <w:spacing w:before="9"/>
        <w:rPr>
          <w:sz w:val="29"/>
        </w:rPr>
      </w:pPr>
    </w:p>
    <w:tbl>
      <w:tblPr>
        <w:tblW w:w="0" w:type="auto"/>
        <w:tblInd w:w="617" w:type="dxa"/>
        <w:tblLayout w:type="fixed"/>
        <w:tblCellMar>
          <w:left w:w="0" w:type="dxa"/>
          <w:right w:w="0" w:type="dxa"/>
        </w:tblCellMar>
        <w:tblLook w:val="01E0" w:firstRow="1" w:lastRow="1" w:firstColumn="1" w:lastColumn="1" w:noHBand="0" w:noVBand="0"/>
      </w:tblPr>
      <w:tblGrid>
        <w:gridCol w:w="4187"/>
        <w:gridCol w:w="3358"/>
        <w:gridCol w:w="318"/>
        <w:gridCol w:w="898"/>
        <w:gridCol w:w="302"/>
        <w:gridCol w:w="1170"/>
      </w:tblGrid>
      <w:tr w:rsidR="00AE2255" w14:paraId="6D7CA939" w14:textId="77777777">
        <w:trPr>
          <w:trHeight w:val="241"/>
        </w:trPr>
        <w:tc>
          <w:tcPr>
            <w:tcW w:w="4187" w:type="dxa"/>
            <w:tcBorders>
              <w:bottom w:val="single" w:sz="8" w:space="0" w:color="auto"/>
            </w:tcBorders>
          </w:tcPr>
          <w:p w14:paraId="3B4E7595" w14:textId="77777777" w:rsidR="00AE2255" w:rsidRDefault="00AE2255">
            <w:pPr>
              <w:pStyle w:val="TableParagraph"/>
              <w:spacing w:before="0"/>
              <w:jc w:val="left"/>
              <w:rPr>
                <w:sz w:val="16"/>
              </w:rPr>
            </w:pPr>
          </w:p>
        </w:tc>
        <w:tc>
          <w:tcPr>
            <w:tcW w:w="3358" w:type="dxa"/>
            <w:tcBorders>
              <w:bottom w:val="single" w:sz="8" w:space="0" w:color="auto"/>
            </w:tcBorders>
          </w:tcPr>
          <w:p w14:paraId="4C01A993" w14:textId="77777777" w:rsidR="00AE2255" w:rsidRDefault="00000000">
            <w:pPr>
              <w:pStyle w:val="TableParagraph"/>
              <w:spacing w:before="0" w:line="221" w:lineRule="exact"/>
              <w:ind w:right="50"/>
              <w:rPr>
                <w:b/>
                <w:sz w:val="20"/>
              </w:rPr>
            </w:pPr>
            <w:r>
              <w:rPr>
                <w:b/>
                <w:spacing w:val="-4"/>
                <w:sz w:val="20"/>
              </w:rPr>
              <w:t>2022</w:t>
            </w:r>
          </w:p>
        </w:tc>
        <w:tc>
          <w:tcPr>
            <w:tcW w:w="318" w:type="dxa"/>
            <w:tcBorders>
              <w:bottom w:val="single" w:sz="8" w:space="0" w:color="auto"/>
            </w:tcBorders>
          </w:tcPr>
          <w:p w14:paraId="76D33B13" w14:textId="77777777" w:rsidR="00AE2255" w:rsidRDefault="00AE2255">
            <w:pPr>
              <w:pStyle w:val="TableParagraph"/>
              <w:spacing w:before="0"/>
              <w:jc w:val="left"/>
              <w:rPr>
                <w:sz w:val="16"/>
              </w:rPr>
            </w:pPr>
          </w:p>
        </w:tc>
        <w:tc>
          <w:tcPr>
            <w:tcW w:w="898" w:type="dxa"/>
            <w:tcBorders>
              <w:bottom w:val="single" w:sz="8" w:space="0" w:color="auto"/>
            </w:tcBorders>
          </w:tcPr>
          <w:p w14:paraId="208E3D78" w14:textId="77777777" w:rsidR="00AE2255" w:rsidRDefault="00000000">
            <w:pPr>
              <w:pStyle w:val="TableParagraph"/>
              <w:spacing w:before="0" w:line="221" w:lineRule="exact"/>
              <w:ind w:right="51"/>
              <w:rPr>
                <w:b/>
                <w:sz w:val="20"/>
              </w:rPr>
            </w:pPr>
            <w:r>
              <w:rPr>
                <w:b/>
                <w:spacing w:val="-4"/>
                <w:sz w:val="20"/>
              </w:rPr>
              <w:t>2021</w:t>
            </w:r>
          </w:p>
        </w:tc>
        <w:tc>
          <w:tcPr>
            <w:tcW w:w="302" w:type="dxa"/>
            <w:tcBorders>
              <w:bottom w:val="single" w:sz="8" w:space="0" w:color="auto"/>
            </w:tcBorders>
          </w:tcPr>
          <w:p w14:paraId="0BD8D7EC" w14:textId="77777777" w:rsidR="00AE2255" w:rsidRDefault="00AE2255">
            <w:pPr>
              <w:pStyle w:val="TableParagraph"/>
              <w:spacing w:before="0"/>
              <w:jc w:val="left"/>
              <w:rPr>
                <w:sz w:val="16"/>
              </w:rPr>
            </w:pPr>
          </w:p>
        </w:tc>
        <w:tc>
          <w:tcPr>
            <w:tcW w:w="1170" w:type="dxa"/>
            <w:tcBorders>
              <w:bottom w:val="single" w:sz="8" w:space="0" w:color="auto"/>
            </w:tcBorders>
          </w:tcPr>
          <w:p w14:paraId="18E03C79" w14:textId="77777777" w:rsidR="00AE2255" w:rsidRDefault="00000000">
            <w:pPr>
              <w:pStyle w:val="TableParagraph"/>
              <w:spacing w:before="0" w:line="221" w:lineRule="exact"/>
              <w:ind w:left="459"/>
              <w:jc w:val="left"/>
              <w:rPr>
                <w:b/>
                <w:sz w:val="20"/>
              </w:rPr>
            </w:pPr>
            <w:r>
              <w:rPr>
                <w:b/>
                <w:spacing w:val="-4"/>
                <w:sz w:val="20"/>
              </w:rPr>
              <w:t>2020</w:t>
            </w:r>
          </w:p>
        </w:tc>
      </w:tr>
      <w:tr w:rsidR="00AE2255" w14:paraId="46EBF338" w14:textId="77777777">
        <w:trPr>
          <w:trHeight w:val="290"/>
        </w:trPr>
        <w:tc>
          <w:tcPr>
            <w:tcW w:w="4187" w:type="dxa"/>
            <w:tcBorders>
              <w:top w:val="single" w:sz="8" w:space="0" w:color="CCEDFF"/>
            </w:tcBorders>
            <w:shd w:val="clear" w:color="auto" w:fill="CCEDFF"/>
          </w:tcPr>
          <w:p w14:paraId="6274E38B"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sales</w:t>
            </w:r>
          </w:p>
        </w:tc>
        <w:tc>
          <w:tcPr>
            <w:tcW w:w="3358" w:type="dxa"/>
            <w:tcBorders>
              <w:top w:val="single" w:sz="8" w:space="0" w:color="CCEDFF"/>
            </w:tcBorders>
            <w:shd w:val="clear" w:color="auto" w:fill="CCEDFF"/>
          </w:tcPr>
          <w:p w14:paraId="394A44CE" w14:textId="77777777" w:rsidR="00AE2255" w:rsidRDefault="00000000">
            <w:pPr>
              <w:pStyle w:val="TableParagraph"/>
              <w:spacing w:before="30"/>
              <w:ind w:right="79"/>
              <w:rPr>
                <w:b/>
                <w:sz w:val="20"/>
              </w:rPr>
            </w:pPr>
            <w:r>
              <w:rPr>
                <w:b/>
                <w:sz w:val="20"/>
              </w:rPr>
              <w:t>$</w:t>
            </w:r>
            <w:r>
              <w:rPr>
                <w:b/>
                <w:spacing w:val="50"/>
                <w:sz w:val="20"/>
              </w:rPr>
              <w:t xml:space="preserve"> </w:t>
            </w:r>
            <w:r>
              <w:rPr>
                <w:b/>
                <w:spacing w:val="-2"/>
                <w:sz w:val="20"/>
              </w:rPr>
              <w:t>11,317</w:t>
            </w:r>
          </w:p>
        </w:tc>
        <w:tc>
          <w:tcPr>
            <w:tcW w:w="318" w:type="dxa"/>
            <w:tcBorders>
              <w:top w:val="single" w:sz="8" w:space="0" w:color="CCEDFF"/>
            </w:tcBorders>
            <w:shd w:val="clear" w:color="auto" w:fill="CCEDFF"/>
          </w:tcPr>
          <w:p w14:paraId="713E6F98" w14:textId="77777777" w:rsidR="00AE2255" w:rsidRDefault="00AE2255">
            <w:pPr>
              <w:pStyle w:val="TableParagraph"/>
              <w:spacing w:before="0"/>
              <w:jc w:val="left"/>
              <w:rPr>
                <w:sz w:val="20"/>
              </w:rPr>
            </w:pPr>
          </w:p>
        </w:tc>
        <w:tc>
          <w:tcPr>
            <w:tcW w:w="898" w:type="dxa"/>
            <w:tcBorders>
              <w:top w:val="single" w:sz="8" w:space="0" w:color="CCEDFF"/>
            </w:tcBorders>
            <w:shd w:val="clear" w:color="auto" w:fill="CCEDFF"/>
          </w:tcPr>
          <w:p w14:paraId="034C157B" w14:textId="77777777" w:rsidR="00AE2255" w:rsidRDefault="00000000">
            <w:pPr>
              <w:pStyle w:val="TableParagraph"/>
              <w:spacing w:before="30"/>
              <w:ind w:right="80"/>
              <w:rPr>
                <w:sz w:val="20"/>
              </w:rPr>
            </w:pPr>
            <w:r>
              <w:rPr>
                <w:sz w:val="20"/>
              </w:rPr>
              <w:t>$</w:t>
            </w:r>
            <w:r>
              <w:rPr>
                <w:spacing w:val="50"/>
                <w:sz w:val="20"/>
              </w:rPr>
              <w:t xml:space="preserve"> </w:t>
            </w:r>
            <w:r>
              <w:rPr>
                <w:spacing w:val="-2"/>
                <w:sz w:val="20"/>
              </w:rPr>
              <w:t>11,693</w:t>
            </w:r>
          </w:p>
        </w:tc>
        <w:tc>
          <w:tcPr>
            <w:tcW w:w="302" w:type="dxa"/>
            <w:tcBorders>
              <w:top w:val="single" w:sz="8" w:space="0" w:color="CCEDFF"/>
            </w:tcBorders>
            <w:shd w:val="clear" w:color="auto" w:fill="CCEDFF"/>
          </w:tcPr>
          <w:p w14:paraId="18E0BB85" w14:textId="77777777" w:rsidR="00AE2255" w:rsidRDefault="00AE2255">
            <w:pPr>
              <w:pStyle w:val="TableParagraph"/>
              <w:spacing w:before="0"/>
              <w:jc w:val="left"/>
              <w:rPr>
                <w:sz w:val="20"/>
              </w:rPr>
            </w:pPr>
          </w:p>
        </w:tc>
        <w:tc>
          <w:tcPr>
            <w:tcW w:w="1170" w:type="dxa"/>
            <w:tcBorders>
              <w:top w:val="single" w:sz="8" w:space="0" w:color="CCEDFF"/>
            </w:tcBorders>
            <w:shd w:val="clear" w:color="auto" w:fill="CCEDFF"/>
          </w:tcPr>
          <w:p w14:paraId="00869AC4" w14:textId="77777777" w:rsidR="00AE2255" w:rsidRDefault="00000000">
            <w:pPr>
              <w:pStyle w:val="TableParagraph"/>
              <w:spacing w:before="30"/>
              <w:ind w:left="79"/>
              <w:jc w:val="left"/>
              <w:rPr>
                <w:sz w:val="20"/>
              </w:rPr>
            </w:pPr>
            <w:r>
              <w:rPr>
                <w:sz w:val="20"/>
              </w:rPr>
              <w:t>$</w:t>
            </w:r>
            <w:r>
              <w:rPr>
                <w:spacing w:val="50"/>
                <w:sz w:val="20"/>
              </w:rPr>
              <w:t xml:space="preserve"> </w:t>
            </w:r>
            <w:r>
              <w:rPr>
                <w:spacing w:val="-2"/>
                <w:sz w:val="20"/>
              </w:rPr>
              <w:t>11,257</w:t>
            </w:r>
          </w:p>
        </w:tc>
      </w:tr>
      <w:tr w:rsidR="00AE2255" w14:paraId="2997DB49" w14:textId="77777777">
        <w:trPr>
          <w:trHeight w:val="300"/>
        </w:trPr>
        <w:tc>
          <w:tcPr>
            <w:tcW w:w="4187" w:type="dxa"/>
          </w:tcPr>
          <w:p w14:paraId="64DE9704"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profit</w:t>
            </w:r>
          </w:p>
        </w:tc>
        <w:tc>
          <w:tcPr>
            <w:tcW w:w="3358" w:type="dxa"/>
          </w:tcPr>
          <w:p w14:paraId="4A545A6E" w14:textId="77777777" w:rsidR="00AE2255" w:rsidRDefault="00000000">
            <w:pPr>
              <w:pStyle w:val="TableParagraph"/>
              <w:spacing w:before="40"/>
              <w:ind w:right="79"/>
              <w:rPr>
                <w:b/>
                <w:sz w:val="20"/>
              </w:rPr>
            </w:pPr>
            <w:r>
              <w:rPr>
                <w:b/>
                <w:spacing w:val="-2"/>
                <w:sz w:val="20"/>
              </w:rPr>
              <w:t>1,635</w:t>
            </w:r>
          </w:p>
        </w:tc>
        <w:tc>
          <w:tcPr>
            <w:tcW w:w="318" w:type="dxa"/>
          </w:tcPr>
          <w:p w14:paraId="211E0FF8" w14:textId="77777777" w:rsidR="00AE2255" w:rsidRDefault="00AE2255">
            <w:pPr>
              <w:pStyle w:val="TableParagraph"/>
              <w:spacing w:before="0"/>
              <w:jc w:val="left"/>
              <w:rPr>
                <w:sz w:val="20"/>
              </w:rPr>
            </w:pPr>
          </w:p>
        </w:tc>
        <w:tc>
          <w:tcPr>
            <w:tcW w:w="898" w:type="dxa"/>
          </w:tcPr>
          <w:p w14:paraId="1957670D" w14:textId="77777777" w:rsidR="00AE2255" w:rsidRDefault="00000000">
            <w:pPr>
              <w:pStyle w:val="TableParagraph"/>
              <w:spacing w:before="40"/>
              <w:ind w:right="80"/>
              <w:rPr>
                <w:sz w:val="20"/>
              </w:rPr>
            </w:pPr>
            <w:r>
              <w:rPr>
                <w:spacing w:val="-2"/>
                <w:sz w:val="20"/>
              </w:rPr>
              <w:t>1,648</w:t>
            </w:r>
          </w:p>
        </w:tc>
        <w:tc>
          <w:tcPr>
            <w:tcW w:w="302" w:type="dxa"/>
          </w:tcPr>
          <w:p w14:paraId="49191BEA" w14:textId="77777777" w:rsidR="00AE2255" w:rsidRDefault="00AE2255">
            <w:pPr>
              <w:pStyle w:val="TableParagraph"/>
              <w:spacing w:before="0"/>
              <w:jc w:val="left"/>
              <w:rPr>
                <w:sz w:val="20"/>
              </w:rPr>
            </w:pPr>
          </w:p>
        </w:tc>
        <w:tc>
          <w:tcPr>
            <w:tcW w:w="1170" w:type="dxa"/>
          </w:tcPr>
          <w:p w14:paraId="6350B0B4" w14:textId="77777777" w:rsidR="00AE2255" w:rsidRDefault="00000000">
            <w:pPr>
              <w:pStyle w:val="TableParagraph"/>
              <w:spacing w:before="40"/>
              <w:ind w:left="380"/>
              <w:jc w:val="left"/>
              <w:rPr>
                <w:sz w:val="20"/>
              </w:rPr>
            </w:pPr>
            <w:r>
              <w:rPr>
                <w:spacing w:val="-2"/>
                <w:sz w:val="20"/>
              </w:rPr>
              <w:t>1,545</w:t>
            </w:r>
          </w:p>
        </w:tc>
      </w:tr>
      <w:tr w:rsidR="00AE2255" w14:paraId="47CA4607" w14:textId="77777777">
        <w:trPr>
          <w:trHeight w:val="300"/>
        </w:trPr>
        <w:tc>
          <w:tcPr>
            <w:tcW w:w="4187" w:type="dxa"/>
            <w:shd w:val="clear" w:color="auto" w:fill="CCEDFF"/>
          </w:tcPr>
          <w:p w14:paraId="41C43698"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margin</w:t>
            </w:r>
          </w:p>
        </w:tc>
        <w:tc>
          <w:tcPr>
            <w:tcW w:w="3358" w:type="dxa"/>
            <w:shd w:val="clear" w:color="auto" w:fill="CCEDFF"/>
          </w:tcPr>
          <w:p w14:paraId="1F6F2C1A" w14:textId="77777777" w:rsidR="00AE2255" w:rsidRDefault="00000000">
            <w:pPr>
              <w:pStyle w:val="TableParagraph"/>
              <w:spacing w:before="40"/>
              <w:ind w:right="79"/>
              <w:rPr>
                <w:b/>
                <w:sz w:val="20"/>
              </w:rPr>
            </w:pPr>
            <w:r>
              <w:rPr>
                <w:b/>
                <w:spacing w:val="-4"/>
                <w:sz w:val="20"/>
              </w:rPr>
              <w:t>14.4</w:t>
            </w:r>
          </w:p>
        </w:tc>
        <w:tc>
          <w:tcPr>
            <w:tcW w:w="318" w:type="dxa"/>
            <w:shd w:val="clear" w:color="auto" w:fill="CCEDFF"/>
          </w:tcPr>
          <w:p w14:paraId="06FBB4D8" w14:textId="77777777" w:rsidR="00AE2255" w:rsidRDefault="00000000">
            <w:pPr>
              <w:pStyle w:val="TableParagraph"/>
              <w:spacing w:before="40"/>
              <w:ind w:left="52"/>
              <w:jc w:val="left"/>
              <w:rPr>
                <w:b/>
                <w:sz w:val="20"/>
              </w:rPr>
            </w:pPr>
            <w:r>
              <w:rPr>
                <w:b/>
                <w:sz w:val="20"/>
              </w:rPr>
              <w:t>%</w:t>
            </w:r>
          </w:p>
        </w:tc>
        <w:tc>
          <w:tcPr>
            <w:tcW w:w="898" w:type="dxa"/>
            <w:shd w:val="clear" w:color="auto" w:fill="CCEDFF"/>
          </w:tcPr>
          <w:p w14:paraId="01557C51" w14:textId="77777777" w:rsidR="00AE2255" w:rsidRDefault="00000000">
            <w:pPr>
              <w:pStyle w:val="TableParagraph"/>
              <w:spacing w:before="40"/>
              <w:ind w:right="80"/>
              <w:rPr>
                <w:sz w:val="20"/>
              </w:rPr>
            </w:pPr>
            <w:r>
              <w:rPr>
                <w:spacing w:val="-4"/>
                <w:sz w:val="20"/>
              </w:rPr>
              <w:t>14.1</w:t>
            </w:r>
          </w:p>
        </w:tc>
        <w:tc>
          <w:tcPr>
            <w:tcW w:w="302" w:type="dxa"/>
            <w:shd w:val="clear" w:color="auto" w:fill="CCEDFF"/>
          </w:tcPr>
          <w:p w14:paraId="478EEB98" w14:textId="77777777" w:rsidR="00AE2255" w:rsidRDefault="00000000">
            <w:pPr>
              <w:pStyle w:val="TableParagraph"/>
              <w:spacing w:before="40"/>
              <w:ind w:left="51"/>
              <w:jc w:val="left"/>
              <w:rPr>
                <w:sz w:val="20"/>
              </w:rPr>
            </w:pPr>
            <w:r>
              <w:rPr>
                <w:sz w:val="20"/>
              </w:rPr>
              <w:t>%</w:t>
            </w:r>
          </w:p>
        </w:tc>
        <w:tc>
          <w:tcPr>
            <w:tcW w:w="1170" w:type="dxa"/>
            <w:shd w:val="clear" w:color="auto" w:fill="CCEDFF"/>
          </w:tcPr>
          <w:p w14:paraId="50F0FA97" w14:textId="77777777" w:rsidR="00AE2255" w:rsidRDefault="00000000">
            <w:pPr>
              <w:pStyle w:val="TableParagraph"/>
              <w:spacing w:before="40"/>
              <w:ind w:left="480"/>
              <w:jc w:val="left"/>
              <w:rPr>
                <w:sz w:val="20"/>
              </w:rPr>
            </w:pPr>
            <w:r>
              <w:rPr>
                <w:sz w:val="20"/>
              </w:rPr>
              <w:t>13.7</w:t>
            </w:r>
            <w:r>
              <w:rPr>
                <w:spacing w:val="59"/>
                <w:w w:val="150"/>
                <w:sz w:val="20"/>
              </w:rPr>
              <w:t xml:space="preserve"> </w:t>
            </w:r>
            <w:r>
              <w:rPr>
                <w:spacing w:val="-10"/>
                <w:sz w:val="20"/>
              </w:rPr>
              <w:t>%</w:t>
            </w:r>
          </w:p>
        </w:tc>
      </w:tr>
      <w:tr w:rsidR="00AE2255" w14:paraId="6DC327B8" w14:textId="77777777">
        <w:trPr>
          <w:trHeight w:val="277"/>
        </w:trPr>
        <w:tc>
          <w:tcPr>
            <w:tcW w:w="4187" w:type="dxa"/>
            <w:tcBorders>
              <w:bottom w:val="single" w:sz="18" w:space="0" w:color="000000"/>
            </w:tcBorders>
          </w:tcPr>
          <w:p w14:paraId="35ED45D9" w14:textId="77777777" w:rsidR="00AE2255" w:rsidRDefault="00000000">
            <w:pPr>
              <w:pStyle w:val="TableParagraph"/>
              <w:spacing w:before="40" w:line="217" w:lineRule="exact"/>
              <w:ind w:left="52"/>
              <w:jc w:val="left"/>
              <w:rPr>
                <w:sz w:val="20"/>
              </w:rPr>
            </w:pPr>
            <w:r>
              <w:rPr>
                <w:sz w:val="20"/>
              </w:rPr>
              <w:t>Backlog</w:t>
            </w:r>
            <w:r>
              <w:rPr>
                <w:spacing w:val="-4"/>
                <w:sz w:val="20"/>
              </w:rPr>
              <w:t xml:space="preserve"> </w:t>
            </w:r>
            <w:r>
              <w:rPr>
                <w:sz w:val="20"/>
              </w:rPr>
              <w:t>at</w:t>
            </w:r>
            <w:r>
              <w:rPr>
                <w:spacing w:val="-4"/>
                <w:sz w:val="20"/>
              </w:rPr>
              <w:t xml:space="preserve"> </w:t>
            </w:r>
            <w:r>
              <w:rPr>
                <w:sz w:val="20"/>
              </w:rPr>
              <w:t>year-</w:t>
            </w:r>
            <w:r>
              <w:rPr>
                <w:spacing w:val="-5"/>
                <w:sz w:val="20"/>
              </w:rPr>
              <w:t>end</w:t>
            </w:r>
          </w:p>
        </w:tc>
        <w:tc>
          <w:tcPr>
            <w:tcW w:w="3358" w:type="dxa"/>
            <w:tcBorders>
              <w:bottom w:val="single" w:sz="18" w:space="0" w:color="000000"/>
            </w:tcBorders>
          </w:tcPr>
          <w:p w14:paraId="6A9D5E5C" w14:textId="77777777" w:rsidR="00AE2255" w:rsidRDefault="00000000">
            <w:pPr>
              <w:pStyle w:val="TableParagraph"/>
              <w:spacing w:before="40" w:line="217" w:lineRule="exact"/>
              <w:ind w:right="79"/>
              <w:rPr>
                <w:b/>
                <w:sz w:val="20"/>
              </w:rPr>
            </w:pPr>
            <w:r>
              <w:rPr>
                <w:b/>
                <w:sz w:val="20"/>
              </w:rPr>
              <w:t>$</w:t>
            </w:r>
            <w:r>
              <w:rPr>
                <w:b/>
                <w:spacing w:val="50"/>
                <w:sz w:val="20"/>
              </w:rPr>
              <w:t xml:space="preserve"> </w:t>
            </w:r>
            <w:r>
              <w:rPr>
                <w:b/>
                <w:spacing w:val="-2"/>
                <w:sz w:val="20"/>
              </w:rPr>
              <w:t>28,735</w:t>
            </w:r>
          </w:p>
        </w:tc>
        <w:tc>
          <w:tcPr>
            <w:tcW w:w="318" w:type="dxa"/>
            <w:tcBorders>
              <w:bottom w:val="single" w:sz="18" w:space="0" w:color="000000"/>
            </w:tcBorders>
          </w:tcPr>
          <w:p w14:paraId="3239E908" w14:textId="77777777" w:rsidR="00AE2255" w:rsidRDefault="00AE2255">
            <w:pPr>
              <w:pStyle w:val="TableParagraph"/>
              <w:spacing w:before="0"/>
              <w:jc w:val="left"/>
              <w:rPr>
                <w:sz w:val="20"/>
              </w:rPr>
            </w:pPr>
          </w:p>
        </w:tc>
        <w:tc>
          <w:tcPr>
            <w:tcW w:w="898" w:type="dxa"/>
            <w:tcBorders>
              <w:bottom w:val="single" w:sz="18" w:space="0" w:color="000000"/>
            </w:tcBorders>
          </w:tcPr>
          <w:p w14:paraId="72ADAA2D" w14:textId="77777777" w:rsidR="00AE2255" w:rsidRDefault="00000000">
            <w:pPr>
              <w:pStyle w:val="TableParagraph"/>
              <w:spacing w:before="40" w:line="217" w:lineRule="exact"/>
              <w:ind w:right="80"/>
              <w:rPr>
                <w:sz w:val="20"/>
              </w:rPr>
            </w:pPr>
            <w:r>
              <w:rPr>
                <w:sz w:val="20"/>
              </w:rPr>
              <w:t>$</w:t>
            </w:r>
            <w:r>
              <w:rPr>
                <w:spacing w:val="50"/>
                <w:sz w:val="20"/>
              </w:rPr>
              <w:t xml:space="preserve"> </w:t>
            </w:r>
            <w:r>
              <w:rPr>
                <w:spacing w:val="-2"/>
                <w:sz w:val="20"/>
              </w:rPr>
              <w:t>27,021</w:t>
            </w:r>
          </w:p>
        </w:tc>
        <w:tc>
          <w:tcPr>
            <w:tcW w:w="302" w:type="dxa"/>
            <w:tcBorders>
              <w:bottom w:val="single" w:sz="18" w:space="0" w:color="000000"/>
            </w:tcBorders>
          </w:tcPr>
          <w:p w14:paraId="0B666B20" w14:textId="77777777" w:rsidR="00AE2255" w:rsidRDefault="00AE2255">
            <w:pPr>
              <w:pStyle w:val="TableParagraph"/>
              <w:spacing w:before="0"/>
              <w:jc w:val="left"/>
              <w:rPr>
                <w:sz w:val="20"/>
              </w:rPr>
            </w:pPr>
          </w:p>
        </w:tc>
        <w:tc>
          <w:tcPr>
            <w:tcW w:w="1170" w:type="dxa"/>
            <w:tcBorders>
              <w:bottom w:val="single" w:sz="18" w:space="0" w:color="000000"/>
            </w:tcBorders>
          </w:tcPr>
          <w:p w14:paraId="732857F4" w14:textId="77777777" w:rsidR="00AE2255" w:rsidRDefault="00000000">
            <w:pPr>
              <w:pStyle w:val="TableParagraph"/>
              <w:spacing w:before="40" w:line="217" w:lineRule="exact"/>
              <w:ind w:left="79"/>
              <w:jc w:val="left"/>
              <w:rPr>
                <w:sz w:val="20"/>
              </w:rPr>
            </w:pPr>
            <w:r>
              <w:rPr>
                <w:sz w:val="20"/>
              </w:rPr>
              <w:t>$</w:t>
            </w:r>
            <w:r>
              <w:rPr>
                <w:spacing w:val="50"/>
                <w:sz w:val="20"/>
              </w:rPr>
              <w:t xml:space="preserve"> </w:t>
            </w:r>
            <w:r>
              <w:rPr>
                <w:spacing w:val="-2"/>
                <w:sz w:val="20"/>
              </w:rPr>
              <w:t>29,183</w:t>
            </w:r>
          </w:p>
        </w:tc>
      </w:tr>
    </w:tbl>
    <w:p w14:paraId="72D7B640" w14:textId="77777777" w:rsidR="00AE2255" w:rsidRDefault="00AE2255">
      <w:pPr>
        <w:pStyle w:val="BodyText"/>
      </w:pPr>
    </w:p>
    <w:p w14:paraId="5877B18E" w14:textId="77777777" w:rsidR="00AE2255" w:rsidRDefault="00000000">
      <w:pPr>
        <w:pStyle w:val="BodyText"/>
        <w:ind w:left="610" w:right="428" w:firstLine="360"/>
        <w:jc w:val="both"/>
      </w:pPr>
      <w:r>
        <w:t xml:space="preserve">MFC’s net sales in 2022 decreased $376 million, or 3%, compared to 2021. The decrease was primarily attributable to lower net sales of approximately $280 million for sensors and global sustainment programs due to lower volume on SOF GLSS </w:t>
      </w:r>
      <w:proofErr w:type="gramStart"/>
      <w:r>
        <w:t>as a result of</w:t>
      </w:r>
      <w:proofErr w:type="gramEnd"/>
      <w:r>
        <w:t xml:space="preserve"> changes in mission requirements and lower volume on SNIPER</w:t>
      </w:r>
      <w:r>
        <w:rPr>
          <w:vertAlign w:val="superscript"/>
        </w:rPr>
        <w:t>®</w:t>
      </w:r>
      <w:r>
        <w:t>; and about $60 million for integrated air and missile defense programs due to lower volume (THAAD) and lower net favorable profit adjustments (PAC-3) that were partially offset by higher volume (PAC-3). Net sales for tactical and strike missile programs were comparable as higher volume (</w:t>
      </w:r>
      <w:proofErr w:type="spellStart"/>
      <w:r>
        <w:t>PrSM</w:t>
      </w:r>
      <w:proofErr w:type="spellEnd"/>
      <w:r>
        <w:t>) was offset by lower volume (air dominance weapon systems).</w:t>
      </w:r>
    </w:p>
    <w:p w14:paraId="02E37B9E" w14:textId="77777777" w:rsidR="00AE2255" w:rsidRDefault="00AE2255">
      <w:pPr>
        <w:pStyle w:val="BodyText"/>
        <w:spacing w:before="4"/>
        <w:rPr>
          <w:sz w:val="17"/>
        </w:rPr>
      </w:pPr>
    </w:p>
    <w:p w14:paraId="6C0A0681" w14:textId="77777777" w:rsidR="00AE2255" w:rsidRDefault="00000000">
      <w:pPr>
        <w:pStyle w:val="BodyText"/>
        <w:ind w:left="610" w:right="428" w:firstLine="360"/>
        <w:jc w:val="both"/>
      </w:pPr>
      <w:r>
        <w:t>MFC’s operating profit in 2022 decreased $13 million, or 1%, compared to 2021. The decrease was primarily attributable</w:t>
      </w:r>
      <w:r>
        <w:rPr>
          <w:spacing w:val="40"/>
        </w:rPr>
        <w:t xml:space="preserve"> </w:t>
      </w:r>
      <w:r>
        <w:t xml:space="preserve">to lower operating profit of approximately $85 million for integrated air and missile defense programs due to lower net favorable profit adjustments for the PAC-3 program and an unfavorable profit adjustment of about $40 million on an air and missile defense development program. This decrease was partially offset by an increase of about $50 million for tactical and strike missile programs due to contract mix and higher net favorable profit adjustments (an international tactical and strike missile program and HIMARS) that were partially offset by an unfavorable profit adjustment of about $25 million on an air-to- ground missile program. There also were unfavorable profit adjustments of approximately $25 million on an energy program in 2021 that did not recur in 2022. Operating profit for sensors and global sustainment programs was comparable as both </w:t>
      </w:r>
      <w:proofErr w:type="gramStart"/>
      <w:r>
        <w:t>contract</w:t>
      </w:r>
      <w:proofErr w:type="gramEnd"/>
      <w:r>
        <w:t xml:space="preserve"> mix and the net effect of favorable profit adjustments on an international program in 2022 were offset by the closeout activities related to the Warrior program in 2021 that did not recur in 2022. Net favorable profit booking rate adjustments were $45 million lower in 2022 compared to 2021.</w:t>
      </w:r>
    </w:p>
    <w:p w14:paraId="57A88637" w14:textId="77777777" w:rsidR="00AE2255" w:rsidRDefault="00AE2255">
      <w:pPr>
        <w:pStyle w:val="BodyText"/>
        <w:spacing w:before="5"/>
        <w:rPr>
          <w:sz w:val="17"/>
        </w:rPr>
      </w:pPr>
    </w:p>
    <w:p w14:paraId="7731C66A" w14:textId="77777777" w:rsidR="00AE2255" w:rsidRDefault="00000000">
      <w:pPr>
        <w:pStyle w:val="BodyText"/>
        <w:ind w:left="610"/>
      </w:pPr>
      <w:r>
        <w:rPr>
          <w:spacing w:val="-2"/>
        </w:rPr>
        <w:t>Backlog</w:t>
      </w:r>
    </w:p>
    <w:p w14:paraId="4B95D9ED" w14:textId="77777777" w:rsidR="00AE2255" w:rsidRDefault="00AE2255">
      <w:pPr>
        <w:pStyle w:val="BodyText"/>
        <w:spacing w:before="3"/>
        <w:rPr>
          <w:sz w:val="18"/>
        </w:rPr>
      </w:pPr>
    </w:p>
    <w:p w14:paraId="4ED63808" w14:textId="77777777" w:rsidR="00AE2255" w:rsidRDefault="00000000">
      <w:pPr>
        <w:pStyle w:val="BodyText"/>
        <w:ind w:left="610" w:right="429" w:firstLine="360"/>
        <w:jc w:val="both"/>
      </w:pPr>
      <w:r>
        <w:t xml:space="preserve">Backlog increased in 2022 compared to 2021 primarily due to higher orders on precision fires (GMLRS) and THAAD </w:t>
      </w:r>
      <w:r>
        <w:rPr>
          <w:spacing w:val="-2"/>
        </w:rPr>
        <w:t>programs.</w:t>
      </w:r>
    </w:p>
    <w:p w14:paraId="0B306A12" w14:textId="77777777" w:rsidR="00AE2255" w:rsidRDefault="00000000">
      <w:pPr>
        <w:pStyle w:val="Heading2"/>
        <w:spacing w:before="197"/>
      </w:pPr>
      <w:r>
        <w:t>Rotary</w:t>
      </w:r>
      <w:r>
        <w:rPr>
          <w:spacing w:val="-3"/>
        </w:rPr>
        <w:t xml:space="preserve"> </w:t>
      </w:r>
      <w:r>
        <w:t>and</w:t>
      </w:r>
      <w:r>
        <w:rPr>
          <w:spacing w:val="-4"/>
        </w:rPr>
        <w:t xml:space="preserve"> </w:t>
      </w:r>
      <w:r>
        <w:t>Mission</w:t>
      </w:r>
      <w:r>
        <w:rPr>
          <w:spacing w:val="-3"/>
        </w:rPr>
        <w:t xml:space="preserve"> </w:t>
      </w:r>
      <w:r>
        <w:rPr>
          <w:spacing w:val="-2"/>
        </w:rPr>
        <w:t>Systems</w:t>
      </w:r>
    </w:p>
    <w:p w14:paraId="5B61DBE0" w14:textId="77777777" w:rsidR="00AE2255" w:rsidRDefault="00AE2255">
      <w:pPr>
        <w:pStyle w:val="BodyText"/>
        <w:spacing w:before="6"/>
        <w:rPr>
          <w:b/>
          <w:sz w:val="18"/>
        </w:rPr>
      </w:pPr>
    </w:p>
    <w:p w14:paraId="543D0813" w14:textId="77777777" w:rsidR="00AE2255" w:rsidRDefault="00000000">
      <w:pPr>
        <w:pStyle w:val="BodyText"/>
        <w:spacing w:line="249" w:lineRule="auto"/>
        <w:ind w:left="610" w:right="429" w:firstLine="360"/>
        <w:jc w:val="both"/>
      </w:pPr>
      <w:r>
        <w:t xml:space="preserve">RMS designs, manufactures, </w:t>
      </w:r>
      <w:proofErr w:type="gramStart"/>
      <w:r>
        <w:t>services</w:t>
      </w:r>
      <w:proofErr w:type="gramEnd"/>
      <w:r>
        <w:t xml:space="preserve"> and supports various military and commercial helicopters, surface ships, sea and</w:t>
      </w:r>
      <w:r>
        <w:rPr>
          <w:spacing w:val="40"/>
        </w:rPr>
        <w:t xml:space="preserve"> </w:t>
      </w:r>
      <w:r>
        <w:t>land-based missile defense systems, radar systems, sea and air-based mission and combat systems, command and control mission solutions, cyber solutions, and simulation and training solutions. RMS’ major programs include Aegis Combat System, Littoral</w:t>
      </w:r>
      <w:r>
        <w:rPr>
          <w:spacing w:val="-2"/>
        </w:rPr>
        <w:t xml:space="preserve"> </w:t>
      </w:r>
      <w:r>
        <w:t>Combat</w:t>
      </w:r>
      <w:r>
        <w:rPr>
          <w:spacing w:val="-2"/>
        </w:rPr>
        <w:t xml:space="preserve"> </w:t>
      </w:r>
      <w:r>
        <w:t>Ship</w:t>
      </w:r>
      <w:r>
        <w:rPr>
          <w:spacing w:val="-2"/>
        </w:rPr>
        <w:t xml:space="preserve"> </w:t>
      </w:r>
      <w:r>
        <w:t>(LCS),</w:t>
      </w:r>
      <w:r>
        <w:rPr>
          <w:spacing w:val="-2"/>
        </w:rPr>
        <w:t xml:space="preserve"> </w:t>
      </w:r>
      <w:r>
        <w:t>Multi-Mission</w:t>
      </w:r>
      <w:r>
        <w:rPr>
          <w:spacing w:val="-2"/>
        </w:rPr>
        <w:t xml:space="preserve"> </w:t>
      </w:r>
      <w:r>
        <w:t>Surface</w:t>
      </w:r>
      <w:r>
        <w:rPr>
          <w:spacing w:val="-2"/>
        </w:rPr>
        <w:t xml:space="preserve"> </w:t>
      </w:r>
      <w:r>
        <w:t>Combatant</w:t>
      </w:r>
      <w:r>
        <w:rPr>
          <w:spacing w:val="-2"/>
        </w:rPr>
        <w:t xml:space="preserve"> </w:t>
      </w:r>
      <w:r>
        <w:t>(MMSC),</w:t>
      </w:r>
      <w:r>
        <w:rPr>
          <w:spacing w:val="-2"/>
        </w:rPr>
        <w:t xml:space="preserve"> </w:t>
      </w:r>
      <w:r>
        <w:t>Black</w:t>
      </w:r>
      <w:r>
        <w:rPr>
          <w:spacing w:val="-2"/>
        </w:rPr>
        <w:t xml:space="preserve"> </w:t>
      </w:r>
      <w:r>
        <w:t>Hawk</w:t>
      </w:r>
      <w:r>
        <w:rPr>
          <w:spacing w:val="-2"/>
        </w:rPr>
        <w:t xml:space="preserve"> </w:t>
      </w:r>
      <w:r>
        <w:t>and</w:t>
      </w:r>
      <w:r>
        <w:rPr>
          <w:spacing w:val="-2"/>
        </w:rPr>
        <w:t xml:space="preserve"> </w:t>
      </w:r>
      <w:r>
        <w:t>Seahawk</w:t>
      </w:r>
      <w:r>
        <w:rPr>
          <w:spacing w:val="-2"/>
        </w:rPr>
        <w:t xml:space="preserve"> </w:t>
      </w:r>
      <w:r>
        <w:t>helicopters,</w:t>
      </w:r>
      <w:r>
        <w:rPr>
          <w:spacing w:val="-2"/>
        </w:rPr>
        <w:t xml:space="preserve"> </w:t>
      </w:r>
      <w:r>
        <w:t>CH-53K</w:t>
      </w:r>
      <w:r>
        <w:rPr>
          <w:spacing w:val="-2"/>
        </w:rPr>
        <w:t xml:space="preserve"> </w:t>
      </w:r>
      <w:r>
        <w:t>King Stallion heavy lift helicopter, Combat Rescue Helicopter (CRH), VH-92A helicopter, and the C2BMC program.</w:t>
      </w:r>
    </w:p>
    <w:p w14:paraId="446BA9BA" w14:textId="77777777" w:rsidR="00AE2255" w:rsidRDefault="00AE2255">
      <w:pPr>
        <w:pStyle w:val="BodyText"/>
        <w:spacing w:before="9"/>
        <w:rPr>
          <w:sz w:val="17"/>
        </w:rPr>
      </w:pPr>
    </w:p>
    <w:p w14:paraId="715B22D4" w14:textId="77777777" w:rsidR="00AE2255" w:rsidRDefault="00000000">
      <w:pPr>
        <w:pStyle w:val="BodyText"/>
        <w:spacing w:line="249" w:lineRule="auto"/>
        <w:ind w:left="610" w:right="428" w:firstLine="360"/>
        <w:jc w:val="both"/>
      </w:pPr>
      <w:r>
        <w:t xml:space="preserve">On December 5, 2022, the U.S. Army selected Sikorsky’s competitor in the Future Long Range Assault Aircraft Competition, a component of its Future Vertical Lift initiative to replace a portion of its assault and utility helicopter fleet. On December 28, 2022, Sikorsky, on behalf of Team DEFIANT, filed a protest challenging the U.S. Army’s decision, and a ruling is expected on or before April 7, </w:t>
      </w:r>
      <w:proofErr w:type="gramStart"/>
      <w:r>
        <w:t>2023</w:t>
      </w:r>
      <w:proofErr w:type="gramEnd"/>
      <w:r>
        <w:t xml:space="preserve"> based on the 100-day deadline. Sikorsky remains one of two competitors for the other component of the Future Vertical Lift initiative, the Future Attack Reconnaissance Aircraft competition.</w:t>
      </w:r>
    </w:p>
    <w:p w14:paraId="50540C2F" w14:textId="77777777" w:rsidR="00AE2255" w:rsidRDefault="00AE2255">
      <w:pPr>
        <w:spacing w:line="249" w:lineRule="auto"/>
        <w:jc w:val="both"/>
        <w:sectPr w:rsidR="00AE2255">
          <w:pgSz w:w="12240" w:h="15840"/>
          <w:pgMar w:top="440" w:right="560" w:bottom="720" w:left="380" w:header="230" w:footer="531" w:gutter="0"/>
          <w:cols w:space="720"/>
        </w:sectPr>
      </w:pPr>
    </w:p>
    <w:p w14:paraId="436459F0" w14:textId="77777777" w:rsidR="00AE2255" w:rsidRDefault="00AE2255">
      <w:pPr>
        <w:pStyle w:val="BodyText"/>
      </w:pPr>
    </w:p>
    <w:p w14:paraId="7BDB377B" w14:textId="77777777" w:rsidR="00AE2255" w:rsidRDefault="00AE2255">
      <w:pPr>
        <w:pStyle w:val="BodyText"/>
        <w:spacing w:before="7"/>
        <w:rPr>
          <w:sz w:val="11"/>
        </w:rPr>
      </w:pPr>
    </w:p>
    <w:tbl>
      <w:tblPr>
        <w:tblW w:w="0" w:type="auto"/>
        <w:tblInd w:w="617" w:type="dxa"/>
        <w:tblLayout w:type="fixed"/>
        <w:tblCellMar>
          <w:left w:w="0" w:type="dxa"/>
          <w:right w:w="0" w:type="dxa"/>
        </w:tblCellMar>
        <w:tblLook w:val="01E0" w:firstRow="1" w:lastRow="1" w:firstColumn="1" w:lastColumn="1" w:noHBand="0" w:noVBand="0"/>
      </w:tblPr>
      <w:tblGrid>
        <w:gridCol w:w="5948"/>
        <w:gridCol w:w="1597"/>
        <w:gridCol w:w="301"/>
        <w:gridCol w:w="914"/>
        <w:gridCol w:w="301"/>
        <w:gridCol w:w="1169"/>
      </w:tblGrid>
      <w:tr w:rsidR="00AE2255" w14:paraId="236750DB" w14:textId="77777777">
        <w:trPr>
          <w:trHeight w:val="267"/>
        </w:trPr>
        <w:tc>
          <w:tcPr>
            <w:tcW w:w="5948" w:type="dxa"/>
          </w:tcPr>
          <w:p w14:paraId="23EC6E15" w14:textId="77777777" w:rsidR="00AE2255" w:rsidRDefault="00000000">
            <w:pPr>
              <w:pStyle w:val="TableParagraph"/>
              <w:spacing w:before="0" w:line="221" w:lineRule="exact"/>
              <w:ind w:left="360"/>
              <w:jc w:val="left"/>
              <w:rPr>
                <w:sz w:val="20"/>
              </w:rPr>
            </w:pPr>
            <w:r>
              <w:rPr>
                <w:sz w:val="20"/>
              </w:rPr>
              <w:t>RMS’</w:t>
            </w:r>
            <w:r>
              <w:rPr>
                <w:spacing w:val="-4"/>
                <w:sz w:val="20"/>
              </w:rPr>
              <w:t xml:space="preserve"> </w:t>
            </w:r>
            <w:r>
              <w:rPr>
                <w:sz w:val="20"/>
              </w:rPr>
              <w:t>operating</w:t>
            </w:r>
            <w:r>
              <w:rPr>
                <w:spacing w:val="-3"/>
                <w:sz w:val="20"/>
              </w:rPr>
              <w:t xml:space="preserve"> </w:t>
            </w:r>
            <w:r>
              <w:rPr>
                <w:sz w:val="20"/>
              </w:rPr>
              <w:t>results</w:t>
            </w:r>
            <w:r>
              <w:rPr>
                <w:spacing w:val="-3"/>
                <w:sz w:val="20"/>
              </w:rPr>
              <w:t xml:space="preserve"> </w:t>
            </w:r>
            <w:r>
              <w:rPr>
                <w:sz w:val="20"/>
              </w:rPr>
              <w:t>included</w:t>
            </w:r>
            <w:r>
              <w:rPr>
                <w:spacing w:val="-3"/>
                <w:sz w:val="20"/>
              </w:rPr>
              <w:t xml:space="preserve"> </w:t>
            </w:r>
            <w:r>
              <w:rPr>
                <w:sz w:val="20"/>
              </w:rPr>
              <w:t>the</w:t>
            </w:r>
            <w:r>
              <w:rPr>
                <w:spacing w:val="-4"/>
                <w:sz w:val="20"/>
              </w:rPr>
              <w:t xml:space="preserve"> </w:t>
            </w:r>
            <w:r>
              <w:rPr>
                <w:sz w:val="20"/>
              </w:rPr>
              <w:t>following</w:t>
            </w:r>
            <w:r>
              <w:rPr>
                <w:spacing w:val="-3"/>
                <w:sz w:val="20"/>
              </w:rPr>
              <w:t xml:space="preserve"> </w:t>
            </w:r>
            <w:r>
              <w:rPr>
                <w:sz w:val="20"/>
              </w:rPr>
              <w:t>(in</w:t>
            </w:r>
            <w:r>
              <w:rPr>
                <w:spacing w:val="-3"/>
                <w:sz w:val="20"/>
              </w:rPr>
              <w:t xml:space="preserve"> </w:t>
            </w:r>
            <w:r>
              <w:rPr>
                <w:spacing w:val="-2"/>
                <w:sz w:val="20"/>
              </w:rPr>
              <w:t>millions):</w:t>
            </w:r>
          </w:p>
        </w:tc>
        <w:tc>
          <w:tcPr>
            <w:tcW w:w="4282" w:type="dxa"/>
            <w:gridSpan w:val="5"/>
          </w:tcPr>
          <w:p w14:paraId="4047F3F8" w14:textId="77777777" w:rsidR="00AE2255" w:rsidRDefault="00AE2255">
            <w:pPr>
              <w:pStyle w:val="TableParagraph"/>
              <w:spacing w:before="0"/>
              <w:jc w:val="left"/>
              <w:rPr>
                <w:sz w:val="18"/>
              </w:rPr>
            </w:pPr>
          </w:p>
        </w:tc>
      </w:tr>
      <w:tr w:rsidR="00AE2255" w14:paraId="0D2BC138" w14:textId="77777777">
        <w:trPr>
          <w:trHeight w:val="287"/>
        </w:trPr>
        <w:tc>
          <w:tcPr>
            <w:tcW w:w="5948" w:type="dxa"/>
            <w:tcBorders>
              <w:bottom w:val="single" w:sz="8" w:space="0" w:color="auto"/>
            </w:tcBorders>
          </w:tcPr>
          <w:p w14:paraId="4D959A47" w14:textId="77777777" w:rsidR="00AE2255" w:rsidRDefault="00AE2255">
            <w:pPr>
              <w:pStyle w:val="TableParagraph"/>
              <w:spacing w:before="0"/>
              <w:jc w:val="left"/>
              <w:rPr>
                <w:sz w:val="20"/>
              </w:rPr>
            </w:pPr>
          </w:p>
        </w:tc>
        <w:tc>
          <w:tcPr>
            <w:tcW w:w="1597" w:type="dxa"/>
            <w:tcBorders>
              <w:bottom w:val="single" w:sz="8" w:space="0" w:color="auto"/>
            </w:tcBorders>
          </w:tcPr>
          <w:p w14:paraId="7F4C82E3" w14:textId="77777777" w:rsidR="00AE2255" w:rsidRDefault="00000000">
            <w:pPr>
              <w:pStyle w:val="TableParagraph"/>
              <w:spacing w:before="37" w:line="230" w:lineRule="exact"/>
              <w:ind w:right="50"/>
              <w:rPr>
                <w:sz w:val="20"/>
              </w:rPr>
            </w:pPr>
            <w:r>
              <w:rPr>
                <w:spacing w:val="-4"/>
                <w:sz w:val="20"/>
              </w:rPr>
              <w:t>2022</w:t>
            </w:r>
          </w:p>
        </w:tc>
        <w:tc>
          <w:tcPr>
            <w:tcW w:w="301" w:type="dxa"/>
            <w:tcBorders>
              <w:bottom w:val="single" w:sz="8" w:space="0" w:color="auto"/>
            </w:tcBorders>
          </w:tcPr>
          <w:p w14:paraId="35462A4A" w14:textId="77777777" w:rsidR="00AE2255" w:rsidRDefault="00AE2255">
            <w:pPr>
              <w:pStyle w:val="TableParagraph"/>
              <w:spacing w:before="0"/>
              <w:jc w:val="left"/>
              <w:rPr>
                <w:sz w:val="20"/>
              </w:rPr>
            </w:pPr>
          </w:p>
        </w:tc>
        <w:tc>
          <w:tcPr>
            <w:tcW w:w="914" w:type="dxa"/>
            <w:tcBorders>
              <w:bottom w:val="single" w:sz="8" w:space="0" w:color="auto"/>
            </w:tcBorders>
          </w:tcPr>
          <w:p w14:paraId="5FD11B0B" w14:textId="77777777" w:rsidR="00AE2255" w:rsidRDefault="00000000">
            <w:pPr>
              <w:pStyle w:val="TableParagraph"/>
              <w:spacing w:before="37" w:line="230" w:lineRule="exact"/>
              <w:ind w:right="50"/>
              <w:rPr>
                <w:sz w:val="20"/>
              </w:rPr>
            </w:pPr>
            <w:r>
              <w:rPr>
                <w:spacing w:val="-4"/>
                <w:sz w:val="20"/>
              </w:rPr>
              <w:t>2021</w:t>
            </w:r>
          </w:p>
        </w:tc>
        <w:tc>
          <w:tcPr>
            <w:tcW w:w="301" w:type="dxa"/>
            <w:tcBorders>
              <w:bottom w:val="single" w:sz="8" w:space="0" w:color="auto"/>
            </w:tcBorders>
          </w:tcPr>
          <w:p w14:paraId="74075DBE" w14:textId="77777777" w:rsidR="00AE2255" w:rsidRDefault="00AE2255">
            <w:pPr>
              <w:pStyle w:val="TableParagraph"/>
              <w:spacing w:before="0"/>
              <w:jc w:val="left"/>
              <w:rPr>
                <w:sz w:val="20"/>
              </w:rPr>
            </w:pPr>
          </w:p>
        </w:tc>
        <w:tc>
          <w:tcPr>
            <w:tcW w:w="1169" w:type="dxa"/>
            <w:tcBorders>
              <w:bottom w:val="single" w:sz="8" w:space="0" w:color="auto"/>
            </w:tcBorders>
          </w:tcPr>
          <w:p w14:paraId="59A43FAD" w14:textId="77777777" w:rsidR="00AE2255" w:rsidRDefault="00000000">
            <w:pPr>
              <w:pStyle w:val="TableParagraph"/>
              <w:spacing w:before="37" w:line="230" w:lineRule="exact"/>
              <w:ind w:left="461"/>
              <w:jc w:val="left"/>
              <w:rPr>
                <w:sz w:val="20"/>
              </w:rPr>
            </w:pPr>
            <w:r>
              <w:rPr>
                <w:spacing w:val="-4"/>
                <w:sz w:val="20"/>
              </w:rPr>
              <w:t>2020</w:t>
            </w:r>
          </w:p>
        </w:tc>
      </w:tr>
      <w:tr w:rsidR="00AE2255" w14:paraId="011C82C7" w14:textId="77777777">
        <w:trPr>
          <w:trHeight w:val="290"/>
        </w:trPr>
        <w:tc>
          <w:tcPr>
            <w:tcW w:w="5948" w:type="dxa"/>
            <w:tcBorders>
              <w:top w:val="single" w:sz="8" w:space="0" w:color="CCEDFF"/>
            </w:tcBorders>
            <w:shd w:val="clear" w:color="auto" w:fill="CCEDFF"/>
          </w:tcPr>
          <w:p w14:paraId="62A02E00"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sales</w:t>
            </w:r>
          </w:p>
        </w:tc>
        <w:tc>
          <w:tcPr>
            <w:tcW w:w="1597" w:type="dxa"/>
            <w:tcBorders>
              <w:top w:val="single" w:sz="8" w:space="0" w:color="CCEDFF"/>
            </w:tcBorders>
            <w:shd w:val="clear" w:color="auto" w:fill="CCEDFF"/>
          </w:tcPr>
          <w:p w14:paraId="361199BB" w14:textId="77777777" w:rsidR="00AE2255" w:rsidRDefault="00000000">
            <w:pPr>
              <w:pStyle w:val="TableParagraph"/>
              <w:spacing w:before="30"/>
              <w:ind w:right="79"/>
              <w:rPr>
                <w:b/>
                <w:sz w:val="20"/>
              </w:rPr>
            </w:pPr>
            <w:r>
              <w:rPr>
                <w:b/>
                <w:sz w:val="20"/>
              </w:rPr>
              <w:t>$</w:t>
            </w:r>
            <w:r>
              <w:rPr>
                <w:b/>
                <w:spacing w:val="50"/>
                <w:sz w:val="20"/>
              </w:rPr>
              <w:t xml:space="preserve"> </w:t>
            </w:r>
            <w:r>
              <w:rPr>
                <w:b/>
                <w:spacing w:val="-2"/>
                <w:sz w:val="20"/>
              </w:rPr>
              <w:t>16,148</w:t>
            </w:r>
          </w:p>
        </w:tc>
        <w:tc>
          <w:tcPr>
            <w:tcW w:w="301" w:type="dxa"/>
            <w:tcBorders>
              <w:top w:val="single" w:sz="8" w:space="0" w:color="CCEDFF"/>
            </w:tcBorders>
            <w:shd w:val="clear" w:color="auto" w:fill="CCEDFF"/>
          </w:tcPr>
          <w:p w14:paraId="5C436BB4" w14:textId="77777777" w:rsidR="00AE2255" w:rsidRDefault="00AE2255">
            <w:pPr>
              <w:pStyle w:val="TableParagraph"/>
              <w:spacing w:before="0"/>
              <w:jc w:val="left"/>
              <w:rPr>
                <w:sz w:val="20"/>
              </w:rPr>
            </w:pPr>
          </w:p>
        </w:tc>
        <w:tc>
          <w:tcPr>
            <w:tcW w:w="914" w:type="dxa"/>
            <w:tcBorders>
              <w:top w:val="single" w:sz="8" w:space="0" w:color="CCEDFF"/>
            </w:tcBorders>
            <w:shd w:val="clear" w:color="auto" w:fill="CCEDFF"/>
          </w:tcPr>
          <w:p w14:paraId="2187D141" w14:textId="77777777" w:rsidR="00AE2255" w:rsidRDefault="00000000">
            <w:pPr>
              <w:pStyle w:val="TableParagraph"/>
              <w:spacing w:before="30"/>
              <w:ind w:right="79"/>
              <w:rPr>
                <w:sz w:val="20"/>
              </w:rPr>
            </w:pPr>
            <w:r>
              <w:rPr>
                <w:sz w:val="20"/>
              </w:rPr>
              <w:t>$</w:t>
            </w:r>
            <w:r>
              <w:rPr>
                <w:spacing w:val="50"/>
                <w:sz w:val="20"/>
              </w:rPr>
              <w:t xml:space="preserve"> </w:t>
            </w:r>
            <w:r>
              <w:rPr>
                <w:spacing w:val="-2"/>
                <w:sz w:val="20"/>
              </w:rPr>
              <w:t>16,789</w:t>
            </w:r>
          </w:p>
        </w:tc>
        <w:tc>
          <w:tcPr>
            <w:tcW w:w="301" w:type="dxa"/>
            <w:tcBorders>
              <w:top w:val="single" w:sz="8" w:space="0" w:color="CCEDFF"/>
            </w:tcBorders>
            <w:shd w:val="clear" w:color="auto" w:fill="CCEDFF"/>
          </w:tcPr>
          <w:p w14:paraId="72735D90" w14:textId="77777777" w:rsidR="00AE2255" w:rsidRDefault="00AE2255">
            <w:pPr>
              <w:pStyle w:val="TableParagraph"/>
              <w:spacing w:before="0"/>
              <w:jc w:val="left"/>
              <w:rPr>
                <w:sz w:val="20"/>
              </w:rPr>
            </w:pPr>
          </w:p>
        </w:tc>
        <w:tc>
          <w:tcPr>
            <w:tcW w:w="1169" w:type="dxa"/>
            <w:tcBorders>
              <w:top w:val="single" w:sz="8" w:space="0" w:color="CCEDFF"/>
            </w:tcBorders>
            <w:shd w:val="clear" w:color="auto" w:fill="CCEDFF"/>
          </w:tcPr>
          <w:p w14:paraId="4ED94AEF" w14:textId="77777777" w:rsidR="00AE2255" w:rsidRDefault="00000000">
            <w:pPr>
              <w:pStyle w:val="TableParagraph"/>
              <w:spacing w:before="30"/>
              <w:ind w:left="81"/>
              <w:jc w:val="left"/>
              <w:rPr>
                <w:sz w:val="20"/>
              </w:rPr>
            </w:pPr>
            <w:r>
              <w:rPr>
                <w:sz w:val="20"/>
              </w:rPr>
              <w:t>$</w:t>
            </w:r>
            <w:r>
              <w:rPr>
                <w:spacing w:val="50"/>
                <w:sz w:val="20"/>
              </w:rPr>
              <w:t xml:space="preserve"> </w:t>
            </w:r>
            <w:r>
              <w:rPr>
                <w:spacing w:val="-2"/>
                <w:sz w:val="20"/>
              </w:rPr>
              <w:t>15,995</w:t>
            </w:r>
          </w:p>
        </w:tc>
      </w:tr>
      <w:tr w:rsidR="00AE2255" w14:paraId="11BE9AD5" w14:textId="77777777">
        <w:trPr>
          <w:trHeight w:val="300"/>
        </w:trPr>
        <w:tc>
          <w:tcPr>
            <w:tcW w:w="5948" w:type="dxa"/>
          </w:tcPr>
          <w:p w14:paraId="3DD1B880"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profit</w:t>
            </w:r>
          </w:p>
        </w:tc>
        <w:tc>
          <w:tcPr>
            <w:tcW w:w="1597" w:type="dxa"/>
          </w:tcPr>
          <w:p w14:paraId="319FE6C9" w14:textId="77777777" w:rsidR="00AE2255" w:rsidRDefault="00000000">
            <w:pPr>
              <w:pStyle w:val="TableParagraph"/>
              <w:spacing w:before="40"/>
              <w:ind w:right="79"/>
              <w:rPr>
                <w:b/>
                <w:sz w:val="20"/>
              </w:rPr>
            </w:pPr>
            <w:r>
              <w:rPr>
                <w:b/>
                <w:spacing w:val="-2"/>
                <w:sz w:val="20"/>
              </w:rPr>
              <w:t>1,673</w:t>
            </w:r>
          </w:p>
        </w:tc>
        <w:tc>
          <w:tcPr>
            <w:tcW w:w="301" w:type="dxa"/>
          </w:tcPr>
          <w:p w14:paraId="5E657B9E" w14:textId="77777777" w:rsidR="00AE2255" w:rsidRDefault="00AE2255">
            <w:pPr>
              <w:pStyle w:val="TableParagraph"/>
              <w:spacing w:before="0"/>
              <w:jc w:val="left"/>
              <w:rPr>
                <w:sz w:val="20"/>
              </w:rPr>
            </w:pPr>
          </w:p>
        </w:tc>
        <w:tc>
          <w:tcPr>
            <w:tcW w:w="914" w:type="dxa"/>
          </w:tcPr>
          <w:p w14:paraId="76444AFD" w14:textId="77777777" w:rsidR="00AE2255" w:rsidRDefault="00000000">
            <w:pPr>
              <w:pStyle w:val="TableParagraph"/>
              <w:spacing w:before="40"/>
              <w:ind w:right="79"/>
              <w:rPr>
                <w:sz w:val="20"/>
              </w:rPr>
            </w:pPr>
            <w:r>
              <w:rPr>
                <w:spacing w:val="-2"/>
                <w:sz w:val="20"/>
              </w:rPr>
              <w:t>1,798</w:t>
            </w:r>
          </w:p>
        </w:tc>
        <w:tc>
          <w:tcPr>
            <w:tcW w:w="301" w:type="dxa"/>
          </w:tcPr>
          <w:p w14:paraId="34FDD002" w14:textId="77777777" w:rsidR="00AE2255" w:rsidRDefault="00AE2255">
            <w:pPr>
              <w:pStyle w:val="TableParagraph"/>
              <w:spacing w:before="0"/>
              <w:jc w:val="left"/>
              <w:rPr>
                <w:sz w:val="20"/>
              </w:rPr>
            </w:pPr>
          </w:p>
        </w:tc>
        <w:tc>
          <w:tcPr>
            <w:tcW w:w="1169" w:type="dxa"/>
          </w:tcPr>
          <w:p w14:paraId="0821BF90" w14:textId="77777777" w:rsidR="00AE2255" w:rsidRDefault="00000000">
            <w:pPr>
              <w:pStyle w:val="TableParagraph"/>
              <w:spacing w:before="40"/>
              <w:ind w:left="382"/>
              <w:jc w:val="left"/>
              <w:rPr>
                <w:sz w:val="20"/>
              </w:rPr>
            </w:pPr>
            <w:r>
              <w:rPr>
                <w:spacing w:val="-2"/>
                <w:sz w:val="20"/>
              </w:rPr>
              <w:t>1,615</w:t>
            </w:r>
          </w:p>
        </w:tc>
      </w:tr>
      <w:tr w:rsidR="00AE2255" w14:paraId="7040854C" w14:textId="77777777">
        <w:trPr>
          <w:trHeight w:val="300"/>
        </w:trPr>
        <w:tc>
          <w:tcPr>
            <w:tcW w:w="5948" w:type="dxa"/>
            <w:shd w:val="clear" w:color="auto" w:fill="CCEDFF"/>
          </w:tcPr>
          <w:p w14:paraId="5846949A"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margin</w:t>
            </w:r>
          </w:p>
        </w:tc>
        <w:tc>
          <w:tcPr>
            <w:tcW w:w="1597" w:type="dxa"/>
            <w:shd w:val="clear" w:color="auto" w:fill="CCEDFF"/>
          </w:tcPr>
          <w:p w14:paraId="26BFACC4" w14:textId="77777777" w:rsidR="00AE2255" w:rsidRDefault="00000000">
            <w:pPr>
              <w:pStyle w:val="TableParagraph"/>
              <w:spacing w:before="40"/>
              <w:ind w:right="79"/>
              <w:rPr>
                <w:b/>
                <w:sz w:val="20"/>
              </w:rPr>
            </w:pPr>
            <w:r>
              <w:rPr>
                <w:b/>
                <w:spacing w:val="-4"/>
                <w:sz w:val="20"/>
              </w:rPr>
              <w:t>10.4</w:t>
            </w:r>
          </w:p>
        </w:tc>
        <w:tc>
          <w:tcPr>
            <w:tcW w:w="301" w:type="dxa"/>
            <w:shd w:val="clear" w:color="auto" w:fill="CCEDFF"/>
          </w:tcPr>
          <w:p w14:paraId="2253A65C" w14:textId="77777777" w:rsidR="00AE2255" w:rsidRDefault="00000000">
            <w:pPr>
              <w:pStyle w:val="TableParagraph"/>
              <w:spacing w:before="40"/>
              <w:ind w:left="52"/>
              <w:jc w:val="left"/>
              <w:rPr>
                <w:sz w:val="20"/>
              </w:rPr>
            </w:pPr>
            <w:r>
              <w:rPr>
                <w:sz w:val="20"/>
              </w:rPr>
              <w:t>%</w:t>
            </w:r>
          </w:p>
        </w:tc>
        <w:tc>
          <w:tcPr>
            <w:tcW w:w="914" w:type="dxa"/>
            <w:shd w:val="clear" w:color="auto" w:fill="CCEDFF"/>
          </w:tcPr>
          <w:p w14:paraId="7E21D203" w14:textId="77777777" w:rsidR="00AE2255" w:rsidRDefault="00000000">
            <w:pPr>
              <w:pStyle w:val="TableParagraph"/>
              <w:spacing w:before="40"/>
              <w:ind w:right="79"/>
              <w:rPr>
                <w:sz w:val="20"/>
              </w:rPr>
            </w:pPr>
            <w:r>
              <w:rPr>
                <w:spacing w:val="-4"/>
                <w:sz w:val="20"/>
              </w:rPr>
              <w:t>10.7</w:t>
            </w:r>
          </w:p>
        </w:tc>
        <w:tc>
          <w:tcPr>
            <w:tcW w:w="301" w:type="dxa"/>
            <w:shd w:val="clear" w:color="auto" w:fill="CCEDFF"/>
          </w:tcPr>
          <w:p w14:paraId="7282BEF0" w14:textId="77777777" w:rsidR="00AE2255" w:rsidRDefault="00000000">
            <w:pPr>
              <w:pStyle w:val="TableParagraph"/>
              <w:spacing w:before="40"/>
              <w:ind w:left="52"/>
              <w:jc w:val="left"/>
              <w:rPr>
                <w:sz w:val="20"/>
              </w:rPr>
            </w:pPr>
            <w:r>
              <w:rPr>
                <w:sz w:val="20"/>
              </w:rPr>
              <w:t>%</w:t>
            </w:r>
          </w:p>
        </w:tc>
        <w:tc>
          <w:tcPr>
            <w:tcW w:w="1169" w:type="dxa"/>
            <w:shd w:val="clear" w:color="auto" w:fill="CCEDFF"/>
          </w:tcPr>
          <w:p w14:paraId="1CE3F526" w14:textId="77777777" w:rsidR="00AE2255" w:rsidRDefault="00000000">
            <w:pPr>
              <w:pStyle w:val="TableParagraph"/>
              <w:spacing w:before="40"/>
              <w:ind w:left="482"/>
              <w:jc w:val="left"/>
              <w:rPr>
                <w:sz w:val="20"/>
              </w:rPr>
            </w:pPr>
            <w:r>
              <w:rPr>
                <w:sz w:val="20"/>
              </w:rPr>
              <w:t>10.1</w:t>
            </w:r>
            <w:r>
              <w:rPr>
                <w:spacing w:val="59"/>
                <w:w w:val="150"/>
                <w:sz w:val="20"/>
              </w:rPr>
              <w:t xml:space="preserve"> </w:t>
            </w:r>
            <w:r>
              <w:rPr>
                <w:spacing w:val="-10"/>
                <w:sz w:val="20"/>
              </w:rPr>
              <w:t>%</w:t>
            </w:r>
          </w:p>
        </w:tc>
      </w:tr>
      <w:tr w:rsidR="00AE2255" w14:paraId="04C346DA" w14:textId="77777777">
        <w:trPr>
          <w:trHeight w:val="277"/>
        </w:trPr>
        <w:tc>
          <w:tcPr>
            <w:tcW w:w="5948" w:type="dxa"/>
            <w:tcBorders>
              <w:bottom w:val="single" w:sz="18" w:space="0" w:color="000000"/>
            </w:tcBorders>
          </w:tcPr>
          <w:p w14:paraId="7646B449" w14:textId="77777777" w:rsidR="00AE2255" w:rsidRDefault="00000000">
            <w:pPr>
              <w:pStyle w:val="TableParagraph"/>
              <w:spacing w:before="40" w:line="217" w:lineRule="exact"/>
              <w:ind w:left="52"/>
              <w:jc w:val="left"/>
              <w:rPr>
                <w:sz w:val="20"/>
              </w:rPr>
            </w:pPr>
            <w:r>
              <w:rPr>
                <w:sz w:val="20"/>
              </w:rPr>
              <w:t>Backlog</w:t>
            </w:r>
            <w:r>
              <w:rPr>
                <w:spacing w:val="-4"/>
                <w:sz w:val="20"/>
              </w:rPr>
              <w:t xml:space="preserve"> </w:t>
            </w:r>
            <w:r>
              <w:rPr>
                <w:sz w:val="20"/>
              </w:rPr>
              <w:t>at</w:t>
            </w:r>
            <w:r>
              <w:rPr>
                <w:spacing w:val="-4"/>
                <w:sz w:val="20"/>
              </w:rPr>
              <w:t xml:space="preserve"> </w:t>
            </w:r>
            <w:r>
              <w:rPr>
                <w:sz w:val="20"/>
              </w:rPr>
              <w:t>year-</w:t>
            </w:r>
            <w:r>
              <w:rPr>
                <w:spacing w:val="-5"/>
                <w:sz w:val="20"/>
              </w:rPr>
              <w:t>end</w:t>
            </w:r>
          </w:p>
        </w:tc>
        <w:tc>
          <w:tcPr>
            <w:tcW w:w="1597" w:type="dxa"/>
            <w:tcBorders>
              <w:bottom w:val="single" w:sz="18" w:space="0" w:color="000000"/>
            </w:tcBorders>
          </w:tcPr>
          <w:p w14:paraId="117F4225" w14:textId="77777777" w:rsidR="00AE2255" w:rsidRDefault="00000000">
            <w:pPr>
              <w:pStyle w:val="TableParagraph"/>
              <w:spacing w:before="40" w:line="217" w:lineRule="exact"/>
              <w:ind w:right="79"/>
              <w:rPr>
                <w:b/>
                <w:sz w:val="20"/>
              </w:rPr>
            </w:pPr>
            <w:r>
              <w:rPr>
                <w:b/>
                <w:sz w:val="20"/>
              </w:rPr>
              <w:t>$</w:t>
            </w:r>
            <w:r>
              <w:rPr>
                <w:b/>
                <w:spacing w:val="50"/>
                <w:sz w:val="20"/>
              </w:rPr>
              <w:t xml:space="preserve"> </w:t>
            </w:r>
            <w:r>
              <w:rPr>
                <w:b/>
                <w:spacing w:val="-2"/>
                <w:sz w:val="20"/>
              </w:rPr>
              <w:t>34,949</w:t>
            </w:r>
          </w:p>
        </w:tc>
        <w:tc>
          <w:tcPr>
            <w:tcW w:w="301" w:type="dxa"/>
            <w:tcBorders>
              <w:bottom w:val="single" w:sz="18" w:space="0" w:color="000000"/>
            </w:tcBorders>
          </w:tcPr>
          <w:p w14:paraId="5A192F06" w14:textId="77777777" w:rsidR="00AE2255" w:rsidRDefault="00AE2255">
            <w:pPr>
              <w:pStyle w:val="TableParagraph"/>
              <w:spacing w:before="0"/>
              <w:jc w:val="left"/>
              <w:rPr>
                <w:sz w:val="20"/>
              </w:rPr>
            </w:pPr>
          </w:p>
        </w:tc>
        <w:tc>
          <w:tcPr>
            <w:tcW w:w="914" w:type="dxa"/>
            <w:tcBorders>
              <w:bottom w:val="single" w:sz="18" w:space="0" w:color="000000"/>
            </w:tcBorders>
          </w:tcPr>
          <w:p w14:paraId="132DF21E" w14:textId="77777777" w:rsidR="00AE2255" w:rsidRDefault="00000000">
            <w:pPr>
              <w:pStyle w:val="TableParagraph"/>
              <w:spacing w:before="40" w:line="217" w:lineRule="exact"/>
              <w:ind w:right="79"/>
              <w:rPr>
                <w:sz w:val="20"/>
              </w:rPr>
            </w:pPr>
            <w:r>
              <w:rPr>
                <w:sz w:val="20"/>
              </w:rPr>
              <w:t>$</w:t>
            </w:r>
            <w:r>
              <w:rPr>
                <w:spacing w:val="50"/>
                <w:sz w:val="20"/>
              </w:rPr>
              <w:t xml:space="preserve"> </w:t>
            </w:r>
            <w:r>
              <w:rPr>
                <w:spacing w:val="-2"/>
                <w:sz w:val="20"/>
              </w:rPr>
              <w:t>33,700</w:t>
            </w:r>
          </w:p>
        </w:tc>
        <w:tc>
          <w:tcPr>
            <w:tcW w:w="301" w:type="dxa"/>
            <w:tcBorders>
              <w:bottom w:val="single" w:sz="18" w:space="0" w:color="000000"/>
            </w:tcBorders>
          </w:tcPr>
          <w:p w14:paraId="64AE22D1" w14:textId="77777777" w:rsidR="00AE2255" w:rsidRDefault="00AE2255">
            <w:pPr>
              <w:pStyle w:val="TableParagraph"/>
              <w:spacing w:before="0"/>
              <w:jc w:val="left"/>
              <w:rPr>
                <w:sz w:val="20"/>
              </w:rPr>
            </w:pPr>
          </w:p>
        </w:tc>
        <w:tc>
          <w:tcPr>
            <w:tcW w:w="1169" w:type="dxa"/>
            <w:tcBorders>
              <w:bottom w:val="single" w:sz="18" w:space="0" w:color="000000"/>
            </w:tcBorders>
          </w:tcPr>
          <w:p w14:paraId="077A956E" w14:textId="77777777" w:rsidR="00AE2255" w:rsidRDefault="00000000">
            <w:pPr>
              <w:pStyle w:val="TableParagraph"/>
              <w:spacing w:before="40" w:line="217" w:lineRule="exact"/>
              <w:ind w:left="81"/>
              <w:jc w:val="left"/>
              <w:rPr>
                <w:sz w:val="20"/>
              </w:rPr>
            </w:pPr>
            <w:r>
              <w:rPr>
                <w:sz w:val="20"/>
              </w:rPr>
              <w:t>$</w:t>
            </w:r>
            <w:r>
              <w:rPr>
                <w:spacing w:val="50"/>
                <w:sz w:val="20"/>
              </w:rPr>
              <w:t xml:space="preserve"> </w:t>
            </w:r>
            <w:r>
              <w:rPr>
                <w:spacing w:val="-2"/>
                <w:sz w:val="20"/>
              </w:rPr>
              <w:t>36,249</w:t>
            </w:r>
          </w:p>
        </w:tc>
      </w:tr>
    </w:tbl>
    <w:p w14:paraId="5281BAEA" w14:textId="77777777" w:rsidR="00AE2255" w:rsidRDefault="00AE2255">
      <w:pPr>
        <w:pStyle w:val="BodyText"/>
        <w:spacing w:before="1"/>
        <w:rPr>
          <w:sz w:val="12"/>
        </w:rPr>
      </w:pPr>
    </w:p>
    <w:p w14:paraId="55EC72CE" w14:textId="77777777" w:rsidR="00AE2255" w:rsidRDefault="00000000">
      <w:pPr>
        <w:pStyle w:val="BodyText"/>
        <w:spacing w:before="91" w:line="249" w:lineRule="auto"/>
        <w:ind w:left="610" w:right="429" w:firstLine="360"/>
        <w:jc w:val="both"/>
      </w:pPr>
      <w:r>
        <w:t>RMS’</w:t>
      </w:r>
      <w:r>
        <w:rPr>
          <w:spacing w:val="-2"/>
        </w:rPr>
        <w:t xml:space="preserve"> </w:t>
      </w:r>
      <w:r>
        <w:t>net</w:t>
      </w:r>
      <w:r>
        <w:rPr>
          <w:spacing w:val="-2"/>
        </w:rPr>
        <w:t xml:space="preserve"> </w:t>
      </w:r>
      <w:r>
        <w:t>sales</w:t>
      </w:r>
      <w:r>
        <w:rPr>
          <w:spacing w:val="-2"/>
        </w:rPr>
        <w:t xml:space="preserve"> </w:t>
      </w:r>
      <w:r>
        <w:t>in</w:t>
      </w:r>
      <w:r>
        <w:rPr>
          <w:spacing w:val="-2"/>
        </w:rPr>
        <w:t xml:space="preserve"> </w:t>
      </w:r>
      <w:r>
        <w:t>2022</w:t>
      </w:r>
      <w:r>
        <w:rPr>
          <w:spacing w:val="-2"/>
        </w:rPr>
        <w:t xml:space="preserve"> </w:t>
      </w:r>
      <w:r>
        <w:t>decreased</w:t>
      </w:r>
      <w:r>
        <w:rPr>
          <w:spacing w:val="-2"/>
        </w:rPr>
        <w:t xml:space="preserve"> </w:t>
      </w:r>
      <w:r>
        <w:t>$641</w:t>
      </w:r>
      <w:r>
        <w:rPr>
          <w:spacing w:val="-2"/>
        </w:rPr>
        <w:t xml:space="preserve"> </w:t>
      </w:r>
      <w:r>
        <w:t>million,</w:t>
      </w:r>
      <w:r>
        <w:rPr>
          <w:spacing w:val="-2"/>
        </w:rPr>
        <w:t xml:space="preserve"> </w:t>
      </w:r>
      <w:r>
        <w:t>or</w:t>
      </w:r>
      <w:r>
        <w:rPr>
          <w:spacing w:val="-2"/>
        </w:rPr>
        <w:t xml:space="preserve"> </w:t>
      </w:r>
      <w:r>
        <w:t>4%,</w:t>
      </w:r>
      <w:r>
        <w:rPr>
          <w:spacing w:val="-2"/>
        </w:rPr>
        <w:t xml:space="preserve"> </w:t>
      </w:r>
      <w:r>
        <w:t>compared</w:t>
      </w:r>
      <w:r>
        <w:rPr>
          <w:spacing w:val="-2"/>
        </w:rPr>
        <w:t xml:space="preserve"> </w:t>
      </w:r>
      <w:r>
        <w:t>to</w:t>
      </w:r>
      <w:r>
        <w:rPr>
          <w:spacing w:val="-2"/>
        </w:rPr>
        <w:t xml:space="preserve"> </w:t>
      </w:r>
      <w:r>
        <w:t>2021.</w:t>
      </w:r>
      <w:r>
        <w:rPr>
          <w:spacing w:val="-2"/>
        </w:rPr>
        <w:t xml:space="preserve"> </w:t>
      </w:r>
      <w:r>
        <w:t>The</w:t>
      </w:r>
      <w:r>
        <w:rPr>
          <w:spacing w:val="-2"/>
        </w:rPr>
        <w:t xml:space="preserve"> </w:t>
      </w:r>
      <w:r>
        <w:t>decrease</w:t>
      </w:r>
      <w:r>
        <w:rPr>
          <w:spacing w:val="-2"/>
        </w:rPr>
        <w:t xml:space="preserve"> </w:t>
      </w:r>
      <w:r>
        <w:t>was</w:t>
      </w:r>
      <w:r>
        <w:rPr>
          <w:spacing w:val="-2"/>
        </w:rPr>
        <w:t xml:space="preserve"> </w:t>
      </w:r>
      <w:r>
        <w:t>primarily</w:t>
      </w:r>
      <w:r>
        <w:rPr>
          <w:spacing w:val="-2"/>
        </w:rPr>
        <w:t xml:space="preserve"> </w:t>
      </w:r>
      <w:r>
        <w:t>attributable</w:t>
      </w:r>
      <w:r>
        <w:rPr>
          <w:spacing w:val="-2"/>
        </w:rPr>
        <w:t xml:space="preserve"> </w:t>
      </w:r>
      <w:r>
        <w:t>to</w:t>
      </w:r>
      <w:r>
        <w:rPr>
          <w:spacing w:val="-2"/>
        </w:rPr>
        <w:t xml:space="preserve"> </w:t>
      </w:r>
      <w:r>
        <w:t>lower net</w:t>
      </w:r>
      <w:r>
        <w:rPr>
          <w:spacing w:val="-1"/>
        </w:rPr>
        <w:t xml:space="preserve"> </w:t>
      </w:r>
      <w:r>
        <w:t>sales</w:t>
      </w:r>
      <w:r>
        <w:rPr>
          <w:spacing w:val="-1"/>
        </w:rPr>
        <w:t xml:space="preserve"> </w:t>
      </w:r>
      <w:r>
        <w:t>of</w:t>
      </w:r>
      <w:r>
        <w:rPr>
          <w:spacing w:val="-1"/>
        </w:rPr>
        <w:t xml:space="preserve"> </w:t>
      </w:r>
      <w:r>
        <w:t>approximately</w:t>
      </w:r>
      <w:r>
        <w:rPr>
          <w:spacing w:val="-1"/>
        </w:rPr>
        <w:t xml:space="preserve"> </w:t>
      </w:r>
      <w:r>
        <w:t>$280</w:t>
      </w:r>
      <w:r>
        <w:rPr>
          <w:spacing w:val="-1"/>
        </w:rPr>
        <w:t xml:space="preserve"> </w:t>
      </w:r>
      <w:r>
        <w:t>million</w:t>
      </w:r>
      <w:r>
        <w:rPr>
          <w:spacing w:val="-1"/>
        </w:rPr>
        <w:t xml:space="preserve"> </w:t>
      </w:r>
      <w:r>
        <w:t>for</w:t>
      </w:r>
      <w:r>
        <w:rPr>
          <w:spacing w:val="-1"/>
        </w:rPr>
        <w:t xml:space="preserve"> </w:t>
      </w:r>
      <w:r>
        <w:t>TLS</w:t>
      </w:r>
      <w:r>
        <w:rPr>
          <w:spacing w:val="-1"/>
        </w:rPr>
        <w:t xml:space="preserve"> </w:t>
      </w:r>
      <w:r>
        <w:t>programs</w:t>
      </w:r>
      <w:r>
        <w:rPr>
          <w:spacing w:val="-1"/>
        </w:rPr>
        <w:t xml:space="preserve"> </w:t>
      </w:r>
      <w:r>
        <w:t>primarily</w:t>
      </w:r>
      <w:r>
        <w:rPr>
          <w:spacing w:val="-1"/>
        </w:rPr>
        <w:t xml:space="preserve"> </w:t>
      </w:r>
      <w:r>
        <w:t>due</w:t>
      </w:r>
      <w:r>
        <w:rPr>
          <w:spacing w:val="-1"/>
        </w:rPr>
        <w:t xml:space="preserve"> </w:t>
      </w:r>
      <w:r>
        <w:t>to</w:t>
      </w:r>
      <w:r>
        <w:rPr>
          <w:spacing w:val="-1"/>
        </w:rPr>
        <w:t xml:space="preserve"> </w:t>
      </w:r>
      <w:r>
        <w:t>the</w:t>
      </w:r>
      <w:r>
        <w:rPr>
          <w:spacing w:val="-1"/>
        </w:rPr>
        <w:t xml:space="preserve"> </w:t>
      </w:r>
      <w:r>
        <w:t>delivery</w:t>
      </w:r>
      <w:r>
        <w:rPr>
          <w:spacing w:val="-1"/>
        </w:rPr>
        <w:t xml:space="preserve"> </w:t>
      </w:r>
      <w:r>
        <w:t>of</w:t>
      </w:r>
      <w:r>
        <w:rPr>
          <w:spacing w:val="-1"/>
        </w:rPr>
        <w:t xml:space="preserve"> </w:t>
      </w:r>
      <w:r>
        <w:t>an</w:t>
      </w:r>
      <w:r>
        <w:rPr>
          <w:spacing w:val="-1"/>
        </w:rPr>
        <w:t xml:space="preserve"> </w:t>
      </w:r>
      <w:r>
        <w:t>international</w:t>
      </w:r>
      <w:r>
        <w:rPr>
          <w:spacing w:val="-1"/>
        </w:rPr>
        <w:t xml:space="preserve"> </w:t>
      </w:r>
      <w:r>
        <w:t>pilot</w:t>
      </w:r>
      <w:r>
        <w:rPr>
          <w:spacing w:val="-1"/>
        </w:rPr>
        <w:t xml:space="preserve"> </w:t>
      </w:r>
      <w:r>
        <w:t>training</w:t>
      </w:r>
      <w:r>
        <w:rPr>
          <w:spacing w:val="-1"/>
        </w:rPr>
        <w:t xml:space="preserve"> </w:t>
      </w:r>
      <w:r>
        <w:t>system in</w:t>
      </w:r>
      <w:r>
        <w:rPr>
          <w:spacing w:val="-1"/>
        </w:rPr>
        <w:t xml:space="preserve"> </w:t>
      </w:r>
      <w:r>
        <w:t>the</w:t>
      </w:r>
      <w:r>
        <w:rPr>
          <w:spacing w:val="-1"/>
        </w:rPr>
        <w:t xml:space="preserve"> </w:t>
      </w:r>
      <w:r>
        <w:t>first</w:t>
      </w:r>
      <w:r>
        <w:rPr>
          <w:spacing w:val="-1"/>
        </w:rPr>
        <w:t xml:space="preserve"> </w:t>
      </w:r>
      <w:r>
        <w:t>quarter</w:t>
      </w:r>
      <w:r>
        <w:rPr>
          <w:spacing w:val="-1"/>
        </w:rPr>
        <w:t xml:space="preserve"> </w:t>
      </w:r>
      <w:r>
        <w:t>of</w:t>
      </w:r>
      <w:r>
        <w:rPr>
          <w:spacing w:val="-1"/>
        </w:rPr>
        <w:t xml:space="preserve"> </w:t>
      </w:r>
      <w:r>
        <w:t>2021</w:t>
      </w:r>
      <w:r>
        <w:rPr>
          <w:spacing w:val="-1"/>
        </w:rPr>
        <w:t xml:space="preserve"> </w:t>
      </w:r>
      <w:r>
        <w:t>that</w:t>
      </w:r>
      <w:r>
        <w:rPr>
          <w:spacing w:val="-1"/>
        </w:rPr>
        <w:t xml:space="preserve"> </w:t>
      </w:r>
      <w:r>
        <w:t>did</w:t>
      </w:r>
      <w:r>
        <w:rPr>
          <w:spacing w:val="-1"/>
        </w:rPr>
        <w:t xml:space="preserve"> </w:t>
      </w:r>
      <w:r>
        <w:t>not</w:t>
      </w:r>
      <w:r>
        <w:rPr>
          <w:spacing w:val="-1"/>
        </w:rPr>
        <w:t xml:space="preserve"> </w:t>
      </w:r>
      <w:r>
        <w:t>recur</w:t>
      </w:r>
      <w:r>
        <w:rPr>
          <w:spacing w:val="-1"/>
        </w:rPr>
        <w:t xml:space="preserve"> </w:t>
      </w:r>
      <w:r>
        <w:t>in</w:t>
      </w:r>
      <w:r>
        <w:rPr>
          <w:spacing w:val="-1"/>
        </w:rPr>
        <w:t xml:space="preserve"> </w:t>
      </w:r>
      <w:r>
        <w:t>2022;</w:t>
      </w:r>
      <w:r>
        <w:rPr>
          <w:spacing w:val="-1"/>
        </w:rPr>
        <w:t xml:space="preserve"> </w:t>
      </w:r>
      <w:r>
        <w:t>about</w:t>
      </w:r>
      <w:r>
        <w:rPr>
          <w:spacing w:val="-1"/>
        </w:rPr>
        <w:t xml:space="preserve"> </w:t>
      </w:r>
      <w:r>
        <w:t>$205</w:t>
      </w:r>
      <w:r>
        <w:rPr>
          <w:spacing w:val="-1"/>
        </w:rPr>
        <w:t xml:space="preserve"> </w:t>
      </w:r>
      <w:r>
        <w:t>million</w:t>
      </w:r>
      <w:r>
        <w:rPr>
          <w:spacing w:val="-1"/>
        </w:rPr>
        <w:t xml:space="preserve"> </w:t>
      </w:r>
      <w:r>
        <w:t>for</w:t>
      </w:r>
      <w:r>
        <w:rPr>
          <w:spacing w:val="-1"/>
        </w:rPr>
        <w:t xml:space="preserve"> </w:t>
      </w:r>
      <w:r>
        <w:t>various</w:t>
      </w:r>
      <w:r>
        <w:rPr>
          <w:spacing w:val="-1"/>
        </w:rPr>
        <w:t xml:space="preserve"> </w:t>
      </w:r>
      <w:r>
        <w:t>C6ISR</w:t>
      </w:r>
      <w:r>
        <w:rPr>
          <w:spacing w:val="-1"/>
        </w:rPr>
        <w:t xml:space="preserve"> </w:t>
      </w:r>
      <w:r>
        <w:t>programs</w:t>
      </w:r>
      <w:r>
        <w:rPr>
          <w:spacing w:val="-1"/>
        </w:rPr>
        <w:t xml:space="preserve"> </w:t>
      </w:r>
      <w:r>
        <w:t>due</w:t>
      </w:r>
      <w:r>
        <w:rPr>
          <w:spacing w:val="-1"/>
        </w:rPr>
        <w:t xml:space="preserve"> </w:t>
      </w:r>
      <w:r>
        <w:t>to</w:t>
      </w:r>
      <w:r>
        <w:rPr>
          <w:spacing w:val="-1"/>
        </w:rPr>
        <w:t xml:space="preserve"> </w:t>
      </w:r>
      <w:r>
        <w:t>lower</w:t>
      </w:r>
      <w:r>
        <w:rPr>
          <w:spacing w:val="-1"/>
        </w:rPr>
        <w:t xml:space="preserve"> </w:t>
      </w:r>
      <w:r>
        <w:t>volume;</w:t>
      </w:r>
      <w:r>
        <w:rPr>
          <w:spacing w:val="-1"/>
        </w:rPr>
        <w:t xml:space="preserve"> </w:t>
      </w:r>
      <w:r>
        <w:t>and approximately $170 million for Sikorsky helicopter programs due to lower production volume (Black Hawk) that was partially offset by higher production volume (CH-53K).</w:t>
      </w:r>
    </w:p>
    <w:p w14:paraId="6AFD33D5" w14:textId="77777777" w:rsidR="00AE2255" w:rsidRDefault="00AE2255">
      <w:pPr>
        <w:pStyle w:val="BodyText"/>
        <w:spacing w:before="9"/>
        <w:rPr>
          <w:sz w:val="17"/>
        </w:rPr>
      </w:pPr>
    </w:p>
    <w:p w14:paraId="0EBA5AE8" w14:textId="77777777" w:rsidR="00AE2255" w:rsidRDefault="00000000">
      <w:pPr>
        <w:pStyle w:val="BodyText"/>
        <w:spacing w:line="249" w:lineRule="auto"/>
        <w:ind w:left="610" w:right="428" w:firstLine="360"/>
        <w:jc w:val="both"/>
      </w:pPr>
      <w:r>
        <w:t>RMS’ operating profit in 2022 decreased $125 million, or 7%, compared to 2021. The decrease was primarily attributable to approximately $70 million for Sikorsky helicopter programs due to lower production volume and net favorable profit adjustments (Black Hawk) that were partially offset by higher net favorable profit adjustments (CRH); about $50 million for various C6ISR programs due to lower net favorable profit adjustments; and approximately $15 million for integrated warfare systems and sensors (IWSS) programs due to lower net favorable profit adjustments (TPQ-53 and Aegis) that were partially offset by $30 million of unfavorable profit adjustments on a ground-based radar program in 2021 that did not recur in 2022. These</w:t>
      </w:r>
      <w:r>
        <w:rPr>
          <w:spacing w:val="-2"/>
        </w:rPr>
        <w:t xml:space="preserve"> </w:t>
      </w:r>
      <w:r>
        <w:t>decreases</w:t>
      </w:r>
      <w:r>
        <w:rPr>
          <w:spacing w:val="-2"/>
        </w:rPr>
        <w:t xml:space="preserve"> </w:t>
      </w:r>
      <w:r>
        <w:t>were</w:t>
      </w:r>
      <w:r>
        <w:rPr>
          <w:spacing w:val="-2"/>
        </w:rPr>
        <w:t xml:space="preserve"> </w:t>
      </w:r>
      <w:r>
        <w:t>partially</w:t>
      </w:r>
      <w:r>
        <w:rPr>
          <w:spacing w:val="-1"/>
        </w:rPr>
        <w:t xml:space="preserve"> </w:t>
      </w:r>
      <w:r>
        <w:t>offset</w:t>
      </w:r>
      <w:r>
        <w:rPr>
          <w:spacing w:val="-2"/>
        </w:rPr>
        <w:t xml:space="preserve"> </w:t>
      </w:r>
      <w:r>
        <w:t>by</w:t>
      </w:r>
      <w:r>
        <w:rPr>
          <w:spacing w:val="-1"/>
        </w:rPr>
        <w:t xml:space="preserve"> </w:t>
      </w:r>
      <w:r>
        <w:t>an</w:t>
      </w:r>
      <w:r>
        <w:rPr>
          <w:spacing w:val="-1"/>
        </w:rPr>
        <w:t xml:space="preserve"> </w:t>
      </w:r>
      <w:r>
        <w:t>increase</w:t>
      </w:r>
      <w:r>
        <w:rPr>
          <w:spacing w:val="-2"/>
        </w:rPr>
        <w:t xml:space="preserve"> </w:t>
      </w:r>
      <w:r>
        <w:t>of</w:t>
      </w:r>
      <w:r>
        <w:rPr>
          <w:spacing w:val="-1"/>
        </w:rPr>
        <w:t xml:space="preserve"> </w:t>
      </w:r>
      <w:r>
        <w:t>approximately</w:t>
      </w:r>
      <w:r>
        <w:rPr>
          <w:spacing w:val="-1"/>
        </w:rPr>
        <w:t xml:space="preserve"> </w:t>
      </w:r>
      <w:r>
        <w:t>$35</w:t>
      </w:r>
      <w:r>
        <w:rPr>
          <w:spacing w:val="-1"/>
        </w:rPr>
        <w:t xml:space="preserve"> </w:t>
      </w:r>
      <w:r>
        <w:t>million</w:t>
      </w:r>
      <w:r>
        <w:rPr>
          <w:spacing w:val="-1"/>
        </w:rPr>
        <w:t xml:space="preserve"> </w:t>
      </w:r>
      <w:r>
        <w:t>for</w:t>
      </w:r>
      <w:r>
        <w:rPr>
          <w:spacing w:val="-1"/>
        </w:rPr>
        <w:t xml:space="preserve"> </w:t>
      </w:r>
      <w:r>
        <w:t>TLS</w:t>
      </w:r>
      <w:r>
        <w:rPr>
          <w:spacing w:val="-2"/>
        </w:rPr>
        <w:t xml:space="preserve"> </w:t>
      </w:r>
      <w:r>
        <w:t>programs</w:t>
      </w:r>
      <w:r>
        <w:rPr>
          <w:spacing w:val="-2"/>
        </w:rPr>
        <w:t xml:space="preserve"> </w:t>
      </w:r>
      <w:r>
        <w:t>due</w:t>
      </w:r>
      <w:r>
        <w:rPr>
          <w:spacing w:val="-2"/>
        </w:rPr>
        <w:t xml:space="preserve"> </w:t>
      </w:r>
      <w:r>
        <w:t>to</w:t>
      </w:r>
      <w:r>
        <w:rPr>
          <w:spacing w:val="-1"/>
        </w:rPr>
        <w:t xml:space="preserve"> </w:t>
      </w:r>
      <w:r>
        <w:t>higher</w:t>
      </w:r>
      <w:r>
        <w:rPr>
          <w:spacing w:val="-1"/>
        </w:rPr>
        <w:t xml:space="preserve"> </w:t>
      </w:r>
      <w:r>
        <w:t>net</w:t>
      </w:r>
      <w:r>
        <w:rPr>
          <w:spacing w:val="-2"/>
        </w:rPr>
        <w:t xml:space="preserve"> </w:t>
      </w:r>
      <w:r>
        <w:t>favorable profit adjustments that were partially offset by lower volume due to the delivery of an international pilot training system in the first quarter of 2021 that did not recur in 2022. Net favorable profit booking rate adjustments were $65 million lower in 2022 compared to 2021.</w:t>
      </w:r>
    </w:p>
    <w:p w14:paraId="1E3E38BF" w14:textId="77777777" w:rsidR="00AE2255" w:rsidRDefault="00AE2255">
      <w:pPr>
        <w:pStyle w:val="BodyText"/>
        <w:spacing w:before="1"/>
        <w:rPr>
          <w:sz w:val="18"/>
        </w:rPr>
      </w:pPr>
    </w:p>
    <w:p w14:paraId="5413AF48" w14:textId="77777777" w:rsidR="00AE2255" w:rsidRDefault="00000000">
      <w:pPr>
        <w:pStyle w:val="BodyText"/>
        <w:ind w:left="610"/>
      </w:pPr>
      <w:r>
        <w:rPr>
          <w:spacing w:val="-2"/>
        </w:rPr>
        <w:t>Backlog</w:t>
      </w:r>
    </w:p>
    <w:p w14:paraId="12384A54" w14:textId="77777777" w:rsidR="00AE2255" w:rsidRDefault="00AE2255">
      <w:pPr>
        <w:pStyle w:val="BodyText"/>
        <w:spacing w:before="3"/>
        <w:rPr>
          <w:sz w:val="18"/>
        </w:rPr>
      </w:pPr>
    </w:p>
    <w:p w14:paraId="148844F2" w14:textId="77777777" w:rsidR="00AE2255" w:rsidRDefault="00000000">
      <w:pPr>
        <w:pStyle w:val="BodyText"/>
        <w:ind w:left="970"/>
      </w:pPr>
      <w:r>
        <w:t>Backlog</w:t>
      </w:r>
      <w:r>
        <w:rPr>
          <w:spacing w:val="-4"/>
        </w:rPr>
        <w:t xml:space="preserve"> </w:t>
      </w:r>
      <w:r>
        <w:t>increased</w:t>
      </w:r>
      <w:r>
        <w:rPr>
          <w:spacing w:val="-3"/>
        </w:rPr>
        <w:t xml:space="preserve"> </w:t>
      </w:r>
      <w:r>
        <w:t>in</w:t>
      </w:r>
      <w:r>
        <w:rPr>
          <w:spacing w:val="-2"/>
        </w:rPr>
        <w:t xml:space="preserve"> </w:t>
      </w:r>
      <w:r>
        <w:t>2022</w:t>
      </w:r>
      <w:r>
        <w:rPr>
          <w:spacing w:val="-2"/>
        </w:rPr>
        <w:t xml:space="preserve"> </w:t>
      </w:r>
      <w:r>
        <w:t>compared</w:t>
      </w:r>
      <w:r>
        <w:rPr>
          <w:spacing w:val="-2"/>
        </w:rPr>
        <w:t xml:space="preserve"> </w:t>
      </w:r>
      <w:r>
        <w:t>to</w:t>
      </w:r>
      <w:r>
        <w:rPr>
          <w:spacing w:val="-2"/>
        </w:rPr>
        <w:t xml:space="preserve"> </w:t>
      </w:r>
      <w:r>
        <w:t>2021</w:t>
      </w:r>
      <w:r>
        <w:rPr>
          <w:spacing w:val="-2"/>
        </w:rPr>
        <w:t xml:space="preserve"> </w:t>
      </w:r>
      <w:r>
        <w:t>primarily</w:t>
      </w:r>
      <w:r>
        <w:rPr>
          <w:spacing w:val="-2"/>
        </w:rPr>
        <w:t xml:space="preserve"> </w:t>
      </w:r>
      <w:r>
        <w:t>due</w:t>
      </w:r>
      <w:r>
        <w:rPr>
          <w:spacing w:val="-3"/>
        </w:rPr>
        <w:t xml:space="preserve"> </w:t>
      </w:r>
      <w:r>
        <w:t>to</w:t>
      </w:r>
      <w:r>
        <w:rPr>
          <w:spacing w:val="-2"/>
        </w:rPr>
        <w:t xml:space="preserve"> </w:t>
      </w:r>
      <w:r>
        <w:t>higher</w:t>
      </w:r>
      <w:r>
        <w:rPr>
          <w:spacing w:val="-2"/>
        </w:rPr>
        <w:t xml:space="preserve"> </w:t>
      </w:r>
      <w:r>
        <w:t>orders</w:t>
      </w:r>
      <w:r>
        <w:rPr>
          <w:spacing w:val="-2"/>
        </w:rPr>
        <w:t xml:space="preserve"> </w:t>
      </w:r>
      <w:r>
        <w:t>on</w:t>
      </w:r>
      <w:r>
        <w:rPr>
          <w:spacing w:val="-2"/>
        </w:rPr>
        <w:t xml:space="preserve"> </w:t>
      </w:r>
      <w:r>
        <w:t>Sikorsky</w:t>
      </w:r>
      <w:r>
        <w:rPr>
          <w:spacing w:val="-2"/>
        </w:rPr>
        <w:t xml:space="preserve"> programs.</w:t>
      </w:r>
    </w:p>
    <w:p w14:paraId="4AC9B5E1" w14:textId="77777777" w:rsidR="00AE2255" w:rsidRDefault="00AE2255">
      <w:pPr>
        <w:pStyle w:val="BodyText"/>
        <w:spacing w:before="8"/>
        <w:rPr>
          <w:sz w:val="18"/>
        </w:rPr>
      </w:pPr>
    </w:p>
    <w:p w14:paraId="37535AE5" w14:textId="77777777" w:rsidR="00AE2255" w:rsidRDefault="00000000">
      <w:pPr>
        <w:pStyle w:val="Heading2"/>
      </w:pPr>
      <w:r>
        <w:rPr>
          <w:spacing w:val="-2"/>
        </w:rPr>
        <w:t>Space</w:t>
      </w:r>
    </w:p>
    <w:p w14:paraId="13D2DB16" w14:textId="77777777" w:rsidR="00AE2255" w:rsidRDefault="00AE2255">
      <w:pPr>
        <w:pStyle w:val="BodyText"/>
        <w:spacing w:before="6"/>
        <w:rPr>
          <w:b/>
          <w:sz w:val="18"/>
        </w:rPr>
      </w:pPr>
    </w:p>
    <w:p w14:paraId="1B2B90F1" w14:textId="77777777" w:rsidR="00AE2255" w:rsidRDefault="00000000">
      <w:pPr>
        <w:pStyle w:val="BodyText"/>
        <w:spacing w:line="249" w:lineRule="auto"/>
        <w:ind w:left="610" w:right="428" w:firstLine="360"/>
        <w:jc w:val="both"/>
      </w:pPr>
      <w:r>
        <w:t xml:space="preserve">Our Space business segment is engaged in the research and design, development, engineering and production of satellites, space transportation systems, and strategic, advanced strike and defensive systems. Space provides network-enabled situational awareness and integrates complex space and ground global systems to help our customers gather, analyze, and securely distribute critical intelligence data. Space is also responsible for various classified systems and services in support of vital national security systems. Space’s major programs include the Trident II D5 Fleet Ballistic Missile (FBM), Orion Multi- Purpose Crew Vehicle (Orion), Space Based Infrared System (SBIRS) and Next Generation Overhead Persistent Infrared (Next Gen OPIR) system, Global Positioning System (GPS) III, </w:t>
      </w:r>
      <w:proofErr w:type="spellStart"/>
      <w:r>
        <w:t>hypersonics</w:t>
      </w:r>
      <w:proofErr w:type="spellEnd"/>
      <w:r>
        <w:t xml:space="preserve"> programs and Next Generation Interceptor (NGI). Operating profit for our Space business segment includes our share of earnings for our investment in ULA, which provides expendable launch services to the U.S. Government and commercial customers. Space’s operating results included the</w:t>
      </w:r>
      <w:r>
        <w:rPr>
          <w:spacing w:val="40"/>
        </w:rPr>
        <w:t xml:space="preserve"> </w:t>
      </w:r>
      <w:r>
        <w:t>following (in millions):</w:t>
      </w:r>
    </w:p>
    <w:p w14:paraId="71643EFF" w14:textId="77777777" w:rsidR="00AE2255" w:rsidRDefault="00AE2255">
      <w:pPr>
        <w:pStyle w:val="BodyText"/>
        <w:spacing w:before="3"/>
        <w:rPr>
          <w:sz w:val="18"/>
        </w:rPr>
      </w:pPr>
    </w:p>
    <w:tbl>
      <w:tblPr>
        <w:tblW w:w="0" w:type="auto"/>
        <w:tblInd w:w="617" w:type="dxa"/>
        <w:tblLayout w:type="fixed"/>
        <w:tblCellMar>
          <w:left w:w="0" w:type="dxa"/>
          <w:right w:w="0" w:type="dxa"/>
        </w:tblCellMar>
        <w:tblLook w:val="01E0" w:firstRow="1" w:lastRow="1" w:firstColumn="1" w:lastColumn="1" w:noHBand="0" w:noVBand="0"/>
      </w:tblPr>
      <w:tblGrid>
        <w:gridCol w:w="4187"/>
        <w:gridCol w:w="3358"/>
        <w:gridCol w:w="318"/>
        <w:gridCol w:w="898"/>
        <w:gridCol w:w="302"/>
        <w:gridCol w:w="1170"/>
      </w:tblGrid>
      <w:tr w:rsidR="00AE2255" w14:paraId="77693863" w14:textId="77777777">
        <w:trPr>
          <w:trHeight w:val="241"/>
        </w:trPr>
        <w:tc>
          <w:tcPr>
            <w:tcW w:w="4187" w:type="dxa"/>
            <w:tcBorders>
              <w:bottom w:val="single" w:sz="8" w:space="0" w:color="000000"/>
            </w:tcBorders>
          </w:tcPr>
          <w:p w14:paraId="2DD1A77C" w14:textId="77777777" w:rsidR="00AE2255" w:rsidRDefault="00AE2255">
            <w:pPr>
              <w:pStyle w:val="TableParagraph"/>
              <w:spacing w:before="0"/>
              <w:jc w:val="left"/>
              <w:rPr>
                <w:sz w:val="16"/>
              </w:rPr>
            </w:pPr>
          </w:p>
        </w:tc>
        <w:tc>
          <w:tcPr>
            <w:tcW w:w="3358" w:type="dxa"/>
            <w:tcBorders>
              <w:bottom w:val="single" w:sz="8" w:space="0" w:color="000000"/>
            </w:tcBorders>
          </w:tcPr>
          <w:p w14:paraId="5F131AC9" w14:textId="77777777" w:rsidR="00AE2255" w:rsidRDefault="00000000">
            <w:pPr>
              <w:pStyle w:val="TableParagraph"/>
              <w:spacing w:before="0" w:line="221" w:lineRule="exact"/>
              <w:ind w:right="50"/>
              <w:rPr>
                <w:b/>
                <w:sz w:val="20"/>
              </w:rPr>
            </w:pPr>
            <w:r>
              <w:rPr>
                <w:b/>
                <w:spacing w:val="-4"/>
                <w:sz w:val="20"/>
              </w:rPr>
              <w:t>2022</w:t>
            </w:r>
          </w:p>
        </w:tc>
        <w:tc>
          <w:tcPr>
            <w:tcW w:w="318" w:type="dxa"/>
            <w:tcBorders>
              <w:bottom w:val="single" w:sz="8" w:space="0" w:color="000000"/>
            </w:tcBorders>
          </w:tcPr>
          <w:p w14:paraId="7AF76995" w14:textId="77777777" w:rsidR="00AE2255" w:rsidRDefault="00AE2255">
            <w:pPr>
              <w:pStyle w:val="TableParagraph"/>
              <w:spacing w:before="0"/>
              <w:jc w:val="left"/>
              <w:rPr>
                <w:sz w:val="16"/>
              </w:rPr>
            </w:pPr>
          </w:p>
        </w:tc>
        <w:tc>
          <w:tcPr>
            <w:tcW w:w="898" w:type="dxa"/>
            <w:tcBorders>
              <w:bottom w:val="single" w:sz="8" w:space="0" w:color="000000"/>
            </w:tcBorders>
          </w:tcPr>
          <w:p w14:paraId="009A6DCC" w14:textId="77777777" w:rsidR="00AE2255" w:rsidRDefault="00000000">
            <w:pPr>
              <w:pStyle w:val="TableParagraph"/>
              <w:spacing w:before="0" w:line="221" w:lineRule="exact"/>
              <w:ind w:right="51"/>
              <w:rPr>
                <w:b/>
                <w:sz w:val="20"/>
              </w:rPr>
            </w:pPr>
            <w:r>
              <w:rPr>
                <w:b/>
                <w:spacing w:val="-4"/>
                <w:sz w:val="20"/>
              </w:rPr>
              <w:t>2021</w:t>
            </w:r>
          </w:p>
        </w:tc>
        <w:tc>
          <w:tcPr>
            <w:tcW w:w="302" w:type="dxa"/>
            <w:tcBorders>
              <w:bottom w:val="single" w:sz="8" w:space="0" w:color="000000"/>
            </w:tcBorders>
          </w:tcPr>
          <w:p w14:paraId="3F72D78B" w14:textId="77777777" w:rsidR="00AE2255" w:rsidRDefault="00AE2255">
            <w:pPr>
              <w:pStyle w:val="TableParagraph"/>
              <w:spacing w:before="0"/>
              <w:jc w:val="left"/>
              <w:rPr>
                <w:sz w:val="16"/>
              </w:rPr>
            </w:pPr>
          </w:p>
        </w:tc>
        <w:tc>
          <w:tcPr>
            <w:tcW w:w="1170" w:type="dxa"/>
            <w:tcBorders>
              <w:bottom w:val="single" w:sz="8" w:space="0" w:color="000000"/>
            </w:tcBorders>
          </w:tcPr>
          <w:p w14:paraId="33C3BE53" w14:textId="77777777" w:rsidR="00AE2255" w:rsidRDefault="00000000">
            <w:pPr>
              <w:pStyle w:val="TableParagraph"/>
              <w:spacing w:before="0" w:line="221" w:lineRule="exact"/>
              <w:ind w:left="459"/>
              <w:jc w:val="left"/>
              <w:rPr>
                <w:b/>
                <w:sz w:val="20"/>
              </w:rPr>
            </w:pPr>
            <w:r>
              <w:rPr>
                <w:b/>
                <w:spacing w:val="-4"/>
                <w:sz w:val="20"/>
              </w:rPr>
              <w:t>2020</w:t>
            </w:r>
          </w:p>
        </w:tc>
      </w:tr>
      <w:tr w:rsidR="00AE2255" w14:paraId="3E5F9B5F" w14:textId="77777777">
        <w:trPr>
          <w:trHeight w:val="275"/>
        </w:trPr>
        <w:tc>
          <w:tcPr>
            <w:tcW w:w="4187" w:type="dxa"/>
            <w:tcBorders>
              <w:top w:val="single" w:sz="8" w:space="0" w:color="000000"/>
            </w:tcBorders>
            <w:shd w:val="clear" w:color="auto" w:fill="CCEDFF"/>
          </w:tcPr>
          <w:p w14:paraId="1AA51DAF"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sales</w:t>
            </w:r>
          </w:p>
        </w:tc>
        <w:tc>
          <w:tcPr>
            <w:tcW w:w="3358" w:type="dxa"/>
            <w:tcBorders>
              <w:top w:val="single" w:sz="8" w:space="0" w:color="000000"/>
            </w:tcBorders>
            <w:shd w:val="clear" w:color="auto" w:fill="CCEDFF"/>
          </w:tcPr>
          <w:p w14:paraId="4B7095D2" w14:textId="77777777" w:rsidR="00AE2255" w:rsidRDefault="00000000">
            <w:pPr>
              <w:pStyle w:val="TableParagraph"/>
              <w:spacing w:before="15"/>
              <w:ind w:right="79"/>
              <w:rPr>
                <w:b/>
                <w:sz w:val="20"/>
              </w:rPr>
            </w:pPr>
            <w:r>
              <w:rPr>
                <w:b/>
                <w:sz w:val="20"/>
              </w:rPr>
              <w:t>$</w:t>
            </w:r>
            <w:r>
              <w:rPr>
                <w:b/>
                <w:spacing w:val="50"/>
                <w:sz w:val="20"/>
              </w:rPr>
              <w:t xml:space="preserve"> </w:t>
            </w:r>
            <w:r>
              <w:rPr>
                <w:b/>
                <w:spacing w:val="-2"/>
                <w:sz w:val="20"/>
              </w:rPr>
              <w:t>11,532</w:t>
            </w:r>
          </w:p>
        </w:tc>
        <w:tc>
          <w:tcPr>
            <w:tcW w:w="318" w:type="dxa"/>
            <w:tcBorders>
              <w:top w:val="single" w:sz="8" w:space="0" w:color="000000"/>
            </w:tcBorders>
            <w:shd w:val="clear" w:color="auto" w:fill="CCEDFF"/>
          </w:tcPr>
          <w:p w14:paraId="39306B90" w14:textId="77777777" w:rsidR="00AE2255" w:rsidRDefault="00AE2255">
            <w:pPr>
              <w:pStyle w:val="TableParagraph"/>
              <w:spacing w:before="0"/>
              <w:jc w:val="left"/>
              <w:rPr>
                <w:sz w:val="20"/>
              </w:rPr>
            </w:pPr>
          </w:p>
        </w:tc>
        <w:tc>
          <w:tcPr>
            <w:tcW w:w="898" w:type="dxa"/>
            <w:tcBorders>
              <w:top w:val="single" w:sz="8" w:space="0" w:color="000000"/>
            </w:tcBorders>
            <w:shd w:val="clear" w:color="auto" w:fill="CCEDFF"/>
          </w:tcPr>
          <w:p w14:paraId="119B37BA" w14:textId="77777777" w:rsidR="00AE2255" w:rsidRDefault="00000000">
            <w:pPr>
              <w:pStyle w:val="TableParagraph"/>
              <w:spacing w:before="15"/>
              <w:ind w:right="80"/>
              <w:rPr>
                <w:sz w:val="20"/>
              </w:rPr>
            </w:pPr>
            <w:r>
              <w:rPr>
                <w:sz w:val="20"/>
              </w:rPr>
              <w:t>$</w:t>
            </w:r>
            <w:r>
              <w:rPr>
                <w:spacing w:val="50"/>
                <w:sz w:val="20"/>
              </w:rPr>
              <w:t xml:space="preserve"> </w:t>
            </w:r>
            <w:r>
              <w:rPr>
                <w:spacing w:val="-2"/>
                <w:sz w:val="20"/>
              </w:rPr>
              <w:t>11,814</w:t>
            </w:r>
          </w:p>
        </w:tc>
        <w:tc>
          <w:tcPr>
            <w:tcW w:w="302" w:type="dxa"/>
            <w:tcBorders>
              <w:top w:val="single" w:sz="8" w:space="0" w:color="000000"/>
            </w:tcBorders>
            <w:shd w:val="clear" w:color="auto" w:fill="CCEDFF"/>
          </w:tcPr>
          <w:p w14:paraId="0AB587D5" w14:textId="77777777" w:rsidR="00AE2255" w:rsidRDefault="00AE2255">
            <w:pPr>
              <w:pStyle w:val="TableParagraph"/>
              <w:spacing w:before="0"/>
              <w:jc w:val="left"/>
              <w:rPr>
                <w:sz w:val="20"/>
              </w:rPr>
            </w:pPr>
          </w:p>
        </w:tc>
        <w:tc>
          <w:tcPr>
            <w:tcW w:w="1170" w:type="dxa"/>
            <w:tcBorders>
              <w:top w:val="single" w:sz="8" w:space="0" w:color="000000"/>
            </w:tcBorders>
            <w:shd w:val="clear" w:color="auto" w:fill="CCEDFF"/>
          </w:tcPr>
          <w:p w14:paraId="71289EC3" w14:textId="77777777" w:rsidR="00AE2255" w:rsidRDefault="00000000">
            <w:pPr>
              <w:pStyle w:val="TableParagraph"/>
              <w:spacing w:before="15"/>
              <w:ind w:left="79"/>
              <w:jc w:val="left"/>
              <w:rPr>
                <w:sz w:val="20"/>
              </w:rPr>
            </w:pPr>
            <w:r>
              <w:rPr>
                <w:sz w:val="20"/>
              </w:rPr>
              <w:t>$</w:t>
            </w:r>
            <w:r>
              <w:rPr>
                <w:spacing w:val="50"/>
                <w:sz w:val="20"/>
              </w:rPr>
              <w:t xml:space="preserve"> </w:t>
            </w:r>
            <w:r>
              <w:rPr>
                <w:spacing w:val="-2"/>
                <w:sz w:val="20"/>
              </w:rPr>
              <w:t>11,880</w:t>
            </w:r>
          </w:p>
        </w:tc>
      </w:tr>
      <w:tr w:rsidR="00AE2255" w14:paraId="67C7B41F" w14:textId="77777777">
        <w:trPr>
          <w:trHeight w:val="285"/>
        </w:trPr>
        <w:tc>
          <w:tcPr>
            <w:tcW w:w="4187" w:type="dxa"/>
          </w:tcPr>
          <w:p w14:paraId="74D86127"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profit</w:t>
            </w:r>
          </w:p>
        </w:tc>
        <w:tc>
          <w:tcPr>
            <w:tcW w:w="3358" w:type="dxa"/>
          </w:tcPr>
          <w:p w14:paraId="2C14069C" w14:textId="77777777" w:rsidR="00AE2255" w:rsidRDefault="00000000">
            <w:pPr>
              <w:pStyle w:val="TableParagraph"/>
              <w:ind w:right="79"/>
              <w:rPr>
                <w:b/>
                <w:sz w:val="20"/>
              </w:rPr>
            </w:pPr>
            <w:r>
              <w:rPr>
                <w:b/>
                <w:spacing w:val="-2"/>
                <w:sz w:val="20"/>
              </w:rPr>
              <w:t>1,045</w:t>
            </w:r>
          </w:p>
        </w:tc>
        <w:tc>
          <w:tcPr>
            <w:tcW w:w="318" w:type="dxa"/>
          </w:tcPr>
          <w:p w14:paraId="174E68D0" w14:textId="77777777" w:rsidR="00AE2255" w:rsidRDefault="00AE2255">
            <w:pPr>
              <w:pStyle w:val="TableParagraph"/>
              <w:spacing w:before="0"/>
              <w:jc w:val="left"/>
              <w:rPr>
                <w:sz w:val="20"/>
              </w:rPr>
            </w:pPr>
          </w:p>
        </w:tc>
        <w:tc>
          <w:tcPr>
            <w:tcW w:w="898" w:type="dxa"/>
          </w:tcPr>
          <w:p w14:paraId="3617BABF" w14:textId="77777777" w:rsidR="00AE2255" w:rsidRDefault="00000000">
            <w:pPr>
              <w:pStyle w:val="TableParagraph"/>
              <w:ind w:right="80"/>
              <w:rPr>
                <w:sz w:val="20"/>
              </w:rPr>
            </w:pPr>
            <w:r>
              <w:rPr>
                <w:spacing w:val="-2"/>
                <w:sz w:val="20"/>
              </w:rPr>
              <w:t>1,134</w:t>
            </w:r>
          </w:p>
        </w:tc>
        <w:tc>
          <w:tcPr>
            <w:tcW w:w="302" w:type="dxa"/>
          </w:tcPr>
          <w:p w14:paraId="4763FA4B" w14:textId="77777777" w:rsidR="00AE2255" w:rsidRDefault="00AE2255">
            <w:pPr>
              <w:pStyle w:val="TableParagraph"/>
              <w:spacing w:before="0"/>
              <w:jc w:val="left"/>
              <w:rPr>
                <w:sz w:val="20"/>
              </w:rPr>
            </w:pPr>
          </w:p>
        </w:tc>
        <w:tc>
          <w:tcPr>
            <w:tcW w:w="1170" w:type="dxa"/>
          </w:tcPr>
          <w:p w14:paraId="6185DEF8" w14:textId="77777777" w:rsidR="00AE2255" w:rsidRDefault="00000000">
            <w:pPr>
              <w:pStyle w:val="TableParagraph"/>
              <w:ind w:left="380"/>
              <w:jc w:val="left"/>
              <w:rPr>
                <w:sz w:val="20"/>
              </w:rPr>
            </w:pPr>
            <w:r>
              <w:rPr>
                <w:spacing w:val="-2"/>
                <w:sz w:val="20"/>
              </w:rPr>
              <w:t>1,149</w:t>
            </w:r>
          </w:p>
        </w:tc>
      </w:tr>
      <w:tr w:rsidR="00AE2255" w14:paraId="203693ED" w14:textId="77777777">
        <w:trPr>
          <w:trHeight w:val="285"/>
        </w:trPr>
        <w:tc>
          <w:tcPr>
            <w:tcW w:w="4187" w:type="dxa"/>
            <w:shd w:val="clear" w:color="auto" w:fill="CCEDFF"/>
          </w:tcPr>
          <w:p w14:paraId="7355F5E8"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margin</w:t>
            </w:r>
          </w:p>
        </w:tc>
        <w:tc>
          <w:tcPr>
            <w:tcW w:w="3358" w:type="dxa"/>
            <w:shd w:val="clear" w:color="auto" w:fill="CCEDFF"/>
          </w:tcPr>
          <w:p w14:paraId="43C7ADA8" w14:textId="77777777" w:rsidR="00AE2255" w:rsidRDefault="00000000">
            <w:pPr>
              <w:pStyle w:val="TableParagraph"/>
              <w:ind w:right="79"/>
              <w:rPr>
                <w:b/>
                <w:sz w:val="20"/>
              </w:rPr>
            </w:pPr>
            <w:r>
              <w:rPr>
                <w:b/>
                <w:spacing w:val="-5"/>
                <w:sz w:val="20"/>
              </w:rPr>
              <w:t>9.1</w:t>
            </w:r>
          </w:p>
        </w:tc>
        <w:tc>
          <w:tcPr>
            <w:tcW w:w="318" w:type="dxa"/>
            <w:shd w:val="clear" w:color="auto" w:fill="CCEDFF"/>
          </w:tcPr>
          <w:p w14:paraId="5E5DE0EB" w14:textId="77777777" w:rsidR="00AE2255" w:rsidRDefault="00000000">
            <w:pPr>
              <w:pStyle w:val="TableParagraph"/>
              <w:ind w:left="52"/>
              <w:jc w:val="left"/>
              <w:rPr>
                <w:b/>
                <w:sz w:val="20"/>
              </w:rPr>
            </w:pPr>
            <w:r>
              <w:rPr>
                <w:b/>
                <w:sz w:val="20"/>
              </w:rPr>
              <w:t>%</w:t>
            </w:r>
          </w:p>
        </w:tc>
        <w:tc>
          <w:tcPr>
            <w:tcW w:w="898" w:type="dxa"/>
            <w:shd w:val="clear" w:color="auto" w:fill="CCEDFF"/>
          </w:tcPr>
          <w:p w14:paraId="528A7DDF" w14:textId="77777777" w:rsidR="00AE2255" w:rsidRDefault="00000000">
            <w:pPr>
              <w:pStyle w:val="TableParagraph"/>
              <w:ind w:right="80"/>
              <w:rPr>
                <w:sz w:val="20"/>
              </w:rPr>
            </w:pPr>
            <w:r>
              <w:rPr>
                <w:spacing w:val="-5"/>
                <w:sz w:val="20"/>
              </w:rPr>
              <w:t>9.6</w:t>
            </w:r>
          </w:p>
        </w:tc>
        <w:tc>
          <w:tcPr>
            <w:tcW w:w="302" w:type="dxa"/>
            <w:shd w:val="clear" w:color="auto" w:fill="CCEDFF"/>
          </w:tcPr>
          <w:p w14:paraId="260BC06F" w14:textId="77777777" w:rsidR="00AE2255" w:rsidRDefault="00000000">
            <w:pPr>
              <w:pStyle w:val="TableParagraph"/>
              <w:ind w:left="51"/>
              <w:jc w:val="left"/>
              <w:rPr>
                <w:sz w:val="20"/>
              </w:rPr>
            </w:pPr>
            <w:r>
              <w:rPr>
                <w:sz w:val="20"/>
              </w:rPr>
              <w:t>%</w:t>
            </w:r>
          </w:p>
        </w:tc>
        <w:tc>
          <w:tcPr>
            <w:tcW w:w="1170" w:type="dxa"/>
            <w:shd w:val="clear" w:color="auto" w:fill="CCEDFF"/>
          </w:tcPr>
          <w:p w14:paraId="2BE235CC" w14:textId="77777777" w:rsidR="00AE2255" w:rsidRDefault="00000000">
            <w:pPr>
              <w:pStyle w:val="TableParagraph"/>
              <w:ind w:left="580"/>
              <w:jc w:val="left"/>
              <w:rPr>
                <w:sz w:val="20"/>
              </w:rPr>
            </w:pPr>
            <w:r>
              <w:rPr>
                <w:sz w:val="20"/>
              </w:rPr>
              <w:t>9.7</w:t>
            </w:r>
            <w:r>
              <w:rPr>
                <w:spacing w:val="59"/>
                <w:w w:val="150"/>
                <w:sz w:val="20"/>
              </w:rPr>
              <w:t xml:space="preserve"> </w:t>
            </w:r>
            <w:r>
              <w:rPr>
                <w:spacing w:val="-10"/>
                <w:sz w:val="20"/>
              </w:rPr>
              <w:t>%</w:t>
            </w:r>
          </w:p>
        </w:tc>
      </w:tr>
      <w:tr w:rsidR="00AE2255" w14:paraId="53D7BE06" w14:textId="77777777">
        <w:trPr>
          <w:trHeight w:val="277"/>
        </w:trPr>
        <w:tc>
          <w:tcPr>
            <w:tcW w:w="4187" w:type="dxa"/>
            <w:tcBorders>
              <w:bottom w:val="single" w:sz="18" w:space="0" w:color="000000"/>
            </w:tcBorders>
          </w:tcPr>
          <w:p w14:paraId="68D5A324" w14:textId="77777777" w:rsidR="00AE2255" w:rsidRDefault="00000000">
            <w:pPr>
              <w:pStyle w:val="TableParagraph"/>
              <w:spacing w:before="40" w:line="217" w:lineRule="exact"/>
              <w:ind w:left="52"/>
              <w:jc w:val="left"/>
              <w:rPr>
                <w:sz w:val="20"/>
              </w:rPr>
            </w:pPr>
            <w:r>
              <w:rPr>
                <w:sz w:val="20"/>
              </w:rPr>
              <w:t>Backlog</w:t>
            </w:r>
            <w:r>
              <w:rPr>
                <w:spacing w:val="-4"/>
                <w:sz w:val="20"/>
              </w:rPr>
              <w:t xml:space="preserve"> </w:t>
            </w:r>
            <w:r>
              <w:rPr>
                <w:sz w:val="20"/>
              </w:rPr>
              <w:t>at</w:t>
            </w:r>
            <w:r>
              <w:rPr>
                <w:spacing w:val="-4"/>
                <w:sz w:val="20"/>
              </w:rPr>
              <w:t xml:space="preserve"> </w:t>
            </w:r>
            <w:r>
              <w:rPr>
                <w:sz w:val="20"/>
              </w:rPr>
              <w:t>year-</w:t>
            </w:r>
            <w:r>
              <w:rPr>
                <w:spacing w:val="-5"/>
                <w:sz w:val="20"/>
              </w:rPr>
              <w:t>end</w:t>
            </w:r>
          </w:p>
        </w:tc>
        <w:tc>
          <w:tcPr>
            <w:tcW w:w="3358" w:type="dxa"/>
            <w:tcBorders>
              <w:bottom w:val="single" w:sz="18" w:space="0" w:color="000000"/>
            </w:tcBorders>
          </w:tcPr>
          <w:p w14:paraId="66E0972F" w14:textId="77777777" w:rsidR="00AE2255" w:rsidRDefault="00000000">
            <w:pPr>
              <w:pStyle w:val="TableParagraph"/>
              <w:spacing w:before="40" w:line="217" w:lineRule="exact"/>
              <w:ind w:right="79"/>
              <w:rPr>
                <w:b/>
                <w:sz w:val="20"/>
              </w:rPr>
            </w:pPr>
            <w:r>
              <w:rPr>
                <w:b/>
                <w:sz w:val="20"/>
              </w:rPr>
              <w:t>$</w:t>
            </w:r>
            <w:r>
              <w:rPr>
                <w:b/>
                <w:spacing w:val="50"/>
                <w:sz w:val="20"/>
              </w:rPr>
              <w:t xml:space="preserve"> </w:t>
            </w:r>
            <w:r>
              <w:rPr>
                <w:b/>
                <w:spacing w:val="-2"/>
                <w:sz w:val="20"/>
              </w:rPr>
              <w:t>29,684</w:t>
            </w:r>
          </w:p>
        </w:tc>
        <w:tc>
          <w:tcPr>
            <w:tcW w:w="318" w:type="dxa"/>
            <w:tcBorders>
              <w:bottom w:val="single" w:sz="18" w:space="0" w:color="000000"/>
            </w:tcBorders>
          </w:tcPr>
          <w:p w14:paraId="5114D09F" w14:textId="77777777" w:rsidR="00AE2255" w:rsidRDefault="00AE2255">
            <w:pPr>
              <w:pStyle w:val="TableParagraph"/>
              <w:spacing w:before="0"/>
              <w:jc w:val="left"/>
              <w:rPr>
                <w:sz w:val="20"/>
              </w:rPr>
            </w:pPr>
          </w:p>
        </w:tc>
        <w:tc>
          <w:tcPr>
            <w:tcW w:w="898" w:type="dxa"/>
            <w:tcBorders>
              <w:bottom w:val="single" w:sz="18" w:space="0" w:color="000000"/>
            </w:tcBorders>
          </w:tcPr>
          <w:p w14:paraId="269448D8" w14:textId="77777777" w:rsidR="00AE2255" w:rsidRDefault="00000000">
            <w:pPr>
              <w:pStyle w:val="TableParagraph"/>
              <w:spacing w:before="40" w:line="217" w:lineRule="exact"/>
              <w:ind w:right="80"/>
              <w:rPr>
                <w:sz w:val="20"/>
              </w:rPr>
            </w:pPr>
            <w:r>
              <w:rPr>
                <w:sz w:val="20"/>
              </w:rPr>
              <w:t>$</w:t>
            </w:r>
            <w:r>
              <w:rPr>
                <w:spacing w:val="50"/>
                <w:sz w:val="20"/>
              </w:rPr>
              <w:t xml:space="preserve"> </w:t>
            </w:r>
            <w:r>
              <w:rPr>
                <w:spacing w:val="-2"/>
                <w:sz w:val="20"/>
              </w:rPr>
              <w:t>25,516</w:t>
            </w:r>
          </w:p>
        </w:tc>
        <w:tc>
          <w:tcPr>
            <w:tcW w:w="302" w:type="dxa"/>
            <w:tcBorders>
              <w:bottom w:val="single" w:sz="18" w:space="0" w:color="000000"/>
            </w:tcBorders>
          </w:tcPr>
          <w:p w14:paraId="21BB3B38" w14:textId="77777777" w:rsidR="00AE2255" w:rsidRDefault="00AE2255">
            <w:pPr>
              <w:pStyle w:val="TableParagraph"/>
              <w:spacing w:before="0"/>
              <w:jc w:val="left"/>
              <w:rPr>
                <w:sz w:val="20"/>
              </w:rPr>
            </w:pPr>
          </w:p>
        </w:tc>
        <w:tc>
          <w:tcPr>
            <w:tcW w:w="1170" w:type="dxa"/>
            <w:tcBorders>
              <w:bottom w:val="single" w:sz="18" w:space="0" w:color="000000"/>
            </w:tcBorders>
          </w:tcPr>
          <w:p w14:paraId="26DBA864" w14:textId="77777777" w:rsidR="00AE2255" w:rsidRDefault="00000000">
            <w:pPr>
              <w:pStyle w:val="TableParagraph"/>
              <w:spacing w:before="40" w:line="217" w:lineRule="exact"/>
              <w:ind w:left="79"/>
              <w:jc w:val="left"/>
              <w:rPr>
                <w:sz w:val="20"/>
              </w:rPr>
            </w:pPr>
            <w:r>
              <w:rPr>
                <w:sz w:val="20"/>
              </w:rPr>
              <w:t>$</w:t>
            </w:r>
            <w:r>
              <w:rPr>
                <w:spacing w:val="50"/>
                <w:sz w:val="20"/>
              </w:rPr>
              <w:t xml:space="preserve"> </w:t>
            </w:r>
            <w:r>
              <w:rPr>
                <w:spacing w:val="-2"/>
                <w:sz w:val="20"/>
              </w:rPr>
              <w:t>25,148</w:t>
            </w:r>
          </w:p>
        </w:tc>
      </w:tr>
    </w:tbl>
    <w:p w14:paraId="16A1C0C7" w14:textId="77777777" w:rsidR="00AE2255" w:rsidRDefault="00AE2255">
      <w:pPr>
        <w:pStyle w:val="BodyText"/>
      </w:pPr>
    </w:p>
    <w:p w14:paraId="566D488A" w14:textId="77777777" w:rsidR="00AE2255" w:rsidRDefault="00000000">
      <w:pPr>
        <w:pStyle w:val="BodyText"/>
        <w:spacing w:line="249" w:lineRule="auto"/>
        <w:ind w:left="610" w:right="428" w:firstLine="360"/>
        <w:jc w:val="both"/>
      </w:pPr>
      <w:r>
        <w:t>Space’s net sales in 2022 decreased $282 million, or 2%, compared to 2021. The decrease was primarily attributable to lower net sales of approximately $885 million due to the renationalization of the AWE program on June 30, 2021, which was</w:t>
      </w:r>
      <w:r>
        <w:rPr>
          <w:spacing w:val="40"/>
        </w:rPr>
        <w:t xml:space="preserve"> </w:t>
      </w:r>
      <w:r>
        <w:t>no longer included in our financial results beginning in the third quarter of 2021; and about $125 million for commercial civil space programs due to lower volume (Orion). These decreases were partially offset by higher net sales of about $495 million</w:t>
      </w:r>
      <w:r>
        <w:rPr>
          <w:spacing w:val="40"/>
        </w:rPr>
        <w:t xml:space="preserve"> </w:t>
      </w:r>
      <w:r>
        <w:t>for strategic and missile defense programs due to higher development volume (NGI); and about $245 million for national security space programs due to higher development volume (classified programs).</w:t>
      </w:r>
    </w:p>
    <w:p w14:paraId="3984C374" w14:textId="77777777" w:rsidR="00AE2255" w:rsidRDefault="00AE2255">
      <w:pPr>
        <w:pStyle w:val="BodyText"/>
        <w:spacing w:before="9"/>
        <w:rPr>
          <w:sz w:val="17"/>
        </w:rPr>
      </w:pPr>
    </w:p>
    <w:p w14:paraId="354B1381" w14:textId="77777777" w:rsidR="00AE2255" w:rsidRDefault="00000000">
      <w:pPr>
        <w:pStyle w:val="BodyText"/>
        <w:spacing w:line="249" w:lineRule="auto"/>
        <w:ind w:left="610" w:right="429" w:firstLine="360"/>
        <w:jc w:val="both"/>
      </w:pPr>
      <w:r>
        <w:t>Space’s operating profit in 2022 decreased $89 million, or 8%, compared to 2021. The decrease was primarily attributable to approximately $85 million for national security space programs primarily due to lower net favorable profit adjustments (classified</w:t>
      </w:r>
      <w:r>
        <w:rPr>
          <w:spacing w:val="24"/>
        </w:rPr>
        <w:t xml:space="preserve"> </w:t>
      </w:r>
      <w:r>
        <w:t>programs</w:t>
      </w:r>
      <w:r>
        <w:rPr>
          <w:spacing w:val="24"/>
        </w:rPr>
        <w:t xml:space="preserve"> </w:t>
      </w:r>
      <w:r>
        <w:t>and</w:t>
      </w:r>
      <w:r>
        <w:rPr>
          <w:spacing w:val="24"/>
        </w:rPr>
        <w:t xml:space="preserve"> </w:t>
      </w:r>
      <w:r>
        <w:t>SBIRS)</w:t>
      </w:r>
      <w:r>
        <w:rPr>
          <w:spacing w:val="24"/>
        </w:rPr>
        <w:t xml:space="preserve"> </w:t>
      </w:r>
      <w:r>
        <w:t>that</w:t>
      </w:r>
      <w:r>
        <w:rPr>
          <w:spacing w:val="24"/>
        </w:rPr>
        <w:t xml:space="preserve"> </w:t>
      </w:r>
      <w:r>
        <w:t>were</w:t>
      </w:r>
      <w:r>
        <w:rPr>
          <w:spacing w:val="24"/>
        </w:rPr>
        <w:t xml:space="preserve"> </w:t>
      </w:r>
      <w:r>
        <w:t>partially</w:t>
      </w:r>
      <w:r>
        <w:rPr>
          <w:spacing w:val="24"/>
        </w:rPr>
        <w:t xml:space="preserve"> </w:t>
      </w:r>
      <w:r>
        <w:t>offset</w:t>
      </w:r>
      <w:r>
        <w:rPr>
          <w:spacing w:val="24"/>
        </w:rPr>
        <w:t xml:space="preserve"> </w:t>
      </w:r>
      <w:r>
        <w:t>by</w:t>
      </w:r>
      <w:r>
        <w:rPr>
          <w:spacing w:val="24"/>
        </w:rPr>
        <w:t xml:space="preserve"> </w:t>
      </w:r>
      <w:r>
        <w:t>lower</w:t>
      </w:r>
      <w:r>
        <w:rPr>
          <w:spacing w:val="24"/>
        </w:rPr>
        <w:t xml:space="preserve"> </w:t>
      </w:r>
      <w:r>
        <w:t>net</w:t>
      </w:r>
      <w:r>
        <w:rPr>
          <w:spacing w:val="24"/>
        </w:rPr>
        <w:t xml:space="preserve"> </w:t>
      </w:r>
      <w:r>
        <w:t>unfavorable</w:t>
      </w:r>
      <w:r>
        <w:rPr>
          <w:spacing w:val="24"/>
        </w:rPr>
        <w:t xml:space="preserve"> </w:t>
      </w:r>
      <w:r>
        <w:t>profit</w:t>
      </w:r>
      <w:r>
        <w:rPr>
          <w:spacing w:val="24"/>
        </w:rPr>
        <w:t xml:space="preserve"> </w:t>
      </w:r>
      <w:r>
        <w:t>adjustments</w:t>
      </w:r>
      <w:r>
        <w:rPr>
          <w:spacing w:val="24"/>
        </w:rPr>
        <w:t xml:space="preserve"> </w:t>
      </w:r>
      <w:r>
        <w:t>of</w:t>
      </w:r>
      <w:r>
        <w:rPr>
          <w:spacing w:val="24"/>
        </w:rPr>
        <w:t xml:space="preserve"> </w:t>
      </w:r>
      <w:r>
        <w:t>$25</w:t>
      </w:r>
      <w:r>
        <w:rPr>
          <w:spacing w:val="24"/>
        </w:rPr>
        <w:t xml:space="preserve"> </w:t>
      </w:r>
      <w:r>
        <w:t>million</w:t>
      </w:r>
      <w:r>
        <w:rPr>
          <w:spacing w:val="24"/>
        </w:rPr>
        <w:t xml:space="preserve"> </w:t>
      </w:r>
      <w:r>
        <w:t>on</w:t>
      </w:r>
      <w:r>
        <w:rPr>
          <w:spacing w:val="24"/>
        </w:rPr>
        <w:t xml:space="preserve"> </w:t>
      </w:r>
      <w:r>
        <w:t>a</w:t>
      </w:r>
    </w:p>
    <w:p w14:paraId="1C3817F4" w14:textId="77777777" w:rsidR="00AE2255" w:rsidRDefault="00AE2255">
      <w:pPr>
        <w:spacing w:line="249" w:lineRule="auto"/>
        <w:jc w:val="both"/>
        <w:sectPr w:rsidR="00AE2255">
          <w:pgSz w:w="12240" w:h="15840"/>
          <w:pgMar w:top="440" w:right="560" w:bottom="720" w:left="380" w:header="230" w:footer="531" w:gutter="0"/>
          <w:cols w:space="720"/>
        </w:sectPr>
      </w:pPr>
    </w:p>
    <w:p w14:paraId="2EFBA82F" w14:textId="77777777" w:rsidR="00AE2255" w:rsidRDefault="00AE2255">
      <w:pPr>
        <w:pStyle w:val="BodyText"/>
        <w:spacing w:before="10"/>
        <w:rPr>
          <w:sz w:val="22"/>
        </w:rPr>
      </w:pPr>
    </w:p>
    <w:p w14:paraId="076FE3ED" w14:textId="77777777" w:rsidR="00AE2255" w:rsidRDefault="00000000">
      <w:pPr>
        <w:pStyle w:val="BodyText"/>
        <w:spacing w:before="92" w:line="249" w:lineRule="auto"/>
        <w:ind w:left="610" w:right="429"/>
        <w:jc w:val="both"/>
      </w:pPr>
      <w:r>
        <w:t>ground solutions program; and about $40 million for commercial civil space programs due to lower net favorable profit adjustments (Human Lander System (HLS)) and lower volume (Orion). These decreases were partially offset by higher equity earnings of approximately $35 million from the company's investment in ULA due to higher launch volume and launch mix; and about $20 million for strategic and missile defense programs due to higher net favorable profit adjustments (primarily</w:t>
      </w:r>
      <w:r>
        <w:rPr>
          <w:spacing w:val="40"/>
        </w:rPr>
        <w:t xml:space="preserve"> </w:t>
      </w:r>
      <w:r>
        <w:t xml:space="preserve">NGI). Operating profit for the AWE program was comparable as its operating profit in 2021 was mostly offset by accelerated amortization expense for intangible assets </w:t>
      </w:r>
      <w:proofErr w:type="gramStart"/>
      <w:r>
        <w:t>as a result of</w:t>
      </w:r>
      <w:proofErr w:type="gramEnd"/>
      <w:r>
        <w:t xml:space="preserve"> the renationalization. Net favorable profit booking rate adjustments</w:t>
      </w:r>
      <w:r>
        <w:rPr>
          <w:spacing w:val="40"/>
        </w:rPr>
        <w:t xml:space="preserve"> </w:t>
      </w:r>
      <w:r>
        <w:t>were $150 million lower in 2022 compared to 2021.</w:t>
      </w:r>
    </w:p>
    <w:p w14:paraId="6A87AE32" w14:textId="77777777" w:rsidR="00AE2255" w:rsidRDefault="00AE2255">
      <w:pPr>
        <w:pStyle w:val="BodyText"/>
        <w:spacing w:before="10"/>
        <w:rPr>
          <w:sz w:val="17"/>
        </w:rPr>
      </w:pPr>
    </w:p>
    <w:p w14:paraId="7232AFB8" w14:textId="77777777" w:rsidR="00AE2255" w:rsidRDefault="00000000">
      <w:pPr>
        <w:ind w:left="610"/>
        <w:rPr>
          <w:i/>
          <w:sz w:val="20"/>
        </w:rPr>
      </w:pPr>
      <w:r>
        <w:rPr>
          <w:i/>
          <w:sz w:val="20"/>
        </w:rPr>
        <w:t>Equity</w:t>
      </w:r>
      <w:r>
        <w:rPr>
          <w:i/>
          <w:spacing w:val="-4"/>
          <w:sz w:val="20"/>
        </w:rPr>
        <w:t xml:space="preserve"> </w:t>
      </w:r>
      <w:r>
        <w:rPr>
          <w:i/>
          <w:spacing w:val="-2"/>
          <w:sz w:val="20"/>
        </w:rPr>
        <w:t>earnings</w:t>
      </w:r>
    </w:p>
    <w:p w14:paraId="1D8C13D7" w14:textId="77777777" w:rsidR="00AE2255" w:rsidRDefault="00AE2255">
      <w:pPr>
        <w:pStyle w:val="BodyText"/>
        <w:spacing w:before="3"/>
        <w:rPr>
          <w:i/>
          <w:sz w:val="18"/>
        </w:rPr>
      </w:pPr>
    </w:p>
    <w:p w14:paraId="21E1EB76" w14:textId="77777777" w:rsidR="00AE2255" w:rsidRDefault="00000000">
      <w:pPr>
        <w:pStyle w:val="BodyText"/>
        <w:spacing w:line="249" w:lineRule="auto"/>
        <w:ind w:left="610" w:right="430" w:firstLine="360"/>
        <w:jc w:val="both"/>
      </w:pPr>
      <w:r>
        <w:t>Total equity earnings (primarily ULA) represented approximately $100 million and $65 million, or 10% and 6%, of</w:t>
      </w:r>
      <w:r>
        <w:rPr>
          <w:spacing w:val="40"/>
        </w:rPr>
        <w:t xml:space="preserve"> </w:t>
      </w:r>
      <w:r>
        <w:t>Space’s operating profit during 2022 and 2021.</w:t>
      </w:r>
    </w:p>
    <w:p w14:paraId="7312C4DD" w14:textId="77777777" w:rsidR="00AE2255" w:rsidRDefault="00AE2255">
      <w:pPr>
        <w:pStyle w:val="BodyText"/>
        <w:spacing w:before="6"/>
        <w:rPr>
          <w:sz w:val="17"/>
        </w:rPr>
      </w:pPr>
    </w:p>
    <w:p w14:paraId="32173890" w14:textId="77777777" w:rsidR="00AE2255" w:rsidRDefault="00000000">
      <w:pPr>
        <w:ind w:left="610"/>
        <w:rPr>
          <w:i/>
          <w:sz w:val="20"/>
        </w:rPr>
      </w:pPr>
      <w:r>
        <w:rPr>
          <w:i/>
          <w:spacing w:val="-2"/>
          <w:sz w:val="20"/>
        </w:rPr>
        <w:t>Backlog</w:t>
      </w:r>
    </w:p>
    <w:p w14:paraId="3FE1C3E7" w14:textId="77777777" w:rsidR="00AE2255" w:rsidRDefault="00AE2255">
      <w:pPr>
        <w:pStyle w:val="BodyText"/>
        <w:spacing w:before="3"/>
        <w:rPr>
          <w:i/>
          <w:sz w:val="18"/>
        </w:rPr>
      </w:pPr>
    </w:p>
    <w:p w14:paraId="53255BB8" w14:textId="77777777" w:rsidR="00AE2255" w:rsidRDefault="00000000">
      <w:pPr>
        <w:pStyle w:val="BodyText"/>
        <w:spacing w:line="249" w:lineRule="auto"/>
        <w:ind w:left="610" w:right="429" w:firstLine="360"/>
        <w:jc w:val="both"/>
      </w:pPr>
      <w:r>
        <w:t>Backlog increased in 2022 compared to 2021 primarily due to the exercise of the Orion Production Contract option for Artemis VI-VIII in commercial civil space and contract awards in national security space (Southern Positioning Augmentation Network (</w:t>
      </w:r>
      <w:proofErr w:type="spellStart"/>
      <w:r>
        <w:t>SouthPan</w:t>
      </w:r>
      <w:proofErr w:type="spellEnd"/>
      <w:r>
        <w:t>) and classified).</w:t>
      </w:r>
    </w:p>
    <w:p w14:paraId="5B3C83C6" w14:textId="77777777" w:rsidR="00AE2255" w:rsidRDefault="00AE2255">
      <w:pPr>
        <w:pStyle w:val="BodyText"/>
        <w:spacing w:before="4"/>
        <w:rPr>
          <w:sz w:val="17"/>
        </w:rPr>
      </w:pPr>
    </w:p>
    <w:p w14:paraId="3B982C48" w14:textId="77777777" w:rsidR="00AE2255" w:rsidRDefault="00000000">
      <w:pPr>
        <w:pStyle w:val="Heading3"/>
      </w:pPr>
      <w:bookmarkStart w:id="29" w:name="Liquidity_and_Cash_Flows"/>
      <w:bookmarkEnd w:id="29"/>
      <w:r>
        <w:t>Liquidity</w:t>
      </w:r>
      <w:r>
        <w:rPr>
          <w:spacing w:val="-4"/>
        </w:rPr>
        <w:t xml:space="preserve"> </w:t>
      </w:r>
      <w:r>
        <w:t>and</w:t>
      </w:r>
      <w:r>
        <w:rPr>
          <w:spacing w:val="-4"/>
        </w:rPr>
        <w:t xml:space="preserve"> </w:t>
      </w:r>
      <w:r>
        <w:t>Cash</w:t>
      </w:r>
      <w:r>
        <w:rPr>
          <w:spacing w:val="-3"/>
        </w:rPr>
        <w:t xml:space="preserve"> </w:t>
      </w:r>
      <w:r>
        <w:rPr>
          <w:spacing w:val="-4"/>
        </w:rPr>
        <w:t>Flows</w:t>
      </w:r>
    </w:p>
    <w:p w14:paraId="57E78877" w14:textId="77777777" w:rsidR="00AE2255" w:rsidRDefault="00AE2255">
      <w:pPr>
        <w:pStyle w:val="BodyText"/>
        <w:spacing w:before="6"/>
        <w:rPr>
          <w:b/>
          <w:i/>
          <w:sz w:val="18"/>
        </w:rPr>
      </w:pPr>
    </w:p>
    <w:p w14:paraId="686B33EA" w14:textId="77777777" w:rsidR="00AE2255" w:rsidRDefault="00000000">
      <w:pPr>
        <w:pStyle w:val="BodyText"/>
        <w:spacing w:line="249" w:lineRule="auto"/>
        <w:ind w:left="610" w:right="427" w:firstLine="360"/>
        <w:jc w:val="both"/>
      </w:pPr>
      <w:r>
        <w:t>As of December 31, 2022, we had cash and cash equivalents of $2.5 billion. Our principal source of liquidity is our cash from operations. However, we also have access to credit markets, if needed, for liquidity or general corporate purposes, including share repurchases.</w:t>
      </w:r>
      <w:r>
        <w:rPr>
          <w:spacing w:val="40"/>
        </w:rPr>
        <w:t xml:space="preserve"> </w:t>
      </w:r>
      <w:r>
        <w:t xml:space="preserve">This access includes our $3.0 billion revolving credit facility or the ability to issue commercial paper, and letters of credit to support customer advance payments and for other trade finance purposes such as guaranteeing our performance on </w:t>
      </w:r>
      <w:proofErr w:type="gramStart"/>
      <w:r>
        <w:t>particular contracts</w:t>
      </w:r>
      <w:proofErr w:type="gramEnd"/>
      <w:r>
        <w:t>. We believe our cash and cash equivalents, our expected cash flow generated from operations and our access to credit markets will be sufficient to meet our cash requirements and cash deployment plans over the next twelve months and beyond based on our current business plans.</w:t>
      </w:r>
    </w:p>
    <w:p w14:paraId="73B38D6B" w14:textId="77777777" w:rsidR="00AE2255" w:rsidRDefault="00AE2255">
      <w:pPr>
        <w:pStyle w:val="BodyText"/>
        <w:spacing w:before="10"/>
        <w:rPr>
          <w:sz w:val="17"/>
        </w:rPr>
      </w:pPr>
    </w:p>
    <w:p w14:paraId="4A4533E9" w14:textId="77777777" w:rsidR="00AE2255" w:rsidRDefault="00000000">
      <w:pPr>
        <w:pStyle w:val="BodyText"/>
        <w:spacing w:before="1" w:line="249" w:lineRule="auto"/>
        <w:ind w:left="610" w:right="428" w:firstLine="360"/>
        <w:jc w:val="both"/>
      </w:pPr>
      <w:r>
        <w:t xml:space="preserve">Cash received from customers, either from the payment of invoices for work performed or for advances from non-U.S. government customers </w:t>
      </w:r>
      <w:proofErr w:type="gramStart"/>
      <w:r>
        <w:t>in excess of</w:t>
      </w:r>
      <w:proofErr w:type="gramEnd"/>
      <w:r>
        <w:t xml:space="preserve"> costs incurred, is our primary source of cash from operations. We generally do not begin work on contracts until funding is appropriated by the customer. However, from time to time, we fund customer programs ourselves pending government appropriations. If we incur costs in excess of funds obligated on the contract or in advance of a contract award, this negatively affects our cash </w:t>
      </w:r>
      <w:proofErr w:type="gramStart"/>
      <w:r>
        <w:t>flows</w:t>
      </w:r>
      <w:proofErr w:type="gramEnd"/>
      <w:r>
        <w:t xml:space="preserve"> and we may be at risk for reimbursement of the excess costs.</w:t>
      </w:r>
    </w:p>
    <w:p w14:paraId="5BE55D2A" w14:textId="77777777" w:rsidR="00AE2255" w:rsidRDefault="00AE2255">
      <w:pPr>
        <w:pStyle w:val="BodyText"/>
        <w:spacing w:before="8"/>
        <w:rPr>
          <w:sz w:val="17"/>
        </w:rPr>
      </w:pPr>
    </w:p>
    <w:p w14:paraId="09340734" w14:textId="77777777" w:rsidR="00AE2255" w:rsidRDefault="00000000">
      <w:pPr>
        <w:pStyle w:val="BodyText"/>
        <w:spacing w:line="249" w:lineRule="auto"/>
        <w:ind w:left="610" w:right="428" w:firstLine="360"/>
        <w:jc w:val="both"/>
      </w:pPr>
      <w:r>
        <w:t xml:space="preserve">Billing timetables and payment terms on our contracts vary based on </w:t>
      </w:r>
      <w:proofErr w:type="gramStart"/>
      <w:r>
        <w:t>a number of</w:t>
      </w:r>
      <w:proofErr w:type="gramEnd"/>
      <w:r>
        <w:t xml:space="preserve"> factors, including the contract type. We generally bill and collect cash more frequently under cost-reimbursable contracts, which represented approximately 38% of the sales we recorded in 2022, as we are authorized to bill as the costs are incurred. </w:t>
      </w:r>
      <w:proofErr w:type="gramStart"/>
      <w:r>
        <w:t>A number of</w:t>
      </w:r>
      <w:proofErr w:type="gramEnd"/>
      <w:r>
        <w:t xml:space="preserve"> our fixed-price contracts may provide for performance-based payments, which allow us to bill and collect cash as we perform on the contract. The </w:t>
      </w:r>
      <w:proofErr w:type="gramStart"/>
      <w:r>
        <w:t>amount</w:t>
      </w:r>
      <w:proofErr w:type="gramEnd"/>
      <w:r>
        <w:t xml:space="preserve"> of performance-based payments and the related milestones are encompassed in the negotiation of each contract. The timing of</w:t>
      </w:r>
      <w:r>
        <w:rPr>
          <w:spacing w:val="40"/>
        </w:rPr>
        <w:t xml:space="preserve"> </w:t>
      </w:r>
      <w:r>
        <w:t xml:space="preserve">such payments may differ from the timing of the costs incurred related to our contract performance, thereby affecting our cash </w:t>
      </w:r>
      <w:r>
        <w:rPr>
          <w:spacing w:val="-2"/>
        </w:rPr>
        <w:t>flows.</w:t>
      </w:r>
    </w:p>
    <w:p w14:paraId="2C04FB6E" w14:textId="77777777" w:rsidR="00AE2255" w:rsidRDefault="00AE2255">
      <w:pPr>
        <w:pStyle w:val="BodyText"/>
        <w:spacing w:before="10"/>
        <w:rPr>
          <w:sz w:val="17"/>
        </w:rPr>
      </w:pPr>
    </w:p>
    <w:p w14:paraId="562E84E0" w14:textId="77777777" w:rsidR="00AE2255" w:rsidRDefault="00000000">
      <w:pPr>
        <w:pStyle w:val="BodyText"/>
        <w:spacing w:line="249" w:lineRule="auto"/>
        <w:ind w:left="610" w:right="428" w:firstLine="360"/>
        <w:jc w:val="both"/>
      </w:pPr>
      <w:r>
        <w:t>The</w:t>
      </w:r>
      <w:r>
        <w:rPr>
          <w:spacing w:val="-2"/>
        </w:rPr>
        <w:t xml:space="preserve"> </w:t>
      </w:r>
      <w:r>
        <w:t>U.S.</w:t>
      </w:r>
      <w:r>
        <w:rPr>
          <w:spacing w:val="-2"/>
        </w:rPr>
        <w:t xml:space="preserve"> </w:t>
      </w:r>
      <w:r>
        <w:t>Government</w:t>
      </w:r>
      <w:r>
        <w:rPr>
          <w:spacing w:val="-2"/>
        </w:rPr>
        <w:t xml:space="preserve"> </w:t>
      </w:r>
      <w:r>
        <w:t>has</w:t>
      </w:r>
      <w:r>
        <w:rPr>
          <w:spacing w:val="-2"/>
        </w:rPr>
        <w:t xml:space="preserve"> </w:t>
      </w:r>
      <w:r>
        <w:t>indicated</w:t>
      </w:r>
      <w:r>
        <w:rPr>
          <w:spacing w:val="-2"/>
        </w:rPr>
        <w:t xml:space="preserve"> </w:t>
      </w:r>
      <w:r>
        <w:t>that</w:t>
      </w:r>
      <w:r>
        <w:rPr>
          <w:spacing w:val="-2"/>
        </w:rPr>
        <w:t xml:space="preserve"> </w:t>
      </w:r>
      <w:r>
        <w:t>it</w:t>
      </w:r>
      <w:r>
        <w:rPr>
          <w:spacing w:val="-2"/>
        </w:rPr>
        <w:t xml:space="preserve"> </w:t>
      </w:r>
      <w:r>
        <w:t>would</w:t>
      </w:r>
      <w:r>
        <w:rPr>
          <w:spacing w:val="-2"/>
        </w:rPr>
        <w:t xml:space="preserve"> </w:t>
      </w:r>
      <w:r>
        <w:t>consider</w:t>
      </w:r>
      <w:r>
        <w:rPr>
          <w:spacing w:val="-2"/>
        </w:rPr>
        <w:t xml:space="preserve"> </w:t>
      </w:r>
      <w:r>
        <w:t>progress</w:t>
      </w:r>
      <w:r>
        <w:rPr>
          <w:spacing w:val="-2"/>
        </w:rPr>
        <w:t xml:space="preserve"> </w:t>
      </w:r>
      <w:r>
        <w:t>payments</w:t>
      </w:r>
      <w:r>
        <w:rPr>
          <w:spacing w:val="-2"/>
        </w:rPr>
        <w:t xml:space="preserve"> </w:t>
      </w:r>
      <w:r>
        <w:t>as</w:t>
      </w:r>
      <w:r>
        <w:rPr>
          <w:spacing w:val="-2"/>
        </w:rPr>
        <w:t xml:space="preserve"> </w:t>
      </w:r>
      <w:r>
        <w:t>the</w:t>
      </w:r>
      <w:r>
        <w:rPr>
          <w:spacing w:val="-2"/>
        </w:rPr>
        <w:t xml:space="preserve"> </w:t>
      </w:r>
      <w:r>
        <w:t>baseline</w:t>
      </w:r>
      <w:r>
        <w:rPr>
          <w:spacing w:val="-2"/>
        </w:rPr>
        <w:t xml:space="preserve"> </w:t>
      </w:r>
      <w:r>
        <w:t>for</w:t>
      </w:r>
      <w:r>
        <w:rPr>
          <w:spacing w:val="-2"/>
        </w:rPr>
        <w:t xml:space="preserve"> </w:t>
      </w:r>
      <w:r>
        <w:t>negotiating</w:t>
      </w:r>
      <w:r>
        <w:rPr>
          <w:spacing w:val="-2"/>
        </w:rPr>
        <w:t xml:space="preserve"> </w:t>
      </w:r>
      <w:r>
        <w:t>payment</w:t>
      </w:r>
      <w:r>
        <w:rPr>
          <w:spacing w:val="-2"/>
        </w:rPr>
        <w:t xml:space="preserve"> </w:t>
      </w:r>
      <w:r>
        <w:t>terms on fixed-price contracts, rather than performance-based payments. In contrast to negotiated performance-based payment terms, progress payment provisions correspond to a percentage of the amount of costs incurred during the performance of the contract and are invoiced regularly as costs are incurred. Our cash flows may be affected if the U.S. Government changes its payment policies or decides to withhold payments on our billings. While the impact of policy changes or withholding payments may delay the receipt of cash, the cumulative amount of cash collected during the life of the contract should not vary.</w:t>
      </w:r>
    </w:p>
    <w:p w14:paraId="51AC5E04" w14:textId="77777777" w:rsidR="00AE2255" w:rsidRDefault="00AE2255">
      <w:pPr>
        <w:pStyle w:val="BodyText"/>
        <w:spacing w:before="10"/>
        <w:rPr>
          <w:sz w:val="17"/>
        </w:rPr>
      </w:pPr>
    </w:p>
    <w:p w14:paraId="5C9F94B8" w14:textId="77777777" w:rsidR="00AE2255" w:rsidRDefault="00000000">
      <w:pPr>
        <w:pStyle w:val="BodyText"/>
        <w:spacing w:line="249" w:lineRule="auto"/>
        <w:ind w:left="610" w:right="428" w:firstLine="360"/>
        <w:jc w:val="both"/>
      </w:pPr>
      <w:r>
        <w:t xml:space="preserve">To date, the effects of COVID-19 have resulted in some negative impacts on our cash flows, partially due to supplier disruptions and delays. The U.S. Government has taken certain actions and enacted legislation to mitigate the impacts of COVID-19 on public health, the economy, state and local governments, individuals, and businesses. Since the pandemic began, Lockheed Martin has remained committed to accelerating payments to the supply chain with a focus on small and </w:t>
      </w:r>
      <w:proofErr w:type="gramStart"/>
      <w:r>
        <w:t>at risk</w:t>
      </w:r>
      <w:proofErr w:type="gramEnd"/>
      <w:r>
        <w:t xml:space="preserve"> businesses. As of December 31, 2022, we have accelerated $1.5 billion of payments to our suppliers that are due by their terms in future periods. We will continue to monitor supply chain risks, especially at small and at-risk related suppliers, and may continue to utilize accelerated payments in 2023 on an as needed basis.</w:t>
      </w:r>
    </w:p>
    <w:p w14:paraId="71194BCE" w14:textId="77777777" w:rsidR="00AE2255" w:rsidRDefault="00AE2255">
      <w:pPr>
        <w:pStyle w:val="BodyText"/>
        <w:spacing w:before="10"/>
        <w:rPr>
          <w:sz w:val="17"/>
        </w:rPr>
      </w:pPr>
    </w:p>
    <w:p w14:paraId="727E0C6D" w14:textId="77777777" w:rsidR="00AE2255" w:rsidRDefault="00000000">
      <w:pPr>
        <w:pStyle w:val="BodyText"/>
        <w:spacing w:line="249" w:lineRule="auto"/>
        <w:ind w:left="610" w:right="429" w:firstLine="360"/>
        <w:jc w:val="both"/>
      </w:pPr>
      <w:r>
        <w:t>In addition, we have a balanced cash deployment strategy to invest in our business and key technologies to provide our customers</w:t>
      </w:r>
      <w:r>
        <w:rPr>
          <w:spacing w:val="23"/>
        </w:rPr>
        <w:t xml:space="preserve"> </w:t>
      </w:r>
      <w:r>
        <w:t>with</w:t>
      </w:r>
      <w:r>
        <w:rPr>
          <w:spacing w:val="23"/>
        </w:rPr>
        <w:t xml:space="preserve"> </w:t>
      </w:r>
      <w:r>
        <w:t>enhanced</w:t>
      </w:r>
      <w:r>
        <w:rPr>
          <w:spacing w:val="23"/>
        </w:rPr>
        <w:t xml:space="preserve"> </w:t>
      </w:r>
      <w:r>
        <w:t>capabilities,</w:t>
      </w:r>
      <w:r>
        <w:rPr>
          <w:spacing w:val="23"/>
        </w:rPr>
        <w:t xml:space="preserve"> </w:t>
      </w:r>
      <w:r>
        <w:t>enhance</w:t>
      </w:r>
      <w:r>
        <w:rPr>
          <w:spacing w:val="23"/>
        </w:rPr>
        <w:t xml:space="preserve"> </w:t>
      </w:r>
      <w:r>
        <w:t>stockholder</w:t>
      </w:r>
      <w:r>
        <w:rPr>
          <w:spacing w:val="23"/>
        </w:rPr>
        <w:t xml:space="preserve"> </w:t>
      </w:r>
      <w:r>
        <w:t>value,</w:t>
      </w:r>
      <w:r>
        <w:rPr>
          <w:spacing w:val="23"/>
        </w:rPr>
        <w:t xml:space="preserve"> </w:t>
      </w:r>
      <w:r>
        <w:t>and</w:t>
      </w:r>
      <w:r>
        <w:rPr>
          <w:spacing w:val="23"/>
        </w:rPr>
        <w:t xml:space="preserve"> </w:t>
      </w:r>
      <w:r>
        <w:t>position</w:t>
      </w:r>
      <w:r>
        <w:rPr>
          <w:spacing w:val="23"/>
        </w:rPr>
        <w:t xml:space="preserve"> </w:t>
      </w:r>
      <w:r>
        <w:t>ourselves</w:t>
      </w:r>
      <w:r>
        <w:rPr>
          <w:spacing w:val="23"/>
        </w:rPr>
        <w:t xml:space="preserve"> </w:t>
      </w:r>
      <w:r>
        <w:t>to</w:t>
      </w:r>
      <w:r>
        <w:rPr>
          <w:spacing w:val="23"/>
        </w:rPr>
        <w:t xml:space="preserve"> </w:t>
      </w:r>
      <w:r>
        <w:t>take</w:t>
      </w:r>
      <w:r>
        <w:rPr>
          <w:spacing w:val="23"/>
        </w:rPr>
        <w:t xml:space="preserve"> </w:t>
      </w:r>
      <w:r>
        <w:t>advantage</w:t>
      </w:r>
      <w:r>
        <w:rPr>
          <w:spacing w:val="23"/>
        </w:rPr>
        <w:t xml:space="preserve"> </w:t>
      </w:r>
      <w:r>
        <w:t>of</w:t>
      </w:r>
      <w:r>
        <w:rPr>
          <w:spacing w:val="23"/>
        </w:rPr>
        <w:t xml:space="preserve"> </w:t>
      </w:r>
      <w:r>
        <w:t>new</w:t>
      </w:r>
      <w:r>
        <w:rPr>
          <w:spacing w:val="23"/>
        </w:rPr>
        <w:t xml:space="preserve"> </w:t>
      </w:r>
      <w:r>
        <w:t>business</w:t>
      </w:r>
    </w:p>
    <w:p w14:paraId="68AFB5B2" w14:textId="77777777" w:rsidR="00AE2255" w:rsidRDefault="00AE2255">
      <w:pPr>
        <w:spacing w:line="249" w:lineRule="auto"/>
        <w:jc w:val="both"/>
        <w:sectPr w:rsidR="00AE2255">
          <w:pgSz w:w="12240" w:h="15840"/>
          <w:pgMar w:top="440" w:right="560" w:bottom="720" w:left="380" w:header="230" w:footer="531" w:gutter="0"/>
          <w:cols w:space="720"/>
        </w:sectPr>
      </w:pPr>
    </w:p>
    <w:p w14:paraId="37DA507F" w14:textId="77777777" w:rsidR="00AE2255" w:rsidRDefault="00AE2255">
      <w:pPr>
        <w:pStyle w:val="BodyText"/>
        <w:spacing w:before="10"/>
        <w:rPr>
          <w:sz w:val="22"/>
        </w:rPr>
      </w:pPr>
    </w:p>
    <w:p w14:paraId="4D4EE204" w14:textId="77777777" w:rsidR="00AE2255" w:rsidRDefault="00000000">
      <w:pPr>
        <w:pStyle w:val="BodyText"/>
        <w:spacing w:before="92" w:line="249" w:lineRule="auto"/>
        <w:ind w:left="610"/>
      </w:pPr>
      <w:r>
        <w:t>opportunities</w:t>
      </w:r>
      <w:r>
        <w:rPr>
          <w:spacing w:val="29"/>
        </w:rPr>
        <w:t xml:space="preserve"> </w:t>
      </w:r>
      <w:r>
        <w:t>when</w:t>
      </w:r>
      <w:r>
        <w:rPr>
          <w:spacing w:val="29"/>
        </w:rPr>
        <w:t xml:space="preserve"> </w:t>
      </w:r>
      <w:r>
        <w:t>they</w:t>
      </w:r>
      <w:r>
        <w:rPr>
          <w:spacing w:val="29"/>
        </w:rPr>
        <w:t xml:space="preserve"> </w:t>
      </w:r>
      <w:r>
        <w:t>arise.</w:t>
      </w:r>
      <w:r>
        <w:rPr>
          <w:spacing w:val="29"/>
        </w:rPr>
        <w:t xml:space="preserve"> </w:t>
      </w:r>
      <w:r>
        <w:t>Consistent</w:t>
      </w:r>
      <w:r>
        <w:rPr>
          <w:spacing w:val="29"/>
        </w:rPr>
        <w:t xml:space="preserve"> </w:t>
      </w:r>
      <w:r>
        <w:t>with</w:t>
      </w:r>
      <w:r>
        <w:rPr>
          <w:spacing w:val="29"/>
        </w:rPr>
        <w:t xml:space="preserve"> </w:t>
      </w:r>
      <w:r>
        <w:t>that</w:t>
      </w:r>
      <w:r>
        <w:rPr>
          <w:spacing w:val="29"/>
        </w:rPr>
        <w:t xml:space="preserve"> </w:t>
      </w:r>
      <w:r>
        <w:t>strategy,</w:t>
      </w:r>
      <w:r>
        <w:rPr>
          <w:spacing w:val="29"/>
        </w:rPr>
        <w:t xml:space="preserve"> </w:t>
      </w:r>
      <w:r>
        <w:t>we</w:t>
      </w:r>
      <w:r>
        <w:rPr>
          <w:spacing w:val="29"/>
        </w:rPr>
        <w:t xml:space="preserve"> </w:t>
      </w:r>
      <w:r>
        <w:t>have</w:t>
      </w:r>
      <w:r>
        <w:rPr>
          <w:spacing w:val="29"/>
        </w:rPr>
        <w:t xml:space="preserve"> </w:t>
      </w:r>
      <w:r>
        <w:t>continued</w:t>
      </w:r>
      <w:r>
        <w:rPr>
          <w:spacing w:val="29"/>
        </w:rPr>
        <w:t xml:space="preserve"> </w:t>
      </w:r>
      <w:r>
        <w:t>to</w:t>
      </w:r>
      <w:r>
        <w:rPr>
          <w:spacing w:val="29"/>
        </w:rPr>
        <w:t xml:space="preserve"> </w:t>
      </w:r>
      <w:r>
        <w:t>invest</w:t>
      </w:r>
      <w:r>
        <w:rPr>
          <w:spacing w:val="29"/>
        </w:rPr>
        <w:t xml:space="preserve"> </w:t>
      </w:r>
      <w:r>
        <w:t>in</w:t>
      </w:r>
      <w:r>
        <w:rPr>
          <w:spacing w:val="29"/>
        </w:rPr>
        <w:t xml:space="preserve"> </w:t>
      </w:r>
      <w:r>
        <w:t>our</w:t>
      </w:r>
      <w:r>
        <w:rPr>
          <w:spacing w:val="29"/>
        </w:rPr>
        <w:t xml:space="preserve"> </w:t>
      </w:r>
      <w:r>
        <w:t>business</w:t>
      </w:r>
      <w:r>
        <w:rPr>
          <w:spacing w:val="29"/>
        </w:rPr>
        <w:t xml:space="preserve"> </w:t>
      </w:r>
      <w:r>
        <w:t>and</w:t>
      </w:r>
      <w:r>
        <w:rPr>
          <w:spacing w:val="29"/>
        </w:rPr>
        <w:t xml:space="preserve"> </w:t>
      </w:r>
      <w:r>
        <w:t>technologies through capital expenditures, independent research and development, and selective business acquisitions and investments.</w:t>
      </w:r>
    </w:p>
    <w:p w14:paraId="66419109" w14:textId="77777777" w:rsidR="00AE2255" w:rsidRDefault="00AE2255">
      <w:pPr>
        <w:pStyle w:val="BodyText"/>
        <w:spacing w:before="6"/>
        <w:rPr>
          <w:sz w:val="17"/>
        </w:rPr>
      </w:pPr>
    </w:p>
    <w:p w14:paraId="7C660173" w14:textId="77777777" w:rsidR="00AE2255" w:rsidRDefault="00000000">
      <w:pPr>
        <w:pStyle w:val="BodyText"/>
        <w:spacing w:line="249" w:lineRule="auto"/>
        <w:ind w:left="610" w:right="428" w:firstLine="360"/>
        <w:jc w:val="both"/>
      </w:pPr>
      <w:r>
        <w:t xml:space="preserve">We have returned cash to stockholders through dividends and share repurchases. On October 17, 2022, the Board of Directors authorized an additional $14.0 billion to the program. During the fourth quarter of 2022, we </w:t>
      </w:r>
      <w:proofErr w:type="gramStart"/>
      <w:r>
        <w:t>entered into</w:t>
      </w:r>
      <w:proofErr w:type="gramEnd"/>
      <w:r>
        <w:t xml:space="preserve"> an accelerated share repurchase (ASR) agreement to repurchase $4.0 billion of our common stock and issued $4.0 billion of senior unsecured notes. As of December 31, 2022, the total remaining authorization for future common share repurchases under our program</w:t>
      </w:r>
      <w:r>
        <w:rPr>
          <w:spacing w:val="-1"/>
        </w:rPr>
        <w:t xml:space="preserve"> </w:t>
      </w:r>
      <w:r>
        <w:t>was</w:t>
      </w:r>
      <w:r>
        <w:rPr>
          <w:spacing w:val="-1"/>
        </w:rPr>
        <w:t xml:space="preserve"> </w:t>
      </w:r>
      <w:r>
        <w:t>$10.0</w:t>
      </w:r>
      <w:r>
        <w:rPr>
          <w:spacing w:val="-1"/>
        </w:rPr>
        <w:t xml:space="preserve"> </w:t>
      </w:r>
      <w:r>
        <w:t>billion,</w:t>
      </w:r>
      <w:r>
        <w:rPr>
          <w:spacing w:val="-1"/>
        </w:rPr>
        <w:t xml:space="preserve"> </w:t>
      </w:r>
      <w:r>
        <w:t>which</w:t>
      </w:r>
      <w:r>
        <w:rPr>
          <w:spacing w:val="-1"/>
        </w:rPr>
        <w:t xml:space="preserve"> </w:t>
      </w:r>
      <w:r>
        <w:t>is</w:t>
      </w:r>
      <w:r>
        <w:rPr>
          <w:spacing w:val="-1"/>
        </w:rPr>
        <w:t xml:space="preserve"> </w:t>
      </w:r>
      <w:r>
        <w:t>expected</w:t>
      </w:r>
      <w:r>
        <w:rPr>
          <w:spacing w:val="-1"/>
        </w:rPr>
        <w:t xml:space="preserve"> </w:t>
      </w:r>
      <w:r>
        <w:t>to</w:t>
      </w:r>
      <w:r>
        <w:rPr>
          <w:spacing w:val="-1"/>
        </w:rPr>
        <w:t xml:space="preserve"> </w:t>
      </w:r>
      <w:r>
        <w:t>be</w:t>
      </w:r>
      <w:r>
        <w:rPr>
          <w:spacing w:val="-1"/>
        </w:rPr>
        <w:t xml:space="preserve"> </w:t>
      </w:r>
      <w:r>
        <w:t>utilized</w:t>
      </w:r>
      <w:r>
        <w:rPr>
          <w:spacing w:val="-1"/>
        </w:rPr>
        <w:t xml:space="preserve"> </w:t>
      </w:r>
      <w:r>
        <w:t>over</w:t>
      </w:r>
      <w:r>
        <w:rPr>
          <w:spacing w:val="-1"/>
        </w:rPr>
        <w:t xml:space="preserve"> </w:t>
      </w:r>
      <w:r>
        <w:t>a</w:t>
      </w:r>
      <w:r>
        <w:rPr>
          <w:spacing w:val="-1"/>
        </w:rPr>
        <w:t xml:space="preserve"> </w:t>
      </w:r>
      <w:r>
        <w:t>three-year</w:t>
      </w:r>
      <w:r>
        <w:rPr>
          <w:spacing w:val="-1"/>
        </w:rPr>
        <w:t xml:space="preserve"> </w:t>
      </w:r>
      <w:r>
        <w:t>period.</w:t>
      </w:r>
      <w:r>
        <w:rPr>
          <w:spacing w:val="-1"/>
        </w:rPr>
        <w:t xml:space="preserve"> </w:t>
      </w:r>
      <w:r>
        <w:t>We</w:t>
      </w:r>
      <w:r>
        <w:rPr>
          <w:spacing w:val="-1"/>
        </w:rPr>
        <w:t xml:space="preserve"> </w:t>
      </w:r>
      <w:r>
        <w:t>expect</w:t>
      </w:r>
      <w:r>
        <w:rPr>
          <w:spacing w:val="-1"/>
        </w:rPr>
        <w:t xml:space="preserve"> </w:t>
      </w:r>
      <w:r>
        <w:t>to</w:t>
      </w:r>
      <w:r>
        <w:rPr>
          <w:spacing w:val="-1"/>
        </w:rPr>
        <w:t xml:space="preserve"> </w:t>
      </w:r>
      <w:r>
        <w:t>fund</w:t>
      </w:r>
      <w:r>
        <w:rPr>
          <w:spacing w:val="-1"/>
        </w:rPr>
        <w:t xml:space="preserve"> </w:t>
      </w:r>
      <w:r>
        <w:t>the</w:t>
      </w:r>
      <w:r>
        <w:rPr>
          <w:spacing w:val="-1"/>
        </w:rPr>
        <w:t xml:space="preserve"> </w:t>
      </w:r>
      <w:r>
        <w:t>repurchases</w:t>
      </w:r>
      <w:r>
        <w:rPr>
          <w:spacing w:val="-1"/>
        </w:rPr>
        <w:t xml:space="preserve"> </w:t>
      </w:r>
      <w:r>
        <w:t xml:space="preserve">through a combination of cash from operations and the issuance of additional debt. The stock repurchase program does not have an expiration date and may be amended or terminated by the Board of Directors at any time. The </w:t>
      </w:r>
      <w:proofErr w:type="gramStart"/>
      <w:r>
        <w:t>amount</w:t>
      </w:r>
      <w:proofErr w:type="gramEnd"/>
      <w:r>
        <w:t xml:space="preserve"> of shares ultimately purchased and the timing of purchases are at the discretion of management and subject to compliance with applicable law and </w:t>
      </w:r>
      <w:r>
        <w:rPr>
          <w:spacing w:val="-2"/>
        </w:rPr>
        <w:t>regulation.</w:t>
      </w:r>
    </w:p>
    <w:p w14:paraId="70528A4B" w14:textId="77777777" w:rsidR="00AE2255" w:rsidRDefault="00AE2255">
      <w:pPr>
        <w:pStyle w:val="BodyText"/>
        <w:rPr>
          <w:sz w:val="18"/>
        </w:rPr>
      </w:pPr>
    </w:p>
    <w:p w14:paraId="29904048" w14:textId="77777777" w:rsidR="00AE2255" w:rsidRDefault="00000000">
      <w:pPr>
        <w:pStyle w:val="BodyText"/>
        <w:spacing w:line="249" w:lineRule="auto"/>
        <w:ind w:left="610" w:right="428" w:firstLine="360"/>
        <w:jc w:val="both"/>
      </w:pPr>
      <w:r>
        <w:t>We</w:t>
      </w:r>
      <w:r>
        <w:rPr>
          <w:spacing w:val="-4"/>
        </w:rPr>
        <w:t xml:space="preserve"> </w:t>
      </w:r>
      <w:r>
        <w:t>continue</w:t>
      </w:r>
      <w:r>
        <w:rPr>
          <w:spacing w:val="-4"/>
        </w:rPr>
        <w:t xml:space="preserve"> </w:t>
      </w:r>
      <w:r>
        <w:t>to</w:t>
      </w:r>
      <w:r>
        <w:rPr>
          <w:spacing w:val="-3"/>
        </w:rPr>
        <w:t xml:space="preserve"> </w:t>
      </w:r>
      <w:r>
        <w:t>actively</w:t>
      </w:r>
      <w:r>
        <w:rPr>
          <w:spacing w:val="-3"/>
        </w:rPr>
        <w:t xml:space="preserve"> </w:t>
      </w:r>
      <w:r>
        <w:t>manage</w:t>
      </w:r>
      <w:r>
        <w:rPr>
          <w:spacing w:val="-4"/>
        </w:rPr>
        <w:t xml:space="preserve"> </w:t>
      </w:r>
      <w:r>
        <w:t>our</w:t>
      </w:r>
      <w:r>
        <w:rPr>
          <w:spacing w:val="-3"/>
        </w:rPr>
        <w:t xml:space="preserve"> </w:t>
      </w:r>
      <w:r>
        <w:t>debt</w:t>
      </w:r>
      <w:r>
        <w:rPr>
          <w:spacing w:val="-4"/>
        </w:rPr>
        <w:t xml:space="preserve"> </w:t>
      </w:r>
      <w:r>
        <w:t>levels,</w:t>
      </w:r>
      <w:r>
        <w:rPr>
          <w:spacing w:val="-3"/>
        </w:rPr>
        <w:t xml:space="preserve"> </w:t>
      </w:r>
      <w:r>
        <w:t>including</w:t>
      </w:r>
      <w:r>
        <w:rPr>
          <w:spacing w:val="-3"/>
        </w:rPr>
        <w:t xml:space="preserve"> </w:t>
      </w:r>
      <w:r>
        <w:t>maturities</w:t>
      </w:r>
      <w:r>
        <w:rPr>
          <w:spacing w:val="-4"/>
        </w:rPr>
        <w:t xml:space="preserve"> </w:t>
      </w:r>
      <w:r>
        <w:t>and</w:t>
      </w:r>
      <w:r>
        <w:rPr>
          <w:spacing w:val="-3"/>
        </w:rPr>
        <w:t xml:space="preserve"> </w:t>
      </w:r>
      <w:r>
        <w:t>interest</w:t>
      </w:r>
      <w:r>
        <w:rPr>
          <w:spacing w:val="-4"/>
        </w:rPr>
        <w:t xml:space="preserve"> </w:t>
      </w:r>
      <w:r>
        <w:t>rates,</w:t>
      </w:r>
      <w:r>
        <w:rPr>
          <w:spacing w:val="-3"/>
        </w:rPr>
        <w:t xml:space="preserve"> </w:t>
      </w:r>
      <w:r>
        <w:t>as</w:t>
      </w:r>
      <w:r>
        <w:rPr>
          <w:spacing w:val="-4"/>
        </w:rPr>
        <w:t xml:space="preserve"> </w:t>
      </w:r>
      <w:r>
        <w:t>evidenced</w:t>
      </w:r>
      <w:r>
        <w:rPr>
          <w:spacing w:val="-3"/>
        </w:rPr>
        <w:t xml:space="preserve"> </w:t>
      </w:r>
      <w:r>
        <w:t>by</w:t>
      </w:r>
      <w:r>
        <w:rPr>
          <w:spacing w:val="-3"/>
        </w:rPr>
        <w:t xml:space="preserve"> </w:t>
      </w:r>
      <w:r>
        <w:t>the</w:t>
      </w:r>
      <w:r>
        <w:rPr>
          <w:spacing w:val="-4"/>
        </w:rPr>
        <w:t xml:space="preserve"> </w:t>
      </w:r>
      <w:r>
        <w:t>debt</w:t>
      </w:r>
      <w:r>
        <w:rPr>
          <w:spacing w:val="-4"/>
        </w:rPr>
        <w:t xml:space="preserve"> </w:t>
      </w:r>
      <w:r>
        <w:t>transaction in</w:t>
      </w:r>
      <w:r>
        <w:rPr>
          <w:spacing w:val="-1"/>
        </w:rPr>
        <w:t xml:space="preserve"> </w:t>
      </w:r>
      <w:r>
        <w:t>the</w:t>
      </w:r>
      <w:r>
        <w:rPr>
          <w:spacing w:val="-2"/>
        </w:rPr>
        <w:t xml:space="preserve"> </w:t>
      </w:r>
      <w:r>
        <w:t>second</w:t>
      </w:r>
      <w:r>
        <w:rPr>
          <w:spacing w:val="-1"/>
        </w:rPr>
        <w:t xml:space="preserve"> </w:t>
      </w:r>
      <w:r>
        <w:t>quarter</w:t>
      </w:r>
      <w:r>
        <w:rPr>
          <w:spacing w:val="-1"/>
        </w:rPr>
        <w:t xml:space="preserve"> </w:t>
      </w:r>
      <w:r>
        <w:t>of</w:t>
      </w:r>
      <w:r>
        <w:rPr>
          <w:spacing w:val="-1"/>
        </w:rPr>
        <w:t xml:space="preserve"> </w:t>
      </w:r>
      <w:r>
        <w:t>2022,</w:t>
      </w:r>
      <w:r>
        <w:rPr>
          <w:spacing w:val="-1"/>
        </w:rPr>
        <w:t xml:space="preserve"> </w:t>
      </w:r>
      <w:r>
        <w:t>the</w:t>
      </w:r>
      <w:r>
        <w:rPr>
          <w:spacing w:val="-2"/>
        </w:rPr>
        <w:t xml:space="preserve"> </w:t>
      </w:r>
      <w:r>
        <w:t>proceeds</w:t>
      </w:r>
      <w:r>
        <w:rPr>
          <w:spacing w:val="-2"/>
        </w:rPr>
        <w:t xml:space="preserve"> </w:t>
      </w:r>
      <w:r>
        <w:t>of</w:t>
      </w:r>
      <w:r>
        <w:rPr>
          <w:spacing w:val="-1"/>
        </w:rPr>
        <w:t xml:space="preserve"> </w:t>
      </w:r>
      <w:r>
        <w:t>which</w:t>
      </w:r>
      <w:r>
        <w:rPr>
          <w:spacing w:val="-1"/>
        </w:rPr>
        <w:t xml:space="preserve"> </w:t>
      </w:r>
      <w:r>
        <w:t>were</w:t>
      </w:r>
      <w:r>
        <w:rPr>
          <w:spacing w:val="-2"/>
        </w:rPr>
        <w:t xml:space="preserve"> </w:t>
      </w:r>
      <w:r>
        <w:t>used</w:t>
      </w:r>
      <w:r>
        <w:rPr>
          <w:spacing w:val="-1"/>
        </w:rPr>
        <w:t xml:space="preserve"> </w:t>
      </w:r>
      <w:r>
        <w:t>to</w:t>
      </w:r>
      <w:r>
        <w:rPr>
          <w:spacing w:val="-1"/>
        </w:rPr>
        <w:t xml:space="preserve"> </w:t>
      </w:r>
      <w:r>
        <w:t>refinance</w:t>
      </w:r>
      <w:r>
        <w:rPr>
          <w:spacing w:val="-2"/>
        </w:rPr>
        <w:t xml:space="preserve"> </w:t>
      </w:r>
      <w:r>
        <w:t>certain</w:t>
      </w:r>
      <w:r>
        <w:rPr>
          <w:spacing w:val="-1"/>
        </w:rPr>
        <w:t xml:space="preserve"> </w:t>
      </w:r>
      <w:r>
        <w:t>upcoming</w:t>
      </w:r>
      <w:r>
        <w:rPr>
          <w:spacing w:val="-1"/>
        </w:rPr>
        <w:t xml:space="preserve"> </w:t>
      </w:r>
      <w:r>
        <w:t>debt</w:t>
      </w:r>
      <w:r>
        <w:rPr>
          <w:spacing w:val="-2"/>
        </w:rPr>
        <w:t xml:space="preserve"> </w:t>
      </w:r>
      <w:r>
        <w:t>maturities</w:t>
      </w:r>
      <w:r>
        <w:rPr>
          <w:spacing w:val="-2"/>
        </w:rPr>
        <w:t xml:space="preserve"> </w:t>
      </w:r>
      <w:r>
        <w:t>between</w:t>
      </w:r>
      <w:r>
        <w:rPr>
          <w:spacing w:val="-1"/>
        </w:rPr>
        <w:t xml:space="preserve"> </w:t>
      </w:r>
      <w:r>
        <w:t>2023</w:t>
      </w:r>
      <w:r>
        <w:rPr>
          <w:spacing w:val="-1"/>
        </w:rPr>
        <w:t xml:space="preserve"> </w:t>
      </w:r>
      <w:r>
        <w:t>and 2026. We also actively manage our pension obligations and expect to continue to opportunistically manage our pension liabilities through the purchase of group annuity contracts for portions of our outstanding defined benefit pension obligations using assets from the pension trust as we did in the second quarter of 2022. See “Note 11 – Postretirement Benefit Plans” included in our Notes to Consolidated Financial Statements for additional information. Future pension risk transfer transactions could also be significant and result in us making additional contributions to the pension trust.</w:t>
      </w:r>
    </w:p>
    <w:p w14:paraId="1DFEC653" w14:textId="77777777" w:rsidR="00AE2255" w:rsidRDefault="00AE2255">
      <w:pPr>
        <w:pStyle w:val="BodyText"/>
        <w:spacing w:before="10"/>
        <w:rPr>
          <w:sz w:val="17"/>
        </w:rPr>
      </w:pPr>
    </w:p>
    <w:p w14:paraId="520B3285" w14:textId="77777777" w:rsidR="00AE2255" w:rsidRDefault="00000000">
      <w:pPr>
        <w:pStyle w:val="BodyText"/>
        <w:spacing w:before="1" w:line="249" w:lineRule="auto"/>
        <w:ind w:left="610" w:right="1086" w:firstLine="360"/>
      </w:pPr>
      <w:r>
        <w:t>The</w:t>
      </w:r>
      <w:r>
        <w:rPr>
          <w:spacing w:val="-4"/>
        </w:rPr>
        <w:t xml:space="preserve"> </w:t>
      </w:r>
      <w:r>
        <w:t>following</w:t>
      </w:r>
      <w:r>
        <w:rPr>
          <w:spacing w:val="-3"/>
        </w:rPr>
        <w:t xml:space="preserve"> </w:t>
      </w:r>
      <w:r>
        <w:t>table</w:t>
      </w:r>
      <w:r>
        <w:rPr>
          <w:spacing w:val="-4"/>
        </w:rPr>
        <w:t xml:space="preserve"> </w:t>
      </w:r>
      <w:r>
        <w:t>provides</w:t>
      </w:r>
      <w:r>
        <w:rPr>
          <w:spacing w:val="-4"/>
        </w:rPr>
        <w:t xml:space="preserve"> </w:t>
      </w:r>
      <w:r>
        <w:t>a</w:t>
      </w:r>
      <w:r>
        <w:rPr>
          <w:spacing w:val="-4"/>
        </w:rPr>
        <w:t xml:space="preserve"> </w:t>
      </w:r>
      <w:r>
        <w:t>summary</w:t>
      </w:r>
      <w:r>
        <w:rPr>
          <w:spacing w:val="-3"/>
        </w:rPr>
        <w:t xml:space="preserve"> </w:t>
      </w:r>
      <w:r>
        <w:t>of</w:t>
      </w:r>
      <w:r>
        <w:rPr>
          <w:spacing w:val="-3"/>
        </w:rPr>
        <w:t xml:space="preserve"> </w:t>
      </w:r>
      <w:r>
        <w:t>our</w:t>
      </w:r>
      <w:r>
        <w:rPr>
          <w:spacing w:val="-3"/>
        </w:rPr>
        <w:t xml:space="preserve"> </w:t>
      </w:r>
      <w:r>
        <w:t>cash</w:t>
      </w:r>
      <w:r>
        <w:rPr>
          <w:spacing w:val="-3"/>
        </w:rPr>
        <w:t xml:space="preserve"> </w:t>
      </w:r>
      <w:r>
        <w:t>flow</w:t>
      </w:r>
      <w:r>
        <w:rPr>
          <w:spacing w:val="-4"/>
        </w:rPr>
        <w:t xml:space="preserve"> </w:t>
      </w:r>
      <w:r>
        <w:t>information</w:t>
      </w:r>
      <w:r>
        <w:rPr>
          <w:spacing w:val="-3"/>
        </w:rPr>
        <w:t xml:space="preserve"> </w:t>
      </w:r>
      <w:r>
        <w:t>followed</w:t>
      </w:r>
      <w:r>
        <w:rPr>
          <w:spacing w:val="-3"/>
        </w:rPr>
        <w:t xml:space="preserve"> </w:t>
      </w:r>
      <w:r>
        <w:t>by</w:t>
      </w:r>
      <w:r>
        <w:rPr>
          <w:spacing w:val="-3"/>
        </w:rPr>
        <w:t xml:space="preserve"> </w:t>
      </w:r>
      <w:r>
        <w:t>a</w:t>
      </w:r>
      <w:r>
        <w:rPr>
          <w:spacing w:val="-4"/>
        </w:rPr>
        <w:t xml:space="preserve"> </w:t>
      </w:r>
      <w:r>
        <w:t>discussion</w:t>
      </w:r>
      <w:r>
        <w:rPr>
          <w:spacing w:val="-3"/>
        </w:rPr>
        <w:t xml:space="preserve"> </w:t>
      </w:r>
      <w:r>
        <w:t>of</w:t>
      </w:r>
      <w:r>
        <w:rPr>
          <w:spacing w:val="-3"/>
        </w:rPr>
        <w:t xml:space="preserve"> </w:t>
      </w:r>
      <w:r>
        <w:t>the</w:t>
      </w:r>
      <w:r>
        <w:rPr>
          <w:spacing w:val="-4"/>
        </w:rPr>
        <w:t xml:space="preserve"> </w:t>
      </w:r>
      <w:r>
        <w:t>key</w:t>
      </w:r>
      <w:r>
        <w:rPr>
          <w:spacing w:val="-3"/>
        </w:rPr>
        <w:t xml:space="preserve"> </w:t>
      </w:r>
      <w:r>
        <w:t>elements (in millions):</w:t>
      </w:r>
    </w:p>
    <w:p w14:paraId="129E0664" w14:textId="77777777" w:rsidR="00AE2255" w:rsidRDefault="00AE2255">
      <w:pPr>
        <w:pStyle w:val="BodyText"/>
        <w:spacing w:before="2"/>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5471"/>
        <w:gridCol w:w="2670"/>
        <w:gridCol w:w="1080"/>
        <w:gridCol w:w="1024"/>
      </w:tblGrid>
      <w:tr w:rsidR="00AE2255" w14:paraId="327514C7" w14:textId="77777777">
        <w:trPr>
          <w:trHeight w:val="241"/>
        </w:trPr>
        <w:tc>
          <w:tcPr>
            <w:tcW w:w="5471" w:type="dxa"/>
            <w:tcBorders>
              <w:bottom w:val="single" w:sz="8" w:space="0" w:color="auto"/>
            </w:tcBorders>
          </w:tcPr>
          <w:p w14:paraId="5367D749" w14:textId="77777777" w:rsidR="00AE2255" w:rsidRDefault="00AE2255">
            <w:pPr>
              <w:pStyle w:val="TableParagraph"/>
              <w:spacing w:before="0"/>
              <w:jc w:val="left"/>
              <w:rPr>
                <w:sz w:val="16"/>
              </w:rPr>
            </w:pPr>
          </w:p>
        </w:tc>
        <w:tc>
          <w:tcPr>
            <w:tcW w:w="2670" w:type="dxa"/>
            <w:tcBorders>
              <w:bottom w:val="single" w:sz="8" w:space="0" w:color="auto"/>
            </w:tcBorders>
          </w:tcPr>
          <w:p w14:paraId="51BAE4C2" w14:textId="77777777" w:rsidR="00AE2255" w:rsidRDefault="00000000">
            <w:pPr>
              <w:pStyle w:val="TableParagraph"/>
              <w:spacing w:before="0" w:line="221" w:lineRule="exact"/>
              <w:ind w:right="106"/>
              <w:rPr>
                <w:b/>
                <w:sz w:val="20"/>
              </w:rPr>
            </w:pPr>
            <w:r>
              <w:rPr>
                <w:b/>
                <w:spacing w:val="-4"/>
                <w:sz w:val="20"/>
              </w:rPr>
              <w:t>2022</w:t>
            </w:r>
          </w:p>
        </w:tc>
        <w:tc>
          <w:tcPr>
            <w:tcW w:w="1080" w:type="dxa"/>
            <w:tcBorders>
              <w:bottom w:val="single" w:sz="8" w:space="0" w:color="auto"/>
            </w:tcBorders>
          </w:tcPr>
          <w:p w14:paraId="09E6CD22" w14:textId="77777777" w:rsidR="00AE2255" w:rsidRDefault="00000000">
            <w:pPr>
              <w:pStyle w:val="TableParagraph"/>
              <w:spacing w:before="0" w:line="221" w:lineRule="exact"/>
              <w:ind w:right="106"/>
              <w:rPr>
                <w:b/>
                <w:sz w:val="20"/>
              </w:rPr>
            </w:pPr>
            <w:r>
              <w:rPr>
                <w:b/>
                <w:spacing w:val="-4"/>
                <w:sz w:val="20"/>
              </w:rPr>
              <w:t>2021</w:t>
            </w:r>
          </w:p>
        </w:tc>
        <w:tc>
          <w:tcPr>
            <w:tcW w:w="1024" w:type="dxa"/>
            <w:tcBorders>
              <w:bottom w:val="single" w:sz="8" w:space="0" w:color="auto"/>
            </w:tcBorders>
          </w:tcPr>
          <w:p w14:paraId="76583EFB" w14:textId="77777777" w:rsidR="00AE2255" w:rsidRDefault="00000000">
            <w:pPr>
              <w:pStyle w:val="TableParagraph"/>
              <w:spacing w:before="0" w:line="221" w:lineRule="exact"/>
              <w:ind w:right="50"/>
              <w:rPr>
                <w:b/>
                <w:sz w:val="20"/>
              </w:rPr>
            </w:pPr>
            <w:r>
              <w:rPr>
                <w:b/>
                <w:spacing w:val="-4"/>
                <w:sz w:val="20"/>
              </w:rPr>
              <w:t>2020</w:t>
            </w:r>
          </w:p>
        </w:tc>
      </w:tr>
      <w:tr w:rsidR="00AE2255" w14:paraId="242F74E7" w14:textId="77777777">
        <w:trPr>
          <w:trHeight w:val="275"/>
        </w:trPr>
        <w:tc>
          <w:tcPr>
            <w:tcW w:w="5471" w:type="dxa"/>
            <w:tcBorders>
              <w:top w:val="single" w:sz="8" w:space="0" w:color="CCEDFF"/>
            </w:tcBorders>
            <w:shd w:val="clear" w:color="auto" w:fill="CCEDFF"/>
          </w:tcPr>
          <w:p w14:paraId="50AAD7DB" w14:textId="77777777" w:rsidR="00AE2255" w:rsidRDefault="00000000">
            <w:pPr>
              <w:pStyle w:val="TableParagraph"/>
              <w:spacing w:before="17"/>
              <w:ind w:left="52"/>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3"/>
                <w:sz w:val="20"/>
              </w:rPr>
              <w:t xml:space="preserve"> </w:t>
            </w:r>
            <w:r>
              <w:rPr>
                <w:sz w:val="20"/>
              </w:rPr>
              <w:t>equivalents</w:t>
            </w:r>
            <w:r>
              <w:rPr>
                <w:spacing w:val="-3"/>
                <w:sz w:val="20"/>
              </w:rPr>
              <w:t xml:space="preserve"> </w:t>
            </w:r>
            <w:r>
              <w:rPr>
                <w:sz w:val="20"/>
              </w:rPr>
              <w:t>at</w:t>
            </w:r>
            <w:r>
              <w:rPr>
                <w:spacing w:val="-4"/>
                <w:sz w:val="20"/>
              </w:rPr>
              <w:t xml:space="preserve"> </w:t>
            </w:r>
            <w:r>
              <w:rPr>
                <w:sz w:val="20"/>
              </w:rPr>
              <w:t>beginning</w:t>
            </w:r>
            <w:r>
              <w:rPr>
                <w:spacing w:val="-2"/>
                <w:sz w:val="20"/>
              </w:rPr>
              <w:t xml:space="preserve"> </w:t>
            </w:r>
            <w:r>
              <w:rPr>
                <w:sz w:val="20"/>
              </w:rPr>
              <w:t>of</w:t>
            </w:r>
            <w:r>
              <w:rPr>
                <w:spacing w:val="-2"/>
                <w:sz w:val="20"/>
              </w:rPr>
              <w:t xml:space="preserve"> </w:t>
            </w:r>
            <w:r>
              <w:rPr>
                <w:spacing w:val="-4"/>
                <w:sz w:val="20"/>
              </w:rPr>
              <w:t>year</w:t>
            </w:r>
          </w:p>
        </w:tc>
        <w:tc>
          <w:tcPr>
            <w:tcW w:w="2670" w:type="dxa"/>
            <w:tcBorders>
              <w:top w:val="single" w:sz="8" w:space="0" w:color="CCEDFF"/>
            </w:tcBorders>
            <w:shd w:val="clear" w:color="auto" w:fill="CCEDFF"/>
          </w:tcPr>
          <w:p w14:paraId="4527C3ED" w14:textId="77777777" w:rsidR="00AE2255" w:rsidRDefault="00000000">
            <w:pPr>
              <w:pStyle w:val="TableParagraph"/>
              <w:tabs>
                <w:tab w:val="left" w:pos="420"/>
              </w:tabs>
              <w:spacing w:before="15"/>
              <w:ind w:right="135"/>
              <w:rPr>
                <w:b/>
                <w:sz w:val="20"/>
              </w:rPr>
            </w:pPr>
            <w:r>
              <w:rPr>
                <w:b/>
                <w:spacing w:val="-10"/>
                <w:sz w:val="20"/>
              </w:rPr>
              <w:t>$</w:t>
            </w:r>
            <w:r>
              <w:rPr>
                <w:b/>
                <w:sz w:val="20"/>
              </w:rPr>
              <w:tab/>
            </w:r>
            <w:r>
              <w:rPr>
                <w:b/>
                <w:spacing w:val="-2"/>
                <w:sz w:val="20"/>
              </w:rPr>
              <w:t>3,604</w:t>
            </w:r>
          </w:p>
        </w:tc>
        <w:tc>
          <w:tcPr>
            <w:tcW w:w="1080" w:type="dxa"/>
            <w:tcBorders>
              <w:top w:val="single" w:sz="8" w:space="0" w:color="CCEDFF"/>
            </w:tcBorders>
            <w:shd w:val="clear" w:color="auto" w:fill="CCEDFF"/>
          </w:tcPr>
          <w:p w14:paraId="21942CFF" w14:textId="77777777" w:rsidR="00AE2255" w:rsidRDefault="00000000">
            <w:pPr>
              <w:pStyle w:val="TableParagraph"/>
              <w:tabs>
                <w:tab w:val="left" w:pos="420"/>
              </w:tabs>
              <w:spacing w:before="15"/>
              <w:ind w:right="135"/>
              <w:rPr>
                <w:sz w:val="20"/>
              </w:rPr>
            </w:pPr>
            <w:r>
              <w:rPr>
                <w:spacing w:val="-10"/>
                <w:sz w:val="20"/>
              </w:rPr>
              <w:t>$</w:t>
            </w:r>
            <w:r>
              <w:rPr>
                <w:sz w:val="20"/>
              </w:rPr>
              <w:tab/>
            </w:r>
            <w:r>
              <w:rPr>
                <w:spacing w:val="-2"/>
                <w:sz w:val="20"/>
              </w:rPr>
              <w:t>3,160</w:t>
            </w:r>
          </w:p>
        </w:tc>
        <w:tc>
          <w:tcPr>
            <w:tcW w:w="1024" w:type="dxa"/>
            <w:tcBorders>
              <w:top w:val="single" w:sz="8" w:space="0" w:color="CCEDFF"/>
            </w:tcBorders>
            <w:shd w:val="clear" w:color="auto" w:fill="CCEDFF"/>
          </w:tcPr>
          <w:p w14:paraId="4C8EFA91" w14:textId="77777777" w:rsidR="00AE2255" w:rsidRDefault="00000000">
            <w:pPr>
              <w:pStyle w:val="TableParagraph"/>
              <w:tabs>
                <w:tab w:val="left" w:pos="492"/>
              </w:tabs>
              <w:spacing w:before="15"/>
              <w:ind w:left="71"/>
              <w:jc w:val="left"/>
              <w:rPr>
                <w:sz w:val="20"/>
              </w:rPr>
            </w:pPr>
            <w:r>
              <w:rPr>
                <w:spacing w:val="-10"/>
                <w:sz w:val="20"/>
              </w:rPr>
              <w:t>$</w:t>
            </w:r>
            <w:r>
              <w:rPr>
                <w:sz w:val="20"/>
              </w:rPr>
              <w:tab/>
            </w:r>
            <w:r>
              <w:rPr>
                <w:spacing w:val="-2"/>
                <w:sz w:val="20"/>
              </w:rPr>
              <w:t>1,514</w:t>
            </w:r>
          </w:p>
        </w:tc>
      </w:tr>
      <w:tr w:rsidR="00AE2255" w14:paraId="2AF11240" w14:textId="77777777">
        <w:trPr>
          <w:trHeight w:val="285"/>
        </w:trPr>
        <w:tc>
          <w:tcPr>
            <w:tcW w:w="5471" w:type="dxa"/>
          </w:tcPr>
          <w:p w14:paraId="4BA48ECB" w14:textId="77777777" w:rsidR="00AE2255" w:rsidRDefault="00000000">
            <w:pPr>
              <w:pStyle w:val="TableParagraph"/>
              <w:spacing w:before="27"/>
              <w:ind w:left="52"/>
              <w:jc w:val="left"/>
              <w:rPr>
                <w:sz w:val="20"/>
              </w:rPr>
            </w:pPr>
            <w:r>
              <w:rPr>
                <w:sz w:val="20"/>
              </w:rPr>
              <w:t>Operating</w:t>
            </w:r>
            <w:r>
              <w:rPr>
                <w:spacing w:val="-5"/>
                <w:sz w:val="20"/>
              </w:rPr>
              <w:t xml:space="preserve"> </w:t>
            </w:r>
            <w:r>
              <w:rPr>
                <w:spacing w:val="-2"/>
                <w:sz w:val="20"/>
              </w:rPr>
              <w:t>activities</w:t>
            </w:r>
          </w:p>
        </w:tc>
        <w:tc>
          <w:tcPr>
            <w:tcW w:w="2670" w:type="dxa"/>
          </w:tcPr>
          <w:p w14:paraId="0306E987" w14:textId="77777777" w:rsidR="00AE2255" w:rsidRDefault="00AE2255">
            <w:pPr>
              <w:pStyle w:val="TableParagraph"/>
              <w:spacing w:before="0"/>
              <w:jc w:val="left"/>
              <w:rPr>
                <w:sz w:val="20"/>
              </w:rPr>
            </w:pPr>
          </w:p>
        </w:tc>
        <w:tc>
          <w:tcPr>
            <w:tcW w:w="1080" w:type="dxa"/>
          </w:tcPr>
          <w:p w14:paraId="3B39831C" w14:textId="77777777" w:rsidR="00AE2255" w:rsidRDefault="00AE2255">
            <w:pPr>
              <w:pStyle w:val="TableParagraph"/>
              <w:spacing w:before="0"/>
              <w:jc w:val="left"/>
              <w:rPr>
                <w:sz w:val="20"/>
              </w:rPr>
            </w:pPr>
          </w:p>
        </w:tc>
        <w:tc>
          <w:tcPr>
            <w:tcW w:w="1024" w:type="dxa"/>
          </w:tcPr>
          <w:p w14:paraId="2867A351" w14:textId="77777777" w:rsidR="00AE2255" w:rsidRDefault="00AE2255">
            <w:pPr>
              <w:pStyle w:val="TableParagraph"/>
              <w:spacing w:before="0"/>
              <w:jc w:val="left"/>
              <w:rPr>
                <w:sz w:val="20"/>
              </w:rPr>
            </w:pPr>
          </w:p>
        </w:tc>
      </w:tr>
      <w:tr w:rsidR="00AE2255" w14:paraId="142F0A54" w14:textId="77777777">
        <w:trPr>
          <w:trHeight w:val="285"/>
        </w:trPr>
        <w:tc>
          <w:tcPr>
            <w:tcW w:w="5471" w:type="dxa"/>
            <w:shd w:val="clear" w:color="auto" w:fill="CCEDFF"/>
          </w:tcPr>
          <w:p w14:paraId="7D55E116" w14:textId="77777777" w:rsidR="00AE2255" w:rsidRDefault="00000000">
            <w:pPr>
              <w:pStyle w:val="TableParagraph"/>
              <w:spacing w:before="27"/>
              <w:ind w:left="187"/>
              <w:jc w:val="left"/>
              <w:rPr>
                <w:sz w:val="20"/>
              </w:rPr>
            </w:pPr>
            <w:r>
              <w:rPr>
                <w:sz w:val="20"/>
              </w:rPr>
              <w:t>Net</w:t>
            </w:r>
            <w:r>
              <w:rPr>
                <w:spacing w:val="-3"/>
                <w:sz w:val="20"/>
              </w:rPr>
              <w:t xml:space="preserve"> </w:t>
            </w:r>
            <w:r>
              <w:rPr>
                <w:spacing w:val="-2"/>
                <w:sz w:val="20"/>
              </w:rPr>
              <w:t>earnings</w:t>
            </w:r>
          </w:p>
        </w:tc>
        <w:tc>
          <w:tcPr>
            <w:tcW w:w="2670" w:type="dxa"/>
            <w:shd w:val="clear" w:color="auto" w:fill="CCEDFF"/>
          </w:tcPr>
          <w:p w14:paraId="62A8FFE7" w14:textId="77777777" w:rsidR="00AE2255" w:rsidRDefault="00000000">
            <w:pPr>
              <w:pStyle w:val="TableParagraph"/>
              <w:ind w:right="135"/>
              <w:rPr>
                <w:b/>
                <w:sz w:val="20"/>
              </w:rPr>
            </w:pPr>
            <w:r>
              <w:rPr>
                <w:b/>
                <w:spacing w:val="-2"/>
                <w:sz w:val="20"/>
              </w:rPr>
              <w:t>5,732</w:t>
            </w:r>
          </w:p>
        </w:tc>
        <w:tc>
          <w:tcPr>
            <w:tcW w:w="1080" w:type="dxa"/>
            <w:shd w:val="clear" w:color="auto" w:fill="CCEDFF"/>
          </w:tcPr>
          <w:p w14:paraId="086E24F3" w14:textId="77777777" w:rsidR="00AE2255" w:rsidRDefault="00000000">
            <w:pPr>
              <w:pStyle w:val="TableParagraph"/>
              <w:ind w:right="135"/>
              <w:rPr>
                <w:sz w:val="20"/>
              </w:rPr>
            </w:pPr>
            <w:r>
              <w:rPr>
                <w:spacing w:val="-2"/>
                <w:sz w:val="20"/>
              </w:rPr>
              <w:t>6,315</w:t>
            </w:r>
          </w:p>
        </w:tc>
        <w:tc>
          <w:tcPr>
            <w:tcW w:w="1024" w:type="dxa"/>
            <w:shd w:val="clear" w:color="auto" w:fill="CCEDFF"/>
          </w:tcPr>
          <w:p w14:paraId="048C4490" w14:textId="77777777" w:rsidR="00AE2255" w:rsidRDefault="00000000">
            <w:pPr>
              <w:pStyle w:val="TableParagraph"/>
              <w:ind w:right="79"/>
              <w:rPr>
                <w:sz w:val="20"/>
              </w:rPr>
            </w:pPr>
            <w:r>
              <w:rPr>
                <w:spacing w:val="-2"/>
                <w:sz w:val="20"/>
              </w:rPr>
              <w:t>6,833</w:t>
            </w:r>
          </w:p>
        </w:tc>
      </w:tr>
      <w:tr w:rsidR="00AE2255" w14:paraId="46D484E7" w14:textId="77777777">
        <w:trPr>
          <w:trHeight w:val="285"/>
        </w:trPr>
        <w:tc>
          <w:tcPr>
            <w:tcW w:w="5471" w:type="dxa"/>
          </w:tcPr>
          <w:p w14:paraId="6BABECF7" w14:textId="77777777" w:rsidR="00AE2255" w:rsidRDefault="00000000">
            <w:pPr>
              <w:pStyle w:val="TableParagraph"/>
              <w:ind w:left="187"/>
              <w:jc w:val="left"/>
              <w:rPr>
                <w:sz w:val="20"/>
              </w:rPr>
            </w:pPr>
            <w:r>
              <w:rPr>
                <w:sz w:val="20"/>
              </w:rPr>
              <w:t>Noncash</w:t>
            </w:r>
            <w:r>
              <w:rPr>
                <w:spacing w:val="-4"/>
                <w:sz w:val="20"/>
              </w:rPr>
              <w:t xml:space="preserve"> </w:t>
            </w:r>
            <w:r>
              <w:rPr>
                <w:spacing w:val="-2"/>
                <w:sz w:val="20"/>
              </w:rPr>
              <w:t>adjustments</w:t>
            </w:r>
          </w:p>
        </w:tc>
        <w:tc>
          <w:tcPr>
            <w:tcW w:w="2670" w:type="dxa"/>
          </w:tcPr>
          <w:p w14:paraId="3DAE9F44" w14:textId="77777777" w:rsidR="00AE2255" w:rsidRDefault="00000000">
            <w:pPr>
              <w:pStyle w:val="TableParagraph"/>
              <w:ind w:right="135"/>
              <w:rPr>
                <w:b/>
                <w:sz w:val="20"/>
              </w:rPr>
            </w:pPr>
            <w:r>
              <w:rPr>
                <w:b/>
                <w:spacing w:val="-2"/>
                <w:sz w:val="20"/>
              </w:rPr>
              <w:t>2,455</w:t>
            </w:r>
          </w:p>
        </w:tc>
        <w:tc>
          <w:tcPr>
            <w:tcW w:w="1080" w:type="dxa"/>
          </w:tcPr>
          <w:p w14:paraId="6F20BDF4" w14:textId="77777777" w:rsidR="00AE2255" w:rsidRDefault="00000000">
            <w:pPr>
              <w:pStyle w:val="TableParagraph"/>
              <w:ind w:right="135"/>
              <w:rPr>
                <w:sz w:val="20"/>
              </w:rPr>
            </w:pPr>
            <w:r>
              <w:rPr>
                <w:spacing w:val="-2"/>
                <w:sz w:val="20"/>
              </w:rPr>
              <w:t>3,109</w:t>
            </w:r>
          </w:p>
        </w:tc>
        <w:tc>
          <w:tcPr>
            <w:tcW w:w="1024" w:type="dxa"/>
          </w:tcPr>
          <w:p w14:paraId="56243A11" w14:textId="77777777" w:rsidR="00AE2255" w:rsidRDefault="00000000">
            <w:pPr>
              <w:pStyle w:val="TableParagraph"/>
              <w:ind w:right="79"/>
              <w:rPr>
                <w:sz w:val="20"/>
              </w:rPr>
            </w:pPr>
            <w:r>
              <w:rPr>
                <w:spacing w:val="-2"/>
                <w:sz w:val="20"/>
              </w:rPr>
              <w:t>1,726</w:t>
            </w:r>
          </w:p>
        </w:tc>
      </w:tr>
      <w:tr w:rsidR="00AE2255" w14:paraId="339EF49E" w14:textId="77777777">
        <w:trPr>
          <w:trHeight w:val="285"/>
        </w:trPr>
        <w:tc>
          <w:tcPr>
            <w:tcW w:w="5471" w:type="dxa"/>
            <w:shd w:val="clear" w:color="auto" w:fill="CCEDFF"/>
          </w:tcPr>
          <w:p w14:paraId="61FB6CE1" w14:textId="77777777" w:rsidR="00AE2255" w:rsidRDefault="00000000">
            <w:pPr>
              <w:pStyle w:val="TableParagraph"/>
              <w:spacing w:before="27"/>
              <w:ind w:left="187"/>
              <w:jc w:val="left"/>
              <w:rPr>
                <w:sz w:val="20"/>
              </w:rPr>
            </w:pPr>
            <w:r>
              <w:rPr>
                <w:sz w:val="20"/>
              </w:rPr>
              <w:t>Changes</w:t>
            </w:r>
            <w:r>
              <w:rPr>
                <w:spacing w:val="-3"/>
                <w:sz w:val="20"/>
              </w:rPr>
              <w:t xml:space="preserve"> </w:t>
            </w:r>
            <w:r>
              <w:rPr>
                <w:sz w:val="20"/>
              </w:rPr>
              <w:t>in</w:t>
            </w:r>
            <w:r>
              <w:rPr>
                <w:spacing w:val="-2"/>
                <w:sz w:val="20"/>
              </w:rPr>
              <w:t xml:space="preserve"> </w:t>
            </w:r>
            <w:r>
              <w:rPr>
                <w:sz w:val="20"/>
              </w:rPr>
              <w:t>working</w:t>
            </w:r>
            <w:r>
              <w:rPr>
                <w:spacing w:val="-2"/>
                <w:sz w:val="20"/>
              </w:rPr>
              <w:t xml:space="preserve"> capital</w:t>
            </w:r>
          </w:p>
        </w:tc>
        <w:tc>
          <w:tcPr>
            <w:tcW w:w="2670" w:type="dxa"/>
            <w:shd w:val="clear" w:color="auto" w:fill="CCEDFF"/>
          </w:tcPr>
          <w:p w14:paraId="058CE136" w14:textId="77777777" w:rsidR="00AE2255" w:rsidRDefault="00000000">
            <w:pPr>
              <w:pStyle w:val="TableParagraph"/>
              <w:ind w:right="70"/>
              <w:rPr>
                <w:b/>
                <w:sz w:val="20"/>
              </w:rPr>
            </w:pPr>
            <w:r>
              <w:rPr>
                <w:b/>
                <w:spacing w:val="-2"/>
                <w:sz w:val="20"/>
              </w:rPr>
              <w:t>(733)</w:t>
            </w:r>
          </w:p>
        </w:tc>
        <w:tc>
          <w:tcPr>
            <w:tcW w:w="1080" w:type="dxa"/>
            <w:shd w:val="clear" w:color="auto" w:fill="CCEDFF"/>
          </w:tcPr>
          <w:p w14:paraId="08A8968F" w14:textId="77777777" w:rsidR="00AE2255" w:rsidRDefault="00000000">
            <w:pPr>
              <w:pStyle w:val="TableParagraph"/>
              <w:ind w:right="135"/>
              <w:rPr>
                <w:sz w:val="20"/>
              </w:rPr>
            </w:pPr>
            <w:r>
              <w:rPr>
                <w:sz w:val="20"/>
              </w:rPr>
              <w:t>9</w:t>
            </w:r>
          </w:p>
        </w:tc>
        <w:tc>
          <w:tcPr>
            <w:tcW w:w="1024" w:type="dxa"/>
            <w:shd w:val="clear" w:color="auto" w:fill="CCEDFF"/>
          </w:tcPr>
          <w:p w14:paraId="46A4996E" w14:textId="77777777" w:rsidR="00AE2255" w:rsidRDefault="00000000">
            <w:pPr>
              <w:pStyle w:val="TableParagraph"/>
              <w:ind w:right="79"/>
              <w:rPr>
                <w:sz w:val="20"/>
              </w:rPr>
            </w:pPr>
            <w:r>
              <w:rPr>
                <w:spacing w:val="-5"/>
                <w:sz w:val="20"/>
              </w:rPr>
              <w:t>101</w:t>
            </w:r>
          </w:p>
        </w:tc>
      </w:tr>
      <w:tr w:rsidR="00AE2255" w14:paraId="0C941D89" w14:textId="77777777">
        <w:trPr>
          <w:trHeight w:val="275"/>
        </w:trPr>
        <w:tc>
          <w:tcPr>
            <w:tcW w:w="5471" w:type="dxa"/>
            <w:tcBorders>
              <w:bottom w:val="single" w:sz="8" w:space="0" w:color="auto"/>
            </w:tcBorders>
          </w:tcPr>
          <w:p w14:paraId="741B1B33"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pacing w:val="-5"/>
                <w:sz w:val="20"/>
              </w:rPr>
              <w:t>net</w:t>
            </w:r>
          </w:p>
        </w:tc>
        <w:tc>
          <w:tcPr>
            <w:tcW w:w="2670" w:type="dxa"/>
            <w:tcBorders>
              <w:bottom w:val="single" w:sz="8" w:space="0" w:color="auto"/>
            </w:tcBorders>
          </w:tcPr>
          <w:p w14:paraId="4EEF7082" w14:textId="77777777" w:rsidR="00AE2255" w:rsidRDefault="00000000">
            <w:pPr>
              <w:pStyle w:val="TableParagraph"/>
              <w:spacing w:line="230" w:lineRule="exact"/>
              <w:ind w:right="135"/>
              <w:rPr>
                <w:b/>
                <w:sz w:val="20"/>
              </w:rPr>
            </w:pPr>
            <w:r>
              <w:rPr>
                <w:b/>
                <w:spacing w:val="-5"/>
                <w:sz w:val="20"/>
              </w:rPr>
              <w:t>348</w:t>
            </w:r>
          </w:p>
        </w:tc>
        <w:tc>
          <w:tcPr>
            <w:tcW w:w="1080" w:type="dxa"/>
            <w:tcBorders>
              <w:bottom w:val="single" w:sz="8" w:space="0" w:color="auto"/>
            </w:tcBorders>
          </w:tcPr>
          <w:p w14:paraId="52BC042A" w14:textId="77777777" w:rsidR="00AE2255" w:rsidRDefault="00000000">
            <w:pPr>
              <w:pStyle w:val="TableParagraph"/>
              <w:spacing w:line="230" w:lineRule="exact"/>
              <w:ind w:right="70"/>
              <w:rPr>
                <w:sz w:val="20"/>
              </w:rPr>
            </w:pPr>
            <w:r>
              <w:rPr>
                <w:spacing w:val="-2"/>
                <w:sz w:val="20"/>
              </w:rPr>
              <w:t>(212)</w:t>
            </w:r>
          </w:p>
        </w:tc>
        <w:tc>
          <w:tcPr>
            <w:tcW w:w="1024" w:type="dxa"/>
            <w:tcBorders>
              <w:bottom w:val="single" w:sz="8" w:space="0" w:color="auto"/>
            </w:tcBorders>
          </w:tcPr>
          <w:p w14:paraId="11F8B067" w14:textId="77777777" w:rsidR="00AE2255" w:rsidRDefault="00000000">
            <w:pPr>
              <w:pStyle w:val="TableParagraph"/>
              <w:spacing w:line="230" w:lineRule="exact"/>
              <w:ind w:right="14"/>
              <w:rPr>
                <w:sz w:val="20"/>
              </w:rPr>
            </w:pPr>
            <w:r>
              <w:rPr>
                <w:spacing w:val="-2"/>
                <w:sz w:val="20"/>
              </w:rPr>
              <w:t>(477)</w:t>
            </w:r>
          </w:p>
        </w:tc>
      </w:tr>
      <w:tr w:rsidR="00AE2255" w14:paraId="65B0BBB9" w14:textId="77777777">
        <w:trPr>
          <w:trHeight w:val="275"/>
        </w:trPr>
        <w:tc>
          <w:tcPr>
            <w:tcW w:w="5471" w:type="dxa"/>
            <w:tcBorders>
              <w:top w:val="single" w:sz="8" w:space="0" w:color="CCEDFF"/>
            </w:tcBorders>
            <w:shd w:val="clear" w:color="auto" w:fill="CCEDFF"/>
          </w:tcPr>
          <w:p w14:paraId="293DDA80" w14:textId="77777777" w:rsidR="00AE2255" w:rsidRDefault="00000000">
            <w:pPr>
              <w:pStyle w:val="TableParagraph"/>
              <w:spacing w:before="17"/>
              <w:ind w:left="52"/>
              <w:jc w:val="left"/>
              <w:rPr>
                <w:sz w:val="20"/>
              </w:rPr>
            </w:pPr>
            <w:r>
              <w:rPr>
                <w:sz w:val="20"/>
              </w:rPr>
              <w:t>Net</w:t>
            </w:r>
            <w:r>
              <w:rPr>
                <w:spacing w:val="-4"/>
                <w:sz w:val="20"/>
              </w:rPr>
              <w:t xml:space="preserve"> </w:t>
            </w:r>
            <w:r>
              <w:rPr>
                <w:sz w:val="20"/>
              </w:rPr>
              <w:t>cash</w:t>
            </w:r>
            <w:r>
              <w:rPr>
                <w:spacing w:val="-2"/>
                <w:sz w:val="20"/>
              </w:rPr>
              <w:t xml:space="preserve"> </w:t>
            </w:r>
            <w:r>
              <w:rPr>
                <w:sz w:val="20"/>
              </w:rPr>
              <w:t>provided</w:t>
            </w:r>
            <w:r>
              <w:rPr>
                <w:spacing w:val="-2"/>
                <w:sz w:val="20"/>
              </w:rPr>
              <w:t xml:space="preserve"> </w:t>
            </w:r>
            <w:r>
              <w:rPr>
                <w:sz w:val="20"/>
              </w:rPr>
              <w:t>by</w:t>
            </w:r>
            <w:r>
              <w:rPr>
                <w:spacing w:val="-2"/>
                <w:sz w:val="20"/>
              </w:rPr>
              <w:t xml:space="preserve"> </w:t>
            </w:r>
            <w:r>
              <w:rPr>
                <w:sz w:val="20"/>
              </w:rPr>
              <w:t>operating</w:t>
            </w:r>
            <w:r>
              <w:rPr>
                <w:spacing w:val="-2"/>
                <w:sz w:val="20"/>
              </w:rPr>
              <w:t xml:space="preserve"> activities</w:t>
            </w:r>
          </w:p>
        </w:tc>
        <w:tc>
          <w:tcPr>
            <w:tcW w:w="2670" w:type="dxa"/>
            <w:tcBorders>
              <w:top w:val="single" w:sz="8" w:space="0" w:color="CCEDFF"/>
            </w:tcBorders>
            <w:shd w:val="clear" w:color="auto" w:fill="CCEDFF"/>
          </w:tcPr>
          <w:p w14:paraId="44F43026" w14:textId="77777777" w:rsidR="00AE2255" w:rsidRDefault="00000000">
            <w:pPr>
              <w:pStyle w:val="TableParagraph"/>
              <w:spacing w:before="15"/>
              <w:ind w:right="135"/>
              <w:rPr>
                <w:b/>
                <w:sz w:val="20"/>
              </w:rPr>
            </w:pPr>
            <w:r>
              <w:rPr>
                <w:b/>
                <w:spacing w:val="-2"/>
                <w:sz w:val="20"/>
              </w:rPr>
              <w:t>7,802</w:t>
            </w:r>
          </w:p>
        </w:tc>
        <w:tc>
          <w:tcPr>
            <w:tcW w:w="1080" w:type="dxa"/>
            <w:tcBorders>
              <w:top w:val="single" w:sz="8" w:space="0" w:color="CCEDFF"/>
            </w:tcBorders>
            <w:shd w:val="clear" w:color="auto" w:fill="CCEDFF"/>
          </w:tcPr>
          <w:p w14:paraId="66E7FEDD" w14:textId="77777777" w:rsidR="00AE2255" w:rsidRDefault="00000000">
            <w:pPr>
              <w:pStyle w:val="TableParagraph"/>
              <w:spacing w:before="15"/>
              <w:ind w:right="135"/>
              <w:rPr>
                <w:sz w:val="20"/>
              </w:rPr>
            </w:pPr>
            <w:r>
              <w:rPr>
                <w:spacing w:val="-2"/>
                <w:sz w:val="20"/>
              </w:rPr>
              <w:t>9,221</w:t>
            </w:r>
          </w:p>
        </w:tc>
        <w:tc>
          <w:tcPr>
            <w:tcW w:w="1024" w:type="dxa"/>
            <w:tcBorders>
              <w:top w:val="single" w:sz="8" w:space="0" w:color="CCEDFF"/>
            </w:tcBorders>
            <w:shd w:val="clear" w:color="auto" w:fill="CCEDFF"/>
          </w:tcPr>
          <w:p w14:paraId="6D29550D" w14:textId="77777777" w:rsidR="00AE2255" w:rsidRDefault="00000000">
            <w:pPr>
              <w:pStyle w:val="TableParagraph"/>
              <w:spacing w:before="15"/>
              <w:ind w:right="79"/>
              <w:rPr>
                <w:sz w:val="20"/>
              </w:rPr>
            </w:pPr>
            <w:r>
              <w:rPr>
                <w:spacing w:val="-2"/>
                <w:sz w:val="20"/>
              </w:rPr>
              <w:t>8,183</w:t>
            </w:r>
          </w:p>
        </w:tc>
      </w:tr>
      <w:tr w:rsidR="00AE2255" w14:paraId="3CC1C8A3" w14:textId="77777777">
        <w:trPr>
          <w:trHeight w:val="285"/>
        </w:trPr>
        <w:tc>
          <w:tcPr>
            <w:tcW w:w="5471" w:type="dxa"/>
          </w:tcPr>
          <w:p w14:paraId="481E868B" w14:textId="77777777" w:rsidR="00AE2255" w:rsidRDefault="00000000">
            <w:pPr>
              <w:pStyle w:val="TableParagraph"/>
              <w:spacing w:before="27"/>
              <w:ind w:left="52"/>
              <w:jc w:val="left"/>
              <w:rPr>
                <w:sz w:val="20"/>
              </w:rPr>
            </w:pPr>
            <w:r>
              <w:rPr>
                <w:sz w:val="20"/>
              </w:rPr>
              <w:t>Net</w:t>
            </w:r>
            <w:r>
              <w:rPr>
                <w:spacing w:val="-6"/>
                <w:sz w:val="20"/>
              </w:rPr>
              <w:t xml:space="preserve"> </w:t>
            </w:r>
            <w:r>
              <w:rPr>
                <w:sz w:val="20"/>
              </w:rPr>
              <w:t>cash</w:t>
            </w:r>
            <w:r>
              <w:rPr>
                <w:spacing w:val="-2"/>
                <w:sz w:val="20"/>
              </w:rPr>
              <w:t xml:space="preserve"> </w:t>
            </w:r>
            <w:r>
              <w:rPr>
                <w:sz w:val="20"/>
              </w:rPr>
              <w:t>used</w:t>
            </w:r>
            <w:r>
              <w:rPr>
                <w:spacing w:val="-3"/>
                <w:sz w:val="20"/>
              </w:rPr>
              <w:t xml:space="preserve"> </w:t>
            </w:r>
            <w:r>
              <w:rPr>
                <w:sz w:val="20"/>
              </w:rPr>
              <w:t>for</w:t>
            </w:r>
            <w:r>
              <w:rPr>
                <w:spacing w:val="-2"/>
                <w:sz w:val="20"/>
              </w:rPr>
              <w:t xml:space="preserve"> </w:t>
            </w:r>
            <w:r>
              <w:rPr>
                <w:sz w:val="20"/>
              </w:rPr>
              <w:t>investing</w:t>
            </w:r>
            <w:r>
              <w:rPr>
                <w:spacing w:val="-2"/>
                <w:sz w:val="20"/>
              </w:rPr>
              <w:t xml:space="preserve"> activities</w:t>
            </w:r>
          </w:p>
        </w:tc>
        <w:tc>
          <w:tcPr>
            <w:tcW w:w="2670" w:type="dxa"/>
          </w:tcPr>
          <w:p w14:paraId="561C5045" w14:textId="77777777" w:rsidR="00AE2255" w:rsidRDefault="00000000">
            <w:pPr>
              <w:pStyle w:val="TableParagraph"/>
              <w:ind w:right="70"/>
              <w:rPr>
                <w:b/>
                <w:sz w:val="20"/>
              </w:rPr>
            </w:pPr>
            <w:r>
              <w:rPr>
                <w:b/>
                <w:spacing w:val="-2"/>
                <w:sz w:val="20"/>
              </w:rPr>
              <w:t>(1,789)</w:t>
            </w:r>
          </w:p>
        </w:tc>
        <w:tc>
          <w:tcPr>
            <w:tcW w:w="1080" w:type="dxa"/>
          </w:tcPr>
          <w:p w14:paraId="174055BD" w14:textId="77777777" w:rsidR="00AE2255" w:rsidRDefault="00000000">
            <w:pPr>
              <w:pStyle w:val="TableParagraph"/>
              <w:ind w:right="70"/>
              <w:rPr>
                <w:sz w:val="20"/>
              </w:rPr>
            </w:pPr>
            <w:r>
              <w:rPr>
                <w:spacing w:val="-2"/>
                <w:sz w:val="20"/>
              </w:rPr>
              <w:t>(1,161)</w:t>
            </w:r>
          </w:p>
        </w:tc>
        <w:tc>
          <w:tcPr>
            <w:tcW w:w="1024" w:type="dxa"/>
          </w:tcPr>
          <w:p w14:paraId="1A25F201" w14:textId="77777777" w:rsidR="00AE2255" w:rsidRDefault="00000000">
            <w:pPr>
              <w:pStyle w:val="TableParagraph"/>
              <w:ind w:right="14"/>
              <w:rPr>
                <w:sz w:val="20"/>
              </w:rPr>
            </w:pPr>
            <w:r>
              <w:rPr>
                <w:spacing w:val="-2"/>
                <w:sz w:val="20"/>
              </w:rPr>
              <w:t>(2,010)</w:t>
            </w:r>
          </w:p>
        </w:tc>
      </w:tr>
      <w:tr w:rsidR="00AE2255" w14:paraId="238C2AD3" w14:textId="77777777">
        <w:trPr>
          <w:trHeight w:val="275"/>
        </w:trPr>
        <w:tc>
          <w:tcPr>
            <w:tcW w:w="5471" w:type="dxa"/>
            <w:tcBorders>
              <w:bottom w:val="single" w:sz="8" w:space="0" w:color="CCEDFF"/>
            </w:tcBorders>
            <w:shd w:val="clear" w:color="auto" w:fill="CCEDFF"/>
          </w:tcPr>
          <w:p w14:paraId="713AD87F" w14:textId="77777777" w:rsidR="00AE2255" w:rsidRDefault="00000000">
            <w:pPr>
              <w:pStyle w:val="TableParagraph"/>
              <w:spacing w:before="27" w:line="228" w:lineRule="exact"/>
              <w:ind w:left="52"/>
              <w:jc w:val="left"/>
              <w:rPr>
                <w:sz w:val="20"/>
              </w:rPr>
            </w:pPr>
            <w:r>
              <w:rPr>
                <w:sz w:val="20"/>
              </w:rPr>
              <w:t>Net</w:t>
            </w:r>
            <w:r>
              <w:rPr>
                <w:spacing w:val="-4"/>
                <w:sz w:val="20"/>
              </w:rPr>
              <w:t xml:space="preserve"> </w:t>
            </w:r>
            <w:r>
              <w:rPr>
                <w:sz w:val="20"/>
              </w:rPr>
              <w:t>cash</w:t>
            </w:r>
            <w:r>
              <w:rPr>
                <w:spacing w:val="-2"/>
                <w:sz w:val="20"/>
              </w:rPr>
              <w:t xml:space="preserve"> </w:t>
            </w:r>
            <w:r>
              <w:rPr>
                <w:sz w:val="20"/>
              </w:rPr>
              <w:t>used</w:t>
            </w:r>
            <w:r>
              <w:rPr>
                <w:spacing w:val="-2"/>
                <w:sz w:val="20"/>
              </w:rPr>
              <w:t xml:space="preserve"> </w:t>
            </w:r>
            <w:r>
              <w:rPr>
                <w:sz w:val="20"/>
              </w:rPr>
              <w:t>for</w:t>
            </w:r>
            <w:r>
              <w:rPr>
                <w:spacing w:val="-2"/>
                <w:sz w:val="20"/>
              </w:rPr>
              <w:t xml:space="preserve"> </w:t>
            </w:r>
            <w:r>
              <w:rPr>
                <w:sz w:val="20"/>
              </w:rPr>
              <w:t>financing</w:t>
            </w:r>
            <w:r>
              <w:rPr>
                <w:spacing w:val="-2"/>
                <w:sz w:val="20"/>
              </w:rPr>
              <w:t xml:space="preserve"> activities</w:t>
            </w:r>
          </w:p>
        </w:tc>
        <w:tc>
          <w:tcPr>
            <w:tcW w:w="2670" w:type="dxa"/>
            <w:tcBorders>
              <w:bottom w:val="single" w:sz="8" w:space="0" w:color="CCEDFF"/>
            </w:tcBorders>
            <w:shd w:val="clear" w:color="auto" w:fill="CCEDFF"/>
          </w:tcPr>
          <w:p w14:paraId="799084AF" w14:textId="77777777" w:rsidR="00AE2255" w:rsidRDefault="00000000">
            <w:pPr>
              <w:pStyle w:val="TableParagraph"/>
              <w:spacing w:line="230" w:lineRule="exact"/>
              <w:ind w:right="70"/>
              <w:rPr>
                <w:b/>
                <w:sz w:val="20"/>
              </w:rPr>
            </w:pPr>
            <w:r>
              <w:rPr>
                <w:b/>
                <w:spacing w:val="-2"/>
                <w:sz w:val="20"/>
              </w:rPr>
              <w:t>(7,070)</w:t>
            </w:r>
          </w:p>
        </w:tc>
        <w:tc>
          <w:tcPr>
            <w:tcW w:w="1080" w:type="dxa"/>
            <w:tcBorders>
              <w:bottom w:val="single" w:sz="8" w:space="0" w:color="CCEDFF"/>
            </w:tcBorders>
            <w:shd w:val="clear" w:color="auto" w:fill="CCEDFF"/>
          </w:tcPr>
          <w:p w14:paraId="383F13DA" w14:textId="77777777" w:rsidR="00AE2255" w:rsidRDefault="00000000">
            <w:pPr>
              <w:pStyle w:val="TableParagraph"/>
              <w:spacing w:line="230" w:lineRule="exact"/>
              <w:ind w:right="70"/>
              <w:rPr>
                <w:sz w:val="20"/>
              </w:rPr>
            </w:pPr>
            <w:r>
              <w:rPr>
                <w:spacing w:val="-2"/>
                <w:sz w:val="20"/>
              </w:rPr>
              <w:t>(7,616)</w:t>
            </w:r>
          </w:p>
        </w:tc>
        <w:tc>
          <w:tcPr>
            <w:tcW w:w="1024" w:type="dxa"/>
            <w:tcBorders>
              <w:bottom w:val="single" w:sz="8" w:space="0" w:color="CCEDFF"/>
            </w:tcBorders>
            <w:shd w:val="clear" w:color="auto" w:fill="CCEDFF"/>
          </w:tcPr>
          <w:p w14:paraId="66E969C9" w14:textId="77777777" w:rsidR="00AE2255" w:rsidRDefault="00000000">
            <w:pPr>
              <w:pStyle w:val="TableParagraph"/>
              <w:spacing w:line="230" w:lineRule="exact"/>
              <w:ind w:right="14"/>
              <w:rPr>
                <w:sz w:val="20"/>
              </w:rPr>
            </w:pPr>
            <w:r>
              <w:rPr>
                <w:spacing w:val="-2"/>
                <w:sz w:val="20"/>
              </w:rPr>
              <w:t>(4,527)</w:t>
            </w:r>
          </w:p>
        </w:tc>
      </w:tr>
      <w:tr w:rsidR="00AE2255" w14:paraId="40A4607E" w14:textId="77777777">
        <w:trPr>
          <w:trHeight w:val="265"/>
        </w:trPr>
        <w:tc>
          <w:tcPr>
            <w:tcW w:w="5471" w:type="dxa"/>
            <w:tcBorders>
              <w:top w:val="single" w:sz="8" w:space="0" w:color="auto"/>
              <w:bottom w:val="single" w:sz="8" w:space="0" w:color="auto"/>
            </w:tcBorders>
          </w:tcPr>
          <w:p w14:paraId="53539C38" w14:textId="77777777" w:rsidR="00AE2255" w:rsidRDefault="00000000">
            <w:pPr>
              <w:pStyle w:val="TableParagraph"/>
              <w:spacing w:before="17" w:line="228" w:lineRule="exact"/>
              <w:ind w:left="52"/>
              <w:jc w:val="left"/>
              <w:rPr>
                <w:sz w:val="20"/>
              </w:rPr>
            </w:pPr>
            <w:r>
              <w:rPr>
                <w:sz w:val="20"/>
              </w:rPr>
              <w:t>Net</w:t>
            </w:r>
            <w:r>
              <w:rPr>
                <w:spacing w:val="-3"/>
                <w:sz w:val="20"/>
              </w:rPr>
              <w:t xml:space="preserve"> </w:t>
            </w:r>
            <w:r>
              <w:rPr>
                <w:sz w:val="20"/>
              </w:rPr>
              <w:t>change</w:t>
            </w:r>
            <w:r>
              <w:rPr>
                <w:spacing w:val="-3"/>
                <w:sz w:val="20"/>
              </w:rPr>
              <w:t xml:space="preserve"> </w:t>
            </w:r>
            <w:r>
              <w:rPr>
                <w:sz w:val="20"/>
              </w:rPr>
              <w:t>in</w:t>
            </w:r>
            <w:r>
              <w:rPr>
                <w:spacing w:val="-2"/>
                <w:sz w:val="20"/>
              </w:rPr>
              <w:t xml:space="preserve"> </w:t>
            </w:r>
            <w:r>
              <w:rPr>
                <w:sz w:val="20"/>
              </w:rPr>
              <w:t>cash</w:t>
            </w:r>
            <w:r>
              <w:rPr>
                <w:spacing w:val="-2"/>
                <w:sz w:val="20"/>
              </w:rPr>
              <w:t xml:space="preserve"> </w:t>
            </w:r>
            <w:r>
              <w:rPr>
                <w:sz w:val="20"/>
              </w:rPr>
              <w:t>and</w:t>
            </w:r>
            <w:r>
              <w:rPr>
                <w:spacing w:val="-2"/>
                <w:sz w:val="20"/>
              </w:rPr>
              <w:t xml:space="preserve"> </w:t>
            </w:r>
            <w:r>
              <w:rPr>
                <w:sz w:val="20"/>
              </w:rPr>
              <w:t>cash</w:t>
            </w:r>
            <w:r>
              <w:rPr>
                <w:spacing w:val="-2"/>
                <w:sz w:val="20"/>
              </w:rPr>
              <w:t xml:space="preserve"> equivalents</w:t>
            </w:r>
          </w:p>
        </w:tc>
        <w:tc>
          <w:tcPr>
            <w:tcW w:w="2670" w:type="dxa"/>
            <w:tcBorders>
              <w:top w:val="single" w:sz="8" w:space="0" w:color="auto"/>
              <w:bottom w:val="single" w:sz="8" w:space="0" w:color="auto"/>
            </w:tcBorders>
          </w:tcPr>
          <w:p w14:paraId="499CF9B1" w14:textId="77777777" w:rsidR="00AE2255" w:rsidRDefault="00000000">
            <w:pPr>
              <w:pStyle w:val="TableParagraph"/>
              <w:spacing w:before="15" w:line="230" w:lineRule="exact"/>
              <w:ind w:right="70"/>
              <w:rPr>
                <w:b/>
                <w:sz w:val="20"/>
              </w:rPr>
            </w:pPr>
            <w:r>
              <w:rPr>
                <w:b/>
                <w:spacing w:val="-2"/>
                <w:sz w:val="20"/>
              </w:rPr>
              <w:t>(1,057)</w:t>
            </w:r>
          </w:p>
        </w:tc>
        <w:tc>
          <w:tcPr>
            <w:tcW w:w="1080" w:type="dxa"/>
            <w:tcBorders>
              <w:top w:val="single" w:sz="8" w:space="0" w:color="auto"/>
              <w:bottom w:val="single" w:sz="8" w:space="0" w:color="auto"/>
            </w:tcBorders>
          </w:tcPr>
          <w:p w14:paraId="2623E3FA" w14:textId="77777777" w:rsidR="00AE2255" w:rsidRDefault="00000000">
            <w:pPr>
              <w:pStyle w:val="TableParagraph"/>
              <w:spacing w:before="15" w:line="230" w:lineRule="exact"/>
              <w:ind w:right="135"/>
              <w:rPr>
                <w:sz w:val="20"/>
              </w:rPr>
            </w:pPr>
            <w:r>
              <w:rPr>
                <w:spacing w:val="-5"/>
                <w:sz w:val="20"/>
              </w:rPr>
              <w:t>444</w:t>
            </w:r>
          </w:p>
        </w:tc>
        <w:tc>
          <w:tcPr>
            <w:tcW w:w="1024" w:type="dxa"/>
            <w:tcBorders>
              <w:top w:val="single" w:sz="8" w:space="0" w:color="auto"/>
              <w:bottom w:val="single" w:sz="8" w:space="0" w:color="auto"/>
            </w:tcBorders>
          </w:tcPr>
          <w:p w14:paraId="49EDBE25" w14:textId="77777777" w:rsidR="00AE2255" w:rsidRDefault="00000000">
            <w:pPr>
              <w:pStyle w:val="TableParagraph"/>
              <w:spacing w:before="15" w:line="230" w:lineRule="exact"/>
              <w:ind w:right="79"/>
              <w:rPr>
                <w:sz w:val="20"/>
              </w:rPr>
            </w:pPr>
            <w:r>
              <w:rPr>
                <w:spacing w:val="-2"/>
                <w:sz w:val="20"/>
              </w:rPr>
              <w:t>1,646</w:t>
            </w:r>
          </w:p>
        </w:tc>
      </w:tr>
      <w:tr w:rsidR="00AE2255" w14:paraId="5C0CEE06" w14:textId="77777777">
        <w:trPr>
          <w:trHeight w:val="252"/>
        </w:trPr>
        <w:tc>
          <w:tcPr>
            <w:tcW w:w="5471" w:type="dxa"/>
            <w:tcBorders>
              <w:top w:val="single" w:sz="8" w:space="0" w:color="CCEDFF"/>
              <w:bottom w:val="single" w:sz="18" w:space="0" w:color="CCEDFF"/>
            </w:tcBorders>
            <w:shd w:val="clear" w:color="auto" w:fill="CCEDFF"/>
          </w:tcPr>
          <w:p w14:paraId="7D168D73" w14:textId="77777777" w:rsidR="00AE2255" w:rsidRDefault="00000000">
            <w:pPr>
              <w:pStyle w:val="TableParagraph"/>
              <w:spacing w:before="17" w:line="216" w:lineRule="exact"/>
              <w:ind w:left="52"/>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2"/>
                <w:sz w:val="20"/>
              </w:rPr>
              <w:t xml:space="preserve"> </w:t>
            </w:r>
            <w:r>
              <w:rPr>
                <w:sz w:val="20"/>
              </w:rPr>
              <w:t>equivalents</w:t>
            </w:r>
            <w:r>
              <w:rPr>
                <w:spacing w:val="-3"/>
                <w:sz w:val="20"/>
              </w:rPr>
              <w:t xml:space="preserve"> </w:t>
            </w:r>
            <w:r>
              <w:rPr>
                <w:sz w:val="20"/>
              </w:rPr>
              <w:t>at</w:t>
            </w:r>
            <w:r>
              <w:rPr>
                <w:spacing w:val="-3"/>
                <w:sz w:val="20"/>
              </w:rPr>
              <w:t xml:space="preserve"> </w:t>
            </w:r>
            <w:r>
              <w:rPr>
                <w:sz w:val="20"/>
              </w:rPr>
              <w:t>end</w:t>
            </w:r>
            <w:r>
              <w:rPr>
                <w:spacing w:val="-2"/>
                <w:sz w:val="20"/>
              </w:rPr>
              <w:t xml:space="preserve"> </w:t>
            </w:r>
            <w:r>
              <w:rPr>
                <w:sz w:val="20"/>
              </w:rPr>
              <w:t>of</w:t>
            </w:r>
            <w:r>
              <w:rPr>
                <w:spacing w:val="-2"/>
                <w:sz w:val="20"/>
              </w:rPr>
              <w:t xml:space="preserve"> </w:t>
            </w:r>
            <w:r>
              <w:rPr>
                <w:spacing w:val="-4"/>
                <w:sz w:val="20"/>
              </w:rPr>
              <w:t>year</w:t>
            </w:r>
          </w:p>
        </w:tc>
        <w:tc>
          <w:tcPr>
            <w:tcW w:w="2670" w:type="dxa"/>
            <w:tcBorders>
              <w:top w:val="single" w:sz="8" w:space="0" w:color="CCEDFF"/>
              <w:bottom w:val="single" w:sz="18" w:space="0" w:color="CCEDFF"/>
            </w:tcBorders>
            <w:shd w:val="clear" w:color="auto" w:fill="CCEDFF"/>
          </w:tcPr>
          <w:p w14:paraId="653D6026" w14:textId="77777777" w:rsidR="00AE2255" w:rsidRDefault="00000000">
            <w:pPr>
              <w:pStyle w:val="TableParagraph"/>
              <w:tabs>
                <w:tab w:val="left" w:pos="420"/>
              </w:tabs>
              <w:spacing w:before="15" w:line="217" w:lineRule="exact"/>
              <w:ind w:right="135"/>
              <w:rPr>
                <w:b/>
                <w:sz w:val="20"/>
              </w:rPr>
            </w:pPr>
            <w:r>
              <w:rPr>
                <w:b/>
                <w:spacing w:val="-10"/>
                <w:sz w:val="20"/>
              </w:rPr>
              <w:t>$</w:t>
            </w:r>
            <w:r>
              <w:rPr>
                <w:b/>
                <w:sz w:val="20"/>
              </w:rPr>
              <w:tab/>
            </w:r>
            <w:r>
              <w:rPr>
                <w:b/>
                <w:spacing w:val="-2"/>
                <w:sz w:val="20"/>
              </w:rPr>
              <w:t>2,547</w:t>
            </w:r>
          </w:p>
        </w:tc>
        <w:tc>
          <w:tcPr>
            <w:tcW w:w="1080" w:type="dxa"/>
            <w:tcBorders>
              <w:top w:val="single" w:sz="8" w:space="0" w:color="CCEDFF"/>
              <w:bottom w:val="single" w:sz="18" w:space="0" w:color="CCEDFF"/>
            </w:tcBorders>
            <w:shd w:val="clear" w:color="auto" w:fill="CCEDFF"/>
          </w:tcPr>
          <w:p w14:paraId="7E9E76E1" w14:textId="77777777" w:rsidR="00AE2255" w:rsidRDefault="00000000">
            <w:pPr>
              <w:pStyle w:val="TableParagraph"/>
              <w:tabs>
                <w:tab w:val="left" w:pos="420"/>
              </w:tabs>
              <w:spacing w:before="15" w:line="217" w:lineRule="exact"/>
              <w:ind w:right="135"/>
              <w:rPr>
                <w:sz w:val="20"/>
              </w:rPr>
            </w:pPr>
            <w:r>
              <w:rPr>
                <w:spacing w:val="-10"/>
                <w:sz w:val="20"/>
              </w:rPr>
              <w:t>$</w:t>
            </w:r>
            <w:r>
              <w:rPr>
                <w:sz w:val="20"/>
              </w:rPr>
              <w:tab/>
            </w:r>
            <w:r>
              <w:rPr>
                <w:spacing w:val="-2"/>
                <w:sz w:val="20"/>
              </w:rPr>
              <w:t>3,604</w:t>
            </w:r>
          </w:p>
        </w:tc>
        <w:tc>
          <w:tcPr>
            <w:tcW w:w="1024" w:type="dxa"/>
            <w:tcBorders>
              <w:top w:val="single" w:sz="8" w:space="0" w:color="CCEDFF"/>
              <w:bottom w:val="single" w:sz="18" w:space="0" w:color="CCEDFF"/>
            </w:tcBorders>
            <w:shd w:val="clear" w:color="auto" w:fill="CCEDFF"/>
          </w:tcPr>
          <w:p w14:paraId="20439737"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3,160</w:t>
            </w:r>
          </w:p>
        </w:tc>
      </w:tr>
    </w:tbl>
    <w:p w14:paraId="77143C3C" w14:textId="77777777" w:rsidR="00AE2255" w:rsidRDefault="00AE2255">
      <w:pPr>
        <w:pStyle w:val="BodyText"/>
        <w:spacing w:before="3"/>
        <w:rPr>
          <w:sz w:val="23"/>
        </w:rPr>
      </w:pPr>
    </w:p>
    <w:p w14:paraId="5E57C4C1" w14:textId="77777777" w:rsidR="00AE2255" w:rsidRDefault="00000000">
      <w:pPr>
        <w:pStyle w:val="Heading2"/>
      </w:pPr>
      <w:r>
        <w:t>Operating</w:t>
      </w:r>
      <w:r>
        <w:rPr>
          <w:spacing w:val="-6"/>
        </w:rPr>
        <w:t xml:space="preserve"> </w:t>
      </w:r>
      <w:r>
        <w:rPr>
          <w:spacing w:val="-2"/>
        </w:rPr>
        <w:t>Activities</w:t>
      </w:r>
    </w:p>
    <w:p w14:paraId="6823FCCC" w14:textId="77777777" w:rsidR="00AE2255" w:rsidRDefault="00AE2255">
      <w:pPr>
        <w:pStyle w:val="BodyText"/>
        <w:spacing w:before="6"/>
        <w:rPr>
          <w:b/>
          <w:sz w:val="18"/>
        </w:rPr>
      </w:pPr>
    </w:p>
    <w:p w14:paraId="47A61266" w14:textId="77777777" w:rsidR="00AE2255" w:rsidRDefault="00000000">
      <w:pPr>
        <w:pStyle w:val="BodyText"/>
        <w:spacing w:line="249" w:lineRule="auto"/>
        <w:ind w:left="610" w:right="428" w:firstLine="360"/>
        <w:jc w:val="both"/>
      </w:pPr>
      <w:r>
        <w:t xml:space="preserve">Net cash provided by operating activities decreased $1.4 billion in 2022 compared to 2021. The decrease was primarily attributable to lower cash at Aeronautics, MFC and RMS. The decrease at Aeronautics was primarily due to timing of production and billing cycles impacting contract assets (primarily F-35). The decrease at MFC was primarily due to timing of accounts receivables collections. The decrease at RMS was primarily due to liquidation of inventories (primarily TLS and Sikorsky helicopter programs) in 2021 that did not recur in 2022. As of December 31, 2022, we accelerated $1.5 billion of payments to suppliers that were due in the first quarter of 2023, compared to $2.2 billion of payments to suppliers as of December 31, </w:t>
      </w:r>
      <w:proofErr w:type="gramStart"/>
      <w:r>
        <w:t>2021</w:t>
      </w:r>
      <w:proofErr w:type="gramEnd"/>
      <w:r>
        <w:t xml:space="preserve"> that were due in the first quarter of 2022. Our federal and foreign income tax payments, net of refunds,</w:t>
      </w:r>
      <w:r>
        <w:rPr>
          <w:spacing w:val="40"/>
        </w:rPr>
        <w:t xml:space="preserve"> </w:t>
      </w:r>
      <w:r>
        <w:t>were $1.6 billion in 2022, compared to $1.4 billion in 2021.</w:t>
      </w:r>
    </w:p>
    <w:p w14:paraId="491CA94C" w14:textId="77777777" w:rsidR="00AE2255" w:rsidRDefault="00AE2255">
      <w:pPr>
        <w:pStyle w:val="BodyText"/>
        <w:rPr>
          <w:sz w:val="18"/>
        </w:rPr>
      </w:pPr>
    </w:p>
    <w:p w14:paraId="6B97A512" w14:textId="77777777" w:rsidR="00AE2255" w:rsidRDefault="00000000">
      <w:pPr>
        <w:ind w:left="610"/>
        <w:rPr>
          <w:i/>
          <w:sz w:val="20"/>
        </w:rPr>
      </w:pPr>
      <w:r>
        <w:rPr>
          <w:i/>
          <w:sz w:val="20"/>
        </w:rPr>
        <w:t>Non-GAAP</w:t>
      </w:r>
      <w:r>
        <w:rPr>
          <w:i/>
          <w:spacing w:val="-6"/>
          <w:sz w:val="20"/>
        </w:rPr>
        <w:t xml:space="preserve"> </w:t>
      </w:r>
      <w:r>
        <w:rPr>
          <w:i/>
          <w:sz w:val="20"/>
        </w:rPr>
        <w:t>Financial</w:t>
      </w:r>
      <w:r>
        <w:rPr>
          <w:i/>
          <w:spacing w:val="-4"/>
          <w:sz w:val="20"/>
        </w:rPr>
        <w:t xml:space="preserve"> </w:t>
      </w:r>
      <w:r>
        <w:rPr>
          <w:i/>
          <w:sz w:val="20"/>
        </w:rPr>
        <w:t>Measure</w:t>
      </w:r>
      <w:r>
        <w:rPr>
          <w:i/>
          <w:spacing w:val="-3"/>
          <w:sz w:val="20"/>
        </w:rPr>
        <w:t xml:space="preserve"> </w:t>
      </w:r>
      <w:r>
        <w:rPr>
          <w:i/>
          <w:sz w:val="20"/>
        </w:rPr>
        <w:t>-</w:t>
      </w:r>
      <w:r>
        <w:rPr>
          <w:i/>
          <w:spacing w:val="-3"/>
          <w:sz w:val="20"/>
        </w:rPr>
        <w:t xml:space="preserve"> </w:t>
      </w:r>
      <w:r>
        <w:rPr>
          <w:i/>
          <w:sz w:val="20"/>
        </w:rPr>
        <w:t>Free</w:t>
      </w:r>
      <w:r>
        <w:rPr>
          <w:i/>
          <w:spacing w:val="-4"/>
          <w:sz w:val="20"/>
        </w:rPr>
        <w:t xml:space="preserve"> </w:t>
      </w:r>
      <w:r>
        <w:rPr>
          <w:i/>
          <w:sz w:val="20"/>
        </w:rPr>
        <w:t>Cash</w:t>
      </w:r>
      <w:r>
        <w:rPr>
          <w:i/>
          <w:spacing w:val="-2"/>
          <w:sz w:val="20"/>
        </w:rPr>
        <w:t xml:space="preserve"> </w:t>
      </w:r>
      <w:r>
        <w:rPr>
          <w:i/>
          <w:spacing w:val="-4"/>
          <w:sz w:val="20"/>
        </w:rPr>
        <w:t>Flow</w:t>
      </w:r>
    </w:p>
    <w:p w14:paraId="33A482ED" w14:textId="77777777" w:rsidR="00AE2255" w:rsidRDefault="00AE2255">
      <w:pPr>
        <w:pStyle w:val="BodyText"/>
        <w:spacing w:before="3"/>
        <w:rPr>
          <w:i/>
          <w:sz w:val="18"/>
        </w:rPr>
      </w:pPr>
    </w:p>
    <w:p w14:paraId="493F7A6A" w14:textId="77777777" w:rsidR="00AE2255" w:rsidRDefault="00000000">
      <w:pPr>
        <w:pStyle w:val="BodyText"/>
        <w:spacing w:line="249" w:lineRule="auto"/>
        <w:ind w:left="610" w:right="428" w:firstLine="360"/>
        <w:jc w:val="both"/>
      </w:pPr>
      <w:r>
        <w:t xml:space="preserve">Free cash flow is a non-GAAP financial measure that we define as cash from operations </w:t>
      </w:r>
      <w:proofErr w:type="gramStart"/>
      <w:r>
        <w:t>less</w:t>
      </w:r>
      <w:proofErr w:type="gramEnd"/>
      <w:r>
        <w:t xml:space="preserve"> capital expenditures. Our capital expenditures are comprised of equipment and facilities infrastructure and information technology (inclusive of costs for the development or purchase of internal-use software that are capitalized). We use free cash flow to evaluate our business performance and overall liquidity, as well as a performance goal in our annual and long-term incentive plans. We believe free cash flow is a useful measure for investors because it represents the amount of cash generated from operations after reinvesting in the business and that may be available to return to stockholders and creditors (through dividends, stock repurchases and debt repayments) or available to fund acquisitions and other investments. The entire amount of free cash flow is not necessarily available for discretionary expenditures, however, because it does not account for certain mandatory expenditures, such as the</w:t>
      </w:r>
    </w:p>
    <w:p w14:paraId="234816D1" w14:textId="77777777" w:rsidR="00AE2255" w:rsidRDefault="00AE2255">
      <w:pPr>
        <w:spacing w:line="249" w:lineRule="auto"/>
        <w:jc w:val="both"/>
        <w:sectPr w:rsidR="00AE2255">
          <w:pgSz w:w="12240" w:h="15840"/>
          <w:pgMar w:top="440" w:right="560" w:bottom="720" w:left="380" w:header="230" w:footer="531" w:gutter="0"/>
          <w:cols w:space="720"/>
        </w:sectPr>
      </w:pPr>
    </w:p>
    <w:p w14:paraId="1FA00F64" w14:textId="77777777" w:rsidR="00AE2255" w:rsidRDefault="00AE2255">
      <w:pPr>
        <w:pStyle w:val="BodyText"/>
        <w:spacing w:before="10"/>
        <w:rPr>
          <w:sz w:val="22"/>
        </w:rPr>
      </w:pPr>
    </w:p>
    <w:p w14:paraId="5A7B4365" w14:textId="77777777" w:rsidR="00AE2255" w:rsidRDefault="00000000">
      <w:pPr>
        <w:pStyle w:val="BodyText"/>
        <w:spacing w:before="92" w:line="249" w:lineRule="auto"/>
        <w:ind w:left="610" w:right="429"/>
        <w:jc w:val="both"/>
      </w:pPr>
      <w:r>
        <w:t>repayment of maturing debt and pension contributions. While management believes that free cash flow as a non-GAAP financial measure may be useful in evaluating our financial performance, it should be considered supplemental to, and not a substitute</w:t>
      </w:r>
      <w:r>
        <w:rPr>
          <w:spacing w:val="-1"/>
        </w:rPr>
        <w:t xml:space="preserve"> </w:t>
      </w:r>
      <w:r>
        <w:t>for,</w:t>
      </w:r>
      <w:r>
        <w:rPr>
          <w:spacing w:val="-1"/>
        </w:rPr>
        <w:t xml:space="preserve"> </w:t>
      </w:r>
      <w:r>
        <w:t>financial</w:t>
      </w:r>
      <w:r>
        <w:rPr>
          <w:spacing w:val="-1"/>
        </w:rPr>
        <w:t xml:space="preserve"> </w:t>
      </w:r>
      <w:r>
        <w:t>information</w:t>
      </w:r>
      <w:r>
        <w:rPr>
          <w:spacing w:val="-1"/>
        </w:rPr>
        <w:t xml:space="preserve"> </w:t>
      </w:r>
      <w:r>
        <w:t>prepared</w:t>
      </w:r>
      <w:r>
        <w:rPr>
          <w:spacing w:val="-1"/>
        </w:rPr>
        <w:t xml:space="preserve"> </w:t>
      </w:r>
      <w:r>
        <w:t>in</w:t>
      </w:r>
      <w:r>
        <w:rPr>
          <w:spacing w:val="-1"/>
        </w:rPr>
        <w:t xml:space="preserve"> </w:t>
      </w:r>
      <w:r>
        <w:t>accordance</w:t>
      </w:r>
      <w:r>
        <w:rPr>
          <w:spacing w:val="-1"/>
        </w:rPr>
        <w:t xml:space="preserve"> </w:t>
      </w:r>
      <w:r>
        <w:t>with</w:t>
      </w:r>
      <w:r>
        <w:rPr>
          <w:spacing w:val="-1"/>
        </w:rPr>
        <w:t xml:space="preserve"> </w:t>
      </w:r>
      <w:r>
        <w:t>GAAP</w:t>
      </w:r>
      <w:r>
        <w:rPr>
          <w:spacing w:val="-1"/>
        </w:rPr>
        <w:t xml:space="preserve"> </w:t>
      </w:r>
      <w:r>
        <w:t>and</w:t>
      </w:r>
      <w:r>
        <w:rPr>
          <w:spacing w:val="-1"/>
        </w:rPr>
        <w:t xml:space="preserve"> </w:t>
      </w:r>
      <w:r>
        <w:t>may</w:t>
      </w:r>
      <w:r>
        <w:rPr>
          <w:spacing w:val="-1"/>
        </w:rPr>
        <w:t xml:space="preserve"> </w:t>
      </w:r>
      <w:r>
        <w:t>not</w:t>
      </w:r>
      <w:r>
        <w:rPr>
          <w:spacing w:val="-1"/>
        </w:rPr>
        <w:t xml:space="preserve"> </w:t>
      </w:r>
      <w:r>
        <w:t>be</w:t>
      </w:r>
      <w:r>
        <w:rPr>
          <w:spacing w:val="-1"/>
        </w:rPr>
        <w:t xml:space="preserve"> </w:t>
      </w:r>
      <w:r>
        <w:t>comparable</w:t>
      </w:r>
      <w:r>
        <w:rPr>
          <w:spacing w:val="-1"/>
        </w:rPr>
        <w:t xml:space="preserve"> </w:t>
      </w:r>
      <w:r>
        <w:t>to</w:t>
      </w:r>
      <w:r>
        <w:rPr>
          <w:spacing w:val="-1"/>
        </w:rPr>
        <w:t xml:space="preserve"> </w:t>
      </w:r>
      <w:r>
        <w:t>similarly</w:t>
      </w:r>
      <w:r>
        <w:rPr>
          <w:spacing w:val="-1"/>
        </w:rPr>
        <w:t xml:space="preserve"> </w:t>
      </w:r>
      <w:r>
        <w:t>titled</w:t>
      </w:r>
      <w:r>
        <w:rPr>
          <w:spacing w:val="-1"/>
        </w:rPr>
        <w:t xml:space="preserve"> </w:t>
      </w:r>
      <w:r>
        <w:t>measures used by other companies.</w:t>
      </w:r>
    </w:p>
    <w:p w14:paraId="45D57240" w14:textId="77777777" w:rsidR="00AE2255" w:rsidRDefault="00AE2255">
      <w:pPr>
        <w:pStyle w:val="BodyText"/>
        <w:spacing w:before="7"/>
        <w:rPr>
          <w:sz w:val="17"/>
        </w:rPr>
      </w:pPr>
    </w:p>
    <w:p w14:paraId="288CE50E" w14:textId="77777777" w:rsidR="00AE2255" w:rsidRDefault="00000000">
      <w:pPr>
        <w:pStyle w:val="BodyText"/>
        <w:spacing w:before="1"/>
        <w:ind w:left="1105"/>
      </w:pPr>
      <w:r>
        <w:t>The</w:t>
      </w:r>
      <w:r>
        <w:rPr>
          <w:spacing w:val="-6"/>
        </w:rPr>
        <w:t xml:space="preserve"> </w:t>
      </w:r>
      <w:r>
        <w:t>following</w:t>
      </w:r>
      <w:r>
        <w:rPr>
          <w:spacing w:val="-3"/>
        </w:rPr>
        <w:t xml:space="preserve"> </w:t>
      </w:r>
      <w:r>
        <w:t>table</w:t>
      </w:r>
      <w:r>
        <w:rPr>
          <w:spacing w:val="-3"/>
        </w:rPr>
        <w:t xml:space="preserve"> </w:t>
      </w:r>
      <w:r>
        <w:t>reconciles</w:t>
      </w:r>
      <w:r>
        <w:rPr>
          <w:spacing w:val="-4"/>
        </w:rPr>
        <w:t xml:space="preserve"> </w:t>
      </w:r>
      <w:r>
        <w:t>net</w:t>
      </w:r>
      <w:r>
        <w:rPr>
          <w:spacing w:val="-3"/>
        </w:rPr>
        <w:t xml:space="preserve"> </w:t>
      </w:r>
      <w:r>
        <w:t>cash</w:t>
      </w:r>
      <w:r>
        <w:rPr>
          <w:spacing w:val="-3"/>
        </w:rPr>
        <w:t xml:space="preserve"> </w:t>
      </w:r>
      <w:r>
        <w:t>provided</w:t>
      </w:r>
      <w:r>
        <w:rPr>
          <w:spacing w:val="-3"/>
        </w:rPr>
        <w:t xml:space="preserve"> </w:t>
      </w:r>
      <w:r>
        <w:t>by</w:t>
      </w:r>
      <w:r>
        <w:rPr>
          <w:spacing w:val="-2"/>
        </w:rPr>
        <w:t xml:space="preserve"> </w:t>
      </w:r>
      <w:r>
        <w:t>operating</w:t>
      </w:r>
      <w:r>
        <w:rPr>
          <w:spacing w:val="-3"/>
        </w:rPr>
        <w:t xml:space="preserve"> </w:t>
      </w:r>
      <w:r>
        <w:t>activities</w:t>
      </w:r>
      <w:r>
        <w:rPr>
          <w:spacing w:val="-3"/>
        </w:rPr>
        <w:t xml:space="preserve"> </w:t>
      </w:r>
      <w:r>
        <w:t>to</w:t>
      </w:r>
      <w:r>
        <w:rPr>
          <w:spacing w:val="-3"/>
        </w:rPr>
        <w:t xml:space="preserve"> </w:t>
      </w:r>
      <w:r>
        <w:t>free</w:t>
      </w:r>
      <w:r>
        <w:rPr>
          <w:spacing w:val="-4"/>
        </w:rPr>
        <w:t xml:space="preserve"> </w:t>
      </w:r>
      <w:r>
        <w:t>cash</w:t>
      </w:r>
      <w:r>
        <w:rPr>
          <w:spacing w:val="-2"/>
        </w:rPr>
        <w:t xml:space="preserve"> </w:t>
      </w:r>
      <w:r>
        <w:t>flow</w:t>
      </w:r>
      <w:r>
        <w:rPr>
          <w:spacing w:val="-4"/>
        </w:rPr>
        <w:t xml:space="preserve"> </w:t>
      </w:r>
      <w:r>
        <w:t>(in</w:t>
      </w:r>
      <w:r>
        <w:rPr>
          <w:spacing w:val="-2"/>
        </w:rPr>
        <w:t xml:space="preserve"> millions):</w:t>
      </w:r>
    </w:p>
    <w:p w14:paraId="403C21D4" w14:textId="77777777" w:rsidR="00AE2255" w:rsidRDefault="00AE2255">
      <w:pPr>
        <w:pStyle w:val="BodyText"/>
        <w:spacing w:before="7"/>
        <w:rPr>
          <w:sz w:val="26"/>
        </w:rPr>
      </w:pPr>
    </w:p>
    <w:tbl>
      <w:tblPr>
        <w:tblW w:w="0" w:type="auto"/>
        <w:tblInd w:w="617" w:type="dxa"/>
        <w:tblLayout w:type="fixed"/>
        <w:tblCellMar>
          <w:left w:w="0" w:type="dxa"/>
          <w:right w:w="0" w:type="dxa"/>
        </w:tblCellMar>
        <w:tblLook w:val="01E0" w:firstRow="1" w:lastRow="1" w:firstColumn="1" w:lastColumn="1" w:noHBand="0" w:noVBand="0"/>
      </w:tblPr>
      <w:tblGrid>
        <w:gridCol w:w="2013"/>
        <w:gridCol w:w="5237"/>
        <w:gridCol w:w="1607"/>
        <w:gridCol w:w="1406"/>
      </w:tblGrid>
      <w:tr w:rsidR="00AE2255" w14:paraId="366A6FDB" w14:textId="77777777">
        <w:trPr>
          <w:trHeight w:val="241"/>
        </w:trPr>
        <w:tc>
          <w:tcPr>
            <w:tcW w:w="7250" w:type="dxa"/>
            <w:gridSpan w:val="2"/>
            <w:tcBorders>
              <w:bottom w:val="single" w:sz="8" w:space="0" w:color="auto"/>
            </w:tcBorders>
          </w:tcPr>
          <w:p w14:paraId="5DEA9064" w14:textId="77777777" w:rsidR="00AE2255" w:rsidRDefault="00000000">
            <w:pPr>
              <w:pStyle w:val="TableParagraph"/>
              <w:spacing w:before="0" w:line="221" w:lineRule="exact"/>
              <w:ind w:right="190"/>
              <w:rPr>
                <w:b/>
                <w:sz w:val="20"/>
              </w:rPr>
            </w:pPr>
            <w:r>
              <w:rPr>
                <w:b/>
                <w:spacing w:val="-4"/>
                <w:sz w:val="20"/>
              </w:rPr>
              <w:t>2022</w:t>
            </w:r>
          </w:p>
        </w:tc>
        <w:tc>
          <w:tcPr>
            <w:tcW w:w="1607" w:type="dxa"/>
            <w:tcBorders>
              <w:bottom w:val="single" w:sz="8" w:space="0" w:color="auto"/>
            </w:tcBorders>
          </w:tcPr>
          <w:p w14:paraId="0AB22605" w14:textId="77777777" w:rsidR="00AE2255" w:rsidRDefault="00000000">
            <w:pPr>
              <w:pStyle w:val="TableParagraph"/>
              <w:spacing w:before="0" w:line="221" w:lineRule="exact"/>
              <w:ind w:left="982"/>
              <w:jc w:val="left"/>
              <w:rPr>
                <w:b/>
                <w:sz w:val="20"/>
              </w:rPr>
            </w:pPr>
            <w:r>
              <w:rPr>
                <w:b/>
                <w:spacing w:val="-4"/>
                <w:sz w:val="20"/>
              </w:rPr>
              <w:t>2021</w:t>
            </w:r>
          </w:p>
        </w:tc>
        <w:tc>
          <w:tcPr>
            <w:tcW w:w="1406" w:type="dxa"/>
            <w:tcBorders>
              <w:bottom w:val="single" w:sz="8" w:space="0" w:color="auto"/>
            </w:tcBorders>
          </w:tcPr>
          <w:p w14:paraId="6F69518D" w14:textId="77777777" w:rsidR="00AE2255" w:rsidRDefault="00000000">
            <w:pPr>
              <w:pStyle w:val="TableParagraph"/>
              <w:spacing w:before="0" w:line="221" w:lineRule="exact"/>
              <w:ind w:right="53"/>
              <w:rPr>
                <w:b/>
                <w:sz w:val="20"/>
              </w:rPr>
            </w:pPr>
            <w:r>
              <w:rPr>
                <w:b/>
                <w:spacing w:val="-4"/>
                <w:sz w:val="20"/>
              </w:rPr>
              <w:t>2020</w:t>
            </w:r>
          </w:p>
        </w:tc>
      </w:tr>
      <w:tr w:rsidR="00AE2255" w14:paraId="1BB58257" w14:textId="77777777">
        <w:trPr>
          <w:trHeight w:val="275"/>
        </w:trPr>
        <w:tc>
          <w:tcPr>
            <w:tcW w:w="7250" w:type="dxa"/>
            <w:gridSpan w:val="2"/>
            <w:tcBorders>
              <w:top w:val="single" w:sz="8" w:space="0" w:color="CCEDFF"/>
            </w:tcBorders>
            <w:shd w:val="clear" w:color="auto" w:fill="CCEDFF"/>
          </w:tcPr>
          <w:p w14:paraId="2C51F21C" w14:textId="77777777" w:rsidR="00AE2255" w:rsidRDefault="00000000">
            <w:pPr>
              <w:pStyle w:val="TableParagraph"/>
              <w:tabs>
                <w:tab w:val="left" w:pos="6127"/>
                <w:tab w:val="left" w:pos="6578"/>
              </w:tabs>
              <w:spacing w:before="17"/>
              <w:ind w:left="52"/>
              <w:jc w:val="left"/>
              <w:rPr>
                <w:b/>
                <w:sz w:val="20"/>
              </w:rPr>
            </w:pPr>
            <w:r>
              <w:rPr>
                <w:sz w:val="20"/>
              </w:rPr>
              <w:t>Cash</w:t>
            </w:r>
            <w:r>
              <w:rPr>
                <w:spacing w:val="-2"/>
                <w:sz w:val="20"/>
              </w:rPr>
              <w:t xml:space="preserve"> </w:t>
            </w:r>
            <w:r>
              <w:rPr>
                <w:sz w:val="20"/>
              </w:rPr>
              <w:t>from</w:t>
            </w:r>
            <w:r>
              <w:rPr>
                <w:spacing w:val="-2"/>
                <w:sz w:val="20"/>
              </w:rPr>
              <w:t xml:space="preserve"> operations</w:t>
            </w:r>
            <w:r>
              <w:rPr>
                <w:sz w:val="20"/>
              </w:rPr>
              <w:tab/>
            </w:r>
            <w:r>
              <w:rPr>
                <w:b/>
                <w:spacing w:val="-10"/>
                <w:sz w:val="20"/>
              </w:rPr>
              <w:t>$</w:t>
            </w:r>
            <w:r>
              <w:rPr>
                <w:b/>
                <w:sz w:val="20"/>
              </w:rPr>
              <w:tab/>
            </w:r>
            <w:r>
              <w:rPr>
                <w:b/>
                <w:spacing w:val="-2"/>
                <w:sz w:val="20"/>
              </w:rPr>
              <w:t>7,802</w:t>
            </w:r>
          </w:p>
        </w:tc>
        <w:tc>
          <w:tcPr>
            <w:tcW w:w="1607" w:type="dxa"/>
            <w:tcBorders>
              <w:top w:val="single" w:sz="8" w:space="0" w:color="CCEDFF"/>
            </w:tcBorders>
            <w:shd w:val="clear" w:color="auto" w:fill="CCEDFF"/>
          </w:tcPr>
          <w:p w14:paraId="5EC1F5EF" w14:textId="77777777" w:rsidR="00AE2255" w:rsidRDefault="00000000">
            <w:pPr>
              <w:pStyle w:val="TableParagraph"/>
              <w:tabs>
                <w:tab w:val="left" w:pos="903"/>
              </w:tabs>
              <w:spacing w:before="15"/>
              <w:ind w:left="452"/>
              <w:jc w:val="left"/>
              <w:rPr>
                <w:sz w:val="20"/>
              </w:rPr>
            </w:pPr>
            <w:r>
              <w:rPr>
                <w:spacing w:val="-10"/>
                <w:sz w:val="20"/>
              </w:rPr>
              <w:t>$</w:t>
            </w:r>
            <w:r>
              <w:rPr>
                <w:sz w:val="20"/>
              </w:rPr>
              <w:tab/>
            </w:r>
            <w:r>
              <w:rPr>
                <w:spacing w:val="-2"/>
                <w:sz w:val="20"/>
              </w:rPr>
              <w:t>9,221</w:t>
            </w:r>
          </w:p>
        </w:tc>
        <w:tc>
          <w:tcPr>
            <w:tcW w:w="1406" w:type="dxa"/>
            <w:tcBorders>
              <w:top w:val="single" w:sz="8" w:space="0" w:color="CCEDFF"/>
            </w:tcBorders>
            <w:shd w:val="clear" w:color="auto" w:fill="CCEDFF"/>
          </w:tcPr>
          <w:p w14:paraId="5204C2E4" w14:textId="77777777" w:rsidR="00AE2255" w:rsidRDefault="00000000">
            <w:pPr>
              <w:pStyle w:val="TableParagraph"/>
              <w:tabs>
                <w:tab w:val="left" w:pos="450"/>
              </w:tabs>
              <w:spacing w:before="15"/>
              <w:ind w:right="82"/>
              <w:rPr>
                <w:sz w:val="20"/>
              </w:rPr>
            </w:pPr>
            <w:r>
              <w:rPr>
                <w:spacing w:val="-10"/>
                <w:sz w:val="20"/>
              </w:rPr>
              <w:t>$</w:t>
            </w:r>
            <w:r>
              <w:rPr>
                <w:sz w:val="20"/>
              </w:rPr>
              <w:tab/>
            </w:r>
            <w:r>
              <w:rPr>
                <w:spacing w:val="-2"/>
                <w:sz w:val="20"/>
              </w:rPr>
              <w:t>8,183</w:t>
            </w:r>
          </w:p>
        </w:tc>
      </w:tr>
      <w:tr w:rsidR="00AE2255" w14:paraId="2C349BBB" w14:textId="77777777">
        <w:trPr>
          <w:trHeight w:val="275"/>
        </w:trPr>
        <w:tc>
          <w:tcPr>
            <w:tcW w:w="2013" w:type="dxa"/>
            <w:tcBorders>
              <w:bottom w:val="single" w:sz="8" w:space="0" w:color="auto"/>
            </w:tcBorders>
          </w:tcPr>
          <w:p w14:paraId="1D561175" w14:textId="77777777" w:rsidR="00AE2255" w:rsidRDefault="00000000">
            <w:pPr>
              <w:pStyle w:val="TableParagraph"/>
              <w:spacing w:before="27" w:line="228" w:lineRule="exact"/>
              <w:ind w:left="292"/>
              <w:jc w:val="left"/>
              <w:rPr>
                <w:sz w:val="20"/>
              </w:rPr>
            </w:pPr>
            <w:r>
              <w:rPr>
                <w:sz w:val="20"/>
              </w:rPr>
              <w:t>Capital</w:t>
            </w:r>
            <w:r>
              <w:rPr>
                <w:spacing w:val="-6"/>
                <w:sz w:val="20"/>
              </w:rPr>
              <w:t xml:space="preserve"> </w:t>
            </w:r>
            <w:r>
              <w:rPr>
                <w:spacing w:val="-2"/>
                <w:sz w:val="20"/>
              </w:rPr>
              <w:t>expenditures</w:t>
            </w:r>
          </w:p>
        </w:tc>
        <w:tc>
          <w:tcPr>
            <w:tcW w:w="5237" w:type="dxa"/>
            <w:tcBorders>
              <w:bottom w:val="single" w:sz="8" w:space="0" w:color="auto"/>
            </w:tcBorders>
          </w:tcPr>
          <w:p w14:paraId="09E884C8" w14:textId="77777777" w:rsidR="00AE2255" w:rsidRDefault="00000000">
            <w:pPr>
              <w:pStyle w:val="TableParagraph"/>
              <w:spacing w:line="230" w:lineRule="exact"/>
              <w:ind w:right="154"/>
              <w:rPr>
                <w:b/>
                <w:sz w:val="20"/>
              </w:rPr>
            </w:pPr>
            <w:r>
              <w:rPr>
                <w:b/>
                <w:spacing w:val="-2"/>
                <w:sz w:val="20"/>
              </w:rPr>
              <w:t>(1,670)</w:t>
            </w:r>
          </w:p>
        </w:tc>
        <w:tc>
          <w:tcPr>
            <w:tcW w:w="1607" w:type="dxa"/>
            <w:tcBorders>
              <w:bottom w:val="single" w:sz="8" w:space="0" w:color="auto"/>
            </w:tcBorders>
          </w:tcPr>
          <w:p w14:paraId="383AA6E0" w14:textId="77777777" w:rsidR="00AE2255" w:rsidRDefault="00000000">
            <w:pPr>
              <w:pStyle w:val="TableParagraph"/>
              <w:spacing w:line="230" w:lineRule="exact"/>
              <w:ind w:left="836"/>
              <w:jc w:val="left"/>
              <w:rPr>
                <w:sz w:val="20"/>
              </w:rPr>
            </w:pPr>
            <w:r>
              <w:rPr>
                <w:spacing w:val="-2"/>
                <w:sz w:val="20"/>
              </w:rPr>
              <w:t>(1,522)</w:t>
            </w:r>
          </w:p>
        </w:tc>
        <w:tc>
          <w:tcPr>
            <w:tcW w:w="1406" w:type="dxa"/>
            <w:tcBorders>
              <w:bottom w:val="single" w:sz="8" w:space="0" w:color="auto"/>
            </w:tcBorders>
          </w:tcPr>
          <w:p w14:paraId="3D20BE62" w14:textId="77777777" w:rsidR="00AE2255" w:rsidRDefault="00000000">
            <w:pPr>
              <w:pStyle w:val="TableParagraph"/>
              <w:spacing w:line="230" w:lineRule="exact"/>
              <w:ind w:right="17"/>
              <w:rPr>
                <w:sz w:val="20"/>
              </w:rPr>
            </w:pPr>
            <w:r>
              <w:rPr>
                <w:spacing w:val="-2"/>
                <w:sz w:val="20"/>
              </w:rPr>
              <w:t>(1,766)</w:t>
            </w:r>
          </w:p>
        </w:tc>
      </w:tr>
      <w:tr w:rsidR="00AE2255" w14:paraId="62F3032A" w14:textId="77777777">
        <w:trPr>
          <w:trHeight w:val="252"/>
        </w:trPr>
        <w:tc>
          <w:tcPr>
            <w:tcW w:w="2013" w:type="dxa"/>
            <w:tcBorders>
              <w:top w:val="single" w:sz="8" w:space="0" w:color="CCEDFF"/>
              <w:bottom w:val="single" w:sz="18" w:space="0" w:color="CCEDFF"/>
            </w:tcBorders>
            <w:shd w:val="clear" w:color="auto" w:fill="CCEDFF"/>
          </w:tcPr>
          <w:p w14:paraId="79471E83" w14:textId="77777777" w:rsidR="00AE2255" w:rsidRDefault="00000000">
            <w:pPr>
              <w:pStyle w:val="TableParagraph"/>
              <w:spacing w:before="17" w:line="216" w:lineRule="exact"/>
              <w:ind w:left="52"/>
              <w:jc w:val="left"/>
              <w:rPr>
                <w:sz w:val="20"/>
              </w:rPr>
            </w:pPr>
            <w:r>
              <w:rPr>
                <w:sz w:val="20"/>
              </w:rPr>
              <w:t>Free</w:t>
            </w:r>
            <w:r>
              <w:rPr>
                <w:spacing w:val="-4"/>
                <w:sz w:val="20"/>
              </w:rPr>
              <w:t xml:space="preserve"> </w:t>
            </w:r>
            <w:r>
              <w:rPr>
                <w:sz w:val="20"/>
              </w:rPr>
              <w:t>cash</w:t>
            </w:r>
            <w:r>
              <w:rPr>
                <w:spacing w:val="-2"/>
                <w:sz w:val="20"/>
              </w:rPr>
              <w:t xml:space="preserve"> </w:t>
            </w:r>
            <w:r>
              <w:rPr>
                <w:spacing w:val="-4"/>
                <w:sz w:val="20"/>
              </w:rPr>
              <w:t>flow</w:t>
            </w:r>
          </w:p>
        </w:tc>
        <w:tc>
          <w:tcPr>
            <w:tcW w:w="5237" w:type="dxa"/>
            <w:tcBorders>
              <w:top w:val="single" w:sz="8" w:space="0" w:color="CCEDFF"/>
              <w:bottom w:val="single" w:sz="18" w:space="0" w:color="CCEDFF"/>
            </w:tcBorders>
            <w:shd w:val="clear" w:color="auto" w:fill="CCEDFF"/>
          </w:tcPr>
          <w:p w14:paraId="386A6FAB" w14:textId="77777777" w:rsidR="00AE2255" w:rsidRDefault="00000000">
            <w:pPr>
              <w:pStyle w:val="TableParagraph"/>
              <w:tabs>
                <w:tab w:val="left" w:pos="450"/>
              </w:tabs>
              <w:spacing w:before="15" w:line="217" w:lineRule="exact"/>
              <w:ind w:right="219"/>
              <w:rPr>
                <w:b/>
                <w:sz w:val="20"/>
              </w:rPr>
            </w:pPr>
            <w:r>
              <w:rPr>
                <w:b/>
                <w:spacing w:val="-10"/>
                <w:sz w:val="20"/>
              </w:rPr>
              <w:t>$</w:t>
            </w:r>
            <w:r>
              <w:rPr>
                <w:b/>
                <w:sz w:val="20"/>
              </w:rPr>
              <w:tab/>
            </w:r>
            <w:r>
              <w:rPr>
                <w:b/>
                <w:spacing w:val="-2"/>
                <w:sz w:val="20"/>
              </w:rPr>
              <w:t>6,132</w:t>
            </w:r>
          </w:p>
        </w:tc>
        <w:tc>
          <w:tcPr>
            <w:tcW w:w="1607" w:type="dxa"/>
            <w:tcBorders>
              <w:top w:val="single" w:sz="8" w:space="0" w:color="CCEDFF"/>
              <w:bottom w:val="single" w:sz="18" w:space="0" w:color="CCEDFF"/>
            </w:tcBorders>
            <w:shd w:val="clear" w:color="auto" w:fill="CCEDFF"/>
          </w:tcPr>
          <w:p w14:paraId="664AB222" w14:textId="77777777" w:rsidR="00AE2255" w:rsidRDefault="00000000">
            <w:pPr>
              <w:pStyle w:val="TableParagraph"/>
              <w:tabs>
                <w:tab w:val="left" w:pos="903"/>
              </w:tabs>
              <w:spacing w:before="15" w:line="217" w:lineRule="exact"/>
              <w:ind w:left="452"/>
              <w:jc w:val="left"/>
              <w:rPr>
                <w:sz w:val="20"/>
              </w:rPr>
            </w:pPr>
            <w:r>
              <w:rPr>
                <w:spacing w:val="-10"/>
                <w:sz w:val="20"/>
              </w:rPr>
              <w:t>$</w:t>
            </w:r>
            <w:r>
              <w:rPr>
                <w:sz w:val="20"/>
              </w:rPr>
              <w:tab/>
            </w:r>
            <w:r>
              <w:rPr>
                <w:spacing w:val="-2"/>
                <w:sz w:val="20"/>
              </w:rPr>
              <w:t>7,699</w:t>
            </w:r>
          </w:p>
        </w:tc>
        <w:tc>
          <w:tcPr>
            <w:tcW w:w="1406" w:type="dxa"/>
            <w:tcBorders>
              <w:top w:val="single" w:sz="8" w:space="0" w:color="CCEDFF"/>
              <w:bottom w:val="single" w:sz="18" w:space="0" w:color="CCEDFF"/>
            </w:tcBorders>
            <w:shd w:val="clear" w:color="auto" w:fill="CCEDFF"/>
          </w:tcPr>
          <w:p w14:paraId="5AA0B956" w14:textId="77777777" w:rsidR="00AE2255" w:rsidRDefault="00000000">
            <w:pPr>
              <w:pStyle w:val="TableParagraph"/>
              <w:tabs>
                <w:tab w:val="left" w:pos="450"/>
              </w:tabs>
              <w:spacing w:before="15" w:line="217" w:lineRule="exact"/>
              <w:ind w:right="82"/>
              <w:rPr>
                <w:sz w:val="20"/>
              </w:rPr>
            </w:pPr>
            <w:r>
              <w:rPr>
                <w:spacing w:val="-10"/>
                <w:sz w:val="20"/>
              </w:rPr>
              <w:t>$</w:t>
            </w:r>
            <w:r>
              <w:rPr>
                <w:sz w:val="20"/>
              </w:rPr>
              <w:tab/>
            </w:r>
            <w:r>
              <w:rPr>
                <w:spacing w:val="-2"/>
                <w:sz w:val="20"/>
              </w:rPr>
              <w:t>6,417</w:t>
            </w:r>
          </w:p>
        </w:tc>
      </w:tr>
      <w:tr w:rsidR="00AE2255" w14:paraId="5E531F0C" w14:textId="77777777">
        <w:trPr>
          <w:trHeight w:val="899"/>
        </w:trPr>
        <w:tc>
          <w:tcPr>
            <w:tcW w:w="2013" w:type="dxa"/>
            <w:tcBorders>
              <w:top w:val="single" w:sz="18" w:space="0" w:color="auto"/>
            </w:tcBorders>
          </w:tcPr>
          <w:p w14:paraId="1FCD43D1" w14:textId="77777777" w:rsidR="00AE2255" w:rsidRDefault="00AE2255">
            <w:pPr>
              <w:pStyle w:val="TableParagraph"/>
              <w:spacing w:before="7"/>
              <w:jc w:val="left"/>
              <w:rPr>
                <w:sz w:val="19"/>
              </w:rPr>
            </w:pPr>
          </w:p>
          <w:p w14:paraId="20AF6F6F" w14:textId="77777777" w:rsidR="00AE2255" w:rsidRDefault="00000000">
            <w:pPr>
              <w:pStyle w:val="TableParagraph"/>
              <w:spacing w:before="0"/>
              <w:jc w:val="left"/>
              <w:rPr>
                <w:b/>
                <w:sz w:val="20"/>
              </w:rPr>
            </w:pPr>
            <w:r>
              <w:rPr>
                <w:b/>
                <w:sz w:val="20"/>
              </w:rPr>
              <w:t>Investing</w:t>
            </w:r>
            <w:r>
              <w:rPr>
                <w:b/>
                <w:spacing w:val="-6"/>
                <w:sz w:val="20"/>
              </w:rPr>
              <w:t xml:space="preserve"> </w:t>
            </w:r>
            <w:r>
              <w:rPr>
                <w:b/>
                <w:spacing w:val="-2"/>
                <w:sz w:val="20"/>
              </w:rPr>
              <w:t>Activities</w:t>
            </w:r>
          </w:p>
          <w:p w14:paraId="0552CC3F" w14:textId="77777777" w:rsidR="00AE2255" w:rsidRDefault="00AE2255">
            <w:pPr>
              <w:pStyle w:val="TableParagraph"/>
              <w:spacing w:before="6"/>
              <w:jc w:val="left"/>
              <w:rPr>
                <w:sz w:val="18"/>
              </w:rPr>
            </w:pPr>
          </w:p>
          <w:p w14:paraId="547234F9" w14:textId="77777777" w:rsidR="00AE2255" w:rsidRDefault="00000000">
            <w:pPr>
              <w:pStyle w:val="TableParagraph"/>
              <w:spacing w:before="1" w:line="210" w:lineRule="exact"/>
              <w:ind w:left="360"/>
              <w:jc w:val="left"/>
              <w:rPr>
                <w:sz w:val="20"/>
              </w:rPr>
            </w:pPr>
            <w:r>
              <w:rPr>
                <w:sz w:val="20"/>
              </w:rPr>
              <w:t>Cash</w:t>
            </w:r>
            <w:r>
              <w:rPr>
                <w:spacing w:val="53"/>
                <w:sz w:val="20"/>
              </w:rPr>
              <w:t xml:space="preserve"> </w:t>
            </w:r>
            <w:r>
              <w:rPr>
                <w:sz w:val="20"/>
              </w:rPr>
              <w:t>flows</w:t>
            </w:r>
            <w:r>
              <w:rPr>
                <w:spacing w:val="54"/>
                <w:sz w:val="20"/>
              </w:rPr>
              <w:t xml:space="preserve"> </w:t>
            </w:r>
            <w:r>
              <w:rPr>
                <w:spacing w:val="-2"/>
                <w:sz w:val="20"/>
              </w:rPr>
              <w:t>related</w:t>
            </w:r>
          </w:p>
        </w:tc>
        <w:tc>
          <w:tcPr>
            <w:tcW w:w="5237" w:type="dxa"/>
            <w:tcBorders>
              <w:top w:val="single" w:sz="18" w:space="0" w:color="auto"/>
            </w:tcBorders>
          </w:tcPr>
          <w:p w14:paraId="3C67151D" w14:textId="77777777" w:rsidR="00AE2255" w:rsidRDefault="00AE2255">
            <w:pPr>
              <w:pStyle w:val="TableParagraph"/>
              <w:spacing w:before="0"/>
              <w:jc w:val="left"/>
            </w:pPr>
          </w:p>
          <w:p w14:paraId="59A1DF83" w14:textId="77777777" w:rsidR="00AE2255" w:rsidRDefault="00AE2255">
            <w:pPr>
              <w:pStyle w:val="TableParagraph"/>
              <w:spacing w:before="0"/>
              <w:jc w:val="left"/>
            </w:pPr>
          </w:p>
          <w:p w14:paraId="32088699" w14:textId="77777777" w:rsidR="00AE2255" w:rsidRDefault="00000000">
            <w:pPr>
              <w:pStyle w:val="TableParagraph"/>
              <w:spacing w:before="163" w:line="210" w:lineRule="exact"/>
              <w:ind w:right="52"/>
              <w:rPr>
                <w:sz w:val="20"/>
              </w:rPr>
            </w:pPr>
            <w:r>
              <w:rPr>
                <w:sz w:val="20"/>
              </w:rPr>
              <w:t>to</w:t>
            </w:r>
            <w:r>
              <w:rPr>
                <w:spacing w:val="51"/>
                <w:sz w:val="20"/>
              </w:rPr>
              <w:t xml:space="preserve"> </w:t>
            </w:r>
            <w:r>
              <w:rPr>
                <w:sz w:val="20"/>
              </w:rPr>
              <w:t>investing</w:t>
            </w:r>
            <w:r>
              <w:rPr>
                <w:spacing w:val="52"/>
                <w:sz w:val="20"/>
              </w:rPr>
              <w:t xml:space="preserve"> </w:t>
            </w:r>
            <w:r>
              <w:rPr>
                <w:sz w:val="20"/>
              </w:rPr>
              <w:t>activities</w:t>
            </w:r>
            <w:r>
              <w:rPr>
                <w:spacing w:val="51"/>
                <w:sz w:val="20"/>
              </w:rPr>
              <w:t xml:space="preserve"> </w:t>
            </w:r>
            <w:r>
              <w:rPr>
                <w:sz w:val="20"/>
              </w:rPr>
              <w:t>primarily</w:t>
            </w:r>
            <w:r>
              <w:rPr>
                <w:spacing w:val="52"/>
                <w:sz w:val="20"/>
              </w:rPr>
              <w:t xml:space="preserve"> </w:t>
            </w:r>
            <w:r>
              <w:rPr>
                <w:sz w:val="20"/>
              </w:rPr>
              <w:t>include</w:t>
            </w:r>
            <w:r>
              <w:rPr>
                <w:spacing w:val="51"/>
                <w:sz w:val="20"/>
              </w:rPr>
              <w:t xml:space="preserve"> </w:t>
            </w:r>
            <w:r>
              <w:rPr>
                <w:sz w:val="20"/>
              </w:rPr>
              <w:t>capital</w:t>
            </w:r>
            <w:r>
              <w:rPr>
                <w:spacing w:val="52"/>
                <w:sz w:val="20"/>
              </w:rPr>
              <w:t xml:space="preserve"> </w:t>
            </w:r>
            <w:r>
              <w:rPr>
                <w:spacing w:val="-2"/>
                <w:sz w:val="20"/>
              </w:rPr>
              <w:t>expenditures</w:t>
            </w:r>
          </w:p>
        </w:tc>
        <w:tc>
          <w:tcPr>
            <w:tcW w:w="1607" w:type="dxa"/>
            <w:tcBorders>
              <w:top w:val="single" w:sz="18" w:space="0" w:color="auto"/>
            </w:tcBorders>
          </w:tcPr>
          <w:p w14:paraId="0C20658A" w14:textId="77777777" w:rsidR="00AE2255" w:rsidRDefault="00AE2255">
            <w:pPr>
              <w:pStyle w:val="TableParagraph"/>
              <w:spacing w:before="0"/>
              <w:jc w:val="left"/>
            </w:pPr>
          </w:p>
          <w:p w14:paraId="51E41D53" w14:textId="77777777" w:rsidR="00AE2255" w:rsidRDefault="00AE2255">
            <w:pPr>
              <w:pStyle w:val="TableParagraph"/>
              <w:spacing w:before="0"/>
              <w:jc w:val="left"/>
            </w:pPr>
          </w:p>
          <w:p w14:paraId="3745C9DA" w14:textId="77777777" w:rsidR="00AE2255" w:rsidRDefault="00000000">
            <w:pPr>
              <w:pStyle w:val="TableParagraph"/>
              <w:spacing w:before="163" w:line="210" w:lineRule="exact"/>
              <w:ind w:left="52"/>
              <w:jc w:val="left"/>
              <w:rPr>
                <w:sz w:val="20"/>
              </w:rPr>
            </w:pPr>
            <w:r>
              <w:rPr>
                <w:sz w:val="20"/>
              </w:rPr>
              <w:t>and</w:t>
            </w:r>
            <w:r>
              <w:rPr>
                <w:spacing w:val="53"/>
                <w:sz w:val="20"/>
              </w:rPr>
              <w:t xml:space="preserve"> </w:t>
            </w:r>
            <w:r>
              <w:rPr>
                <w:sz w:val="20"/>
              </w:rPr>
              <w:t>payments</w:t>
            </w:r>
            <w:r>
              <w:rPr>
                <w:spacing w:val="54"/>
                <w:sz w:val="20"/>
              </w:rPr>
              <w:t xml:space="preserve"> </w:t>
            </w:r>
            <w:r>
              <w:rPr>
                <w:spacing w:val="-5"/>
                <w:sz w:val="20"/>
              </w:rPr>
              <w:t>for</w:t>
            </w:r>
          </w:p>
        </w:tc>
        <w:tc>
          <w:tcPr>
            <w:tcW w:w="1406" w:type="dxa"/>
            <w:tcBorders>
              <w:top w:val="single" w:sz="18" w:space="0" w:color="auto"/>
            </w:tcBorders>
          </w:tcPr>
          <w:p w14:paraId="0B5D7BBA" w14:textId="77777777" w:rsidR="00AE2255" w:rsidRDefault="00AE2255">
            <w:pPr>
              <w:pStyle w:val="TableParagraph"/>
              <w:spacing w:before="0"/>
              <w:jc w:val="left"/>
            </w:pPr>
          </w:p>
          <w:p w14:paraId="1C6045A5" w14:textId="77777777" w:rsidR="00AE2255" w:rsidRDefault="00AE2255">
            <w:pPr>
              <w:pStyle w:val="TableParagraph"/>
              <w:spacing w:before="0"/>
              <w:jc w:val="left"/>
            </w:pPr>
          </w:p>
          <w:p w14:paraId="345C91D3" w14:textId="77777777" w:rsidR="00AE2255" w:rsidRDefault="00000000">
            <w:pPr>
              <w:pStyle w:val="TableParagraph"/>
              <w:spacing w:before="163" w:line="210" w:lineRule="exact"/>
              <w:ind w:right="3"/>
              <w:rPr>
                <w:sz w:val="20"/>
              </w:rPr>
            </w:pPr>
            <w:r>
              <w:rPr>
                <w:sz w:val="20"/>
              </w:rPr>
              <w:t>acquisitions</w:t>
            </w:r>
            <w:r>
              <w:rPr>
                <w:spacing w:val="47"/>
                <w:sz w:val="20"/>
              </w:rPr>
              <w:t xml:space="preserve"> </w:t>
            </w:r>
            <w:r>
              <w:rPr>
                <w:spacing w:val="-5"/>
                <w:sz w:val="20"/>
              </w:rPr>
              <w:t>and</w:t>
            </w:r>
          </w:p>
        </w:tc>
      </w:tr>
    </w:tbl>
    <w:p w14:paraId="35DAEF91" w14:textId="77777777" w:rsidR="00AE2255" w:rsidRDefault="00000000">
      <w:pPr>
        <w:pStyle w:val="BodyText"/>
        <w:spacing w:before="11" w:line="249" w:lineRule="auto"/>
        <w:ind w:left="610" w:right="429"/>
        <w:jc w:val="both"/>
      </w:pPr>
      <w:r>
        <w:t xml:space="preserve">divestitures of businesses and investments. </w:t>
      </w:r>
      <w:proofErr w:type="gramStart"/>
      <w:r>
        <w:t>The majority of</w:t>
      </w:r>
      <w:proofErr w:type="gramEnd"/>
      <w:r>
        <w:t xml:space="preserve"> our capital expenditures are for equipment and facilities infrastructure that generally are incurred to support new and existing programs across all of our business segments. We also incur capital expenditures for information technology to support programs and general enterprise information technology infrastructure, inclusive of costs for the development or purchase of internal-use software.</w:t>
      </w:r>
    </w:p>
    <w:p w14:paraId="2B257035" w14:textId="77777777" w:rsidR="00AE2255" w:rsidRDefault="00AE2255">
      <w:pPr>
        <w:pStyle w:val="BodyText"/>
        <w:spacing w:before="7"/>
        <w:rPr>
          <w:sz w:val="17"/>
        </w:rPr>
      </w:pPr>
    </w:p>
    <w:p w14:paraId="564E759F" w14:textId="77777777" w:rsidR="00AE2255" w:rsidRDefault="00000000">
      <w:pPr>
        <w:pStyle w:val="BodyText"/>
        <w:spacing w:before="1" w:line="249" w:lineRule="auto"/>
        <w:ind w:left="610" w:right="428" w:firstLine="360"/>
        <w:jc w:val="both"/>
      </w:pPr>
      <w:r>
        <w:t>Net cash used for investing activities increased $628 million in 2022 compared to 2021. The increase in cash used for investing activities is due to an increase in capital expenditures and the receipt of $307 million in 2021 from the sale of our ownership interest in the Advanced Military Maintenance, Repair and Overhaul Center (AMMROC) joint venture. Capital expenditures totaled $1.7 billion and $1.5 billion in 2022 and 2021.</w:t>
      </w:r>
    </w:p>
    <w:p w14:paraId="1B0342D5" w14:textId="77777777" w:rsidR="00AE2255" w:rsidRDefault="00AE2255">
      <w:pPr>
        <w:pStyle w:val="BodyText"/>
        <w:spacing w:before="4"/>
        <w:rPr>
          <w:sz w:val="17"/>
        </w:rPr>
      </w:pPr>
    </w:p>
    <w:p w14:paraId="6727B8B2" w14:textId="77777777" w:rsidR="00AE2255" w:rsidRDefault="00000000">
      <w:pPr>
        <w:pStyle w:val="Heading2"/>
      </w:pPr>
      <w:r>
        <w:t>Financing</w:t>
      </w:r>
      <w:r>
        <w:rPr>
          <w:spacing w:val="-7"/>
        </w:rPr>
        <w:t xml:space="preserve"> </w:t>
      </w:r>
      <w:r>
        <w:rPr>
          <w:spacing w:val="-2"/>
        </w:rPr>
        <w:t>Activities</w:t>
      </w:r>
    </w:p>
    <w:p w14:paraId="79E58444" w14:textId="77777777" w:rsidR="00AE2255" w:rsidRDefault="00AE2255">
      <w:pPr>
        <w:pStyle w:val="BodyText"/>
        <w:spacing w:before="6"/>
        <w:rPr>
          <w:b/>
          <w:sz w:val="18"/>
        </w:rPr>
      </w:pPr>
    </w:p>
    <w:p w14:paraId="75100B5A" w14:textId="77777777" w:rsidR="00AE2255" w:rsidRDefault="00000000">
      <w:pPr>
        <w:pStyle w:val="BodyText"/>
        <w:ind w:left="970"/>
      </w:pPr>
      <w:r>
        <w:t>Net</w:t>
      </w:r>
      <w:r>
        <w:rPr>
          <w:spacing w:val="15"/>
        </w:rPr>
        <w:t xml:space="preserve"> </w:t>
      </w:r>
      <w:r>
        <w:t>cash</w:t>
      </w:r>
      <w:r>
        <w:rPr>
          <w:spacing w:val="17"/>
        </w:rPr>
        <w:t xml:space="preserve"> </w:t>
      </w:r>
      <w:r>
        <w:t>used</w:t>
      </w:r>
      <w:r>
        <w:rPr>
          <w:spacing w:val="18"/>
        </w:rPr>
        <w:t xml:space="preserve"> </w:t>
      </w:r>
      <w:r>
        <w:t>for</w:t>
      </w:r>
      <w:r>
        <w:rPr>
          <w:spacing w:val="17"/>
        </w:rPr>
        <w:t xml:space="preserve"> </w:t>
      </w:r>
      <w:r>
        <w:t>financing</w:t>
      </w:r>
      <w:r>
        <w:rPr>
          <w:spacing w:val="18"/>
        </w:rPr>
        <w:t xml:space="preserve"> </w:t>
      </w:r>
      <w:r>
        <w:t>activities</w:t>
      </w:r>
      <w:r>
        <w:rPr>
          <w:spacing w:val="17"/>
        </w:rPr>
        <w:t xml:space="preserve"> </w:t>
      </w:r>
      <w:r>
        <w:t>decreased</w:t>
      </w:r>
      <w:r>
        <w:rPr>
          <w:spacing w:val="18"/>
        </w:rPr>
        <w:t xml:space="preserve"> </w:t>
      </w:r>
      <w:r>
        <w:t>$546</w:t>
      </w:r>
      <w:r>
        <w:rPr>
          <w:spacing w:val="17"/>
        </w:rPr>
        <w:t xml:space="preserve"> </w:t>
      </w:r>
      <w:r>
        <w:t>million</w:t>
      </w:r>
      <w:r>
        <w:rPr>
          <w:spacing w:val="18"/>
        </w:rPr>
        <w:t xml:space="preserve"> </w:t>
      </w:r>
      <w:r>
        <w:t>in</w:t>
      </w:r>
      <w:r>
        <w:rPr>
          <w:spacing w:val="17"/>
        </w:rPr>
        <w:t xml:space="preserve"> </w:t>
      </w:r>
      <w:r>
        <w:t>2022</w:t>
      </w:r>
      <w:r>
        <w:rPr>
          <w:spacing w:val="17"/>
        </w:rPr>
        <w:t xml:space="preserve"> </w:t>
      </w:r>
      <w:r>
        <w:t>compared</w:t>
      </w:r>
      <w:r>
        <w:rPr>
          <w:spacing w:val="18"/>
        </w:rPr>
        <w:t xml:space="preserve"> </w:t>
      </w:r>
      <w:r>
        <w:t>to</w:t>
      </w:r>
      <w:r>
        <w:rPr>
          <w:spacing w:val="17"/>
        </w:rPr>
        <w:t xml:space="preserve"> </w:t>
      </w:r>
      <w:r>
        <w:t>2021,</w:t>
      </w:r>
      <w:r>
        <w:rPr>
          <w:spacing w:val="18"/>
        </w:rPr>
        <w:t xml:space="preserve"> </w:t>
      </w:r>
      <w:r>
        <w:t>primarily</w:t>
      </w:r>
      <w:r>
        <w:rPr>
          <w:spacing w:val="17"/>
        </w:rPr>
        <w:t xml:space="preserve"> </w:t>
      </w:r>
      <w:r>
        <w:t>due</w:t>
      </w:r>
      <w:r>
        <w:rPr>
          <w:spacing w:val="18"/>
        </w:rPr>
        <w:t xml:space="preserve"> </w:t>
      </w:r>
      <w:r>
        <w:t>to</w:t>
      </w:r>
      <w:r>
        <w:rPr>
          <w:spacing w:val="17"/>
        </w:rPr>
        <w:t xml:space="preserve"> </w:t>
      </w:r>
      <w:r>
        <w:t>repayment</w:t>
      </w:r>
      <w:r>
        <w:rPr>
          <w:spacing w:val="18"/>
        </w:rPr>
        <w:t xml:space="preserve"> </w:t>
      </w:r>
      <w:r>
        <w:rPr>
          <w:spacing w:val="-5"/>
        </w:rPr>
        <w:t>of</w:t>
      </w:r>
    </w:p>
    <w:p w14:paraId="03907635" w14:textId="77777777" w:rsidR="00AE2255" w:rsidRDefault="00000000">
      <w:pPr>
        <w:pStyle w:val="BodyText"/>
        <w:spacing w:before="10"/>
        <w:ind w:left="610"/>
      </w:pPr>
      <w:r>
        <w:t>$500</w:t>
      </w:r>
      <w:r>
        <w:rPr>
          <w:spacing w:val="-2"/>
        </w:rPr>
        <w:t xml:space="preserve"> </w:t>
      </w:r>
      <w:r>
        <w:t>million</w:t>
      </w:r>
      <w:r>
        <w:rPr>
          <w:spacing w:val="-2"/>
        </w:rPr>
        <w:t xml:space="preserve"> </w:t>
      </w:r>
      <w:r>
        <w:t>of</w:t>
      </w:r>
      <w:r>
        <w:rPr>
          <w:spacing w:val="-2"/>
        </w:rPr>
        <w:t xml:space="preserve"> </w:t>
      </w:r>
      <w:r>
        <w:t>long-term</w:t>
      </w:r>
      <w:r>
        <w:rPr>
          <w:spacing w:val="-3"/>
        </w:rPr>
        <w:t xml:space="preserve"> </w:t>
      </w:r>
      <w:r>
        <w:t>notes</w:t>
      </w:r>
      <w:r>
        <w:rPr>
          <w:spacing w:val="-3"/>
        </w:rPr>
        <w:t xml:space="preserve"> </w:t>
      </w:r>
      <w:r>
        <w:t>in</w:t>
      </w:r>
      <w:r>
        <w:rPr>
          <w:spacing w:val="-1"/>
        </w:rPr>
        <w:t xml:space="preserve"> </w:t>
      </w:r>
      <w:r>
        <w:rPr>
          <w:spacing w:val="-2"/>
        </w:rPr>
        <w:t>2021.</w:t>
      </w:r>
    </w:p>
    <w:p w14:paraId="58138221" w14:textId="77777777" w:rsidR="00AE2255" w:rsidRDefault="00AE2255">
      <w:pPr>
        <w:pStyle w:val="BodyText"/>
        <w:spacing w:before="3"/>
        <w:rPr>
          <w:sz w:val="18"/>
        </w:rPr>
      </w:pPr>
    </w:p>
    <w:p w14:paraId="7F7412A3" w14:textId="77777777" w:rsidR="00AE2255" w:rsidRDefault="00000000">
      <w:pPr>
        <w:pStyle w:val="BodyText"/>
        <w:spacing w:line="249" w:lineRule="auto"/>
        <w:ind w:left="610" w:right="429" w:firstLine="360"/>
        <w:jc w:val="both"/>
      </w:pPr>
      <w:r>
        <w:t>We paid dividends totaling $3.0 billion ($11.40 per share) in 2022 and $2.9 billion ($10.60 per share) in 2021. We paid quarterly dividends of $2.80 per share during each of the first three quarters of 2022 and $3.00 per share during the fourth quarter of 2022. We paid quarterly dividends of $2.60 per share during each of the first three quarters of 2021 and $2.80 per share during the fourth quarter of 2021.</w:t>
      </w:r>
    </w:p>
    <w:p w14:paraId="22FBF193" w14:textId="77777777" w:rsidR="00AE2255" w:rsidRDefault="00AE2255">
      <w:pPr>
        <w:pStyle w:val="BodyText"/>
        <w:spacing w:before="8"/>
        <w:rPr>
          <w:sz w:val="17"/>
        </w:rPr>
      </w:pPr>
    </w:p>
    <w:p w14:paraId="366F5FB5" w14:textId="77777777" w:rsidR="00AE2255" w:rsidRDefault="00000000">
      <w:pPr>
        <w:pStyle w:val="BodyText"/>
        <w:spacing w:line="249" w:lineRule="auto"/>
        <w:ind w:left="610" w:right="157" w:firstLine="360"/>
      </w:pPr>
      <w:r>
        <w:t>During</w:t>
      </w:r>
      <w:r>
        <w:rPr>
          <w:spacing w:val="-3"/>
        </w:rPr>
        <w:t xml:space="preserve"> </w:t>
      </w:r>
      <w:r>
        <w:t>2022,</w:t>
      </w:r>
      <w:r>
        <w:rPr>
          <w:spacing w:val="-3"/>
        </w:rPr>
        <w:t xml:space="preserve"> </w:t>
      </w:r>
      <w:r>
        <w:t>we</w:t>
      </w:r>
      <w:r>
        <w:rPr>
          <w:spacing w:val="-3"/>
        </w:rPr>
        <w:t xml:space="preserve"> </w:t>
      </w:r>
      <w:r>
        <w:t>paid</w:t>
      </w:r>
      <w:r>
        <w:rPr>
          <w:spacing w:val="-3"/>
        </w:rPr>
        <w:t xml:space="preserve"> </w:t>
      </w:r>
      <w:r>
        <w:t>$7.9</w:t>
      </w:r>
      <w:r>
        <w:rPr>
          <w:spacing w:val="-3"/>
        </w:rPr>
        <w:t xml:space="preserve"> </w:t>
      </w:r>
      <w:r>
        <w:t>billion</w:t>
      </w:r>
      <w:r>
        <w:rPr>
          <w:spacing w:val="-3"/>
        </w:rPr>
        <w:t xml:space="preserve"> </w:t>
      </w:r>
      <w:r>
        <w:t>to</w:t>
      </w:r>
      <w:r>
        <w:rPr>
          <w:spacing w:val="-3"/>
        </w:rPr>
        <w:t xml:space="preserve"> </w:t>
      </w:r>
      <w:r>
        <w:t>repurchase</w:t>
      </w:r>
      <w:r>
        <w:rPr>
          <w:spacing w:val="-3"/>
        </w:rPr>
        <w:t xml:space="preserve"> </w:t>
      </w:r>
      <w:r>
        <w:t>18.3</w:t>
      </w:r>
      <w:r>
        <w:rPr>
          <w:spacing w:val="-3"/>
        </w:rPr>
        <w:t xml:space="preserve"> </w:t>
      </w:r>
      <w:r>
        <w:t>million</w:t>
      </w:r>
      <w:r>
        <w:rPr>
          <w:spacing w:val="-3"/>
        </w:rPr>
        <w:t xml:space="preserve"> </w:t>
      </w:r>
      <w:r>
        <w:t>shares</w:t>
      </w:r>
      <w:r>
        <w:rPr>
          <w:spacing w:val="-3"/>
        </w:rPr>
        <w:t xml:space="preserve"> </w:t>
      </w:r>
      <w:r>
        <w:t>of</w:t>
      </w:r>
      <w:r>
        <w:rPr>
          <w:spacing w:val="-3"/>
        </w:rPr>
        <w:t xml:space="preserve"> </w:t>
      </w:r>
      <w:r>
        <w:t>our</w:t>
      </w:r>
      <w:r>
        <w:rPr>
          <w:spacing w:val="-3"/>
        </w:rPr>
        <w:t xml:space="preserve"> </w:t>
      </w:r>
      <w:r>
        <w:t>common</w:t>
      </w:r>
      <w:r>
        <w:rPr>
          <w:spacing w:val="-3"/>
        </w:rPr>
        <w:t xml:space="preserve"> </w:t>
      </w:r>
      <w:r>
        <w:t>stock.</w:t>
      </w:r>
      <w:r>
        <w:rPr>
          <w:spacing w:val="-3"/>
        </w:rPr>
        <w:t xml:space="preserve"> </w:t>
      </w:r>
      <w:r>
        <w:t>See</w:t>
      </w:r>
      <w:r>
        <w:rPr>
          <w:spacing w:val="-3"/>
        </w:rPr>
        <w:t xml:space="preserve"> </w:t>
      </w:r>
      <w:r>
        <w:t>“Note</w:t>
      </w:r>
      <w:r>
        <w:rPr>
          <w:spacing w:val="-3"/>
        </w:rPr>
        <w:t xml:space="preserve"> </w:t>
      </w:r>
      <w:r>
        <w:t>12</w:t>
      </w:r>
      <w:r>
        <w:rPr>
          <w:spacing w:val="-3"/>
        </w:rPr>
        <w:t xml:space="preserve"> </w:t>
      </w:r>
      <w:r>
        <w:t>–</w:t>
      </w:r>
      <w:r>
        <w:rPr>
          <w:spacing w:val="-3"/>
        </w:rPr>
        <w:t xml:space="preserve"> </w:t>
      </w:r>
      <w:r>
        <w:t>Stockholders’ Equity” included in our Notes to Consolidated Financial Statements for additional information. During 2021, we paid</w:t>
      </w:r>
    </w:p>
    <w:p w14:paraId="69B76B48" w14:textId="77777777" w:rsidR="00AE2255" w:rsidRDefault="00000000">
      <w:pPr>
        <w:pStyle w:val="BodyText"/>
        <w:spacing w:before="2"/>
        <w:ind w:left="610"/>
      </w:pPr>
      <w:r>
        <w:t>$4.1</w:t>
      </w:r>
      <w:r>
        <w:rPr>
          <w:spacing w:val="-4"/>
        </w:rPr>
        <w:t xml:space="preserve"> </w:t>
      </w:r>
      <w:r>
        <w:t>billion</w:t>
      </w:r>
      <w:r>
        <w:rPr>
          <w:spacing w:val="-3"/>
        </w:rPr>
        <w:t xml:space="preserve"> </w:t>
      </w:r>
      <w:r>
        <w:t>to</w:t>
      </w:r>
      <w:r>
        <w:rPr>
          <w:spacing w:val="-2"/>
        </w:rPr>
        <w:t xml:space="preserve"> </w:t>
      </w:r>
      <w:r>
        <w:t>repurchase</w:t>
      </w:r>
      <w:r>
        <w:rPr>
          <w:spacing w:val="-2"/>
        </w:rPr>
        <w:t xml:space="preserve"> </w:t>
      </w:r>
      <w:r>
        <w:t>11.7</w:t>
      </w:r>
      <w:r>
        <w:rPr>
          <w:spacing w:val="-2"/>
        </w:rPr>
        <w:t xml:space="preserve"> </w:t>
      </w:r>
      <w:r>
        <w:t>million</w:t>
      </w:r>
      <w:r>
        <w:rPr>
          <w:spacing w:val="-2"/>
        </w:rPr>
        <w:t xml:space="preserve"> </w:t>
      </w:r>
      <w:r>
        <w:t>shares</w:t>
      </w:r>
      <w:r>
        <w:rPr>
          <w:spacing w:val="-3"/>
        </w:rPr>
        <w:t xml:space="preserve"> </w:t>
      </w:r>
      <w:r>
        <w:t>of</w:t>
      </w:r>
      <w:r>
        <w:rPr>
          <w:spacing w:val="-2"/>
        </w:rPr>
        <w:t xml:space="preserve"> </w:t>
      </w:r>
      <w:r>
        <w:t>our</w:t>
      </w:r>
      <w:r>
        <w:rPr>
          <w:spacing w:val="-2"/>
        </w:rPr>
        <w:t xml:space="preserve"> </w:t>
      </w:r>
      <w:r>
        <w:t>common</w:t>
      </w:r>
      <w:r>
        <w:rPr>
          <w:spacing w:val="-2"/>
        </w:rPr>
        <w:t xml:space="preserve"> stock.</w:t>
      </w:r>
    </w:p>
    <w:p w14:paraId="3C9BA2C4" w14:textId="77777777" w:rsidR="00AE2255" w:rsidRDefault="00AE2255">
      <w:pPr>
        <w:pStyle w:val="BodyText"/>
        <w:spacing w:before="3"/>
        <w:rPr>
          <w:sz w:val="18"/>
        </w:rPr>
      </w:pPr>
    </w:p>
    <w:p w14:paraId="39C00B7A" w14:textId="77777777" w:rsidR="00AE2255" w:rsidRDefault="00000000">
      <w:pPr>
        <w:pStyle w:val="BodyText"/>
        <w:spacing w:line="249" w:lineRule="auto"/>
        <w:ind w:left="610" w:right="428" w:firstLine="360"/>
        <w:jc w:val="both"/>
      </w:pPr>
      <w:r>
        <w:t>In October 2022, we received net proceeds of $3.9 billion from issuance of senior unsecured notes and used the net proceeds from the offering to enter into an ASR agreement to repurchase $4.0 billion of our common stock. See “Note 10 – Debt” included in our Notes to Consolidated Financial Statements for additional information.</w:t>
      </w:r>
    </w:p>
    <w:p w14:paraId="17850BBC" w14:textId="77777777" w:rsidR="00AE2255" w:rsidRDefault="00AE2255">
      <w:pPr>
        <w:pStyle w:val="BodyText"/>
        <w:spacing w:before="7"/>
        <w:rPr>
          <w:sz w:val="17"/>
        </w:rPr>
      </w:pPr>
    </w:p>
    <w:p w14:paraId="661FD88D" w14:textId="77777777" w:rsidR="00AE2255" w:rsidRDefault="00000000">
      <w:pPr>
        <w:pStyle w:val="BodyText"/>
        <w:spacing w:line="249" w:lineRule="auto"/>
        <w:ind w:left="610" w:right="429" w:firstLine="360"/>
        <w:jc w:val="both"/>
      </w:pPr>
      <w:r>
        <w:t xml:space="preserve">In May 2022, we received net proceeds of $2.3 billion from issuance of senior unsecured notes and used the net proceeds from the offering to redeem </w:t>
      </w:r>
      <w:proofErr w:type="gramStart"/>
      <w:r>
        <w:t>all of</w:t>
      </w:r>
      <w:proofErr w:type="gramEnd"/>
      <w:r>
        <w:t xml:space="preserve"> the outstanding $500 million Notes due 2023, $750 million Notes due 2025 and used the remaining balance of the net proceeds to redeem $1.0 billion of our outstanding $2.0 billion Notes due 2026.</w:t>
      </w:r>
    </w:p>
    <w:p w14:paraId="6EC38E55" w14:textId="77777777" w:rsidR="00AE2255" w:rsidRDefault="00AE2255">
      <w:pPr>
        <w:pStyle w:val="BodyText"/>
        <w:spacing w:before="7"/>
        <w:rPr>
          <w:sz w:val="17"/>
        </w:rPr>
      </w:pPr>
    </w:p>
    <w:p w14:paraId="5F384F68" w14:textId="77777777" w:rsidR="00AE2255" w:rsidRDefault="00000000">
      <w:pPr>
        <w:pStyle w:val="BodyText"/>
        <w:spacing w:line="249" w:lineRule="auto"/>
        <w:ind w:left="610" w:firstLine="360"/>
      </w:pPr>
      <w:r>
        <w:t>In</w:t>
      </w:r>
      <w:r>
        <w:rPr>
          <w:spacing w:val="32"/>
        </w:rPr>
        <w:t xml:space="preserve"> </w:t>
      </w:r>
      <w:r>
        <w:t>September</w:t>
      </w:r>
      <w:r>
        <w:rPr>
          <w:spacing w:val="32"/>
        </w:rPr>
        <w:t xml:space="preserve"> </w:t>
      </w:r>
      <w:r>
        <w:t>2021,</w:t>
      </w:r>
      <w:r>
        <w:rPr>
          <w:spacing w:val="32"/>
        </w:rPr>
        <w:t xml:space="preserve"> </w:t>
      </w:r>
      <w:r>
        <w:t>we</w:t>
      </w:r>
      <w:r>
        <w:rPr>
          <w:spacing w:val="32"/>
        </w:rPr>
        <w:t xml:space="preserve"> </w:t>
      </w:r>
      <w:r>
        <w:t>repaid</w:t>
      </w:r>
      <w:r>
        <w:rPr>
          <w:spacing w:val="32"/>
        </w:rPr>
        <w:t xml:space="preserve"> </w:t>
      </w:r>
      <w:r>
        <w:t>$500</w:t>
      </w:r>
      <w:r>
        <w:rPr>
          <w:spacing w:val="32"/>
        </w:rPr>
        <w:t xml:space="preserve"> </w:t>
      </w:r>
      <w:r>
        <w:t>million</w:t>
      </w:r>
      <w:r>
        <w:rPr>
          <w:spacing w:val="32"/>
        </w:rPr>
        <w:t xml:space="preserve"> </w:t>
      </w:r>
      <w:r>
        <w:t>of</w:t>
      </w:r>
      <w:r>
        <w:rPr>
          <w:spacing w:val="32"/>
        </w:rPr>
        <w:t xml:space="preserve"> </w:t>
      </w:r>
      <w:r>
        <w:t>long-term</w:t>
      </w:r>
      <w:r>
        <w:rPr>
          <w:spacing w:val="32"/>
        </w:rPr>
        <w:t xml:space="preserve"> </w:t>
      </w:r>
      <w:r>
        <w:t>notes</w:t>
      </w:r>
      <w:r>
        <w:rPr>
          <w:spacing w:val="32"/>
        </w:rPr>
        <w:t xml:space="preserve"> </w:t>
      </w:r>
      <w:r>
        <w:t>with</w:t>
      </w:r>
      <w:r>
        <w:rPr>
          <w:spacing w:val="32"/>
        </w:rPr>
        <w:t xml:space="preserve"> </w:t>
      </w:r>
      <w:r>
        <w:t>a</w:t>
      </w:r>
      <w:r>
        <w:rPr>
          <w:spacing w:val="32"/>
        </w:rPr>
        <w:t xml:space="preserve"> </w:t>
      </w:r>
      <w:r>
        <w:t>fixed</w:t>
      </w:r>
      <w:r>
        <w:rPr>
          <w:spacing w:val="32"/>
        </w:rPr>
        <w:t xml:space="preserve"> </w:t>
      </w:r>
      <w:r>
        <w:t>interest</w:t>
      </w:r>
      <w:r>
        <w:rPr>
          <w:spacing w:val="32"/>
        </w:rPr>
        <w:t xml:space="preserve"> </w:t>
      </w:r>
      <w:r>
        <w:t>rate</w:t>
      </w:r>
      <w:r>
        <w:rPr>
          <w:spacing w:val="32"/>
        </w:rPr>
        <w:t xml:space="preserve"> </w:t>
      </w:r>
      <w:r>
        <w:t>of</w:t>
      </w:r>
      <w:r>
        <w:rPr>
          <w:spacing w:val="32"/>
        </w:rPr>
        <w:t xml:space="preserve"> </w:t>
      </w:r>
      <w:r>
        <w:t>3.35%</w:t>
      </w:r>
      <w:r>
        <w:rPr>
          <w:spacing w:val="32"/>
        </w:rPr>
        <w:t xml:space="preserve"> </w:t>
      </w:r>
      <w:r>
        <w:t>according</w:t>
      </w:r>
      <w:r>
        <w:rPr>
          <w:spacing w:val="32"/>
        </w:rPr>
        <w:t xml:space="preserve"> </w:t>
      </w:r>
      <w:r>
        <w:t>to</w:t>
      </w:r>
      <w:r>
        <w:rPr>
          <w:spacing w:val="32"/>
        </w:rPr>
        <w:t xml:space="preserve"> </w:t>
      </w:r>
      <w:r>
        <w:t>their scheduled maturities.</w:t>
      </w:r>
    </w:p>
    <w:p w14:paraId="0E4B44CA" w14:textId="77777777" w:rsidR="00AE2255" w:rsidRDefault="00AE2255">
      <w:pPr>
        <w:pStyle w:val="BodyText"/>
        <w:rPr>
          <w:sz w:val="22"/>
        </w:rPr>
      </w:pPr>
    </w:p>
    <w:p w14:paraId="789AC475" w14:textId="77777777" w:rsidR="00AE2255" w:rsidRDefault="00000000">
      <w:pPr>
        <w:pStyle w:val="Heading3"/>
        <w:spacing w:before="185"/>
      </w:pPr>
      <w:bookmarkStart w:id="30" w:name="Capital_Structure,_Resources_and_Other_"/>
      <w:bookmarkEnd w:id="30"/>
      <w:r>
        <w:t>Capital</w:t>
      </w:r>
      <w:r>
        <w:rPr>
          <w:spacing w:val="-6"/>
        </w:rPr>
        <w:t xml:space="preserve"> </w:t>
      </w:r>
      <w:r>
        <w:t>Structure,</w:t>
      </w:r>
      <w:r>
        <w:rPr>
          <w:spacing w:val="-5"/>
        </w:rPr>
        <w:t xml:space="preserve"> </w:t>
      </w:r>
      <w:r>
        <w:t>Resources</w:t>
      </w:r>
      <w:r>
        <w:rPr>
          <w:spacing w:val="-6"/>
        </w:rPr>
        <w:t xml:space="preserve"> </w:t>
      </w:r>
      <w:r>
        <w:t>and</w:t>
      </w:r>
      <w:r>
        <w:rPr>
          <w:spacing w:val="-5"/>
        </w:rPr>
        <w:t xml:space="preserve"> </w:t>
      </w:r>
      <w:r>
        <w:rPr>
          <w:spacing w:val="-2"/>
        </w:rPr>
        <w:t>Other</w:t>
      </w:r>
    </w:p>
    <w:p w14:paraId="646FBCDB" w14:textId="77777777" w:rsidR="00AE2255" w:rsidRDefault="00AE2255">
      <w:pPr>
        <w:pStyle w:val="BodyText"/>
        <w:spacing w:before="6"/>
        <w:rPr>
          <w:b/>
          <w:i/>
          <w:sz w:val="18"/>
        </w:rPr>
      </w:pPr>
    </w:p>
    <w:p w14:paraId="2DACFD3E" w14:textId="77777777" w:rsidR="00AE2255" w:rsidRDefault="00000000">
      <w:pPr>
        <w:pStyle w:val="BodyText"/>
        <w:spacing w:before="1" w:line="249" w:lineRule="auto"/>
        <w:ind w:left="610" w:right="157" w:firstLine="360"/>
      </w:pPr>
      <w:proofErr w:type="gramStart"/>
      <w:r>
        <w:t>At</w:t>
      </w:r>
      <w:proofErr w:type="gramEnd"/>
      <w:r>
        <w:t xml:space="preserve"> December 31, 2022, we held cash and cash equivalents of $2.5 billion that were generally available to fund ordinary</w:t>
      </w:r>
      <w:r>
        <w:rPr>
          <w:spacing w:val="80"/>
          <w:w w:val="150"/>
        </w:rPr>
        <w:t xml:space="preserve"> </w:t>
      </w:r>
      <w:r>
        <w:t>business operations without significant legal, regulatory, or other restrictions.</w:t>
      </w:r>
    </w:p>
    <w:p w14:paraId="607C0BA3" w14:textId="77777777" w:rsidR="00AE2255" w:rsidRDefault="00AE2255">
      <w:pPr>
        <w:pStyle w:val="BodyText"/>
        <w:spacing w:before="6"/>
        <w:rPr>
          <w:sz w:val="17"/>
        </w:rPr>
      </w:pPr>
    </w:p>
    <w:p w14:paraId="11D75D6F" w14:textId="77777777" w:rsidR="00AE2255" w:rsidRDefault="00000000">
      <w:pPr>
        <w:pStyle w:val="BodyText"/>
        <w:spacing w:line="249" w:lineRule="auto"/>
        <w:ind w:left="610" w:right="429" w:firstLine="360"/>
        <w:jc w:val="both"/>
      </w:pPr>
      <w:r>
        <w:t>Our</w:t>
      </w:r>
      <w:r>
        <w:rPr>
          <w:spacing w:val="-2"/>
        </w:rPr>
        <w:t xml:space="preserve"> </w:t>
      </w:r>
      <w:r>
        <w:t>outstanding</w:t>
      </w:r>
      <w:r>
        <w:rPr>
          <w:spacing w:val="-2"/>
        </w:rPr>
        <w:t xml:space="preserve"> </w:t>
      </w:r>
      <w:r>
        <w:t>debt,</w:t>
      </w:r>
      <w:r>
        <w:rPr>
          <w:spacing w:val="-2"/>
        </w:rPr>
        <w:t xml:space="preserve"> </w:t>
      </w:r>
      <w:r>
        <w:t>net</w:t>
      </w:r>
      <w:r>
        <w:rPr>
          <w:spacing w:val="-2"/>
        </w:rPr>
        <w:t xml:space="preserve"> </w:t>
      </w:r>
      <w:r>
        <w:t>of</w:t>
      </w:r>
      <w:r>
        <w:rPr>
          <w:spacing w:val="-2"/>
        </w:rPr>
        <w:t xml:space="preserve"> </w:t>
      </w:r>
      <w:r>
        <w:t>unamortized</w:t>
      </w:r>
      <w:r>
        <w:rPr>
          <w:spacing w:val="-2"/>
        </w:rPr>
        <w:t xml:space="preserve"> </w:t>
      </w:r>
      <w:r>
        <w:t>discounts</w:t>
      </w:r>
      <w:r>
        <w:rPr>
          <w:spacing w:val="-2"/>
        </w:rPr>
        <w:t xml:space="preserve"> </w:t>
      </w:r>
      <w:r>
        <w:t>and</w:t>
      </w:r>
      <w:r>
        <w:rPr>
          <w:spacing w:val="-2"/>
        </w:rPr>
        <w:t xml:space="preserve"> </w:t>
      </w:r>
      <w:r>
        <w:t>issuance</w:t>
      </w:r>
      <w:r>
        <w:rPr>
          <w:spacing w:val="-2"/>
        </w:rPr>
        <w:t xml:space="preserve"> </w:t>
      </w:r>
      <w:r>
        <w:t>costs,</w:t>
      </w:r>
      <w:r>
        <w:rPr>
          <w:spacing w:val="-2"/>
        </w:rPr>
        <w:t xml:space="preserve"> </w:t>
      </w:r>
      <w:r>
        <w:t>was</w:t>
      </w:r>
      <w:r>
        <w:rPr>
          <w:spacing w:val="-2"/>
        </w:rPr>
        <w:t xml:space="preserve"> </w:t>
      </w:r>
      <w:r>
        <w:t>$15.5</w:t>
      </w:r>
      <w:r>
        <w:rPr>
          <w:spacing w:val="-2"/>
        </w:rPr>
        <w:t xml:space="preserve"> </w:t>
      </w:r>
      <w:r>
        <w:t>billion</w:t>
      </w:r>
      <w:r>
        <w:rPr>
          <w:spacing w:val="-2"/>
        </w:rPr>
        <w:t xml:space="preserve"> </w:t>
      </w:r>
      <w:r>
        <w:t>as</w:t>
      </w:r>
      <w:r>
        <w:rPr>
          <w:spacing w:val="-2"/>
        </w:rPr>
        <w:t xml:space="preserve"> </w:t>
      </w:r>
      <w:r>
        <w:t>of</w:t>
      </w:r>
      <w:r>
        <w:rPr>
          <w:spacing w:val="-2"/>
        </w:rPr>
        <w:t xml:space="preserve"> </w:t>
      </w:r>
      <w:r>
        <w:t>December</w:t>
      </w:r>
      <w:r>
        <w:rPr>
          <w:spacing w:val="-2"/>
        </w:rPr>
        <w:t xml:space="preserve"> </w:t>
      </w:r>
      <w:r>
        <w:t>31,</w:t>
      </w:r>
      <w:r>
        <w:rPr>
          <w:spacing w:val="-2"/>
        </w:rPr>
        <w:t xml:space="preserve"> </w:t>
      </w:r>
      <w:proofErr w:type="gramStart"/>
      <w:r>
        <w:t>2022</w:t>
      </w:r>
      <w:proofErr w:type="gramEnd"/>
      <w:r>
        <w:rPr>
          <w:spacing w:val="-2"/>
        </w:rPr>
        <w:t xml:space="preserve"> </w:t>
      </w:r>
      <w:r>
        <w:t>and</w:t>
      </w:r>
      <w:r>
        <w:rPr>
          <w:spacing w:val="-2"/>
        </w:rPr>
        <w:t xml:space="preserve"> </w:t>
      </w:r>
      <w:r>
        <w:t>is</w:t>
      </w:r>
      <w:r>
        <w:rPr>
          <w:spacing w:val="-2"/>
        </w:rPr>
        <w:t xml:space="preserve"> </w:t>
      </w:r>
      <w:r>
        <w:t xml:space="preserve">in the form of publicly-issued notes that bear interest at fixed rates. As of December 31, 2022, we </w:t>
      </w:r>
      <w:proofErr w:type="gramStart"/>
      <w:r>
        <w:t>were in compliance with</w:t>
      </w:r>
      <w:proofErr w:type="gramEnd"/>
      <w:r>
        <w:t xml:space="preserve"> all covenants contained in our debt and credit agreements. See “Note 10 – Debt</w:t>
      </w:r>
      <w:r>
        <w:rPr>
          <w:sz w:val="18"/>
        </w:rPr>
        <w:t xml:space="preserve">” </w:t>
      </w:r>
      <w:r>
        <w:t>included in our Notes to Consolidated Financial Statements for more information on our long-term debt and revolving credit facilities.</w:t>
      </w:r>
    </w:p>
    <w:p w14:paraId="0E283069" w14:textId="77777777" w:rsidR="00AE2255" w:rsidRDefault="00AE2255">
      <w:pPr>
        <w:spacing w:line="249" w:lineRule="auto"/>
        <w:jc w:val="both"/>
        <w:sectPr w:rsidR="00AE2255">
          <w:pgSz w:w="12240" w:h="15840"/>
          <w:pgMar w:top="440" w:right="560" w:bottom="720" w:left="380" w:header="230" w:footer="531" w:gutter="0"/>
          <w:cols w:space="720"/>
        </w:sectPr>
      </w:pPr>
    </w:p>
    <w:p w14:paraId="36D5F1C1" w14:textId="77777777" w:rsidR="00AE2255" w:rsidRDefault="00AE2255">
      <w:pPr>
        <w:pStyle w:val="BodyText"/>
        <w:spacing w:before="10"/>
        <w:rPr>
          <w:sz w:val="22"/>
        </w:rPr>
      </w:pPr>
    </w:p>
    <w:p w14:paraId="48A84923" w14:textId="77777777" w:rsidR="00AE2255" w:rsidRDefault="00000000">
      <w:pPr>
        <w:pStyle w:val="BodyText"/>
        <w:spacing w:before="92" w:line="249" w:lineRule="auto"/>
        <w:ind w:left="610" w:right="430" w:firstLine="360"/>
        <w:jc w:val="both"/>
      </w:pPr>
      <w:r>
        <w:t xml:space="preserve">We actively seek to finance our business in a manner that preserves financial flexibility while minimizing borrowing costs to the extent practicable. We review changes in financial market and economic conditions to manage the types, amounts and maturities of our indebtedness. We may at times refinance existing indebtedness, vary our mix of variable-rate and fixed-rate </w:t>
      </w:r>
      <w:proofErr w:type="gramStart"/>
      <w:r>
        <w:t>debt</w:t>
      </w:r>
      <w:proofErr w:type="gramEnd"/>
      <w:r>
        <w:t xml:space="preserve"> or seek alternative financing sources for our cash and operational needs.</w:t>
      </w:r>
    </w:p>
    <w:p w14:paraId="7B0A9D40" w14:textId="77777777" w:rsidR="00AE2255" w:rsidRDefault="00AE2255">
      <w:pPr>
        <w:pStyle w:val="BodyText"/>
        <w:spacing w:before="4"/>
        <w:rPr>
          <w:sz w:val="17"/>
        </w:rPr>
      </w:pPr>
    </w:p>
    <w:p w14:paraId="613FA2C6" w14:textId="77777777" w:rsidR="00AE2255" w:rsidRDefault="00000000">
      <w:pPr>
        <w:pStyle w:val="Heading2"/>
      </w:pPr>
      <w:r>
        <w:t>Long-Term</w:t>
      </w:r>
      <w:r>
        <w:rPr>
          <w:spacing w:val="-5"/>
        </w:rPr>
        <w:t xml:space="preserve"> </w:t>
      </w:r>
      <w:r>
        <w:rPr>
          <w:spacing w:val="-4"/>
        </w:rPr>
        <w:t>Debt</w:t>
      </w:r>
    </w:p>
    <w:p w14:paraId="61546FF4" w14:textId="77777777" w:rsidR="00AE2255" w:rsidRDefault="00AE2255">
      <w:pPr>
        <w:pStyle w:val="BodyText"/>
        <w:spacing w:before="6"/>
        <w:rPr>
          <w:b/>
          <w:sz w:val="18"/>
        </w:rPr>
      </w:pPr>
    </w:p>
    <w:p w14:paraId="7F57BE4D" w14:textId="77777777" w:rsidR="00AE2255" w:rsidRDefault="00000000">
      <w:pPr>
        <w:pStyle w:val="BodyText"/>
        <w:spacing w:before="1" w:line="249" w:lineRule="auto"/>
        <w:ind w:left="610" w:right="427" w:firstLine="360"/>
        <w:jc w:val="both"/>
      </w:pPr>
      <w:r>
        <w:t>On October 24, 2022, we issued a total of $4.0 billion of senior unsecured notes, consisting of $500 million aggregate principal amount of 4.95% Notes due 2025 (the “2025 Notes”), $750 million aggregate principal amount of 5.10% Notes due 2027 (the “2027 Notes”), $1.0 billion aggregate principal amount of 5.25% Notes due 2033 (the “2033 Notes”), $1.0 billion aggregate principal amount of 5.70% Notes due 2054 (the “2054 Notes”) and $750 million aggregate principal amount of</w:t>
      </w:r>
      <w:r>
        <w:rPr>
          <w:spacing w:val="40"/>
        </w:rPr>
        <w:t xml:space="preserve"> </w:t>
      </w:r>
      <w:r>
        <w:t>5.90% Notes due 2063 (the “2063 Notes” and, together with the 2025 Notes, the 2027 Notes, the 2033 Notes and the 2054 Notes, the “October 2022 Notes”). We will pay interest on the 2025 Notes semi-annually in arrears on April 15 and October 15 of each year, beginning on April 15, 2023. We will pay interest on the 2033 Notes semi-annually in arrears on January 15 and July 15 of each year, beginning on January 15, 2023. We will pay interest on each of 2027 Notes, 2054 Notes and 2063 Notes semi-annually</w:t>
      </w:r>
      <w:r>
        <w:rPr>
          <w:spacing w:val="-2"/>
        </w:rPr>
        <w:t xml:space="preserve"> </w:t>
      </w:r>
      <w:r>
        <w:t>in</w:t>
      </w:r>
      <w:r>
        <w:rPr>
          <w:spacing w:val="-2"/>
        </w:rPr>
        <w:t xml:space="preserve"> </w:t>
      </w:r>
      <w:r>
        <w:t>arrears</w:t>
      </w:r>
      <w:r>
        <w:rPr>
          <w:spacing w:val="-2"/>
        </w:rPr>
        <w:t xml:space="preserve"> </w:t>
      </w:r>
      <w:r>
        <w:t>on</w:t>
      </w:r>
      <w:r>
        <w:rPr>
          <w:spacing w:val="-2"/>
        </w:rPr>
        <w:t xml:space="preserve"> </w:t>
      </w:r>
      <w:r>
        <w:t>May</w:t>
      </w:r>
      <w:r>
        <w:rPr>
          <w:spacing w:val="-2"/>
        </w:rPr>
        <w:t xml:space="preserve"> </w:t>
      </w:r>
      <w:r>
        <w:t>15</w:t>
      </w:r>
      <w:r>
        <w:rPr>
          <w:spacing w:val="-2"/>
        </w:rPr>
        <w:t xml:space="preserve"> </w:t>
      </w:r>
      <w:r>
        <w:t>and</w:t>
      </w:r>
      <w:r>
        <w:rPr>
          <w:spacing w:val="-2"/>
        </w:rPr>
        <w:t xml:space="preserve"> </w:t>
      </w:r>
      <w:r>
        <w:t>November</w:t>
      </w:r>
      <w:r>
        <w:rPr>
          <w:spacing w:val="-2"/>
        </w:rPr>
        <w:t xml:space="preserve"> </w:t>
      </w:r>
      <w:r>
        <w:t>15</w:t>
      </w:r>
      <w:r>
        <w:rPr>
          <w:spacing w:val="-2"/>
        </w:rPr>
        <w:t xml:space="preserve"> </w:t>
      </w:r>
      <w:r>
        <w:t>of</w:t>
      </w:r>
      <w:r>
        <w:rPr>
          <w:spacing w:val="-2"/>
        </w:rPr>
        <w:t xml:space="preserve"> </w:t>
      </w:r>
      <w:r>
        <w:t>each</w:t>
      </w:r>
      <w:r>
        <w:rPr>
          <w:spacing w:val="-2"/>
        </w:rPr>
        <w:t xml:space="preserve"> </w:t>
      </w:r>
      <w:r>
        <w:t>year,</w:t>
      </w:r>
      <w:r>
        <w:rPr>
          <w:spacing w:val="-2"/>
        </w:rPr>
        <w:t xml:space="preserve"> </w:t>
      </w:r>
      <w:r>
        <w:t>beginning</w:t>
      </w:r>
      <w:r>
        <w:rPr>
          <w:spacing w:val="-2"/>
        </w:rPr>
        <w:t xml:space="preserve"> </w:t>
      </w:r>
      <w:r>
        <w:t>on</w:t>
      </w:r>
      <w:r>
        <w:rPr>
          <w:spacing w:val="-2"/>
        </w:rPr>
        <w:t xml:space="preserve"> </w:t>
      </w:r>
      <w:r>
        <w:t>May</w:t>
      </w:r>
      <w:r>
        <w:rPr>
          <w:spacing w:val="-2"/>
        </w:rPr>
        <w:t xml:space="preserve"> </w:t>
      </w:r>
      <w:r>
        <w:t>15,</w:t>
      </w:r>
      <w:r>
        <w:rPr>
          <w:spacing w:val="-2"/>
        </w:rPr>
        <w:t xml:space="preserve"> </w:t>
      </w:r>
      <w:r>
        <w:t>2023.</w:t>
      </w:r>
      <w:r>
        <w:rPr>
          <w:spacing w:val="-2"/>
        </w:rPr>
        <w:t xml:space="preserve"> </w:t>
      </w:r>
      <w:r>
        <w:t>We</w:t>
      </w:r>
      <w:r>
        <w:rPr>
          <w:spacing w:val="-2"/>
        </w:rPr>
        <w:t xml:space="preserve"> </w:t>
      </w:r>
      <w:r>
        <w:t>may,</w:t>
      </w:r>
      <w:r>
        <w:rPr>
          <w:spacing w:val="-2"/>
        </w:rPr>
        <w:t xml:space="preserve"> </w:t>
      </w:r>
      <w:r>
        <w:t>at</w:t>
      </w:r>
      <w:r>
        <w:rPr>
          <w:spacing w:val="-2"/>
        </w:rPr>
        <w:t xml:space="preserve"> </w:t>
      </w:r>
      <w:r>
        <w:t>our</w:t>
      </w:r>
      <w:r>
        <w:rPr>
          <w:spacing w:val="-2"/>
        </w:rPr>
        <w:t xml:space="preserve"> </w:t>
      </w:r>
      <w:r>
        <w:t>option,</w:t>
      </w:r>
      <w:r>
        <w:rPr>
          <w:spacing w:val="-2"/>
        </w:rPr>
        <w:t xml:space="preserve"> </w:t>
      </w:r>
      <w:r>
        <w:t>redeem the October 2022 Notes of any series, in whole or in part, at any time at the redemption prices equal to the greater of 100% of the principal amount of the Notes to be redeemed or an applicable “make-whole” amount, plus accrued and unpaid interest to the date of redemption.</w:t>
      </w:r>
    </w:p>
    <w:p w14:paraId="642C87EE" w14:textId="77777777" w:rsidR="00AE2255" w:rsidRDefault="00AE2255">
      <w:pPr>
        <w:pStyle w:val="BodyText"/>
        <w:spacing w:before="2"/>
        <w:rPr>
          <w:sz w:val="18"/>
        </w:rPr>
      </w:pPr>
    </w:p>
    <w:p w14:paraId="1B67AE53" w14:textId="77777777" w:rsidR="00AE2255" w:rsidRDefault="00000000">
      <w:pPr>
        <w:pStyle w:val="BodyText"/>
        <w:spacing w:line="249" w:lineRule="auto"/>
        <w:ind w:left="610" w:right="513" w:firstLine="360"/>
      </w:pPr>
      <w:r>
        <w:t>On</w:t>
      </w:r>
      <w:r>
        <w:rPr>
          <w:spacing w:val="-3"/>
        </w:rPr>
        <w:t xml:space="preserve"> </w:t>
      </w:r>
      <w:r>
        <w:t>May</w:t>
      </w:r>
      <w:r>
        <w:rPr>
          <w:spacing w:val="-3"/>
        </w:rPr>
        <w:t xml:space="preserve"> </w:t>
      </w:r>
      <w:r>
        <w:t>5,</w:t>
      </w:r>
      <w:r>
        <w:rPr>
          <w:spacing w:val="-3"/>
        </w:rPr>
        <w:t xml:space="preserve"> </w:t>
      </w:r>
      <w:r>
        <w:t>2022,</w:t>
      </w:r>
      <w:r>
        <w:rPr>
          <w:spacing w:val="-3"/>
        </w:rPr>
        <w:t xml:space="preserve"> </w:t>
      </w:r>
      <w:r>
        <w:t>we</w:t>
      </w:r>
      <w:r>
        <w:rPr>
          <w:spacing w:val="-3"/>
        </w:rPr>
        <w:t xml:space="preserve"> </w:t>
      </w:r>
      <w:r>
        <w:t>issued</w:t>
      </w:r>
      <w:r>
        <w:rPr>
          <w:spacing w:val="-3"/>
        </w:rPr>
        <w:t xml:space="preserve"> </w:t>
      </w:r>
      <w:r>
        <w:t>a</w:t>
      </w:r>
      <w:r>
        <w:rPr>
          <w:spacing w:val="-3"/>
        </w:rPr>
        <w:t xml:space="preserve"> </w:t>
      </w:r>
      <w:r>
        <w:t>total</w:t>
      </w:r>
      <w:r>
        <w:rPr>
          <w:spacing w:val="-3"/>
        </w:rPr>
        <w:t xml:space="preserve"> </w:t>
      </w:r>
      <w:r>
        <w:t>of</w:t>
      </w:r>
      <w:r>
        <w:rPr>
          <w:spacing w:val="-3"/>
        </w:rPr>
        <w:t xml:space="preserve"> </w:t>
      </w:r>
      <w:r>
        <w:t>$2.3</w:t>
      </w:r>
      <w:r>
        <w:rPr>
          <w:spacing w:val="-3"/>
        </w:rPr>
        <w:t xml:space="preserve"> </w:t>
      </w:r>
      <w:r>
        <w:t>billion</w:t>
      </w:r>
      <w:r>
        <w:rPr>
          <w:spacing w:val="-3"/>
        </w:rPr>
        <w:t xml:space="preserve"> </w:t>
      </w:r>
      <w:r>
        <w:t>of</w:t>
      </w:r>
      <w:r>
        <w:rPr>
          <w:spacing w:val="-3"/>
        </w:rPr>
        <w:t xml:space="preserve"> </w:t>
      </w:r>
      <w:r>
        <w:t>senior</w:t>
      </w:r>
      <w:r>
        <w:rPr>
          <w:spacing w:val="-3"/>
        </w:rPr>
        <w:t xml:space="preserve"> </w:t>
      </w:r>
      <w:r>
        <w:t>unsecured</w:t>
      </w:r>
      <w:r>
        <w:rPr>
          <w:spacing w:val="-3"/>
        </w:rPr>
        <w:t xml:space="preserve"> </w:t>
      </w:r>
      <w:r>
        <w:t>notes,</w:t>
      </w:r>
      <w:r>
        <w:rPr>
          <w:spacing w:val="-3"/>
        </w:rPr>
        <w:t xml:space="preserve"> </w:t>
      </w:r>
      <w:r>
        <w:t>consisting</w:t>
      </w:r>
      <w:r>
        <w:rPr>
          <w:spacing w:val="-3"/>
        </w:rPr>
        <w:t xml:space="preserve"> </w:t>
      </w:r>
      <w:r>
        <w:t>of</w:t>
      </w:r>
      <w:r>
        <w:rPr>
          <w:spacing w:val="-3"/>
        </w:rPr>
        <w:t xml:space="preserve"> </w:t>
      </w:r>
      <w:r>
        <w:t>$800</w:t>
      </w:r>
      <w:r>
        <w:rPr>
          <w:spacing w:val="-3"/>
        </w:rPr>
        <w:t xml:space="preserve"> </w:t>
      </w:r>
      <w:r>
        <w:t>million</w:t>
      </w:r>
      <w:r>
        <w:rPr>
          <w:spacing w:val="-3"/>
        </w:rPr>
        <w:t xml:space="preserve"> </w:t>
      </w:r>
      <w:r>
        <w:t>aggregate</w:t>
      </w:r>
      <w:r>
        <w:rPr>
          <w:spacing w:val="-3"/>
        </w:rPr>
        <w:t xml:space="preserve"> </w:t>
      </w:r>
      <w:r>
        <w:t>principal amount of 3.90% Notes due June 15, 2032 (the “2032 Notes”), $850 million aggregate principal amount of 4.15% Notes due June 15, 2053 (the “2053 Notes”) and $650 million aggregate principal amount of 4.30% Notes due June 15, 2062 (the “2062 Notes”</w:t>
      </w:r>
      <w:r>
        <w:rPr>
          <w:spacing w:val="-3"/>
        </w:rPr>
        <w:t xml:space="preserve"> </w:t>
      </w:r>
      <w:r>
        <w:t>and,</w:t>
      </w:r>
      <w:r>
        <w:rPr>
          <w:spacing w:val="-2"/>
        </w:rPr>
        <w:t xml:space="preserve"> </w:t>
      </w:r>
      <w:r>
        <w:t>together</w:t>
      </w:r>
      <w:r>
        <w:rPr>
          <w:spacing w:val="-2"/>
        </w:rPr>
        <w:t xml:space="preserve"> </w:t>
      </w:r>
      <w:r>
        <w:t>with</w:t>
      </w:r>
      <w:r>
        <w:rPr>
          <w:spacing w:val="-2"/>
        </w:rPr>
        <w:t xml:space="preserve"> </w:t>
      </w:r>
      <w:r>
        <w:t>the</w:t>
      </w:r>
      <w:r>
        <w:rPr>
          <w:spacing w:val="-3"/>
        </w:rPr>
        <w:t xml:space="preserve"> </w:t>
      </w:r>
      <w:r>
        <w:t>2032</w:t>
      </w:r>
      <w:r>
        <w:rPr>
          <w:spacing w:val="-2"/>
        </w:rPr>
        <w:t xml:space="preserve"> </w:t>
      </w:r>
      <w:r>
        <w:t>Notes</w:t>
      </w:r>
      <w:r>
        <w:rPr>
          <w:spacing w:val="-3"/>
        </w:rPr>
        <w:t xml:space="preserve"> </w:t>
      </w:r>
      <w:r>
        <w:t>and</w:t>
      </w:r>
      <w:r>
        <w:rPr>
          <w:spacing w:val="-2"/>
        </w:rPr>
        <w:t xml:space="preserve"> </w:t>
      </w:r>
      <w:r>
        <w:t>2053</w:t>
      </w:r>
      <w:r>
        <w:rPr>
          <w:spacing w:val="-2"/>
        </w:rPr>
        <w:t xml:space="preserve"> </w:t>
      </w:r>
      <w:r>
        <w:t>Notes,</w:t>
      </w:r>
      <w:r>
        <w:rPr>
          <w:spacing w:val="-2"/>
        </w:rPr>
        <w:t xml:space="preserve"> </w:t>
      </w:r>
      <w:r>
        <w:t>the</w:t>
      </w:r>
      <w:r>
        <w:rPr>
          <w:spacing w:val="-3"/>
        </w:rPr>
        <w:t xml:space="preserve"> </w:t>
      </w:r>
      <w:r>
        <w:t>“May</w:t>
      </w:r>
      <w:r>
        <w:rPr>
          <w:spacing w:val="-2"/>
        </w:rPr>
        <w:t xml:space="preserve"> </w:t>
      </w:r>
      <w:r>
        <w:t>2022</w:t>
      </w:r>
      <w:r>
        <w:rPr>
          <w:spacing w:val="-2"/>
        </w:rPr>
        <w:t xml:space="preserve"> </w:t>
      </w:r>
      <w:r>
        <w:t>Notes”)</w:t>
      </w:r>
      <w:r>
        <w:rPr>
          <w:spacing w:val="-2"/>
        </w:rPr>
        <w:t xml:space="preserve"> </w:t>
      </w:r>
      <w:r>
        <w:t>in</w:t>
      </w:r>
      <w:r>
        <w:rPr>
          <w:spacing w:val="-2"/>
        </w:rPr>
        <w:t xml:space="preserve"> </w:t>
      </w:r>
      <w:r>
        <w:t>a</w:t>
      </w:r>
      <w:r>
        <w:rPr>
          <w:spacing w:val="-3"/>
        </w:rPr>
        <w:t xml:space="preserve"> </w:t>
      </w:r>
      <w:r>
        <w:t>registered</w:t>
      </w:r>
      <w:r>
        <w:rPr>
          <w:spacing w:val="-2"/>
        </w:rPr>
        <w:t xml:space="preserve"> </w:t>
      </w:r>
      <w:r>
        <w:t>public</w:t>
      </w:r>
      <w:r>
        <w:rPr>
          <w:spacing w:val="-3"/>
        </w:rPr>
        <w:t xml:space="preserve"> </w:t>
      </w:r>
      <w:r>
        <w:t>offering.</w:t>
      </w:r>
      <w:r>
        <w:rPr>
          <w:spacing w:val="-2"/>
        </w:rPr>
        <w:t xml:space="preserve"> </w:t>
      </w:r>
      <w:r>
        <w:t>Net</w:t>
      </w:r>
      <w:r>
        <w:rPr>
          <w:spacing w:val="-3"/>
        </w:rPr>
        <w:t xml:space="preserve"> </w:t>
      </w:r>
      <w:r>
        <w:t>proceeds received from the offering were, after deducting pricing discounts and debt issuance costs, which are being amortized and recorded as interest expense over the term of the May 2022 Notes. We will pay interest on the May 2022 Notes semi-annually in arrears on June 15 and December 15 of each year with the first payment made on June 15, 2022. We may, at our option, redeem</w:t>
      </w:r>
      <w:r>
        <w:rPr>
          <w:spacing w:val="-3"/>
        </w:rPr>
        <w:t xml:space="preserve"> </w:t>
      </w:r>
      <w:r>
        <w:t>the</w:t>
      </w:r>
      <w:r>
        <w:rPr>
          <w:spacing w:val="-3"/>
        </w:rPr>
        <w:t xml:space="preserve"> </w:t>
      </w:r>
      <w:r>
        <w:t>May</w:t>
      </w:r>
      <w:r>
        <w:rPr>
          <w:spacing w:val="-2"/>
        </w:rPr>
        <w:t xml:space="preserve"> </w:t>
      </w:r>
      <w:r>
        <w:t>2022</w:t>
      </w:r>
      <w:r>
        <w:rPr>
          <w:spacing w:val="-2"/>
        </w:rPr>
        <w:t xml:space="preserve"> </w:t>
      </w:r>
      <w:r>
        <w:t>Notes</w:t>
      </w:r>
      <w:r>
        <w:rPr>
          <w:spacing w:val="-3"/>
        </w:rPr>
        <w:t xml:space="preserve"> </w:t>
      </w:r>
      <w:r>
        <w:t>of</w:t>
      </w:r>
      <w:r>
        <w:rPr>
          <w:spacing w:val="-2"/>
        </w:rPr>
        <w:t xml:space="preserve"> </w:t>
      </w:r>
      <w:r>
        <w:t>any</w:t>
      </w:r>
      <w:r>
        <w:rPr>
          <w:spacing w:val="-2"/>
        </w:rPr>
        <w:t xml:space="preserve"> </w:t>
      </w:r>
      <w:r>
        <w:t>series,</w:t>
      </w:r>
      <w:r>
        <w:rPr>
          <w:spacing w:val="-2"/>
        </w:rPr>
        <w:t xml:space="preserve"> </w:t>
      </w:r>
      <w:r>
        <w:t>in</w:t>
      </w:r>
      <w:r>
        <w:rPr>
          <w:spacing w:val="-2"/>
        </w:rPr>
        <w:t xml:space="preserve"> </w:t>
      </w:r>
      <w:r>
        <w:t>whole</w:t>
      </w:r>
      <w:r>
        <w:rPr>
          <w:spacing w:val="-3"/>
        </w:rPr>
        <w:t xml:space="preserve"> </w:t>
      </w:r>
      <w:r>
        <w:t>or</w:t>
      </w:r>
      <w:r>
        <w:rPr>
          <w:spacing w:val="-2"/>
        </w:rPr>
        <w:t xml:space="preserve"> </w:t>
      </w:r>
      <w:r>
        <w:t>in</w:t>
      </w:r>
      <w:r>
        <w:rPr>
          <w:spacing w:val="-2"/>
        </w:rPr>
        <w:t xml:space="preserve"> </w:t>
      </w:r>
      <w:r>
        <w:t>part,</w:t>
      </w:r>
      <w:r>
        <w:rPr>
          <w:spacing w:val="-2"/>
        </w:rPr>
        <w:t xml:space="preserve"> </w:t>
      </w:r>
      <w:r>
        <w:t>at</w:t>
      </w:r>
      <w:r>
        <w:rPr>
          <w:spacing w:val="-3"/>
        </w:rPr>
        <w:t xml:space="preserve"> </w:t>
      </w:r>
      <w:r>
        <w:t>any</w:t>
      </w:r>
      <w:r>
        <w:rPr>
          <w:spacing w:val="-2"/>
        </w:rPr>
        <w:t xml:space="preserve"> </w:t>
      </w:r>
      <w:r>
        <w:t>time</w:t>
      </w:r>
      <w:r>
        <w:rPr>
          <w:spacing w:val="-3"/>
        </w:rPr>
        <w:t xml:space="preserve"> </w:t>
      </w:r>
      <w:r>
        <w:t>and</w:t>
      </w:r>
      <w:r>
        <w:rPr>
          <w:spacing w:val="-2"/>
        </w:rPr>
        <w:t xml:space="preserve"> </w:t>
      </w:r>
      <w:r>
        <w:t>from</w:t>
      </w:r>
      <w:r>
        <w:rPr>
          <w:spacing w:val="-3"/>
        </w:rPr>
        <w:t xml:space="preserve"> </w:t>
      </w:r>
      <w:r>
        <w:t>time</w:t>
      </w:r>
      <w:r>
        <w:rPr>
          <w:spacing w:val="-3"/>
        </w:rPr>
        <w:t xml:space="preserve"> </w:t>
      </w:r>
      <w:r>
        <w:t>to</w:t>
      </w:r>
      <w:r>
        <w:rPr>
          <w:spacing w:val="-2"/>
        </w:rPr>
        <w:t xml:space="preserve"> </w:t>
      </w:r>
      <w:r>
        <w:t>time,</w:t>
      </w:r>
      <w:r>
        <w:rPr>
          <w:spacing w:val="-2"/>
        </w:rPr>
        <w:t xml:space="preserve"> </w:t>
      </w:r>
      <w:r>
        <w:t>at</w:t>
      </w:r>
      <w:r>
        <w:rPr>
          <w:spacing w:val="-3"/>
        </w:rPr>
        <w:t xml:space="preserve"> </w:t>
      </w:r>
      <w:r>
        <w:t>a</w:t>
      </w:r>
      <w:r>
        <w:rPr>
          <w:spacing w:val="-3"/>
        </w:rPr>
        <w:t xml:space="preserve"> </w:t>
      </w:r>
      <w:r>
        <w:t>redemption</w:t>
      </w:r>
      <w:r>
        <w:rPr>
          <w:spacing w:val="-2"/>
        </w:rPr>
        <w:t xml:space="preserve"> </w:t>
      </w:r>
      <w:r>
        <w:t>price</w:t>
      </w:r>
      <w:r>
        <w:rPr>
          <w:spacing w:val="-3"/>
        </w:rPr>
        <w:t xml:space="preserve"> </w:t>
      </w:r>
      <w:r>
        <w:t>equal</w:t>
      </w:r>
      <w:r>
        <w:rPr>
          <w:spacing w:val="-3"/>
        </w:rPr>
        <w:t xml:space="preserve"> </w:t>
      </w:r>
      <w:r>
        <w:t>to the</w:t>
      </w:r>
      <w:r>
        <w:rPr>
          <w:spacing w:val="-1"/>
        </w:rPr>
        <w:t xml:space="preserve"> </w:t>
      </w:r>
      <w:r>
        <w:t>greater of 100% of the</w:t>
      </w:r>
      <w:r>
        <w:rPr>
          <w:spacing w:val="-1"/>
        </w:rPr>
        <w:t xml:space="preserve"> </w:t>
      </w:r>
      <w:r>
        <w:t>principal</w:t>
      </w:r>
      <w:r>
        <w:rPr>
          <w:spacing w:val="-1"/>
        </w:rPr>
        <w:t xml:space="preserve"> </w:t>
      </w:r>
      <w:r>
        <w:t>amount</w:t>
      </w:r>
      <w:r>
        <w:rPr>
          <w:spacing w:val="-1"/>
        </w:rPr>
        <w:t xml:space="preserve"> </w:t>
      </w:r>
      <w:r>
        <w:t>of the</w:t>
      </w:r>
      <w:r>
        <w:rPr>
          <w:spacing w:val="-1"/>
        </w:rPr>
        <w:t xml:space="preserve"> </w:t>
      </w:r>
      <w:r>
        <w:t>May 2022 Notes</w:t>
      </w:r>
      <w:r>
        <w:rPr>
          <w:spacing w:val="-1"/>
        </w:rPr>
        <w:t xml:space="preserve"> </w:t>
      </w:r>
      <w:r>
        <w:t>to be</w:t>
      </w:r>
      <w:r>
        <w:rPr>
          <w:spacing w:val="-1"/>
        </w:rPr>
        <w:t xml:space="preserve"> </w:t>
      </w:r>
      <w:r>
        <w:t>redeemed or an applicable</w:t>
      </w:r>
      <w:r>
        <w:rPr>
          <w:spacing w:val="-1"/>
        </w:rPr>
        <w:t xml:space="preserve"> </w:t>
      </w:r>
      <w:r>
        <w:t>make-whole</w:t>
      </w:r>
      <w:r>
        <w:rPr>
          <w:spacing w:val="-1"/>
        </w:rPr>
        <w:t xml:space="preserve"> </w:t>
      </w:r>
      <w:r>
        <w:t>amount, plus accrued and unpaid interest to the date of redemption.</w:t>
      </w:r>
    </w:p>
    <w:p w14:paraId="7397591A" w14:textId="77777777" w:rsidR="00AE2255" w:rsidRDefault="00AE2255">
      <w:pPr>
        <w:pStyle w:val="BodyText"/>
        <w:spacing w:before="1"/>
        <w:rPr>
          <w:sz w:val="18"/>
        </w:rPr>
      </w:pPr>
    </w:p>
    <w:p w14:paraId="10422812" w14:textId="77777777" w:rsidR="00AE2255" w:rsidRDefault="00000000">
      <w:pPr>
        <w:pStyle w:val="BodyText"/>
        <w:spacing w:before="1" w:line="249" w:lineRule="auto"/>
        <w:ind w:left="610" w:right="430" w:firstLine="360"/>
      </w:pPr>
      <w:r>
        <w:t xml:space="preserve">On May 11, 2022, we used the net proceeds from the May 2022 Notes to redeem </w:t>
      </w:r>
      <w:proofErr w:type="gramStart"/>
      <w:r>
        <w:t>all of</w:t>
      </w:r>
      <w:proofErr w:type="gramEnd"/>
      <w:r>
        <w:t xml:space="preserve"> the outstanding $500 million in aggregate principal amount of our 3.10% Notes due 2023, $750 million in aggregate principal amount of our 2.90% Notes due 2025, and $1.0 billion of our outstanding $2.0 billion in aggregate principal amount of our 3.55% Notes due 2026 at their redemption price. We paid make-whole premiums of $13.9 million in connection with the early extinguishments of debt. We incurred losses of $34 million ($26 million, or $0.10 per share, after tax) on these transactions related to early extinguishments of</w:t>
      </w:r>
      <w:r>
        <w:rPr>
          <w:spacing w:val="-3"/>
        </w:rPr>
        <w:t xml:space="preserve"> </w:t>
      </w:r>
      <w:r>
        <w:t>debt,</w:t>
      </w:r>
      <w:r>
        <w:rPr>
          <w:spacing w:val="-3"/>
        </w:rPr>
        <w:t xml:space="preserve"> </w:t>
      </w:r>
      <w:r>
        <w:t>additional</w:t>
      </w:r>
      <w:r>
        <w:rPr>
          <w:spacing w:val="-4"/>
        </w:rPr>
        <w:t xml:space="preserve"> </w:t>
      </w:r>
      <w:r>
        <w:t>interest</w:t>
      </w:r>
      <w:r>
        <w:rPr>
          <w:spacing w:val="-4"/>
        </w:rPr>
        <w:t xml:space="preserve"> </w:t>
      </w:r>
      <w:r>
        <w:t>expense</w:t>
      </w:r>
      <w:r>
        <w:rPr>
          <w:spacing w:val="-4"/>
        </w:rPr>
        <w:t xml:space="preserve"> </w:t>
      </w:r>
      <w:r>
        <w:t>and</w:t>
      </w:r>
      <w:r>
        <w:rPr>
          <w:spacing w:val="-3"/>
        </w:rPr>
        <w:t xml:space="preserve"> </w:t>
      </w:r>
      <w:r>
        <w:t>other</w:t>
      </w:r>
      <w:r>
        <w:rPr>
          <w:spacing w:val="-3"/>
        </w:rPr>
        <w:t xml:space="preserve"> </w:t>
      </w:r>
      <w:r>
        <w:t>related</w:t>
      </w:r>
      <w:r>
        <w:rPr>
          <w:spacing w:val="-3"/>
        </w:rPr>
        <w:t xml:space="preserve"> </w:t>
      </w:r>
      <w:r>
        <w:t>charges,</w:t>
      </w:r>
      <w:r>
        <w:rPr>
          <w:spacing w:val="-3"/>
        </w:rPr>
        <w:t xml:space="preserve"> </w:t>
      </w:r>
      <w:r>
        <w:t>which</w:t>
      </w:r>
      <w:r>
        <w:rPr>
          <w:spacing w:val="-3"/>
        </w:rPr>
        <w:t xml:space="preserve"> </w:t>
      </w:r>
      <w:r>
        <w:t>was</w:t>
      </w:r>
      <w:r>
        <w:rPr>
          <w:spacing w:val="-4"/>
        </w:rPr>
        <w:t xml:space="preserve"> </w:t>
      </w:r>
      <w:r>
        <w:t>recorded</w:t>
      </w:r>
      <w:r>
        <w:rPr>
          <w:spacing w:val="-3"/>
        </w:rPr>
        <w:t xml:space="preserve"> </w:t>
      </w:r>
      <w:r>
        <w:t>in</w:t>
      </w:r>
      <w:r>
        <w:rPr>
          <w:spacing w:val="-3"/>
        </w:rPr>
        <w:t xml:space="preserve"> </w:t>
      </w:r>
      <w:r>
        <w:t>other</w:t>
      </w:r>
      <w:r>
        <w:rPr>
          <w:spacing w:val="-3"/>
        </w:rPr>
        <w:t xml:space="preserve"> </w:t>
      </w:r>
      <w:r>
        <w:t>non-operating</w:t>
      </w:r>
      <w:r>
        <w:rPr>
          <w:spacing w:val="-3"/>
        </w:rPr>
        <w:t xml:space="preserve"> </w:t>
      </w:r>
      <w:r>
        <w:t>(expense)</w:t>
      </w:r>
      <w:r>
        <w:rPr>
          <w:spacing w:val="-3"/>
        </w:rPr>
        <w:t xml:space="preserve"> </w:t>
      </w:r>
      <w:r>
        <w:t>income,</w:t>
      </w:r>
      <w:r>
        <w:rPr>
          <w:spacing w:val="-3"/>
        </w:rPr>
        <w:t xml:space="preserve"> </w:t>
      </w:r>
      <w:r>
        <w:t>net in our consolidated statements of earnings.</w:t>
      </w:r>
    </w:p>
    <w:p w14:paraId="5507E420" w14:textId="77777777" w:rsidR="00AE2255" w:rsidRDefault="00AE2255">
      <w:pPr>
        <w:spacing w:line="249" w:lineRule="auto"/>
        <w:sectPr w:rsidR="00AE2255">
          <w:pgSz w:w="12240" w:h="15840"/>
          <w:pgMar w:top="440" w:right="560" w:bottom="720" w:left="380" w:header="230" w:footer="531" w:gutter="0"/>
          <w:cols w:space="720"/>
        </w:sectPr>
      </w:pPr>
    </w:p>
    <w:p w14:paraId="2AC77233" w14:textId="77777777" w:rsidR="00AE2255" w:rsidRDefault="00AE2255">
      <w:pPr>
        <w:pStyle w:val="BodyText"/>
        <w:spacing w:before="7"/>
        <w:rPr>
          <w:sz w:val="22"/>
        </w:rPr>
      </w:pPr>
    </w:p>
    <w:p w14:paraId="4074C872" w14:textId="77777777" w:rsidR="00AE2255" w:rsidRDefault="00000000">
      <w:pPr>
        <w:pStyle w:val="Heading2"/>
        <w:spacing w:before="92"/>
      </w:pPr>
      <w:r>
        <w:t>Contractual</w:t>
      </w:r>
      <w:r>
        <w:rPr>
          <w:spacing w:val="-6"/>
        </w:rPr>
        <w:t xml:space="preserve"> </w:t>
      </w:r>
      <w:r>
        <w:rPr>
          <w:spacing w:val="-2"/>
        </w:rPr>
        <w:t>Commitments</w:t>
      </w:r>
    </w:p>
    <w:p w14:paraId="5B3AA6E9" w14:textId="77777777" w:rsidR="00AE2255" w:rsidRDefault="00AE2255">
      <w:pPr>
        <w:pStyle w:val="BodyText"/>
        <w:spacing w:before="6"/>
        <w:rPr>
          <w:b/>
          <w:sz w:val="18"/>
        </w:rPr>
      </w:pPr>
    </w:p>
    <w:p w14:paraId="74222F41" w14:textId="77777777" w:rsidR="00AE2255" w:rsidRDefault="00000000">
      <w:pPr>
        <w:pStyle w:val="BodyText"/>
        <w:spacing w:line="249" w:lineRule="auto"/>
        <w:ind w:left="610" w:right="428" w:firstLine="360"/>
        <w:jc w:val="both"/>
      </w:pPr>
      <w:proofErr w:type="gramStart"/>
      <w:r>
        <w:t>At</w:t>
      </w:r>
      <w:proofErr w:type="gramEnd"/>
      <w:r>
        <w:t xml:space="preserve"> December 31, 2022, we had contractual commitments to repay debt, make payments under operating leases, settle obligations related to agreements to purchase goods and services and settle tax and other liabilities. Financing lease obligations were not material. Payments due under these obligations and commitments are as follows (in millions):</w:t>
      </w:r>
    </w:p>
    <w:p w14:paraId="5E7BBF0E" w14:textId="77777777" w:rsidR="00AE2255" w:rsidRDefault="00AE2255">
      <w:pPr>
        <w:pStyle w:val="BodyText"/>
        <w:spacing w:before="10"/>
        <w:rPr>
          <w:sz w:val="16"/>
        </w:rPr>
      </w:pPr>
    </w:p>
    <w:p w14:paraId="4C5D7266" w14:textId="77777777" w:rsidR="00AE2255" w:rsidRDefault="00AE2255">
      <w:pPr>
        <w:rPr>
          <w:sz w:val="16"/>
        </w:rPr>
        <w:sectPr w:rsidR="00AE2255">
          <w:pgSz w:w="12240" w:h="15840"/>
          <w:pgMar w:top="440" w:right="560" w:bottom="720" w:left="380" w:header="230" w:footer="531" w:gutter="0"/>
          <w:cols w:space="720"/>
        </w:sectPr>
      </w:pPr>
    </w:p>
    <w:p w14:paraId="37FA85A0" w14:textId="77777777" w:rsidR="00AE2255" w:rsidRDefault="00AE2255">
      <w:pPr>
        <w:pStyle w:val="BodyText"/>
        <w:spacing w:before="4"/>
        <w:rPr>
          <w:sz w:val="25"/>
        </w:rPr>
      </w:pPr>
    </w:p>
    <w:p w14:paraId="20E52B69" w14:textId="77777777" w:rsidR="00AE2255" w:rsidRDefault="00000000">
      <w:pPr>
        <w:pStyle w:val="Heading2"/>
        <w:ind w:left="0"/>
        <w:jc w:val="right"/>
      </w:pPr>
      <w:r>
        <w:rPr>
          <w:spacing w:val="-2"/>
        </w:rPr>
        <w:t>Total</w:t>
      </w:r>
    </w:p>
    <w:p w14:paraId="12BF1E49" w14:textId="77777777" w:rsidR="00AE2255" w:rsidRDefault="00000000">
      <w:pPr>
        <w:spacing w:before="116" w:line="208" w:lineRule="auto"/>
        <w:ind w:left="881" w:right="653" w:hanging="237"/>
        <w:rPr>
          <w:b/>
          <w:sz w:val="20"/>
        </w:rPr>
      </w:pPr>
      <w:r>
        <w:br w:type="column"/>
      </w:r>
      <w:r>
        <w:rPr>
          <w:b/>
          <w:sz w:val="20"/>
        </w:rPr>
        <w:t>Due</w:t>
      </w:r>
      <w:r>
        <w:rPr>
          <w:b/>
          <w:spacing w:val="-13"/>
          <w:sz w:val="20"/>
        </w:rPr>
        <w:t xml:space="preserve"> </w:t>
      </w:r>
      <w:r>
        <w:rPr>
          <w:b/>
          <w:sz w:val="20"/>
        </w:rPr>
        <w:t>Within 1 Year</w:t>
      </w:r>
    </w:p>
    <w:p w14:paraId="48F98067" w14:textId="77777777" w:rsidR="00AE2255" w:rsidRDefault="00AE2255">
      <w:pPr>
        <w:spacing w:line="208" w:lineRule="auto"/>
        <w:rPr>
          <w:sz w:val="20"/>
        </w:rPr>
        <w:sectPr w:rsidR="00AE2255">
          <w:type w:val="continuous"/>
          <w:pgSz w:w="12240" w:h="15840"/>
          <w:pgMar w:top="440" w:right="560" w:bottom="280" w:left="380" w:header="230" w:footer="531" w:gutter="0"/>
          <w:cols w:num="2" w:space="720" w:equalWidth="0">
            <w:col w:w="8961" w:space="40"/>
            <w:col w:w="2299"/>
          </w:cols>
        </w:sectPr>
      </w:pPr>
    </w:p>
    <w:tbl>
      <w:tblPr>
        <w:tblW w:w="0" w:type="auto"/>
        <w:tblInd w:w="617" w:type="dxa"/>
        <w:tblLayout w:type="fixed"/>
        <w:tblCellMar>
          <w:left w:w="0" w:type="dxa"/>
          <w:right w:w="0" w:type="dxa"/>
        </w:tblCellMar>
        <w:tblLook w:val="01E0" w:firstRow="1" w:lastRow="1" w:firstColumn="1" w:lastColumn="1" w:noHBand="0" w:noVBand="0"/>
      </w:tblPr>
      <w:tblGrid>
        <w:gridCol w:w="7403"/>
        <w:gridCol w:w="1446"/>
        <w:gridCol w:w="1338"/>
        <w:gridCol w:w="76"/>
      </w:tblGrid>
      <w:tr w:rsidR="00AE2255" w14:paraId="04E8860F" w14:textId="77777777">
        <w:trPr>
          <w:trHeight w:val="275"/>
        </w:trPr>
        <w:tc>
          <w:tcPr>
            <w:tcW w:w="7403" w:type="dxa"/>
            <w:tcBorders>
              <w:top w:val="single" w:sz="8" w:space="0" w:color="000000"/>
              <w:right w:val="single" w:sz="2" w:space="0" w:color="CCEDFF"/>
            </w:tcBorders>
            <w:shd w:val="clear" w:color="auto" w:fill="CCEDFF"/>
          </w:tcPr>
          <w:p w14:paraId="26BFDDDD" w14:textId="77777777" w:rsidR="00AE2255" w:rsidRDefault="00000000">
            <w:pPr>
              <w:pStyle w:val="TableParagraph"/>
              <w:spacing w:before="15"/>
              <w:ind w:left="52"/>
              <w:jc w:val="left"/>
              <w:rPr>
                <w:sz w:val="20"/>
              </w:rPr>
            </w:pPr>
            <w:r>
              <w:rPr>
                <w:sz w:val="20"/>
              </w:rPr>
              <w:t>Total</w:t>
            </w:r>
            <w:r>
              <w:rPr>
                <w:spacing w:val="-4"/>
                <w:sz w:val="20"/>
              </w:rPr>
              <w:t xml:space="preserve"> debt</w:t>
            </w:r>
          </w:p>
        </w:tc>
        <w:tc>
          <w:tcPr>
            <w:tcW w:w="1446" w:type="dxa"/>
            <w:tcBorders>
              <w:top w:val="single" w:sz="8" w:space="0" w:color="000000"/>
              <w:left w:val="single" w:sz="2" w:space="0" w:color="CCEDFF"/>
              <w:right w:val="single" w:sz="2" w:space="0" w:color="CCEDFF"/>
            </w:tcBorders>
            <w:shd w:val="clear" w:color="auto" w:fill="CCEDFF"/>
          </w:tcPr>
          <w:p w14:paraId="29AF3716" w14:textId="77777777" w:rsidR="00AE2255" w:rsidRDefault="00000000">
            <w:pPr>
              <w:pStyle w:val="TableParagraph"/>
              <w:tabs>
                <w:tab w:val="left" w:pos="680"/>
              </w:tabs>
              <w:spacing w:before="15"/>
              <w:ind w:right="121"/>
              <w:rPr>
                <w:sz w:val="20"/>
              </w:rPr>
            </w:pPr>
            <w:r>
              <w:rPr>
                <w:spacing w:val="-10"/>
                <w:sz w:val="20"/>
              </w:rPr>
              <w:t>$</w:t>
            </w:r>
            <w:r>
              <w:rPr>
                <w:sz w:val="20"/>
              </w:rPr>
              <w:tab/>
            </w:r>
            <w:r>
              <w:rPr>
                <w:spacing w:val="-2"/>
                <w:sz w:val="20"/>
              </w:rPr>
              <w:t>16,842</w:t>
            </w:r>
          </w:p>
        </w:tc>
        <w:tc>
          <w:tcPr>
            <w:tcW w:w="1338" w:type="dxa"/>
            <w:tcBorders>
              <w:top w:val="single" w:sz="8" w:space="0" w:color="000000"/>
              <w:left w:val="single" w:sz="2" w:space="0" w:color="CCEDFF"/>
              <w:right w:val="single" w:sz="2" w:space="0" w:color="CCEDFF"/>
            </w:tcBorders>
            <w:shd w:val="clear" w:color="auto" w:fill="CCEDFF"/>
          </w:tcPr>
          <w:p w14:paraId="41E10BA0" w14:textId="77777777" w:rsidR="00AE2255" w:rsidRDefault="00000000">
            <w:pPr>
              <w:pStyle w:val="TableParagraph"/>
              <w:tabs>
                <w:tab w:val="left" w:pos="870"/>
              </w:tabs>
              <w:spacing w:before="15"/>
              <w:ind w:right="79"/>
              <w:rPr>
                <w:sz w:val="20"/>
              </w:rPr>
            </w:pPr>
            <w:r>
              <w:rPr>
                <w:spacing w:val="-10"/>
                <w:sz w:val="20"/>
              </w:rPr>
              <w:t>$</w:t>
            </w:r>
            <w:r>
              <w:rPr>
                <w:sz w:val="20"/>
              </w:rPr>
              <w:tab/>
            </w:r>
            <w:r>
              <w:rPr>
                <w:spacing w:val="-5"/>
                <w:sz w:val="20"/>
              </w:rPr>
              <w:t>118</w:t>
            </w:r>
          </w:p>
        </w:tc>
        <w:tc>
          <w:tcPr>
            <w:tcW w:w="76" w:type="dxa"/>
            <w:tcBorders>
              <w:top w:val="single" w:sz="8" w:space="0" w:color="000000"/>
              <w:left w:val="single" w:sz="2" w:space="0" w:color="CCEDFF"/>
              <w:right w:val="single" w:sz="2" w:space="0" w:color="CCEDFF"/>
            </w:tcBorders>
            <w:shd w:val="clear" w:color="auto" w:fill="CCEDFF"/>
          </w:tcPr>
          <w:p w14:paraId="7187E1A6" w14:textId="77777777" w:rsidR="00AE2255" w:rsidRDefault="00AE2255">
            <w:pPr>
              <w:pStyle w:val="TableParagraph"/>
              <w:spacing w:before="0"/>
              <w:jc w:val="left"/>
              <w:rPr>
                <w:sz w:val="20"/>
              </w:rPr>
            </w:pPr>
          </w:p>
        </w:tc>
      </w:tr>
      <w:tr w:rsidR="00AE2255" w14:paraId="54F71F61" w14:textId="77777777">
        <w:trPr>
          <w:trHeight w:val="285"/>
        </w:trPr>
        <w:tc>
          <w:tcPr>
            <w:tcW w:w="7403" w:type="dxa"/>
          </w:tcPr>
          <w:p w14:paraId="676B9E86" w14:textId="77777777" w:rsidR="00AE2255" w:rsidRDefault="00000000">
            <w:pPr>
              <w:pStyle w:val="TableParagraph"/>
              <w:spacing w:before="27"/>
              <w:ind w:left="52"/>
              <w:jc w:val="left"/>
              <w:rPr>
                <w:sz w:val="20"/>
              </w:rPr>
            </w:pPr>
            <w:r>
              <w:rPr>
                <w:sz w:val="20"/>
              </w:rPr>
              <w:t>Interest</w:t>
            </w:r>
            <w:r>
              <w:rPr>
                <w:spacing w:val="-5"/>
                <w:sz w:val="20"/>
              </w:rPr>
              <w:t xml:space="preserve"> </w:t>
            </w:r>
            <w:r>
              <w:rPr>
                <w:spacing w:val="-2"/>
                <w:sz w:val="20"/>
              </w:rPr>
              <w:t>payments</w:t>
            </w:r>
          </w:p>
        </w:tc>
        <w:tc>
          <w:tcPr>
            <w:tcW w:w="1446" w:type="dxa"/>
          </w:tcPr>
          <w:p w14:paraId="26AD79E9" w14:textId="77777777" w:rsidR="00AE2255" w:rsidRDefault="00000000">
            <w:pPr>
              <w:pStyle w:val="TableParagraph"/>
              <w:ind w:right="123"/>
              <w:rPr>
                <w:sz w:val="20"/>
              </w:rPr>
            </w:pPr>
            <w:r>
              <w:rPr>
                <w:spacing w:val="-2"/>
                <w:sz w:val="20"/>
              </w:rPr>
              <w:t>15,028</w:t>
            </w:r>
          </w:p>
        </w:tc>
        <w:tc>
          <w:tcPr>
            <w:tcW w:w="1338" w:type="dxa"/>
          </w:tcPr>
          <w:p w14:paraId="682AA374" w14:textId="77777777" w:rsidR="00AE2255" w:rsidRDefault="00000000">
            <w:pPr>
              <w:pStyle w:val="TableParagraph"/>
              <w:spacing w:before="27"/>
              <w:ind w:right="81"/>
              <w:rPr>
                <w:sz w:val="20"/>
              </w:rPr>
            </w:pPr>
            <w:r>
              <w:rPr>
                <w:spacing w:val="-5"/>
                <w:sz w:val="20"/>
              </w:rPr>
              <w:t>768</w:t>
            </w:r>
          </w:p>
        </w:tc>
        <w:tc>
          <w:tcPr>
            <w:tcW w:w="76" w:type="dxa"/>
            <w:tcBorders>
              <w:right w:val="single" w:sz="2" w:space="0" w:color="auto"/>
            </w:tcBorders>
          </w:tcPr>
          <w:p w14:paraId="46CD81BE" w14:textId="77777777" w:rsidR="00AE2255" w:rsidRDefault="00AE2255">
            <w:pPr>
              <w:pStyle w:val="TableParagraph"/>
              <w:spacing w:before="0"/>
              <w:jc w:val="left"/>
              <w:rPr>
                <w:sz w:val="20"/>
              </w:rPr>
            </w:pPr>
          </w:p>
        </w:tc>
      </w:tr>
      <w:tr w:rsidR="00AE2255" w14:paraId="624B37F1" w14:textId="77777777">
        <w:trPr>
          <w:trHeight w:val="285"/>
        </w:trPr>
        <w:tc>
          <w:tcPr>
            <w:tcW w:w="7403" w:type="dxa"/>
            <w:tcBorders>
              <w:right w:val="single" w:sz="2" w:space="0" w:color="CCEDFF"/>
            </w:tcBorders>
            <w:shd w:val="clear" w:color="auto" w:fill="CCEDFF"/>
          </w:tcPr>
          <w:p w14:paraId="277B9F69" w14:textId="77777777" w:rsidR="00AE2255" w:rsidRDefault="00000000">
            <w:pPr>
              <w:pStyle w:val="TableParagraph"/>
              <w:spacing w:before="27"/>
              <w:ind w:left="52"/>
              <w:jc w:val="left"/>
              <w:rPr>
                <w:sz w:val="20"/>
              </w:rPr>
            </w:pPr>
            <w:r>
              <w:rPr>
                <w:sz w:val="20"/>
              </w:rPr>
              <w:t>Other</w:t>
            </w:r>
            <w:r>
              <w:rPr>
                <w:spacing w:val="-3"/>
                <w:sz w:val="20"/>
              </w:rPr>
              <w:t xml:space="preserve"> </w:t>
            </w:r>
            <w:r>
              <w:rPr>
                <w:spacing w:val="-2"/>
                <w:sz w:val="20"/>
              </w:rPr>
              <w:t>liabilities</w:t>
            </w:r>
          </w:p>
        </w:tc>
        <w:tc>
          <w:tcPr>
            <w:tcW w:w="1446" w:type="dxa"/>
            <w:tcBorders>
              <w:left w:val="single" w:sz="2" w:space="0" w:color="CCEDFF"/>
              <w:right w:val="single" w:sz="2" w:space="0" w:color="CCEDFF"/>
            </w:tcBorders>
            <w:shd w:val="clear" w:color="auto" w:fill="CCEDFF"/>
          </w:tcPr>
          <w:p w14:paraId="4C9F4A72" w14:textId="77777777" w:rsidR="00AE2255" w:rsidRDefault="00000000">
            <w:pPr>
              <w:pStyle w:val="TableParagraph"/>
              <w:ind w:right="121"/>
              <w:rPr>
                <w:sz w:val="20"/>
              </w:rPr>
            </w:pPr>
            <w:r>
              <w:rPr>
                <w:spacing w:val="-2"/>
                <w:sz w:val="20"/>
              </w:rPr>
              <w:t>3,520</w:t>
            </w:r>
          </w:p>
        </w:tc>
        <w:tc>
          <w:tcPr>
            <w:tcW w:w="1414" w:type="dxa"/>
            <w:gridSpan w:val="2"/>
            <w:tcBorders>
              <w:left w:val="single" w:sz="2" w:space="0" w:color="CCEDFF"/>
              <w:right w:val="single" w:sz="2" w:space="0" w:color="CCEDFF"/>
            </w:tcBorders>
            <w:shd w:val="clear" w:color="auto" w:fill="CCEDFF"/>
          </w:tcPr>
          <w:p w14:paraId="15F7E650" w14:textId="77777777" w:rsidR="00AE2255" w:rsidRDefault="00000000">
            <w:pPr>
              <w:pStyle w:val="TableParagraph"/>
              <w:spacing w:before="27"/>
              <w:ind w:right="155"/>
              <w:rPr>
                <w:sz w:val="20"/>
              </w:rPr>
            </w:pPr>
            <w:r>
              <w:rPr>
                <w:spacing w:val="-5"/>
                <w:sz w:val="20"/>
              </w:rPr>
              <w:t>222</w:t>
            </w:r>
          </w:p>
        </w:tc>
      </w:tr>
      <w:tr w:rsidR="00AE2255" w14:paraId="35DDB3F7" w14:textId="77777777">
        <w:trPr>
          <w:trHeight w:val="285"/>
        </w:trPr>
        <w:tc>
          <w:tcPr>
            <w:tcW w:w="7403" w:type="dxa"/>
          </w:tcPr>
          <w:p w14:paraId="7AAE112F" w14:textId="77777777" w:rsidR="00AE2255" w:rsidRDefault="00000000">
            <w:pPr>
              <w:pStyle w:val="TableParagraph"/>
              <w:spacing w:before="27"/>
              <w:ind w:left="52"/>
              <w:jc w:val="left"/>
              <w:rPr>
                <w:sz w:val="20"/>
              </w:rPr>
            </w:pPr>
            <w:r>
              <w:rPr>
                <w:sz w:val="20"/>
              </w:rPr>
              <w:t>Operating</w:t>
            </w:r>
            <w:r>
              <w:rPr>
                <w:spacing w:val="-5"/>
                <w:sz w:val="20"/>
              </w:rPr>
              <w:t xml:space="preserve"> </w:t>
            </w:r>
            <w:r>
              <w:rPr>
                <w:sz w:val="20"/>
              </w:rPr>
              <w:t>lease</w:t>
            </w:r>
            <w:r>
              <w:rPr>
                <w:spacing w:val="-5"/>
                <w:sz w:val="20"/>
              </w:rPr>
              <w:t xml:space="preserve"> </w:t>
            </w:r>
            <w:r>
              <w:rPr>
                <w:spacing w:val="-2"/>
                <w:sz w:val="20"/>
              </w:rPr>
              <w:t>obligations</w:t>
            </w:r>
          </w:p>
        </w:tc>
        <w:tc>
          <w:tcPr>
            <w:tcW w:w="1446" w:type="dxa"/>
          </w:tcPr>
          <w:p w14:paraId="02D622DA" w14:textId="77777777" w:rsidR="00AE2255" w:rsidRDefault="00000000">
            <w:pPr>
              <w:pStyle w:val="TableParagraph"/>
              <w:ind w:right="123"/>
              <w:rPr>
                <w:sz w:val="20"/>
              </w:rPr>
            </w:pPr>
            <w:r>
              <w:rPr>
                <w:spacing w:val="-2"/>
                <w:sz w:val="20"/>
              </w:rPr>
              <w:t>1,342</w:t>
            </w:r>
          </w:p>
        </w:tc>
        <w:tc>
          <w:tcPr>
            <w:tcW w:w="1338" w:type="dxa"/>
          </w:tcPr>
          <w:p w14:paraId="6C03B286" w14:textId="77777777" w:rsidR="00AE2255" w:rsidRDefault="00000000">
            <w:pPr>
              <w:pStyle w:val="TableParagraph"/>
              <w:spacing w:before="27"/>
              <w:ind w:right="81"/>
              <w:rPr>
                <w:sz w:val="20"/>
              </w:rPr>
            </w:pPr>
            <w:r>
              <w:rPr>
                <w:spacing w:val="-5"/>
                <w:sz w:val="20"/>
              </w:rPr>
              <w:t>327</w:t>
            </w:r>
          </w:p>
        </w:tc>
        <w:tc>
          <w:tcPr>
            <w:tcW w:w="76" w:type="dxa"/>
            <w:tcBorders>
              <w:right w:val="single" w:sz="2" w:space="0" w:color="auto"/>
            </w:tcBorders>
          </w:tcPr>
          <w:p w14:paraId="64E4BAC3" w14:textId="77777777" w:rsidR="00AE2255" w:rsidRDefault="00AE2255">
            <w:pPr>
              <w:pStyle w:val="TableParagraph"/>
              <w:spacing w:before="0"/>
              <w:jc w:val="left"/>
              <w:rPr>
                <w:sz w:val="20"/>
              </w:rPr>
            </w:pPr>
          </w:p>
        </w:tc>
      </w:tr>
      <w:tr w:rsidR="00AE2255" w14:paraId="4C756207" w14:textId="77777777">
        <w:trPr>
          <w:trHeight w:val="285"/>
        </w:trPr>
        <w:tc>
          <w:tcPr>
            <w:tcW w:w="7403" w:type="dxa"/>
            <w:tcBorders>
              <w:right w:val="single" w:sz="2" w:space="0" w:color="CCEDFF"/>
            </w:tcBorders>
            <w:shd w:val="clear" w:color="auto" w:fill="CCEDFF"/>
          </w:tcPr>
          <w:p w14:paraId="154DDE81" w14:textId="77777777" w:rsidR="00AE2255" w:rsidRDefault="00000000">
            <w:pPr>
              <w:pStyle w:val="TableParagraph"/>
              <w:spacing w:before="27"/>
              <w:ind w:left="52"/>
              <w:jc w:val="left"/>
              <w:rPr>
                <w:sz w:val="20"/>
              </w:rPr>
            </w:pPr>
            <w:r>
              <w:rPr>
                <w:sz w:val="20"/>
              </w:rPr>
              <w:t>Purchase</w:t>
            </w:r>
            <w:r>
              <w:rPr>
                <w:spacing w:val="-5"/>
                <w:sz w:val="20"/>
              </w:rPr>
              <w:t xml:space="preserve"> </w:t>
            </w:r>
            <w:r>
              <w:rPr>
                <w:spacing w:val="-2"/>
                <w:sz w:val="20"/>
              </w:rPr>
              <w:t>obligations:</w:t>
            </w:r>
          </w:p>
        </w:tc>
        <w:tc>
          <w:tcPr>
            <w:tcW w:w="1446" w:type="dxa"/>
            <w:tcBorders>
              <w:left w:val="single" w:sz="2" w:space="0" w:color="CCEDFF"/>
              <w:right w:val="single" w:sz="2" w:space="0" w:color="CCEDFF"/>
            </w:tcBorders>
            <w:shd w:val="clear" w:color="auto" w:fill="CCEDFF"/>
          </w:tcPr>
          <w:p w14:paraId="675DB12F" w14:textId="77777777" w:rsidR="00AE2255" w:rsidRDefault="00AE2255">
            <w:pPr>
              <w:pStyle w:val="TableParagraph"/>
              <w:spacing w:before="0"/>
              <w:jc w:val="left"/>
              <w:rPr>
                <w:sz w:val="20"/>
              </w:rPr>
            </w:pPr>
          </w:p>
        </w:tc>
        <w:tc>
          <w:tcPr>
            <w:tcW w:w="1414" w:type="dxa"/>
            <w:gridSpan w:val="2"/>
            <w:tcBorders>
              <w:left w:val="single" w:sz="2" w:space="0" w:color="CCEDFF"/>
              <w:right w:val="single" w:sz="2" w:space="0" w:color="CCEDFF"/>
            </w:tcBorders>
            <w:shd w:val="clear" w:color="auto" w:fill="CCEDFF"/>
          </w:tcPr>
          <w:p w14:paraId="10634C5E" w14:textId="77777777" w:rsidR="00AE2255" w:rsidRDefault="00AE2255">
            <w:pPr>
              <w:pStyle w:val="TableParagraph"/>
              <w:spacing w:before="0"/>
              <w:jc w:val="left"/>
              <w:rPr>
                <w:sz w:val="20"/>
              </w:rPr>
            </w:pPr>
          </w:p>
        </w:tc>
      </w:tr>
      <w:tr w:rsidR="00AE2255" w14:paraId="7C3FFE9E" w14:textId="77777777">
        <w:trPr>
          <w:trHeight w:val="285"/>
        </w:trPr>
        <w:tc>
          <w:tcPr>
            <w:tcW w:w="7403" w:type="dxa"/>
          </w:tcPr>
          <w:p w14:paraId="4E3E8301" w14:textId="77777777" w:rsidR="00AE2255" w:rsidRDefault="00000000">
            <w:pPr>
              <w:pStyle w:val="TableParagraph"/>
              <w:spacing w:before="27"/>
              <w:ind w:left="187"/>
              <w:jc w:val="left"/>
              <w:rPr>
                <w:sz w:val="20"/>
              </w:rPr>
            </w:pPr>
            <w:r>
              <w:rPr>
                <w:sz w:val="20"/>
              </w:rPr>
              <w:t>Operating</w:t>
            </w:r>
            <w:r>
              <w:rPr>
                <w:spacing w:val="-5"/>
                <w:sz w:val="20"/>
              </w:rPr>
              <w:t xml:space="preserve"> </w:t>
            </w:r>
            <w:r>
              <w:rPr>
                <w:spacing w:val="-2"/>
                <w:sz w:val="20"/>
              </w:rPr>
              <w:t>activities</w:t>
            </w:r>
          </w:p>
        </w:tc>
        <w:tc>
          <w:tcPr>
            <w:tcW w:w="1446" w:type="dxa"/>
          </w:tcPr>
          <w:p w14:paraId="4F349CBF" w14:textId="77777777" w:rsidR="00AE2255" w:rsidRDefault="00000000">
            <w:pPr>
              <w:pStyle w:val="TableParagraph"/>
              <w:ind w:right="123"/>
              <w:rPr>
                <w:sz w:val="20"/>
              </w:rPr>
            </w:pPr>
            <w:r>
              <w:rPr>
                <w:spacing w:val="-2"/>
                <w:sz w:val="20"/>
              </w:rPr>
              <w:t>59,101</w:t>
            </w:r>
          </w:p>
        </w:tc>
        <w:tc>
          <w:tcPr>
            <w:tcW w:w="1338" w:type="dxa"/>
          </w:tcPr>
          <w:p w14:paraId="306E2DFE" w14:textId="77777777" w:rsidR="00AE2255" w:rsidRDefault="00000000">
            <w:pPr>
              <w:pStyle w:val="TableParagraph"/>
              <w:spacing w:before="27"/>
              <w:ind w:right="81"/>
              <w:rPr>
                <w:sz w:val="20"/>
              </w:rPr>
            </w:pPr>
            <w:r>
              <w:rPr>
                <w:spacing w:val="-2"/>
                <w:sz w:val="20"/>
              </w:rPr>
              <w:t>27,925</w:t>
            </w:r>
          </w:p>
        </w:tc>
        <w:tc>
          <w:tcPr>
            <w:tcW w:w="76" w:type="dxa"/>
            <w:tcBorders>
              <w:right w:val="single" w:sz="2" w:space="0" w:color="auto"/>
            </w:tcBorders>
          </w:tcPr>
          <w:p w14:paraId="0DE7449D" w14:textId="77777777" w:rsidR="00AE2255" w:rsidRDefault="00AE2255">
            <w:pPr>
              <w:pStyle w:val="TableParagraph"/>
              <w:spacing w:before="0"/>
              <w:jc w:val="left"/>
              <w:rPr>
                <w:sz w:val="20"/>
              </w:rPr>
            </w:pPr>
          </w:p>
        </w:tc>
      </w:tr>
      <w:tr w:rsidR="00AE2255" w14:paraId="08EC7960" w14:textId="77777777">
        <w:trPr>
          <w:trHeight w:val="275"/>
        </w:trPr>
        <w:tc>
          <w:tcPr>
            <w:tcW w:w="7403" w:type="dxa"/>
            <w:tcBorders>
              <w:bottom w:val="single" w:sz="8" w:space="0" w:color="000000"/>
              <w:right w:val="single" w:sz="2" w:space="0" w:color="CCEDFF"/>
            </w:tcBorders>
            <w:shd w:val="clear" w:color="auto" w:fill="CCEDFF"/>
          </w:tcPr>
          <w:p w14:paraId="3E17ED75" w14:textId="77777777" w:rsidR="00AE2255" w:rsidRDefault="00000000">
            <w:pPr>
              <w:pStyle w:val="TableParagraph"/>
              <w:spacing w:before="27" w:line="228" w:lineRule="exact"/>
              <w:ind w:left="187"/>
              <w:jc w:val="left"/>
              <w:rPr>
                <w:sz w:val="20"/>
              </w:rPr>
            </w:pPr>
            <w:r>
              <w:rPr>
                <w:sz w:val="20"/>
              </w:rPr>
              <w:t>Capital</w:t>
            </w:r>
            <w:r>
              <w:rPr>
                <w:spacing w:val="-6"/>
                <w:sz w:val="20"/>
              </w:rPr>
              <w:t xml:space="preserve"> </w:t>
            </w:r>
            <w:r>
              <w:rPr>
                <w:spacing w:val="-2"/>
                <w:sz w:val="20"/>
              </w:rPr>
              <w:t>expenditures</w:t>
            </w:r>
          </w:p>
        </w:tc>
        <w:tc>
          <w:tcPr>
            <w:tcW w:w="1446" w:type="dxa"/>
            <w:tcBorders>
              <w:left w:val="single" w:sz="2" w:space="0" w:color="CCEDFF"/>
              <w:bottom w:val="single" w:sz="8" w:space="0" w:color="000000"/>
              <w:right w:val="single" w:sz="2" w:space="0" w:color="CCEDFF"/>
            </w:tcBorders>
            <w:shd w:val="clear" w:color="auto" w:fill="CCEDFF"/>
          </w:tcPr>
          <w:p w14:paraId="36FD774C" w14:textId="77777777" w:rsidR="00AE2255" w:rsidRDefault="00000000">
            <w:pPr>
              <w:pStyle w:val="TableParagraph"/>
              <w:spacing w:line="230" w:lineRule="exact"/>
              <w:ind w:right="121"/>
              <w:rPr>
                <w:sz w:val="20"/>
              </w:rPr>
            </w:pPr>
            <w:r>
              <w:rPr>
                <w:spacing w:val="-5"/>
                <w:sz w:val="20"/>
              </w:rPr>
              <w:t>671</w:t>
            </w:r>
          </w:p>
        </w:tc>
        <w:tc>
          <w:tcPr>
            <w:tcW w:w="1338" w:type="dxa"/>
            <w:tcBorders>
              <w:left w:val="single" w:sz="2" w:space="0" w:color="CCEDFF"/>
              <w:bottom w:val="single" w:sz="8" w:space="0" w:color="000000"/>
              <w:right w:val="single" w:sz="2" w:space="0" w:color="CCEDFF"/>
            </w:tcBorders>
            <w:shd w:val="clear" w:color="auto" w:fill="CCEDFF"/>
          </w:tcPr>
          <w:p w14:paraId="34D677A0" w14:textId="77777777" w:rsidR="00AE2255" w:rsidRDefault="00000000">
            <w:pPr>
              <w:pStyle w:val="TableParagraph"/>
              <w:spacing w:line="230" w:lineRule="exact"/>
              <w:ind w:right="79"/>
              <w:rPr>
                <w:sz w:val="20"/>
              </w:rPr>
            </w:pPr>
            <w:r>
              <w:rPr>
                <w:spacing w:val="-5"/>
                <w:sz w:val="20"/>
              </w:rPr>
              <w:t>472</w:t>
            </w:r>
          </w:p>
        </w:tc>
        <w:tc>
          <w:tcPr>
            <w:tcW w:w="76" w:type="dxa"/>
            <w:tcBorders>
              <w:left w:val="single" w:sz="2" w:space="0" w:color="CCEDFF"/>
              <w:bottom w:val="single" w:sz="8" w:space="0" w:color="000000"/>
              <w:right w:val="single" w:sz="2" w:space="0" w:color="CCEDFF"/>
            </w:tcBorders>
            <w:shd w:val="clear" w:color="auto" w:fill="CCEDFF"/>
          </w:tcPr>
          <w:p w14:paraId="22B806E0" w14:textId="77777777" w:rsidR="00AE2255" w:rsidRDefault="00AE2255">
            <w:pPr>
              <w:pStyle w:val="TableParagraph"/>
              <w:spacing w:before="0"/>
              <w:jc w:val="left"/>
              <w:rPr>
                <w:sz w:val="20"/>
              </w:rPr>
            </w:pPr>
          </w:p>
        </w:tc>
      </w:tr>
    </w:tbl>
    <w:p w14:paraId="72F8FB9D" w14:textId="77777777" w:rsidR="00AE2255" w:rsidRDefault="00000000">
      <w:pPr>
        <w:pStyle w:val="BodyText"/>
        <w:tabs>
          <w:tab w:val="left" w:pos="8102"/>
          <w:tab w:val="left" w:pos="8783"/>
          <w:tab w:val="left" w:pos="9542"/>
          <w:tab w:val="left" w:pos="10163"/>
        </w:tabs>
        <w:spacing w:before="37"/>
        <w:ind w:left="662"/>
      </w:pPr>
      <w:r>
        <w:pict w14:anchorId="323D9291">
          <v:group id="docshapegroup30" o:spid="_x0000_s2194" style="position:absolute;left:0;text-align:left;margin-left:49.5pt;margin-top:13.75pt;width:513pt;height:2pt;z-index:-15713280;mso-wrap-distance-left:0;mso-wrap-distance-right:0;mso-position-horizontal-relative:page;mso-position-vertical-relative:text" coordorigin="990,275" coordsize="10260,40">
            <v:shape id="docshape31" o:spid="_x0000_s2196" style="position:absolute;left:990;top:295;width:10260;height:2" coordorigin="990,295" coordsize="10260,0" path="m11250,295l990,295e" fillcolor="black" stroked="f">
              <v:fill opacity="0"/>
              <v:path arrowok="t"/>
            </v:shape>
            <v:line id="_x0000_s2195" style="position:absolute" from="990,295" to="11250,295" strokeweight="2pt"/>
            <w10:wrap type="topAndBottom" anchorx="page"/>
          </v:group>
        </w:pict>
      </w:r>
      <w:r>
        <w:t>Total</w:t>
      </w:r>
      <w:r>
        <w:rPr>
          <w:spacing w:val="-5"/>
        </w:rPr>
        <w:t xml:space="preserve"> </w:t>
      </w:r>
      <w:r>
        <w:t>contractual</w:t>
      </w:r>
      <w:r>
        <w:rPr>
          <w:spacing w:val="-5"/>
        </w:rPr>
        <w:t xml:space="preserve"> </w:t>
      </w:r>
      <w:r>
        <w:t>cash</w:t>
      </w:r>
      <w:r>
        <w:rPr>
          <w:spacing w:val="-4"/>
        </w:rPr>
        <w:t xml:space="preserve"> </w:t>
      </w:r>
      <w:r>
        <w:rPr>
          <w:spacing w:val="-2"/>
        </w:rPr>
        <w:t>obligations</w:t>
      </w:r>
      <w:r>
        <w:tab/>
      </w:r>
      <w:r>
        <w:rPr>
          <w:spacing w:val="-10"/>
        </w:rPr>
        <w:t>$</w:t>
      </w:r>
      <w:r>
        <w:tab/>
      </w:r>
      <w:r>
        <w:rPr>
          <w:spacing w:val="-2"/>
        </w:rPr>
        <w:t>96,504</w:t>
      </w:r>
      <w:r>
        <w:tab/>
      </w:r>
      <w:r>
        <w:rPr>
          <w:spacing w:val="-10"/>
        </w:rPr>
        <w:t>$</w:t>
      </w:r>
      <w:r>
        <w:tab/>
      </w:r>
      <w:r>
        <w:rPr>
          <w:spacing w:val="-2"/>
        </w:rPr>
        <w:t>29,832</w:t>
      </w:r>
    </w:p>
    <w:p w14:paraId="54D9A886" w14:textId="77777777" w:rsidR="00AE2255" w:rsidRDefault="00AE2255">
      <w:pPr>
        <w:pStyle w:val="BodyText"/>
        <w:spacing w:before="2"/>
        <w:rPr>
          <w:sz w:val="12"/>
        </w:rPr>
      </w:pPr>
    </w:p>
    <w:p w14:paraId="3D230B80" w14:textId="77777777" w:rsidR="00AE2255" w:rsidRDefault="00000000">
      <w:pPr>
        <w:pStyle w:val="BodyText"/>
        <w:spacing w:before="92" w:line="249" w:lineRule="auto"/>
        <w:ind w:left="610" w:right="427" w:firstLine="450"/>
        <w:jc w:val="both"/>
      </w:pPr>
      <w:r>
        <w:t xml:space="preserve">The table above includes debt presented gross of any unamortized discounts and issuance </w:t>
      </w:r>
      <w:proofErr w:type="gramStart"/>
      <w:r>
        <w:t>costs, but</w:t>
      </w:r>
      <w:proofErr w:type="gramEnd"/>
      <w:r>
        <w:t xml:space="preserve"> excludes the net unfunded obligation and estimated minimum funding requirements related to our qualified defined benefit pension plans. For additional information about obligations and our future minimum contribution requirements for these plans, see “Note 11 – Postretirement Benefit Plans” included in our Notes to Consolidated Financial Statements. Amounts related to other liabilities represent the contractual obligations for certain long-term liabilities recorded as of December 31, 2022. Such amounts mainly include expected payments under non-qualified pension plans, environmental </w:t>
      </w:r>
      <w:proofErr w:type="gramStart"/>
      <w:r>
        <w:t>liabilities</w:t>
      </w:r>
      <w:proofErr w:type="gramEnd"/>
      <w:r>
        <w:t xml:space="preserve"> and deferred compensation plans.</w:t>
      </w:r>
    </w:p>
    <w:p w14:paraId="047CF9C8" w14:textId="77777777" w:rsidR="00AE2255" w:rsidRDefault="00AE2255">
      <w:pPr>
        <w:pStyle w:val="BodyText"/>
        <w:spacing w:before="9"/>
        <w:rPr>
          <w:sz w:val="17"/>
        </w:rPr>
      </w:pPr>
    </w:p>
    <w:p w14:paraId="49871DAF" w14:textId="77777777" w:rsidR="00AE2255" w:rsidRDefault="00000000">
      <w:pPr>
        <w:pStyle w:val="BodyText"/>
        <w:spacing w:line="249" w:lineRule="auto"/>
        <w:ind w:left="610" w:right="428" w:firstLine="450"/>
        <w:jc w:val="both"/>
      </w:pPr>
      <w:r>
        <w:t>Purchase obligations related to operating activities include agreements and contracts that give the supplier recourse to us for cancellation or nonperformance under the contract or contain terms that would subject us to liquidated damages. Such agreements and contracts may, for example, be related to direct materials, obligations to subcontractors and outsourcing arrangements. Total purchase obligations for operating activities in the preceding table include approximately $53.7 billion related to contractual</w:t>
      </w:r>
      <w:r>
        <w:rPr>
          <w:spacing w:val="-1"/>
        </w:rPr>
        <w:t xml:space="preserve"> </w:t>
      </w:r>
      <w:r>
        <w:t>commitments</w:t>
      </w:r>
      <w:r>
        <w:rPr>
          <w:spacing w:val="-1"/>
        </w:rPr>
        <w:t xml:space="preserve"> </w:t>
      </w:r>
      <w:proofErr w:type="gramStart"/>
      <w:r>
        <w:t>entered into</w:t>
      </w:r>
      <w:proofErr w:type="gramEnd"/>
      <w:r>
        <w:t xml:space="preserve"> as</w:t>
      </w:r>
      <w:r>
        <w:rPr>
          <w:spacing w:val="-1"/>
        </w:rPr>
        <w:t xml:space="preserve"> </w:t>
      </w:r>
      <w:r>
        <w:t>a</w:t>
      </w:r>
      <w:r>
        <w:rPr>
          <w:spacing w:val="-1"/>
        </w:rPr>
        <w:t xml:space="preserve"> </w:t>
      </w:r>
      <w:r>
        <w:t>result</w:t>
      </w:r>
      <w:r>
        <w:rPr>
          <w:spacing w:val="-1"/>
        </w:rPr>
        <w:t xml:space="preserve"> </w:t>
      </w:r>
      <w:r>
        <w:t>of contracts</w:t>
      </w:r>
      <w:r>
        <w:rPr>
          <w:spacing w:val="-1"/>
        </w:rPr>
        <w:t xml:space="preserve"> </w:t>
      </w:r>
      <w:r>
        <w:t>we</w:t>
      </w:r>
      <w:r>
        <w:rPr>
          <w:spacing w:val="-1"/>
        </w:rPr>
        <w:t xml:space="preserve"> </w:t>
      </w:r>
      <w:r>
        <w:t>have</w:t>
      </w:r>
      <w:r>
        <w:rPr>
          <w:spacing w:val="-1"/>
        </w:rPr>
        <w:t xml:space="preserve"> </w:t>
      </w:r>
      <w:r>
        <w:t>with our U.S. Government</w:t>
      </w:r>
      <w:r>
        <w:rPr>
          <w:spacing w:val="-1"/>
        </w:rPr>
        <w:t xml:space="preserve"> </w:t>
      </w:r>
      <w:r>
        <w:t>customers. The</w:t>
      </w:r>
      <w:r>
        <w:rPr>
          <w:spacing w:val="-1"/>
        </w:rPr>
        <w:t xml:space="preserve"> </w:t>
      </w:r>
      <w:r>
        <w:t xml:space="preserve">U.S. Government generally would be required to pay us for any costs we incur relative to these commitments if they were to terminate the related contracts “for convenience” under the FAR, subject to available funding. This also would be true in cases where we perform subcontract work for a prime contractor under a U.S. Government contract. The termination for convenience language also may be included in contracts with foreign, </w:t>
      </w:r>
      <w:proofErr w:type="gramStart"/>
      <w:r>
        <w:t>state</w:t>
      </w:r>
      <w:proofErr w:type="gramEnd"/>
      <w:r>
        <w:t xml:space="preserve"> and local governments. We also have contracts with customers that do not include termination for convenience provisions, including contracts with commercial customers.</w:t>
      </w:r>
    </w:p>
    <w:p w14:paraId="5F8AACF9" w14:textId="77777777" w:rsidR="00AE2255" w:rsidRDefault="00AE2255">
      <w:pPr>
        <w:pStyle w:val="BodyText"/>
        <w:spacing w:before="1"/>
        <w:rPr>
          <w:sz w:val="18"/>
        </w:rPr>
      </w:pPr>
    </w:p>
    <w:p w14:paraId="661AA399" w14:textId="77777777" w:rsidR="00AE2255" w:rsidRDefault="00000000">
      <w:pPr>
        <w:pStyle w:val="BodyText"/>
        <w:spacing w:line="249" w:lineRule="auto"/>
        <w:ind w:left="610" w:right="428" w:firstLine="450"/>
        <w:jc w:val="both"/>
      </w:pPr>
      <w:proofErr w:type="gramStart"/>
      <w:r>
        <w:t>The majority of</w:t>
      </w:r>
      <w:proofErr w:type="gramEnd"/>
      <w:r>
        <w:t xml:space="preserve"> our capital expenditures for 2022 and those planned for 2023 are for equipment, facilities infrastructure and information technology. The amounts above in the table represent the portion of expected capital expenditures to be incurred in 2023 and beyond that have been obligated under contracts as of December 31, </w:t>
      </w:r>
      <w:proofErr w:type="gramStart"/>
      <w:r>
        <w:t>2022</w:t>
      </w:r>
      <w:proofErr w:type="gramEnd"/>
      <w:r>
        <w:t xml:space="preserve"> and not necessarily total capital expenditures for future periods. Expenditures for equipment and facilities infrastructure are generally incurred to support new and existing programs across </w:t>
      </w:r>
      <w:proofErr w:type="gramStart"/>
      <w:r>
        <w:t>all of</w:t>
      </w:r>
      <w:proofErr w:type="gramEnd"/>
      <w:r>
        <w:t xml:space="preserve"> our business segments. For example, we have projects underway at Aeronautics to support classified development programs and at RMS to support our Sikorsky helicopter programs; and we have projects underway to modernize certain of our facilities. We also incur capital expenditures for information technology to support programs and general enterprise information technology infrastructure, inclusive of costs for the development or purchase of internal-use </w:t>
      </w:r>
      <w:r>
        <w:rPr>
          <w:spacing w:val="-2"/>
        </w:rPr>
        <w:t>software.</w:t>
      </w:r>
    </w:p>
    <w:p w14:paraId="270307F0" w14:textId="77777777" w:rsidR="00AE2255" w:rsidRDefault="00AE2255">
      <w:pPr>
        <w:pStyle w:val="BodyText"/>
        <w:rPr>
          <w:sz w:val="18"/>
        </w:rPr>
      </w:pPr>
    </w:p>
    <w:p w14:paraId="3A54567C" w14:textId="77777777" w:rsidR="00AE2255" w:rsidRDefault="00000000">
      <w:pPr>
        <w:pStyle w:val="BodyText"/>
        <w:spacing w:before="1" w:line="249" w:lineRule="auto"/>
        <w:ind w:left="610" w:right="429" w:firstLine="360"/>
        <w:jc w:val="both"/>
      </w:pPr>
      <w:r>
        <w:t>We also may enter into industrial cooperation agreements, sometimes referred to as offset agreements, as a condition to obtaining orders for our products and services from certain customers in foreign countries. These agreements are designed to enhance the social and economic environment of the foreign country by requiring the contractor to promote investment in the country. Offset agreements may be satisfied through activities that do not require us to use cash, including transferring technology, providing manufacturing and other consulting support to in-country projects and the purchase by third parties (e.g.</w:t>
      </w:r>
      <w:r>
        <w:rPr>
          <w:i/>
        </w:rPr>
        <w:t xml:space="preserve">, </w:t>
      </w:r>
      <w:r>
        <w:t xml:space="preserve">our vendors) of supplies from in-country vendors. These agreements also may be satisfied through our use of cash for such activities as purchasing supplies from in-country vendors, providing financial support for in-country projects, establishment of joint ventures with local companies and building or leasing facilities for in-country operations. We typically do not commit to offset agreements until orders for our products or services are definitive. The amounts ultimately applied against our offset agreements are based on negotiations with the customer and typically require cash outlays that represent only a fraction of the original amount in the offset agreement. Satisfaction of our offset obligations are included in the estimates of our total costs to complete the contract and may impact our sales, </w:t>
      </w:r>
      <w:proofErr w:type="gramStart"/>
      <w:r>
        <w:t>profitability</w:t>
      </w:r>
      <w:proofErr w:type="gramEnd"/>
      <w:r>
        <w:t xml:space="preserve"> and cash flows. Our ability to recover investments on our consolidated</w:t>
      </w:r>
      <w:r>
        <w:rPr>
          <w:spacing w:val="15"/>
        </w:rPr>
        <w:t xml:space="preserve"> </w:t>
      </w:r>
      <w:r>
        <w:t>balance</w:t>
      </w:r>
      <w:r>
        <w:rPr>
          <w:spacing w:val="15"/>
        </w:rPr>
        <w:t xml:space="preserve"> </w:t>
      </w:r>
      <w:r>
        <w:t>sheet</w:t>
      </w:r>
      <w:r>
        <w:rPr>
          <w:spacing w:val="15"/>
        </w:rPr>
        <w:t xml:space="preserve"> </w:t>
      </w:r>
      <w:r>
        <w:t>that</w:t>
      </w:r>
      <w:r>
        <w:rPr>
          <w:spacing w:val="15"/>
        </w:rPr>
        <w:t xml:space="preserve"> </w:t>
      </w:r>
      <w:r>
        <w:t>we</w:t>
      </w:r>
      <w:r>
        <w:rPr>
          <w:spacing w:val="15"/>
        </w:rPr>
        <w:t xml:space="preserve"> </w:t>
      </w:r>
      <w:r>
        <w:t>make</w:t>
      </w:r>
      <w:r>
        <w:rPr>
          <w:spacing w:val="15"/>
        </w:rPr>
        <w:t xml:space="preserve"> </w:t>
      </w:r>
      <w:r>
        <w:t>to</w:t>
      </w:r>
      <w:r>
        <w:rPr>
          <w:spacing w:val="15"/>
        </w:rPr>
        <w:t xml:space="preserve"> </w:t>
      </w:r>
      <w:r>
        <w:t>satisfy</w:t>
      </w:r>
      <w:r>
        <w:rPr>
          <w:spacing w:val="15"/>
        </w:rPr>
        <w:t xml:space="preserve"> </w:t>
      </w:r>
      <w:r>
        <w:t>offset</w:t>
      </w:r>
      <w:r>
        <w:rPr>
          <w:spacing w:val="15"/>
        </w:rPr>
        <w:t xml:space="preserve"> </w:t>
      </w:r>
      <w:r>
        <w:t>obligations</w:t>
      </w:r>
      <w:r>
        <w:rPr>
          <w:spacing w:val="15"/>
        </w:rPr>
        <w:t xml:space="preserve"> </w:t>
      </w:r>
      <w:r>
        <w:t>is</w:t>
      </w:r>
      <w:r>
        <w:rPr>
          <w:spacing w:val="15"/>
        </w:rPr>
        <w:t xml:space="preserve"> </w:t>
      </w:r>
      <w:r>
        <w:t>generally</w:t>
      </w:r>
      <w:r>
        <w:rPr>
          <w:spacing w:val="15"/>
        </w:rPr>
        <w:t xml:space="preserve"> </w:t>
      </w:r>
      <w:r>
        <w:t>dependent</w:t>
      </w:r>
      <w:r>
        <w:rPr>
          <w:spacing w:val="15"/>
        </w:rPr>
        <w:t xml:space="preserve"> </w:t>
      </w:r>
      <w:r>
        <w:t>upon</w:t>
      </w:r>
      <w:r>
        <w:rPr>
          <w:spacing w:val="15"/>
        </w:rPr>
        <w:t xml:space="preserve"> </w:t>
      </w:r>
      <w:r>
        <w:t>the</w:t>
      </w:r>
      <w:r>
        <w:rPr>
          <w:spacing w:val="15"/>
        </w:rPr>
        <w:t xml:space="preserve"> </w:t>
      </w:r>
      <w:r>
        <w:t>successful</w:t>
      </w:r>
      <w:r>
        <w:rPr>
          <w:spacing w:val="15"/>
        </w:rPr>
        <w:t xml:space="preserve"> </w:t>
      </w:r>
      <w:r>
        <w:t>operation</w:t>
      </w:r>
      <w:r>
        <w:rPr>
          <w:spacing w:val="15"/>
        </w:rPr>
        <w:t xml:space="preserve"> </w:t>
      </w:r>
      <w:r>
        <w:t>of</w:t>
      </w:r>
    </w:p>
    <w:p w14:paraId="508693C9" w14:textId="77777777" w:rsidR="00AE2255" w:rsidRDefault="00AE2255">
      <w:pPr>
        <w:spacing w:line="249" w:lineRule="auto"/>
        <w:jc w:val="both"/>
        <w:sectPr w:rsidR="00AE2255">
          <w:type w:val="continuous"/>
          <w:pgSz w:w="12240" w:h="15840"/>
          <w:pgMar w:top="440" w:right="560" w:bottom="280" w:left="380" w:header="230" w:footer="531" w:gutter="0"/>
          <w:cols w:space="720"/>
        </w:sectPr>
      </w:pPr>
    </w:p>
    <w:p w14:paraId="55E05D76" w14:textId="77777777" w:rsidR="00AE2255" w:rsidRDefault="00AE2255">
      <w:pPr>
        <w:pStyle w:val="BodyText"/>
        <w:spacing w:before="10"/>
        <w:rPr>
          <w:sz w:val="22"/>
        </w:rPr>
      </w:pPr>
    </w:p>
    <w:p w14:paraId="1B6E50BC" w14:textId="77777777" w:rsidR="00AE2255" w:rsidRDefault="00000000">
      <w:pPr>
        <w:pStyle w:val="BodyText"/>
        <w:spacing w:before="92" w:line="249" w:lineRule="auto"/>
        <w:ind w:left="610" w:right="429"/>
        <w:jc w:val="both"/>
      </w:pPr>
      <w:r>
        <w:t xml:space="preserve">ventures that we do not control and may involve products and services that are dissimilar to our business activities. </w:t>
      </w:r>
      <w:proofErr w:type="gramStart"/>
      <w:r>
        <w:t>At</w:t>
      </w:r>
      <w:proofErr w:type="gramEnd"/>
      <w:r>
        <w:t xml:space="preserve"> December 31, 2022, the notional value of remaining obligations under our outstanding offset agreements totaled approximately</w:t>
      </w:r>
    </w:p>
    <w:p w14:paraId="721C001B" w14:textId="77777777" w:rsidR="00AE2255" w:rsidRDefault="00000000">
      <w:pPr>
        <w:pStyle w:val="BodyText"/>
        <w:spacing w:before="1" w:line="249" w:lineRule="auto"/>
        <w:ind w:left="610" w:right="430"/>
        <w:jc w:val="both"/>
      </w:pPr>
      <w:r>
        <w:t>$16.1 billion, which primarily relate to our Aeronautics, MFC and RMS business segments, most of which extend through</w:t>
      </w:r>
      <w:r>
        <w:rPr>
          <w:spacing w:val="40"/>
        </w:rPr>
        <w:t xml:space="preserve"> </w:t>
      </w:r>
      <w:r>
        <w:t xml:space="preserve">2044. To the extent we have entered into purchase or other obligations </w:t>
      </w:r>
      <w:proofErr w:type="gramStart"/>
      <w:r>
        <w:t>at</w:t>
      </w:r>
      <w:proofErr w:type="gramEnd"/>
      <w:r>
        <w:t xml:space="preserve"> December 31, 2022 that also satisfy offset</w:t>
      </w:r>
      <w:r>
        <w:rPr>
          <w:spacing w:val="40"/>
        </w:rPr>
        <w:t xml:space="preserve"> </w:t>
      </w:r>
      <w:r>
        <w:t xml:space="preserve">agreements, those amounts are included in the contractual commitments table above. Offset programs usually extend over several years and may provide for penalties, estimated at approximately $1.8 billion </w:t>
      </w:r>
      <w:proofErr w:type="gramStart"/>
      <w:r>
        <w:t>at</w:t>
      </w:r>
      <w:proofErr w:type="gramEnd"/>
      <w:r>
        <w:t xml:space="preserve"> December 31, 2022, in the event we fail to perform in accordance with offset requirements. While historically we have not been required to pay material penalties, resolution of offset requirements are often the result of negotiations and subjective judgments.</w:t>
      </w:r>
    </w:p>
    <w:p w14:paraId="373CF469" w14:textId="77777777" w:rsidR="00AE2255" w:rsidRDefault="00AE2255">
      <w:pPr>
        <w:pStyle w:val="BodyText"/>
        <w:spacing w:before="10"/>
        <w:rPr>
          <w:sz w:val="17"/>
        </w:rPr>
      </w:pPr>
    </w:p>
    <w:p w14:paraId="38792980" w14:textId="77777777" w:rsidR="00AE2255" w:rsidRDefault="00000000">
      <w:pPr>
        <w:pStyle w:val="BodyText"/>
        <w:spacing w:line="249" w:lineRule="auto"/>
        <w:ind w:left="610" w:right="429" w:firstLine="360"/>
        <w:jc w:val="both"/>
      </w:pPr>
      <w:r>
        <w:t xml:space="preserve">We have </w:t>
      </w:r>
      <w:proofErr w:type="gramStart"/>
      <w:r>
        <w:t>entered into</w:t>
      </w:r>
      <w:proofErr w:type="gramEnd"/>
      <w:r>
        <w:t xml:space="preserve"> standby letters of credit and surety bonds issued on our behalf by financial institutions, and we have directly issued guarantees to third parties primarily relating to advances received from customers and the guarantee of future performance on certain contracts. Letters of credit and surety bonds generally are available for draw down in the event we do not perform. In some cases, we may guarantee the contractual performance of third parties such as joint venture partners. </w:t>
      </w:r>
      <w:proofErr w:type="gramStart"/>
      <w:r>
        <w:t>At</w:t>
      </w:r>
      <w:proofErr w:type="gramEnd"/>
      <w:r>
        <w:t xml:space="preserve"> December 31, 2022, we had the following outstanding letters of credit, surety bonds and third-party guarantees (in millions):</w:t>
      </w:r>
    </w:p>
    <w:p w14:paraId="1B39E6AC" w14:textId="77777777" w:rsidR="00AE2255" w:rsidRDefault="00AE2255">
      <w:pPr>
        <w:pStyle w:val="BodyText"/>
        <w:spacing w:before="4"/>
        <w:rPr>
          <w:sz w:val="8"/>
        </w:rPr>
      </w:pPr>
    </w:p>
    <w:tbl>
      <w:tblPr>
        <w:tblW w:w="0" w:type="auto"/>
        <w:tblInd w:w="617" w:type="dxa"/>
        <w:tblLayout w:type="fixed"/>
        <w:tblCellMar>
          <w:left w:w="0" w:type="dxa"/>
          <w:right w:w="0" w:type="dxa"/>
        </w:tblCellMar>
        <w:tblLook w:val="01E0" w:firstRow="1" w:lastRow="1" w:firstColumn="1" w:lastColumn="1" w:noHBand="0" w:noVBand="0"/>
      </w:tblPr>
      <w:tblGrid>
        <w:gridCol w:w="4850"/>
        <w:gridCol w:w="3979"/>
        <w:gridCol w:w="1433"/>
      </w:tblGrid>
      <w:tr w:rsidR="00AE2255" w14:paraId="599233F5" w14:textId="77777777">
        <w:trPr>
          <w:trHeight w:val="441"/>
        </w:trPr>
        <w:tc>
          <w:tcPr>
            <w:tcW w:w="4850" w:type="dxa"/>
            <w:tcBorders>
              <w:bottom w:val="single" w:sz="8" w:space="0" w:color="auto"/>
            </w:tcBorders>
          </w:tcPr>
          <w:p w14:paraId="17531FCA" w14:textId="77777777" w:rsidR="00AE2255" w:rsidRDefault="00AE2255">
            <w:pPr>
              <w:pStyle w:val="TableParagraph"/>
              <w:spacing w:before="0"/>
              <w:jc w:val="left"/>
              <w:rPr>
                <w:sz w:val="18"/>
              </w:rPr>
            </w:pPr>
          </w:p>
        </w:tc>
        <w:tc>
          <w:tcPr>
            <w:tcW w:w="3979" w:type="dxa"/>
            <w:tcBorders>
              <w:bottom w:val="single" w:sz="8" w:space="0" w:color="auto"/>
            </w:tcBorders>
          </w:tcPr>
          <w:p w14:paraId="6AF750E9" w14:textId="77777777" w:rsidR="00AE2255" w:rsidRDefault="00000000">
            <w:pPr>
              <w:pStyle w:val="TableParagraph"/>
              <w:spacing w:before="15" w:line="208" w:lineRule="auto"/>
              <w:ind w:left="2736" w:firstLine="188"/>
              <w:jc w:val="left"/>
              <w:rPr>
                <w:b/>
                <w:sz w:val="20"/>
              </w:rPr>
            </w:pPr>
            <w:r>
              <w:rPr>
                <w:b/>
                <w:spacing w:val="-4"/>
                <w:sz w:val="20"/>
              </w:rPr>
              <w:t xml:space="preserve">Total </w:t>
            </w:r>
            <w:r>
              <w:rPr>
                <w:b/>
                <w:spacing w:val="-2"/>
                <w:sz w:val="20"/>
              </w:rPr>
              <w:t>Commitment</w:t>
            </w:r>
          </w:p>
        </w:tc>
        <w:tc>
          <w:tcPr>
            <w:tcW w:w="1433" w:type="dxa"/>
            <w:tcBorders>
              <w:bottom w:val="single" w:sz="8" w:space="0" w:color="auto"/>
            </w:tcBorders>
          </w:tcPr>
          <w:p w14:paraId="2CE7F441" w14:textId="77777777" w:rsidR="00AE2255" w:rsidRDefault="00000000">
            <w:pPr>
              <w:pStyle w:val="TableParagraph"/>
              <w:spacing w:before="15" w:line="208" w:lineRule="auto"/>
              <w:ind w:left="367" w:right="281" w:hanging="106"/>
              <w:jc w:val="left"/>
              <w:rPr>
                <w:b/>
                <w:sz w:val="20"/>
              </w:rPr>
            </w:pPr>
            <w:r>
              <w:rPr>
                <w:b/>
                <w:sz w:val="20"/>
              </w:rPr>
              <w:t>Less</w:t>
            </w:r>
            <w:r>
              <w:rPr>
                <w:b/>
                <w:spacing w:val="-13"/>
                <w:sz w:val="20"/>
              </w:rPr>
              <w:t xml:space="preserve"> </w:t>
            </w:r>
            <w:r>
              <w:rPr>
                <w:b/>
                <w:sz w:val="20"/>
              </w:rPr>
              <w:t>Than 1 Year</w:t>
            </w:r>
          </w:p>
        </w:tc>
      </w:tr>
      <w:tr w:rsidR="00AE2255" w14:paraId="084E6381" w14:textId="77777777">
        <w:trPr>
          <w:trHeight w:val="275"/>
        </w:trPr>
        <w:tc>
          <w:tcPr>
            <w:tcW w:w="4850" w:type="dxa"/>
            <w:tcBorders>
              <w:top w:val="single" w:sz="8" w:space="0" w:color="CCEDFF"/>
            </w:tcBorders>
            <w:shd w:val="clear" w:color="auto" w:fill="CCEDFF"/>
          </w:tcPr>
          <w:p w14:paraId="58E02FBE" w14:textId="77777777" w:rsidR="00AE2255" w:rsidRDefault="00000000">
            <w:pPr>
              <w:pStyle w:val="TableParagraph"/>
              <w:spacing w:before="15"/>
              <w:ind w:left="52"/>
              <w:jc w:val="left"/>
              <w:rPr>
                <w:sz w:val="20"/>
              </w:rPr>
            </w:pPr>
            <w:r>
              <w:rPr>
                <w:sz w:val="20"/>
              </w:rPr>
              <w:t>Standby</w:t>
            </w:r>
            <w:r>
              <w:rPr>
                <w:spacing w:val="-3"/>
                <w:sz w:val="20"/>
              </w:rPr>
              <w:t xml:space="preserve"> </w:t>
            </w:r>
            <w:r>
              <w:rPr>
                <w:sz w:val="20"/>
              </w:rPr>
              <w:t>letters</w:t>
            </w:r>
            <w:r>
              <w:rPr>
                <w:spacing w:val="-4"/>
                <w:sz w:val="20"/>
              </w:rPr>
              <w:t xml:space="preserve"> </w:t>
            </w:r>
            <w:r>
              <w:rPr>
                <w:sz w:val="20"/>
              </w:rPr>
              <w:t>of</w:t>
            </w:r>
            <w:r>
              <w:rPr>
                <w:spacing w:val="-3"/>
                <w:sz w:val="20"/>
              </w:rPr>
              <w:t xml:space="preserve"> </w:t>
            </w:r>
            <w:r>
              <w:rPr>
                <w:sz w:val="20"/>
              </w:rPr>
              <w:t>credit</w:t>
            </w:r>
            <w:r>
              <w:rPr>
                <w:spacing w:val="-3"/>
                <w:sz w:val="20"/>
              </w:rPr>
              <w:t xml:space="preserve"> </w:t>
            </w:r>
            <w:r>
              <w:rPr>
                <w:spacing w:val="-5"/>
                <w:sz w:val="20"/>
                <w:vertAlign w:val="superscript"/>
              </w:rPr>
              <w:t>(a)</w:t>
            </w:r>
          </w:p>
        </w:tc>
        <w:tc>
          <w:tcPr>
            <w:tcW w:w="3979" w:type="dxa"/>
            <w:tcBorders>
              <w:top w:val="single" w:sz="8" w:space="0" w:color="CCEDFF"/>
            </w:tcBorders>
            <w:shd w:val="clear" w:color="auto" w:fill="CCEDFF"/>
          </w:tcPr>
          <w:p w14:paraId="2B9481E3" w14:textId="77777777" w:rsidR="00AE2255" w:rsidRDefault="00000000">
            <w:pPr>
              <w:pStyle w:val="TableParagraph"/>
              <w:tabs>
                <w:tab w:val="left" w:pos="720"/>
              </w:tabs>
              <w:spacing w:before="15"/>
              <w:ind w:right="103"/>
              <w:rPr>
                <w:sz w:val="20"/>
              </w:rPr>
            </w:pPr>
            <w:r>
              <w:rPr>
                <w:spacing w:val="-10"/>
                <w:sz w:val="20"/>
              </w:rPr>
              <w:t>$</w:t>
            </w:r>
            <w:r>
              <w:rPr>
                <w:sz w:val="20"/>
              </w:rPr>
              <w:tab/>
            </w:r>
            <w:r>
              <w:rPr>
                <w:spacing w:val="-2"/>
                <w:sz w:val="20"/>
              </w:rPr>
              <w:t>2,504</w:t>
            </w:r>
          </w:p>
        </w:tc>
        <w:tc>
          <w:tcPr>
            <w:tcW w:w="1433" w:type="dxa"/>
            <w:tcBorders>
              <w:top w:val="single" w:sz="8" w:space="0" w:color="CCEDFF"/>
            </w:tcBorders>
            <w:shd w:val="clear" w:color="auto" w:fill="CCEDFF"/>
          </w:tcPr>
          <w:p w14:paraId="7B47B096" w14:textId="77777777" w:rsidR="00AE2255" w:rsidRDefault="00000000">
            <w:pPr>
              <w:pStyle w:val="TableParagraph"/>
              <w:tabs>
                <w:tab w:val="left" w:pos="870"/>
              </w:tabs>
              <w:spacing w:before="15"/>
              <w:ind w:right="156"/>
              <w:rPr>
                <w:sz w:val="20"/>
              </w:rPr>
            </w:pPr>
            <w:r>
              <w:rPr>
                <w:spacing w:val="-10"/>
                <w:sz w:val="20"/>
              </w:rPr>
              <w:t>$</w:t>
            </w:r>
            <w:r>
              <w:rPr>
                <w:sz w:val="20"/>
              </w:rPr>
              <w:tab/>
            </w:r>
            <w:r>
              <w:rPr>
                <w:spacing w:val="-5"/>
                <w:sz w:val="20"/>
              </w:rPr>
              <w:t>966</w:t>
            </w:r>
          </w:p>
        </w:tc>
      </w:tr>
      <w:tr w:rsidR="00AE2255" w14:paraId="5B8294DF" w14:textId="77777777">
        <w:trPr>
          <w:trHeight w:val="285"/>
        </w:trPr>
        <w:tc>
          <w:tcPr>
            <w:tcW w:w="4850" w:type="dxa"/>
          </w:tcPr>
          <w:p w14:paraId="424C0CD4" w14:textId="77777777" w:rsidR="00AE2255" w:rsidRDefault="00000000">
            <w:pPr>
              <w:pStyle w:val="TableParagraph"/>
              <w:spacing w:before="27"/>
              <w:ind w:left="52"/>
              <w:jc w:val="left"/>
              <w:rPr>
                <w:sz w:val="20"/>
              </w:rPr>
            </w:pPr>
            <w:r>
              <w:rPr>
                <w:sz w:val="20"/>
              </w:rPr>
              <w:t>Surety</w:t>
            </w:r>
            <w:r>
              <w:rPr>
                <w:spacing w:val="-3"/>
                <w:sz w:val="20"/>
              </w:rPr>
              <w:t xml:space="preserve"> </w:t>
            </w:r>
            <w:r>
              <w:rPr>
                <w:spacing w:val="-2"/>
                <w:sz w:val="20"/>
              </w:rPr>
              <w:t>bonds</w:t>
            </w:r>
          </w:p>
        </w:tc>
        <w:tc>
          <w:tcPr>
            <w:tcW w:w="3979" w:type="dxa"/>
          </w:tcPr>
          <w:p w14:paraId="7A94E6FF" w14:textId="77777777" w:rsidR="00AE2255" w:rsidRDefault="00000000">
            <w:pPr>
              <w:pStyle w:val="TableParagraph"/>
              <w:ind w:right="103"/>
              <w:rPr>
                <w:sz w:val="20"/>
              </w:rPr>
            </w:pPr>
            <w:r>
              <w:rPr>
                <w:spacing w:val="-5"/>
                <w:sz w:val="20"/>
              </w:rPr>
              <w:t>342</w:t>
            </w:r>
          </w:p>
        </w:tc>
        <w:tc>
          <w:tcPr>
            <w:tcW w:w="1433" w:type="dxa"/>
          </w:tcPr>
          <w:p w14:paraId="3D6EB781" w14:textId="77777777" w:rsidR="00AE2255" w:rsidRDefault="00000000">
            <w:pPr>
              <w:pStyle w:val="TableParagraph"/>
              <w:ind w:right="156"/>
              <w:rPr>
                <w:sz w:val="20"/>
              </w:rPr>
            </w:pPr>
            <w:r>
              <w:rPr>
                <w:spacing w:val="-5"/>
                <w:sz w:val="20"/>
              </w:rPr>
              <w:t>342</w:t>
            </w:r>
          </w:p>
        </w:tc>
      </w:tr>
      <w:tr w:rsidR="00AE2255" w14:paraId="261E6612" w14:textId="77777777">
        <w:trPr>
          <w:trHeight w:val="275"/>
        </w:trPr>
        <w:tc>
          <w:tcPr>
            <w:tcW w:w="4850" w:type="dxa"/>
            <w:tcBorders>
              <w:bottom w:val="single" w:sz="8" w:space="0" w:color="CCEDFF"/>
            </w:tcBorders>
            <w:shd w:val="clear" w:color="auto" w:fill="CCEDFF"/>
          </w:tcPr>
          <w:p w14:paraId="3B961404" w14:textId="77777777" w:rsidR="00AE2255" w:rsidRDefault="00000000">
            <w:pPr>
              <w:pStyle w:val="TableParagraph"/>
              <w:spacing w:before="27" w:line="228" w:lineRule="exact"/>
              <w:ind w:left="52"/>
              <w:jc w:val="left"/>
              <w:rPr>
                <w:sz w:val="20"/>
              </w:rPr>
            </w:pPr>
            <w:r>
              <w:rPr>
                <w:sz w:val="20"/>
              </w:rPr>
              <w:t>Third-party</w:t>
            </w:r>
            <w:r>
              <w:rPr>
                <w:spacing w:val="-4"/>
                <w:sz w:val="20"/>
              </w:rPr>
              <w:t xml:space="preserve"> </w:t>
            </w:r>
            <w:r>
              <w:rPr>
                <w:spacing w:val="-2"/>
                <w:sz w:val="20"/>
              </w:rPr>
              <w:t>Guarantees</w:t>
            </w:r>
          </w:p>
        </w:tc>
        <w:tc>
          <w:tcPr>
            <w:tcW w:w="3979" w:type="dxa"/>
            <w:tcBorders>
              <w:bottom w:val="single" w:sz="8" w:space="0" w:color="CCEDFF"/>
            </w:tcBorders>
            <w:shd w:val="clear" w:color="auto" w:fill="CCEDFF"/>
          </w:tcPr>
          <w:p w14:paraId="078AB19A" w14:textId="77777777" w:rsidR="00AE2255" w:rsidRDefault="00000000">
            <w:pPr>
              <w:pStyle w:val="TableParagraph"/>
              <w:spacing w:line="230" w:lineRule="exact"/>
              <w:ind w:right="103"/>
              <w:rPr>
                <w:sz w:val="20"/>
              </w:rPr>
            </w:pPr>
            <w:r>
              <w:rPr>
                <w:spacing w:val="-5"/>
                <w:sz w:val="20"/>
              </w:rPr>
              <w:t>904</w:t>
            </w:r>
          </w:p>
        </w:tc>
        <w:tc>
          <w:tcPr>
            <w:tcW w:w="1433" w:type="dxa"/>
            <w:tcBorders>
              <w:bottom w:val="single" w:sz="8" w:space="0" w:color="CCEDFF"/>
            </w:tcBorders>
            <w:shd w:val="clear" w:color="auto" w:fill="CCEDFF"/>
          </w:tcPr>
          <w:p w14:paraId="6ECC13BF" w14:textId="77777777" w:rsidR="00AE2255" w:rsidRDefault="00000000">
            <w:pPr>
              <w:pStyle w:val="TableParagraph"/>
              <w:spacing w:line="230" w:lineRule="exact"/>
              <w:ind w:right="156"/>
              <w:rPr>
                <w:sz w:val="20"/>
              </w:rPr>
            </w:pPr>
            <w:r>
              <w:rPr>
                <w:spacing w:val="-5"/>
                <w:sz w:val="20"/>
              </w:rPr>
              <w:t>230</w:t>
            </w:r>
          </w:p>
        </w:tc>
      </w:tr>
      <w:tr w:rsidR="00AE2255" w14:paraId="14662309" w14:textId="77777777">
        <w:trPr>
          <w:trHeight w:val="252"/>
        </w:trPr>
        <w:tc>
          <w:tcPr>
            <w:tcW w:w="4850" w:type="dxa"/>
            <w:tcBorders>
              <w:top w:val="single" w:sz="8" w:space="0" w:color="auto"/>
              <w:bottom w:val="single" w:sz="18" w:space="0" w:color="000000"/>
            </w:tcBorders>
          </w:tcPr>
          <w:p w14:paraId="773E98BA" w14:textId="77777777" w:rsidR="00AE2255" w:rsidRDefault="00000000">
            <w:pPr>
              <w:pStyle w:val="TableParagraph"/>
              <w:spacing w:before="17" w:line="216" w:lineRule="exact"/>
              <w:ind w:left="52"/>
              <w:jc w:val="left"/>
              <w:rPr>
                <w:sz w:val="20"/>
              </w:rPr>
            </w:pPr>
            <w:r>
              <w:rPr>
                <w:sz w:val="20"/>
              </w:rPr>
              <w:t>Total</w:t>
            </w:r>
            <w:r>
              <w:rPr>
                <w:spacing w:val="-4"/>
                <w:sz w:val="20"/>
              </w:rPr>
              <w:t xml:space="preserve"> </w:t>
            </w:r>
            <w:r>
              <w:rPr>
                <w:spacing w:val="-2"/>
                <w:sz w:val="20"/>
              </w:rPr>
              <w:t>commitments</w:t>
            </w:r>
          </w:p>
        </w:tc>
        <w:tc>
          <w:tcPr>
            <w:tcW w:w="3979" w:type="dxa"/>
            <w:tcBorders>
              <w:top w:val="single" w:sz="8" w:space="0" w:color="auto"/>
              <w:bottom w:val="single" w:sz="18" w:space="0" w:color="000000"/>
            </w:tcBorders>
          </w:tcPr>
          <w:p w14:paraId="37760FC2" w14:textId="77777777" w:rsidR="00AE2255" w:rsidRDefault="00000000">
            <w:pPr>
              <w:pStyle w:val="TableParagraph"/>
              <w:tabs>
                <w:tab w:val="left" w:pos="720"/>
              </w:tabs>
              <w:spacing w:before="15" w:line="217" w:lineRule="exact"/>
              <w:ind w:right="103"/>
              <w:rPr>
                <w:sz w:val="20"/>
              </w:rPr>
            </w:pPr>
            <w:r>
              <w:rPr>
                <w:spacing w:val="-10"/>
                <w:sz w:val="20"/>
              </w:rPr>
              <w:t>$</w:t>
            </w:r>
            <w:r>
              <w:rPr>
                <w:sz w:val="20"/>
              </w:rPr>
              <w:tab/>
            </w:r>
            <w:r>
              <w:rPr>
                <w:spacing w:val="-2"/>
                <w:sz w:val="20"/>
              </w:rPr>
              <w:t>3,750</w:t>
            </w:r>
          </w:p>
        </w:tc>
        <w:tc>
          <w:tcPr>
            <w:tcW w:w="1433" w:type="dxa"/>
            <w:tcBorders>
              <w:top w:val="single" w:sz="8" w:space="0" w:color="auto"/>
              <w:bottom w:val="single" w:sz="18" w:space="0" w:color="000000"/>
            </w:tcBorders>
          </w:tcPr>
          <w:p w14:paraId="47474670" w14:textId="77777777" w:rsidR="00AE2255" w:rsidRDefault="00000000">
            <w:pPr>
              <w:pStyle w:val="TableParagraph"/>
              <w:tabs>
                <w:tab w:val="left" w:pos="720"/>
              </w:tabs>
              <w:spacing w:before="15" w:line="217" w:lineRule="exact"/>
              <w:ind w:right="156"/>
              <w:rPr>
                <w:sz w:val="20"/>
              </w:rPr>
            </w:pPr>
            <w:r>
              <w:rPr>
                <w:spacing w:val="-10"/>
                <w:sz w:val="20"/>
              </w:rPr>
              <w:t>$</w:t>
            </w:r>
            <w:r>
              <w:rPr>
                <w:sz w:val="20"/>
              </w:rPr>
              <w:tab/>
            </w:r>
            <w:r>
              <w:rPr>
                <w:spacing w:val="-2"/>
                <w:sz w:val="20"/>
              </w:rPr>
              <w:t>1,538</w:t>
            </w:r>
          </w:p>
        </w:tc>
      </w:tr>
    </w:tbl>
    <w:p w14:paraId="2D5ADCC6" w14:textId="77777777" w:rsidR="00AE2255" w:rsidRDefault="00000000">
      <w:pPr>
        <w:tabs>
          <w:tab w:val="left" w:pos="969"/>
        </w:tabs>
        <w:spacing w:before="35" w:line="249" w:lineRule="auto"/>
        <w:ind w:left="970" w:right="430" w:hanging="360"/>
        <w:rPr>
          <w:sz w:val="18"/>
        </w:rPr>
      </w:pPr>
      <w:r>
        <w:rPr>
          <w:spacing w:val="-4"/>
          <w:sz w:val="18"/>
          <w:vertAlign w:val="superscript"/>
        </w:rPr>
        <w:t>(a)</w:t>
      </w:r>
      <w:r>
        <w:rPr>
          <w:sz w:val="18"/>
        </w:rPr>
        <w:tab/>
        <w:t xml:space="preserve">Approximately $704 million of standby letters of credit in the “Less Than 1 Year” category </w:t>
      </w:r>
      <w:proofErr w:type="gramStart"/>
      <w:r>
        <w:rPr>
          <w:sz w:val="18"/>
        </w:rPr>
        <w:t>are</w:t>
      </w:r>
      <w:proofErr w:type="gramEnd"/>
      <w:r>
        <w:rPr>
          <w:sz w:val="18"/>
        </w:rPr>
        <w:t xml:space="preserve"> expected to renew for additional periods until completion of the contractual obligation.</w:t>
      </w:r>
    </w:p>
    <w:p w14:paraId="11D45CDE" w14:textId="77777777" w:rsidR="00AE2255" w:rsidRDefault="00AE2255">
      <w:pPr>
        <w:pStyle w:val="BodyText"/>
        <w:spacing w:before="1"/>
        <w:rPr>
          <w:sz w:val="17"/>
        </w:rPr>
      </w:pPr>
    </w:p>
    <w:p w14:paraId="1AFB6853" w14:textId="77777777" w:rsidR="00AE2255" w:rsidRDefault="00000000">
      <w:pPr>
        <w:pStyle w:val="BodyText"/>
        <w:spacing w:line="249" w:lineRule="auto"/>
        <w:ind w:left="610" w:right="427" w:firstLine="360"/>
        <w:jc w:val="both"/>
      </w:pPr>
      <w:proofErr w:type="gramStart"/>
      <w:r>
        <w:t>At</w:t>
      </w:r>
      <w:proofErr w:type="gramEnd"/>
      <w:r>
        <w:t xml:space="preserve"> December 31, 2022, third-party guarantees totaled $904 million, of which approximately 71% related to guarantees of contractual performance of joint ventures to which we currently are or previously were a party. These amounts represent our estimate of the maximum amounts we would expect to incur upon the contractual non-performance of the joint venture, joint venture partners or divested businesses. Generally, we also have cross-indemnities in place that may enable us to recover amounts that may be paid on behalf of a joint venture partner.</w:t>
      </w:r>
    </w:p>
    <w:p w14:paraId="39DDEA0E" w14:textId="77777777" w:rsidR="00AE2255" w:rsidRDefault="00AE2255">
      <w:pPr>
        <w:pStyle w:val="BodyText"/>
        <w:spacing w:before="8"/>
        <w:rPr>
          <w:sz w:val="17"/>
        </w:rPr>
      </w:pPr>
    </w:p>
    <w:p w14:paraId="1168F3E1" w14:textId="77777777" w:rsidR="00AE2255" w:rsidRDefault="00000000">
      <w:pPr>
        <w:pStyle w:val="BodyText"/>
        <w:spacing w:before="1" w:line="249" w:lineRule="auto"/>
        <w:ind w:left="610" w:right="429" w:firstLine="360"/>
        <w:jc w:val="both"/>
      </w:pPr>
      <w:r>
        <w:t>In determining our exposures, we evaluate the reputation, performance on contractual obligations, technical capabilities</w:t>
      </w:r>
      <w:r>
        <w:rPr>
          <w:spacing w:val="40"/>
        </w:rPr>
        <w:t xml:space="preserve"> </w:t>
      </w:r>
      <w:r>
        <w:t xml:space="preserve">and credit quality of our current and former joint venture partners and the transferee under novation agreements, all of which include a guarantee as required by the FAR. </w:t>
      </w:r>
      <w:proofErr w:type="gramStart"/>
      <w:r>
        <w:t>At</w:t>
      </w:r>
      <w:proofErr w:type="gramEnd"/>
      <w:r>
        <w:t xml:space="preserve"> December 31, 2022 and 2021, there were no material amounts recorded in our financial statements related to third-party guarantees or novation agreements.</w:t>
      </w:r>
    </w:p>
    <w:p w14:paraId="0260BB96" w14:textId="77777777" w:rsidR="00AE2255" w:rsidRDefault="00AE2255">
      <w:pPr>
        <w:pStyle w:val="BodyText"/>
        <w:spacing w:before="4"/>
        <w:rPr>
          <w:sz w:val="17"/>
        </w:rPr>
      </w:pPr>
    </w:p>
    <w:p w14:paraId="5409097C" w14:textId="77777777" w:rsidR="00AE2255" w:rsidRDefault="00000000">
      <w:pPr>
        <w:ind w:left="610"/>
        <w:jc w:val="both"/>
        <w:rPr>
          <w:b/>
          <w:i/>
          <w:sz w:val="20"/>
        </w:rPr>
      </w:pPr>
      <w:bookmarkStart w:id="31" w:name="Critical_Accounting_Policies"/>
      <w:bookmarkEnd w:id="31"/>
      <w:r>
        <w:rPr>
          <w:b/>
          <w:i/>
          <w:sz w:val="20"/>
        </w:rPr>
        <w:t>Critical</w:t>
      </w:r>
      <w:r>
        <w:rPr>
          <w:b/>
          <w:i/>
          <w:spacing w:val="-8"/>
          <w:sz w:val="20"/>
        </w:rPr>
        <w:t xml:space="preserve"> </w:t>
      </w:r>
      <w:r>
        <w:rPr>
          <w:b/>
          <w:i/>
          <w:sz w:val="20"/>
        </w:rPr>
        <w:t>Accounting</w:t>
      </w:r>
      <w:r>
        <w:rPr>
          <w:b/>
          <w:i/>
          <w:spacing w:val="-7"/>
          <w:sz w:val="20"/>
        </w:rPr>
        <w:t xml:space="preserve"> </w:t>
      </w:r>
      <w:r>
        <w:rPr>
          <w:b/>
          <w:i/>
          <w:spacing w:val="-2"/>
          <w:sz w:val="20"/>
        </w:rPr>
        <w:t>Policies</w:t>
      </w:r>
    </w:p>
    <w:p w14:paraId="79BDC964" w14:textId="77777777" w:rsidR="00AE2255" w:rsidRDefault="00AE2255">
      <w:pPr>
        <w:pStyle w:val="BodyText"/>
        <w:spacing w:before="3"/>
        <w:rPr>
          <w:b/>
          <w:i/>
          <w:sz w:val="18"/>
        </w:rPr>
      </w:pPr>
    </w:p>
    <w:p w14:paraId="00E3EF07" w14:textId="77777777" w:rsidR="00AE2255" w:rsidRDefault="00000000">
      <w:pPr>
        <w:pStyle w:val="Heading2"/>
        <w:jc w:val="both"/>
      </w:pPr>
      <w:r>
        <w:t>Contract</w:t>
      </w:r>
      <w:r>
        <w:rPr>
          <w:spacing w:val="-4"/>
        </w:rPr>
        <w:t xml:space="preserve"> </w:t>
      </w:r>
      <w:r>
        <w:t>Accounting</w:t>
      </w:r>
      <w:r>
        <w:rPr>
          <w:spacing w:val="-4"/>
        </w:rPr>
        <w:t xml:space="preserve"> </w:t>
      </w:r>
      <w:r>
        <w:t>/</w:t>
      </w:r>
      <w:r>
        <w:rPr>
          <w:spacing w:val="-4"/>
        </w:rPr>
        <w:t xml:space="preserve"> </w:t>
      </w:r>
      <w:r>
        <w:t>Sales</w:t>
      </w:r>
      <w:r>
        <w:rPr>
          <w:spacing w:val="-4"/>
        </w:rPr>
        <w:t xml:space="preserve"> </w:t>
      </w:r>
      <w:r>
        <w:rPr>
          <w:spacing w:val="-2"/>
        </w:rPr>
        <w:t>Recognition</w:t>
      </w:r>
    </w:p>
    <w:p w14:paraId="43559006" w14:textId="77777777" w:rsidR="00AE2255" w:rsidRDefault="00AE2255">
      <w:pPr>
        <w:pStyle w:val="BodyText"/>
        <w:spacing w:before="6"/>
        <w:rPr>
          <w:b/>
          <w:sz w:val="18"/>
        </w:rPr>
      </w:pPr>
    </w:p>
    <w:p w14:paraId="4482FDAA" w14:textId="77777777" w:rsidR="00AE2255" w:rsidRDefault="00000000">
      <w:pPr>
        <w:pStyle w:val="BodyText"/>
        <w:spacing w:line="249" w:lineRule="auto"/>
        <w:ind w:left="610" w:right="427" w:firstLine="450"/>
        <w:jc w:val="both"/>
      </w:pPr>
      <w:proofErr w:type="gramStart"/>
      <w:r>
        <w:t>The majority of</w:t>
      </w:r>
      <w:proofErr w:type="gramEnd"/>
      <w:r>
        <w:t xml:space="preserve"> our net sales are generated from long-term contracts with the U.S. Government and international customers (including FMS contracted through the U.S. Government) for the research, design, development, manufacture, integration and sustainment of advanced technology systems, products and services. We account for a contract when it has approval and commitment from both parties, the rights of the parties are identified, payment terms are identified, the contract has commercial substance and collectability of consideration is probable. For certain contracts that meet the foregoing requirements,</w:t>
      </w:r>
      <w:r>
        <w:rPr>
          <w:spacing w:val="-1"/>
        </w:rPr>
        <w:t xml:space="preserve"> </w:t>
      </w:r>
      <w:r>
        <w:t>primarily</w:t>
      </w:r>
      <w:r>
        <w:rPr>
          <w:spacing w:val="-1"/>
        </w:rPr>
        <w:t xml:space="preserve"> </w:t>
      </w:r>
      <w:r>
        <w:t>international</w:t>
      </w:r>
      <w:r>
        <w:rPr>
          <w:spacing w:val="-2"/>
        </w:rPr>
        <w:t xml:space="preserve"> </w:t>
      </w:r>
      <w:r>
        <w:t>direct</w:t>
      </w:r>
      <w:r>
        <w:rPr>
          <w:spacing w:val="-2"/>
        </w:rPr>
        <w:t xml:space="preserve"> </w:t>
      </w:r>
      <w:r>
        <w:t>commercial</w:t>
      </w:r>
      <w:r>
        <w:rPr>
          <w:spacing w:val="-2"/>
        </w:rPr>
        <w:t xml:space="preserve"> </w:t>
      </w:r>
      <w:r>
        <w:t>sale</w:t>
      </w:r>
      <w:r>
        <w:rPr>
          <w:spacing w:val="-2"/>
        </w:rPr>
        <w:t xml:space="preserve"> </w:t>
      </w:r>
      <w:r>
        <w:t>contracts,</w:t>
      </w:r>
      <w:r>
        <w:rPr>
          <w:spacing w:val="-1"/>
        </w:rPr>
        <w:t xml:space="preserve"> </w:t>
      </w:r>
      <w:r>
        <w:t>we</w:t>
      </w:r>
      <w:r>
        <w:rPr>
          <w:spacing w:val="-2"/>
        </w:rPr>
        <w:t xml:space="preserve"> </w:t>
      </w:r>
      <w:r>
        <w:t>are</w:t>
      </w:r>
      <w:r>
        <w:rPr>
          <w:spacing w:val="-2"/>
        </w:rPr>
        <w:t xml:space="preserve"> </w:t>
      </w:r>
      <w:r>
        <w:t>required</w:t>
      </w:r>
      <w:r>
        <w:rPr>
          <w:spacing w:val="-1"/>
        </w:rPr>
        <w:t xml:space="preserve"> </w:t>
      </w:r>
      <w:r>
        <w:t>to</w:t>
      </w:r>
      <w:r>
        <w:rPr>
          <w:spacing w:val="-1"/>
        </w:rPr>
        <w:t xml:space="preserve"> </w:t>
      </w:r>
      <w:r>
        <w:t>obtain</w:t>
      </w:r>
      <w:r>
        <w:rPr>
          <w:spacing w:val="-1"/>
        </w:rPr>
        <w:t xml:space="preserve"> </w:t>
      </w:r>
      <w:r>
        <w:t>certain</w:t>
      </w:r>
      <w:r>
        <w:rPr>
          <w:spacing w:val="-1"/>
        </w:rPr>
        <w:t xml:space="preserve"> </w:t>
      </w:r>
      <w:r>
        <w:t>regulatory</w:t>
      </w:r>
      <w:r>
        <w:rPr>
          <w:spacing w:val="-1"/>
        </w:rPr>
        <w:t xml:space="preserve"> </w:t>
      </w:r>
      <w:r>
        <w:t>approvals.</w:t>
      </w:r>
      <w:r>
        <w:rPr>
          <w:spacing w:val="-1"/>
        </w:rPr>
        <w:t xml:space="preserve"> </w:t>
      </w:r>
      <w:r>
        <w:t>In these cases, we recognize revenue when it is probable that we will receive regulatory approvals based upon all known facts and circumstances. We provide our products and services under fixed-price and cost-reimbursable contracts.</w:t>
      </w:r>
    </w:p>
    <w:p w14:paraId="704A2CA2" w14:textId="77777777" w:rsidR="00AE2255" w:rsidRDefault="00AE2255">
      <w:pPr>
        <w:pStyle w:val="BodyText"/>
        <w:rPr>
          <w:sz w:val="18"/>
        </w:rPr>
      </w:pPr>
    </w:p>
    <w:p w14:paraId="689F46CC" w14:textId="77777777" w:rsidR="00AE2255" w:rsidRDefault="00000000">
      <w:pPr>
        <w:pStyle w:val="BodyText"/>
        <w:spacing w:line="249" w:lineRule="auto"/>
        <w:ind w:left="610" w:right="429" w:firstLine="450"/>
        <w:jc w:val="both"/>
      </w:pPr>
      <w:r>
        <w:t xml:space="preserve">Under fixed-price contracts, we agree to perform the specified work for a pre-determined price. To the extent our actual costs vary from the estimates upon which the price was negotiated, we will generate </w:t>
      </w:r>
      <w:proofErr w:type="gramStart"/>
      <w:r>
        <w:t>more or less profit</w:t>
      </w:r>
      <w:proofErr w:type="gramEnd"/>
      <w:r>
        <w:t xml:space="preserve"> or could incur a loss. Some fixed-price contracts have a performance-based component under which we may earn incentive payments or incur financial penalties based on our performance.</w:t>
      </w:r>
    </w:p>
    <w:p w14:paraId="416BFB5E" w14:textId="77777777" w:rsidR="00AE2255" w:rsidRDefault="00AE2255">
      <w:pPr>
        <w:pStyle w:val="BodyText"/>
        <w:spacing w:before="8"/>
        <w:rPr>
          <w:sz w:val="17"/>
        </w:rPr>
      </w:pPr>
    </w:p>
    <w:p w14:paraId="66971745" w14:textId="77777777" w:rsidR="00AE2255" w:rsidRDefault="00000000">
      <w:pPr>
        <w:pStyle w:val="BodyText"/>
        <w:spacing w:line="249" w:lineRule="auto"/>
        <w:ind w:left="610" w:right="427" w:firstLine="450"/>
        <w:jc w:val="both"/>
      </w:pPr>
      <w:r>
        <w:t>Cost-reimbursable</w:t>
      </w:r>
      <w:r>
        <w:rPr>
          <w:spacing w:val="-2"/>
        </w:rPr>
        <w:t xml:space="preserve"> </w:t>
      </w:r>
      <w:r>
        <w:t>contracts</w:t>
      </w:r>
      <w:r>
        <w:rPr>
          <w:spacing w:val="-2"/>
        </w:rPr>
        <w:t xml:space="preserve"> </w:t>
      </w:r>
      <w:r>
        <w:t>provide</w:t>
      </w:r>
      <w:r>
        <w:rPr>
          <w:spacing w:val="-2"/>
        </w:rPr>
        <w:t xml:space="preserve"> </w:t>
      </w:r>
      <w:r>
        <w:t>for</w:t>
      </w:r>
      <w:r>
        <w:rPr>
          <w:spacing w:val="-2"/>
        </w:rPr>
        <w:t xml:space="preserve"> </w:t>
      </w:r>
      <w:r>
        <w:t>the</w:t>
      </w:r>
      <w:r>
        <w:rPr>
          <w:spacing w:val="-2"/>
        </w:rPr>
        <w:t xml:space="preserve"> </w:t>
      </w:r>
      <w:r>
        <w:t>payment</w:t>
      </w:r>
      <w:r>
        <w:rPr>
          <w:spacing w:val="-2"/>
        </w:rPr>
        <w:t xml:space="preserve"> </w:t>
      </w:r>
      <w:r>
        <w:t>of</w:t>
      </w:r>
      <w:r>
        <w:rPr>
          <w:spacing w:val="-2"/>
        </w:rPr>
        <w:t xml:space="preserve"> </w:t>
      </w:r>
      <w:r>
        <w:t>allowable</w:t>
      </w:r>
      <w:r>
        <w:rPr>
          <w:spacing w:val="-2"/>
        </w:rPr>
        <w:t xml:space="preserve"> </w:t>
      </w:r>
      <w:r>
        <w:t>costs</w:t>
      </w:r>
      <w:r>
        <w:rPr>
          <w:spacing w:val="-2"/>
        </w:rPr>
        <w:t xml:space="preserve"> </w:t>
      </w:r>
      <w:r>
        <w:t>incurred</w:t>
      </w:r>
      <w:r>
        <w:rPr>
          <w:spacing w:val="-2"/>
        </w:rPr>
        <w:t xml:space="preserve"> </w:t>
      </w:r>
      <w:r>
        <w:t>during</w:t>
      </w:r>
      <w:r>
        <w:rPr>
          <w:spacing w:val="-2"/>
        </w:rPr>
        <w:t xml:space="preserve"> </w:t>
      </w:r>
      <w:r>
        <w:t>performance</w:t>
      </w:r>
      <w:r>
        <w:rPr>
          <w:spacing w:val="-2"/>
        </w:rPr>
        <w:t xml:space="preserve"> </w:t>
      </w:r>
      <w:r>
        <w:t>of</w:t>
      </w:r>
      <w:r>
        <w:rPr>
          <w:spacing w:val="-2"/>
        </w:rPr>
        <w:t xml:space="preserve"> </w:t>
      </w:r>
      <w:r>
        <w:t>the</w:t>
      </w:r>
      <w:r>
        <w:rPr>
          <w:spacing w:val="-2"/>
        </w:rPr>
        <w:t xml:space="preserve"> </w:t>
      </w:r>
      <w:r>
        <w:t>contract</w:t>
      </w:r>
      <w:r>
        <w:rPr>
          <w:spacing w:val="-2"/>
        </w:rPr>
        <w:t xml:space="preserve"> </w:t>
      </w:r>
      <w:r>
        <w:t>plus</w:t>
      </w:r>
      <w:r>
        <w:rPr>
          <w:spacing w:val="-2"/>
        </w:rPr>
        <w:t xml:space="preserve"> </w:t>
      </w:r>
      <w:r>
        <w:t xml:space="preserve">a fee up to a ceiling based on the amount that has been funded. Typically, we </w:t>
      </w:r>
      <w:proofErr w:type="gramStart"/>
      <w:r>
        <w:t>enter into</w:t>
      </w:r>
      <w:proofErr w:type="gramEnd"/>
      <w:r>
        <w:t xml:space="preserve"> three types of cost-reimbursable</w:t>
      </w:r>
      <w:r>
        <w:rPr>
          <w:spacing w:val="40"/>
        </w:rPr>
        <w:t xml:space="preserve"> </w:t>
      </w:r>
      <w:r>
        <w:t>contracts: cost-plus-award-fee, cost-plus-incentive-fee, and cost-plus-fixed-fee. Cost-plus-award-fee contracts provide for an award</w:t>
      </w:r>
      <w:r>
        <w:rPr>
          <w:spacing w:val="-1"/>
        </w:rPr>
        <w:t xml:space="preserve"> </w:t>
      </w:r>
      <w:r>
        <w:t>fee</w:t>
      </w:r>
      <w:r>
        <w:rPr>
          <w:spacing w:val="-2"/>
        </w:rPr>
        <w:t xml:space="preserve"> </w:t>
      </w:r>
      <w:r>
        <w:t>that</w:t>
      </w:r>
      <w:r>
        <w:rPr>
          <w:spacing w:val="-1"/>
        </w:rPr>
        <w:t xml:space="preserve"> </w:t>
      </w:r>
      <w:r>
        <w:t>varies</w:t>
      </w:r>
      <w:r>
        <w:rPr>
          <w:spacing w:val="-2"/>
        </w:rPr>
        <w:t xml:space="preserve"> </w:t>
      </w:r>
      <w:r>
        <w:t>within</w:t>
      </w:r>
      <w:r>
        <w:rPr>
          <w:spacing w:val="-1"/>
        </w:rPr>
        <w:t xml:space="preserve"> </w:t>
      </w:r>
      <w:r>
        <w:t>specified</w:t>
      </w:r>
      <w:r>
        <w:rPr>
          <w:spacing w:val="-2"/>
        </w:rPr>
        <w:t xml:space="preserve"> </w:t>
      </w:r>
      <w:r>
        <w:t>limits</w:t>
      </w:r>
      <w:r>
        <w:rPr>
          <w:spacing w:val="-1"/>
        </w:rPr>
        <w:t xml:space="preserve"> </w:t>
      </w:r>
      <w:r>
        <w:t>based</w:t>
      </w:r>
      <w:r>
        <w:rPr>
          <w:spacing w:val="-2"/>
        </w:rPr>
        <w:t xml:space="preserve"> </w:t>
      </w:r>
      <w:r>
        <w:t>on</w:t>
      </w:r>
      <w:r>
        <w:rPr>
          <w:spacing w:val="-1"/>
        </w:rPr>
        <w:t xml:space="preserve"> </w:t>
      </w:r>
      <w:r>
        <w:t>the</w:t>
      </w:r>
      <w:r>
        <w:rPr>
          <w:spacing w:val="-2"/>
        </w:rPr>
        <w:t xml:space="preserve"> </w:t>
      </w:r>
      <w:r>
        <w:t>customer’s</w:t>
      </w:r>
      <w:r>
        <w:rPr>
          <w:spacing w:val="-1"/>
        </w:rPr>
        <w:t xml:space="preserve"> </w:t>
      </w:r>
      <w:r>
        <w:t>assessment</w:t>
      </w:r>
      <w:r>
        <w:rPr>
          <w:spacing w:val="-2"/>
        </w:rPr>
        <w:t xml:space="preserve"> </w:t>
      </w:r>
      <w:r>
        <w:t>of</w:t>
      </w:r>
      <w:r>
        <w:rPr>
          <w:spacing w:val="-1"/>
        </w:rPr>
        <w:t xml:space="preserve"> </w:t>
      </w:r>
      <w:r>
        <w:t>our</w:t>
      </w:r>
      <w:r>
        <w:rPr>
          <w:spacing w:val="-2"/>
        </w:rPr>
        <w:t xml:space="preserve"> </w:t>
      </w:r>
      <w:r>
        <w:t>performance</w:t>
      </w:r>
      <w:r>
        <w:rPr>
          <w:spacing w:val="-1"/>
        </w:rPr>
        <w:t xml:space="preserve"> </w:t>
      </w:r>
      <w:r>
        <w:t>against</w:t>
      </w:r>
      <w:r>
        <w:rPr>
          <w:spacing w:val="-2"/>
        </w:rPr>
        <w:t xml:space="preserve"> </w:t>
      </w:r>
      <w:r>
        <w:t>a</w:t>
      </w:r>
      <w:r>
        <w:rPr>
          <w:spacing w:val="-1"/>
        </w:rPr>
        <w:t xml:space="preserve"> </w:t>
      </w:r>
      <w:r>
        <w:t>predetermined</w:t>
      </w:r>
      <w:r>
        <w:rPr>
          <w:spacing w:val="-2"/>
        </w:rPr>
        <w:t xml:space="preserve"> </w:t>
      </w:r>
      <w:r>
        <w:t>set of criteria, such as targets based on cost, quality, technical and schedule criteria. Cost-plus-incentive-fee contracts provide for reimbursement of costs plus a fee, which is adjusted by a formula based on the relationship of total allowable costs to total</w:t>
      </w:r>
      <w:r>
        <w:rPr>
          <w:spacing w:val="40"/>
        </w:rPr>
        <w:t xml:space="preserve"> </w:t>
      </w:r>
      <w:r>
        <w:t>target costs (i.e., incentive based on cost) or reimbursement of costs plus an incentive to exceed stated performance targets (i.e.,</w:t>
      </w:r>
    </w:p>
    <w:p w14:paraId="4D648EE7" w14:textId="77777777" w:rsidR="00AE2255" w:rsidRDefault="00AE2255">
      <w:pPr>
        <w:spacing w:line="249" w:lineRule="auto"/>
        <w:jc w:val="both"/>
        <w:sectPr w:rsidR="00AE2255">
          <w:pgSz w:w="12240" w:h="15840"/>
          <w:pgMar w:top="440" w:right="560" w:bottom="720" w:left="380" w:header="230" w:footer="531" w:gutter="0"/>
          <w:cols w:space="720"/>
        </w:sectPr>
      </w:pPr>
    </w:p>
    <w:p w14:paraId="25CB0FC8" w14:textId="77777777" w:rsidR="00AE2255" w:rsidRDefault="00AE2255">
      <w:pPr>
        <w:pStyle w:val="BodyText"/>
        <w:spacing w:before="10"/>
        <w:rPr>
          <w:sz w:val="22"/>
        </w:rPr>
      </w:pPr>
    </w:p>
    <w:p w14:paraId="7A2939A7" w14:textId="77777777" w:rsidR="00AE2255" w:rsidRDefault="00000000">
      <w:pPr>
        <w:pStyle w:val="BodyText"/>
        <w:spacing w:before="92" w:line="249" w:lineRule="auto"/>
        <w:ind w:left="610"/>
      </w:pPr>
      <w:r>
        <w:t>incentive</w:t>
      </w:r>
      <w:r>
        <w:rPr>
          <w:spacing w:val="23"/>
        </w:rPr>
        <w:t xml:space="preserve"> </w:t>
      </w:r>
      <w:r>
        <w:t>based</w:t>
      </w:r>
      <w:r>
        <w:rPr>
          <w:spacing w:val="24"/>
        </w:rPr>
        <w:t xml:space="preserve"> </w:t>
      </w:r>
      <w:r>
        <w:t>on</w:t>
      </w:r>
      <w:r>
        <w:rPr>
          <w:spacing w:val="24"/>
        </w:rPr>
        <w:t xml:space="preserve"> </w:t>
      </w:r>
      <w:r>
        <w:t>performance).</w:t>
      </w:r>
      <w:r>
        <w:rPr>
          <w:spacing w:val="24"/>
        </w:rPr>
        <w:t xml:space="preserve"> </w:t>
      </w:r>
      <w:r>
        <w:t>Cost-plus-fixed-fee</w:t>
      </w:r>
      <w:r>
        <w:rPr>
          <w:spacing w:val="23"/>
        </w:rPr>
        <w:t xml:space="preserve"> </w:t>
      </w:r>
      <w:r>
        <w:t>contracts</w:t>
      </w:r>
      <w:r>
        <w:rPr>
          <w:spacing w:val="23"/>
        </w:rPr>
        <w:t xml:space="preserve"> </w:t>
      </w:r>
      <w:r>
        <w:t>provide</w:t>
      </w:r>
      <w:r>
        <w:rPr>
          <w:spacing w:val="23"/>
        </w:rPr>
        <w:t xml:space="preserve"> </w:t>
      </w:r>
      <w:r>
        <w:t>a</w:t>
      </w:r>
      <w:r>
        <w:rPr>
          <w:spacing w:val="23"/>
        </w:rPr>
        <w:t xml:space="preserve"> </w:t>
      </w:r>
      <w:r>
        <w:t>fixed</w:t>
      </w:r>
      <w:r>
        <w:rPr>
          <w:spacing w:val="24"/>
        </w:rPr>
        <w:t xml:space="preserve"> </w:t>
      </w:r>
      <w:r>
        <w:t>fee</w:t>
      </w:r>
      <w:r>
        <w:rPr>
          <w:spacing w:val="23"/>
        </w:rPr>
        <w:t xml:space="preserve"> </w:t>
      </w:r>
      <w:r>
        <w:t>that</w:t>
      </w:r>
      <w:r>
        <w:rPr>
          <w:spacing w:val="23"/>
        </w:rPr>
        <w:t xml:space="preserve"> </w:t>
      </w:r>
      <w:r>
        <w:t>is</w:t>
      </w:r>
      <w:r>
        <w:rPr>
          <w:spacing w:val="23"/>
        </w:rPr>
        <w:t xml:space="preserve"> </w:t>
      </w:r>
      <w:r>
        <w:t>negotiated</w:t>
      </w:r>
      <w:r>
        <w:rPr>
          <w:spacing w:val="24"/>
        </w:rPr>
        <w:t xml:space="preserve"> </w:t>
      </w:r>
      <w:r>
        <w:t>at</w:t>
      </w:r>
      <w:r>
        <w:rPr>
          <w:spacing w:val="23"/>
        </w:rPr>
        <w:t xml:space="preserve"> </w:t>
      </w:r>
      <w:r>
        <w:t>the</w:t>
      </w:r>
      <w:r>
        <w:rPr>
          <w:spacing w:val="23"/>
        </w:rPr>
        <w:t xml:space="preserve"> </w:t>
      </w:r>
      <w:r>
        <w:t>inception</w:t>
      </w:r>
      <w:r>
        <w:rPr>
          <w:spacing w:val="24"/>
        </w:rPr>
        <w:t xml:space="preserve"> </w:t>
      </w:r>
      <w:r>
        <w:t>of</w:t>
      </w:r>
      <w:r>
        <w:rPr>
          <w:spacing w:val="24"/>
        </w:rPr>
        <w:t xml:space="preserve"> </w:t>
      </w:r>
      <w:r>
        <w:t>the contract and does not vary with actual costs.</w:t>
      </w:r>
    </w:p>
    <w:p w14:paraId="1A95BF3F" w14:textId="77777777" w:rsidR="00AE2255" w:rsidRDefault="00AE2255">
      <w:pPr>
        <w:pStyle w:val="BodyText"/>
        <w:spacing w:before="6"/>
        <w:rPr>
          <w:sz w:val="17"/>
        </w:rPr>
      </w:pPr>
    </w:p>
    <w:p w14:paraId="7DD685DC" w14:textId="77777777" w:rsidR="00AE2255" w:rsidRDefault="00000000">
      <w:pPr>
        <w:pStyle w:val="BodyText"/>
        <w:spacing w:line="249" w:lineRule="auto"/>
        <w:ind w:left="610" w:right="428" w:firstLine="450"/>
        <w:jc w:val="both"/>
      </w:pPr>
      <w:r>
        <w:t>We assess each contract at its inception to determine whether it should be combined with other contracts. When making this determination, we consider factors such as whether two or more contracts were negotiated and executed at or near the same time or were negotiated with an overall profit objective. If combined, we treat the combined contracts as a single contract for revenue recognition purposes.</w:t>
      </w:r>
    </w:p>
    <w:p w14:paraId="29DA4F0C" w14:textId="77777777" w:rsidR="00AE2255" w:rsidRDefault="00AE2255">
      <w:pPr>
        <w:pStyle w:val="BodyText"/>
        <w:spacing w:before="8"/>
        <w:rPr>
          <w:sz w:val="17"/>
        </w:rPr>
      </w:pPr>
    </w:p>
    <w:p w14:paraId="3717383B" w14:textId="77777777" w:rsidR="00AE2255" w:rsidRDefault="00000000">
      <w:pPr>
        <w:pStyle w:val="BodyText"/>
        <w:spacing w:line="249" w:lineRule="auto"/>
        <w:ind w:left="610" w:right="428" w:firstLine="450"/>
        <w:jc w:val="both"/>
      </w:pPr>
      <w:r>
        <w:t xml:space="preserve">We evaluate the products or services promised in each contract at inception to determine whether the contract should be accounted for as having one or more performance obligations. The products and services in our contracts are typically not distinct from one another due to their complex relationships and the significant contract management functions required to perform under the contract. Accordingly, our contracts are typically accounted for as one performance obligation. In limited cases, our contracts have more than one distinct performance obligation, which occurs when we perform activities that are not highly complex or interrelated or involve different product lifecycles. Significant judgment is required in determining performance obligations, and these decisions could change the amount of revenue and profit recorded </w:t>
      </w:r>
      <w:proofErr w:type="gramStart"/>
      <w:r>
        <w:t>in a given</w:t>
      </w:r>
      <w:proofErr w:type="gramEnd"/>
      <w:r>
        <w:t xml:space="preserve"> period. We classify net sales as products or services on our consolidated statements of earnings based on the predominant attributes of the performance obligations.</w:t>
      </w:r>
    </w:p>
    <w:p w14:paraId="10D5041B" w14:textId="77777777" w:rsidR="00AE2255" w:rsidRDefault="00AE2255">
      <w:pPr>
        <w:pStyle w:val="BodyText"/>
        <w:rPr>
          <w:sz w:val="18"/>
        </w:rPr>
      </w:pPr>
    </w:p>
    <w:p w14:paraId="570B3D06" w14:textId="77777777" w:rsidR="00AE2255" w:rsidRDefault="00000000">
      <w:pPr>
        <w:pStyle w:val="BodyText"/>
        <w:spacing w:line="249" w:lineRule="auto"/>
        <w:ind w:left="610" w:right="428" w:firstLine="450"/>
        <w:jc w:val="both"/>
      </w:pPr>
      <w:r>
        <w:t>We determine the transaction price for each contract based on the consideration we expect to receive for the products or services being provided under the contract. For contracts where a portion of the price may vary (</w:t>
      </w:r>
      <w:proofErr w:type="gramStart"/>
      <w:r>
        <w:t>e.g.</w:t>
      </w:r>
      <w:proofErr w:type="gramEnd"/>
      <w:r>
        <w:t xml:space="preserve"> awards, incentive fees and claims), we estimate variable consideration at the most likely amount, which is included in the transaction price to the extent it is probable that a significant reversal of cumulative revenue recognized will not occur. We analyze the risk of a significant revenue reversal and if </w:t>
      </w:r>
      <w:proofErr w:type="gramStart"/>
      <w:r>
        <w:t>necessary</w:t>
      </w:r>
      <w:proofErr w:type="gramEnd"/>
      <w:r>
        <w:t xml:space="preserve"> constrain the amount of variable consideration recognized in order to mitigate this risk.</w:t>
      </w:r>
    </w:p>
    <w:p w14:paraId="6530F861" w14:textId="77777777" w:rsidR="00AE2255" w:rsidRDefault="00AE2255">
      <w:pPr>
        <w:pStyle w:val="BodyText"/>
        <w:spacing w:before="9"/>
        <w:rPr>
          <w:sz w:val="17"/>
        </w:rPr>
      </w:pPr>
    </w:p>
    <w:p w14:paraId="22B57BFB" w14:textId="77777777" w:rsidR="00AE2255" w:rsidRDefault="00000000">
      <w:pPr>
        <w:pStyle w:val="BodyText"/>
        <w:spacing w:line="249" w:lineRule="auto"/>
        <w:ind w:left="610" w:right="428" w:firstLine="450"/>
        <w:jc w:val="both"/>
      </w:pPr>
      <w:r>
        <w:t xml:space="preserve">At the inception of a </w:t>
      </w:r>
      <w:proofErr w:type="gramStart"/>
      <w:r>
        <w:t>contract</w:t>
      </w:r>
      <w:proofErr w:type="gramEnd"/>
      <w:r>
        <w:t xml:space="preserve"> we estimate the transaction price based on our current rights and do not contemplate future modifications (including unexercised options) or follow-on contracts until they become legally enforceable. Contracts are often subsequently modified to include changes in specifications, </w:t>
      </w:r>
      <w:proofErr w:type="gramStart"/>
      <w:r>
        <w:t>requirements</w:t>
      </w:r>
      <w:proofErr w:type="gramEnd"/>
      <w:r>
        <w:t xml:space="preserve"> or price, which may create new or change existing enforceable rights and obligations. Depending on the nature of the modification, we consider whether to account for the modification</w:t>
      </w:r>
      <w:r>
        <w:rPr>
          <w:spacing w:val="-1"/>
        </w:rPr>
        <w:t xml:space="preserve"> </w:t>
      </w:r>
      <w:r>
        <w:t>as</w:t>
      </w:r>
      <w:r>
        <w:rPr>
          <w:spacing w:val="-1"/>
        </w:rPr>
        <w:t xml:space="preserve"> </w:t>
      </w:r>
      <w:r>
        <w:t>an</w:t>
      </w:r>
      <w:r>
        <w:rPr>
          <w:spacing w:val="-1"/>
        </w:rPr>
        <w:t xml:space="preserve"> </w:t>
      </w:r>
      <w:r>
        <w:t>adjustment</w:t>
      </w:r>
      <w:r>
        <w:rPr>
          <w:spacing w:val="-1"/>
        </w:rPr>
        <w:t xml:space="preserve"> </w:t>
      </w:r>
      <w:r>
        <w:t>to</w:t>
      </w:r>
      <w:r>
        <w:rPr>
          <w:spacing w:val="-1"/>
        </w:rPr>
        <w:t xml:space="preserve"> </w:t>
      </w:r>
      <w:r>
        <w:t>the</w:t>
      </w:r>
      <w:r>
        <w:rPr>
          <w:spacing w:val="-1"/>
        </w:rPr>
        <w:t xml:space="preserve"> </w:t>
      </w:r>
      <w:r>
        <w:t>existing</w:t>
      </w:r>
      <w:r>
        <w:rPr>
          <w:spacing w:val="-1"/>
        </w:rPr>
        <w:t xml:space="preserve"> </w:t>
      </w:r>
      <w:r>
        <w:t>contract</w:t>
      </w:r>
      <w:r>
        <w:rPr>
          <w:spacing w:val="-1"/>
        </w:rPr>
        <w:t xml:space="preserve"> </w:t>
      </w:r>
      <w:r>
        <w:t>or</w:t>
      </w:r>
      <w:r>
        <w:rPr>
          <w:spacing w:val="-1"/>
        </w:rPr>
        <w:t xml:space="preserve"> </w:t>
      </w:r>
      <w:r>
        <w:t>as</w:t>
      </w:r>
      <w:r>
        <w:rPr>
          <w:spacing w:val="-1"/>
        </w:rPr>
        <w:t xml:space="preserve"> </w:t>
      </w:r>
      <w:r>
        <w:t>a</w:t>
      </w:r>
      <w:r>
        <w:rPr>
          <w:spacing w:val="-1"/>
        </w:rPr>
        <w:t xml:space="preserve"> </w:t>
      </w:r>
      <w:r>
        <w:t>separate</w:t>
      </w:r>
      <w:r>
        <w:rPr>
          <w:spacing w:val="-1"/>
        </w:rPr>
        <w:t xml:space="preserve"> </w:t>
      </w:r>
      <w:r>
        <w:t>contract.</w:t>
      </w:r>
      <w:r>
        <w:rPr>
          <w:spacing w:val="-1"/>
        </w:rPr>
        <w:t xml:space="preserve"> </w:t>
      </w:r>
      <w:r>
        <w:t>Generally,</w:t>
      </w:r>
      <w:r>
        <w:rPr>
          <w:spacing w:val="-1"/>
        </w:rPr>
        <w:t xml:space="preserve"> </w:t>
      </w:r>
      <w:r>
        <w:t>modifications</w:t>
      </w:r>
      <w:r>
        <w:rPr>
          <w:spacing w:val="-1"/>
        </w:rPr>
        <w:t xml:space="preserve"> </w:t>
      </w:r>
      <w:r>
        <w:t>to</w:t>
      </w:r>
      <w:r>
        <w:rPr>
          <w:spacing w:val="-1"/>
        </w:rPr>
        <w:t xml:space="preserve"> </w:t>
      </w:r>
      <w:r>
        <w:t>our</w:t>
      </w:r>
      <w:r>
        <w:rPr>
          <w:spacing w:val="-1"/>
        </w:rPr>
        <w:t xml:space="preserve"> </w:t>
      </w:r>
      <w:r>
        <w:t>contracts</w:t>
      </w:r>
      <w:r>
        <w:rPr>
          <w:spacing w:val="-1"/>
        </w:rPr>
        <w:t xml:space="preserve"> </w:t>
      </w:r>
      <w:r>
        <w:t>are</w:t>
      </w:r>
      <w:r>
        <w:rPr>
          <w:spacing w:val="-1"/>
        </w:rPr>
        <w:t xml:space="preserve"> </w:t>
      </w:r>
      <w:r>
        <w:t>not distinct</w:t>
      </w:r>
      <w:r>
        <w:rPr>
          <w:spacing w:val="-2"/>
        </w:rPr>
        <w:t xml:space="preserve"> </w:t>
      </w:r>
      <w:r>
        <w:t>from</w:t>
      </w:r>
      <w:r>
        <w:rPr>
          <w:spacing w:val="-2"/>
        </w:rPr>
        <w:t xml:space="preserve"> </w:t>
      </w:r>
      <w:r>
        <w:t>the</w:t>
      </w:r>
      <w:r>
        <w:rPr>
          <w:spacing w:val="-2"/>
        </w:rPr>
        <w:t xml:space="preserve"> </w:t>
      </w:r>
      <w:r>
        <w:t>existing</w:t>
      </w:r>
      <w:r>
        <w:rPr>
          <w:spacing w:val="-2"/>
        </w:rPr>
        <w:t xml:space="preserve"> </w:t>
      </w:r>
      <w:r>
        <w:t>contract</w:t>
      </w:r>
      <w:r>
        <w:rPr>
          <w:spacing w:val="-2"/>
        </w:rPr>
        <w:t xml:space="preserve"> </w:t>
      </w:r>
      <w:r>
        <w:t>due</w:t>
      </w:r>
      <w:r>
        <w:rPr>
          <w:spacing w:val="-2"/>
        </w:rPr>
        <w:t xml:space="preserve"> </w:t>
      </w:r>
      <w:r>
        <w:t>to</w:t>
      </w:r>
      <w:r>
        <w:rPr>
          <w:spacing w:val="-2"/>
        </w:rPr>
        <w:t xml:space="preserve"> </w:t>
      </w:r>
      <w:r>
        <w:t>the</w:t>
      </w:r>
      <w:r>
        <w:rPr>
          <w:spacing w:val="-2"/>
        </w:rPr>
        <w:t xml:space="preserve"> </w:t>
      </w:r>
      <w:r>
        <w:t>significant</w:t>
      </w:r>
      <w:r>
        <w:rPr>
          <w:spacing w:val="-2"/>
        </w:rPr>
        <w:t xml:space="preserve"> </w:t>
      </w:r>
      <w:r>
        <w:t>integration</w:t>
      </w:r>
      <w:r>
        <w:rPr>
          <w:spacing w:val="-2"/>
        </w:rPr>
        <w:t xml:space="preserve"> </w:t>
      </w:r>
      <w:r>
        <w:t>and</w:t>
      </w:r>
      <w:r>
        <w:rPr>
          <w:spacing w:val="-2"/>
        </w:rPr>
        <w:t xml:space="preserve"> </w:t>
      </w:r>
      <w:r>
        <w:t>interrelated</w:t>
      </w:r>
      <w:r>
        <w:rPr>
          <w:spacing w:val="-2"/>
        </w:rPr>
        <w:t xml:space="preserve"> </w:t>
      </w:r>
      <w:r>
        <w:t>tasks</w:t>
      </w:r>
      <w:r>
        <w:rPr>
          <w:spacing w:val="-2"/>
        </w:rPr>
        <w:t xml:space="preserve"> </w:t>
      </w:r>
      <w:r>
        <w:t>provided</w:t>
      </w:r>
      <w:r>
        <w:rPr>
          <w:spacing w:val="-2"/>
        </w:rPr>
        <w:t xml:space="preserve"> </w:t>
      </w:r>
      <w:r>
        <w:t>in</w:t>
      </w:r>
      <w:r>
        <w:rPr>
          <w:spacing w:val="-2"/>
        </w:rPr>
        <w:t xml:space="preserve"> </w:t>
      </w:r>
      <w:r>
        <w:t>the</w:t>
      </w:r>
      <w:r>
        <w:rPr>
          <w:spacing w:val="-2"/>
        </w:rPr>
        <w:t xml:space="preserve"> </w:t>
      </w:r>
      <w:r>
        <w:t>context</w:t>
      </w:r>
      <w:r>
        <w:rPr>
          <w:spacing w:val="-2"/>
        </w:rPr>
        <w:t xml:space="preserve"> </w:t>
      </w:r>
      <w:r>
        <w:t>of</w:t>
      </w:r>
      <w:r>
        <w:rPr>
          <w:spacing w:val="-2"/>
        </w:rPr>
        <w:t xml:space="preserve"> </w:t>
      </w:r>
      <w:r>
        <w:t>the</w:t>
      </w:r>
      <w:r>
        <w:rPr>
          <w:spacing w:val="-2"/>
        </w:rPr>
        <w:t xml:space="preserve"> </w:t>
      </w:r>
      <w:r>
        <w:t>contract. Therefore, such modifications are accounted for as if they were part of the existing contract and recognized as a cumulative adjustment to revenue.</w:t>
      </w:r>
    </w:p>
    <w:p w14:paraId="2761FE63" w14:textId="77777777" w:rsidR="00AE2255" w:rsidRDefault="00AE2255">
      <w:pPr>
        <w:pStyle w:val="BodyText"/>
        <w:spacing w:before="11"/>
        <w:rPr>
          <w:sz w:val="17"/>
        </w:rPr>
      </w:pPr>
    </w:p>
    <w:p w14:paraId="7568EA43" w14:textId="77777777" w:rsidR="00AE2255" w:rsidRDefault="00000000">
      <w:pPr>
        <w:pStyle w:val="BodyText"/>
        <w:spacing w:line="249" w:lineRule="auto"/>
        <w:ind w:left="610" w:right="428" w:firstLine="525"/>
        <w:jc w:val="both"/>
      </w:pPr>
      <w:r>
        <w:t>For contracts with multiple performance obligations, we allocate the transaction price to each performance obligation based on the estimated standalone selling price of the product or service underlying each performance obligation. The standalone</w:t>
      </w:r>
      <w:r>
        <w:rPr>
          <w:spacing w:val="-1"/>
        </w:rPr>
        <w:t xml:space="preserve"> </w:t>
      </w:r>
      <w:r>
        <w:t>selling</w:t>
      </w:r>
      <w:r>
        <w:rPr>
          <w:spacing w:val="-1"/>
        </w:rPr>
        <w:t xml:space="preserve"> </w:t>
      </w:r>
      <w:r>
        <w:t>price</w:t>
      </w:r>
      <w:r>
        <w:rPr>
          <w:spacing w:val="-1"/>
        </w:rPr>
        <w:t xml:space="preserve"> </w:t>
      </w:r>
      <w:r>
        <w:t>represents</w:t>
      </w:r>
      <w:r>
        <w:rPr>
          <w:spacing w:val="-1"/>
        </w:rPr>
        <w:t xml:space="preserve"> </w:t>
      </w:r>
      <w:r>
        <w:t>the</w:t>
      </w:r>
      <w:r>
        <w:rPr>
          <w:spacing w:val="-1"/>
        </w:rPr>
        <w:t xml:space="preserve"> </w:t>
      </w:r>
      <w:r>
        <w:t>amount</w:t>
      </w:r>
      <w:r>
        <w:rPr>
          <w:spacing w:val="-1"/>
        </w:rPr>
        <w:t xml:space="preserve"> </w:t>
      </w:r>
      <w:r>
        <w:t>we</w:t>
      </w:r>
      <w:r>
        <w:rPr>
          <w:spacing w:val="-1"/>
        </w:rPr>
        <w:t xml:space="preserve"> </w:t>
      </w:r>
      <w:r>
        <w:t>would</w:t>
      </w:r>
      <w:r>
        <w:rPr>
          <w:spacing w:val="-1"/>
        </w:rPr>
        <w:t xml:space="preserve"> </w:t>
      </w:r>
      <w:r>
        <w:t>sell</w:t>
      </w:r>
      <w:r>
        <w:rPr>
          <w:spacing w:val="-1"/>
        </w:rPr>
        <w:t xml:space="preserve"> </w:t>
      </w:r>
      <w:r>
        <w:t>the</w:t>
      </w:r>
      <w:r>
        <w:rPr>
          <w:spacing w:val="-1"/>
        </w:rPr>
        <w:t xml:space="preserve"> </w:t>
      </w:r>
      <w:r>
        <w:t>product</w:t>
      </w:r>
      <w:r>
        <w:rPr>
          <w:spacing w:val="-1"/>
        </w:rPr>
        <w:t xml:space="preserve"> </w:t>
      </w:r>
      <w:r>
        <w:t>or</w:t>
      </w:r>
      <w:r>
        <w:rPr>
          <w:spacing w:val="-1"/>
        </w:rPr>
        <w:t xml:space="preserve"> </w:t>
      </w:r>
      <w:r>
        <w:t>service</w:t>
      </w:r>
      <w:r>
        <w:rPr>
          <w:spacing w:val="-1"/>
        </w:rPr>
        <w:t xml:space="preserve"> </w:t>
      </w:r>
      <w:r>
        <w:t>to</w:t>
      </w:r>
      <w:r>
        <w:rPr>
          <w:spacing w:val="-1"/>
        </w:rPr>
        <w:t xml:space="preserve"> </w:t>
      </w:r>
      <w:r>
        <w:t>a</w:t>
      </w:r>
      <w:r>
        <w:rPr>
          <w:spacing w:val="-1"/>
        </w:rPr>
        <w:t xml:space="preserve"> </w:t>
      </w:r>
      <w:r>
        <w:t>customer</w:t>
      </w:r>
      <w:r>
        <w:rPr>
          <w:spacing w:val="-1"/>
        </w:rPr>
        <w:t xml:space="preserve"> </w:t>
      </w:r>
      <w:r>
        <w:t>on</w:t>
      </w:r>
      <w:r>
        <w:rPr>
          <w:spacing w:val="-1"/>
        </w:rPr>
        <w:t xml:space="preserve"> </w:t>
      </w:r>
      <w:r>
        <w:t>a</w:t>
      </w:r>
      <w:r>
        <w:rPr>
          <w:spacing w:val="-1"/>
        </w:rPr>
        <w:t xml:space="preserve"> </w:t>
      </w:r>
      <w:r>
        <w:t>standalone</w:t>
      </w:r>
      <w:r>
        <w:rPr>
          <w:spacing w:val="-1"/>
        </w:rPr>
        <w:t xml:space="preserve"> </w:t>
      </w:r>
      <w:r>
        <w:t>basis</w:t>
      </w:r>
      <w:r>
        <w:rPr>
          <w:spacing w:val="-1"/>
        </w:rPr>
        <w:t xml:space="preserve"> </w:t>
      </w:r>
      <w:r>
        <w:t>(i.e.,</w:t>
      </w:r>
      <w:r>
        <w:rPr>
          <w:spacing w:val="-1"/>
        </w:rPr>
        <w:t xml:space="preserve"> </w:t>
      </w:r>
      <w:r>
        <w:t>not bundled with any other products or services). Our contracts with the U.S. Government, including FMS contracts, are subject to FAR and the price is typically based on estimated or actual costs plus a reasonable profit margin. As a result of these regulations, the standalone selling price of products or services in our contracts with the U.S. Government and FMS contracts are typically equal to the selling price stated in the contract.</w:t>
      </w:r>
    </w:p>
    <w:p w14:paraId="54F0056C" w14:textId="77777777" w:rsidR="00AE2255" w:rsidRDefault="00AE2255">
      <w:pPr>
        <w:pStyle w:val="BodyText"/>
        <w:spacing w:before="10"/>
        <w:rPr>
          <w:sz w:val="17"/>
        </w:rPr>
      </w:pPr>
    </w:p>
    <w:p w14:paraId="170CEE75" w14:textId="77777777" w:rsidR="00AE2255" w:rsidRDefault="00000000">
      <w:pPr>
        <w:pStyle w:val="BodyText"/>
        <w:spacing w:line="249" w:lineRule="auto"/>
        <w:ind w:left="610" w:right="427" w:firstLine="450"/>
        <w:jc w:val="both"/>
      </w:pPr>
      <w:r>
        <w:t>For non-U.S. Government contracts with multiple performance obligations, we evaluate whether the stated selling prices for the products or services represent their standalone selling prices. We primarily sell customized solutions unique to a customer’s specifications. When it is necessary to allocate the transaction price to multiple performance obligations, we typically use the expected cost plus a reasonable profit margin to estimate the standalone selling price of each product or service.</w:t>
      </w:r>
      <w:r>
        <w:rPr>
          <w:spacing w:val="-3"/>
        </w:rPr>
        <w:t xml:space="preserve"> </w:t>
      </w:r>
      <w:r>
        <w:t>We</w:t>
      </w:r>
      <w:r>
        <w:rPr>
          <w:spacing w:val="-3"/>
        </w:rPr>
        <w:t xml:space="preserve"> </w:t>
      </w:r>
      <w:r>
        <w:t>occasionally</w:t>
      </w:r>
      <w:r>
        <w:rPr>
          <w:spacing w:val="-3"/>
        </w:rPr>
        <w:t xml:space="preserve"> </w:t>
      </w:r>
      <w:r>
        <w:t>sell</w:t>
      </w:r>
      <w:r>
        <w:rPr>
          <w:spacing w:val="-3"/>
        </w:rPr>
        <w:t xml:space="preserve"> </w:t>
      </w:r>
      <w:r>
        <w:t>standard</w:t>
      </w:r>
      <w:r>
        <w:rPr>
          <w:spacing w:val="-3"/>
        </w:rPr>
        <w:t xml:space="preserve"> </w:t>
      </w:r>
      <w:r>
        <w:t>products</w:t>
      </w:r>
      <w:r>
        <w:rPr>
          <w:spacing w:val="-3"/>
        </w:rPr>
        <w:t xml:space="preserve"> </w:t>
      </w:r>
      <w:r>
        <w:t>or</w:t>
      </w:r>
      <w:r>
        <w:rPr>
          <w:spacing w:val="-3"/>
        </w:rPr>
        <w:t xml:space="preserve"> </w:t>
      </w:r>
      <w:r>
        <w:t>services</w:t>
      </w:r>
      <w:r>
        <w:rPr>
          <w:spacing w:val="-3"/>
        </w:rPr>
        <w:t xml:space="preserve"> </w:t>
      </w:r>
      <w:r>
        <w:t>with</w:t>
      </w:r>
      <w:r>
        <w:rPr>
          <w:spacing w:val="-3"/>
        </w:rPr>
        <w:t xml:space="preserve"> </w:t>
      </w:r>
      <w:r>
        <w:t>observable</w:t>
      </w:r>
      <w:r>
        <w:rPr>
          <w:spacing w:val="-3"/>
        </w:rPr>
        <w:t xml:space="preserve"> </w:t>
      </w:r>
      <w:r>
        <w:t>standalone</w:t>
      </w:r>
      <w:r>
        <w:rPr>
          <w:spacing w:val="-3"/>
        </w:rPr>
        <w:t xml:space="preserve"> </w:t>
      </w:r>
      <w:r>
        <w:t>sales</w:t>
      </w:r>
      <w:r>
        <w:rPr>
          <w:spacing w:val="-3"/>
        </w:rPr>
        <w:t xml:space="preserve"> </w:t>
      </w:r>
      <w:r>
        <w:t>transactions.</w:t>
      </w:r>
      <w:r>
        <w:rPr>
          <w:spacing w:val="-3"/>
        </w:rPr>
        <w:t xml:space="preserve"> </w:t>
      </w:r>
      <w:r>
        <w:t>In</w:t>
      </w:r>
      <w:r>
        <w:rPr>
          <w:spacing w:val="-3"/>
        </w:rPr>
        <w:t xml:space="preserve"> </w:t>
      </w:r>
      <w:r>
        <w:t>these</w:t>
      </w:r>
      <w:r>
        <w:rPr>
          <w:spacing w:val="-3"/>
        </w:rPr>
        <w:t xml:space="preserve"> </w:t>
      </w:r>
      <w:r>
        <w:t>situations,</w:t>
      </w:r>
      <w:r>
        <w:rPr>
          <w:spacing w:val="-3"/>
        </w:rPr>
        <w:t xml:space="preserve"> </w:t>
      </w:r>
      <w:r>
        <w:t>the observable standalone sales transactions are used to determine the standalone selling price.</w:t>
      </w:r>
    </w:p>
    <w:p w14:paraId="6624B965" w14:textId="77777777" w:rsidR="00AE2255" w:rsidRDefault="00AE2255">
      <w:pPr>
        <w:pStyle w:val="BodyText"/>
        <w:spacing w:before="9"/>
        <w:rPr>
          <w:sz w:val="17"/>
        </w:rPr>
      </w:pPr>
    </w:p>
    <w:p w14:paraId="29E94F0E" w14:textId="77777777" w:rsidR="00AE2255" w:rsidRDefault="00000000">
      <w:pPr>
        <w:pStyle w:val="BodyText"/>
        <w:spacing w:line="249" w:lineRule="auto"/>
        <w:ind w:left="610" w:right="428" w:firstLine="450"/>
        <w:jc w:val="both"/>
      </w:pPr>
      <w:r>
        <w:t xml:space="preserve">We recognize revenue as performance obligations are satisfied and the customer obtains control of the products and services. In determining when performance obligations are satisfied, we consider factors such as contract terms, payment terms and whether there is an alternative future use of the product or service. Substantially </w:t>
      </w:r>
      <w:proofErr w:type="gramStart"/>
      <w:r>
        <w:t>all of</w:t>
      </w:r>
      <w:proofErr w:type="gramEnd"/>
      <w:r>
        <w:t xml:space="preserve"> our revenue is recognized over time as we perform under the contract because control of the work in process transfers continuously to the customer. For most contracts with the U.S. Government and FMS contracts, this continuous transfer of control of the work in process to the customer is supported by clauses in the contract that give the customer ownership of work in process and allow the customer to unilaterally terminate the contract for convenience and pay us for costs incurred plus a reasonable profit. For most non-U.S. Government contracts, primarily international direct commercial contracts, continuous transfer of control to our customer is supported because we deliver products that do not have an alternative use to us and if our customer were to terminate the contract for reasons other than our non-performance we would have the right to recover damages which would include, among other potential damages, the right to payment for our work performed to date plus a reasonable profit.</w:t>
      </w:r>
    </w:p>
    <w:p w14:paraId="768A8D1F" w14:textId="77777777" w:rsidR="00AE2255" w:rsidRDefault="00AE2255">
      <w:pPr>
        <w:spacing w:line="249" w:lineRule="auto"/>
        <w:jc w:val="both"/>
        <w:sectPr w:rsidR="00AE2255">
          <w:pgSz w:w="12240" w:h="15840"/>
          <w:pgMar w:top="440" w:right="560" w:bottom="720" w:left="380" w:header="230" w:footer="531" w:gutter="0"/>
          <w:cols w:space="720"/>
        </w:sectPr>
      </w:pPr>
    </w:p>
    <w:p w14:paraId="3C54D194" w14:textId="77777777" w:rsidR="00AE2255" w:rsidRDefault="00AE2255">
      <w:pPr>
        <w:pStyle w:val="BodyText"/>
        <w:spacing w:before="10"/>
        <w:rPr>
          <w:sz w:val="22"/>
        </w:rPr>
      </w:pPr>
    </w:p>
    <w:p w14:paraId="1CF8E339" w14:textId="77777777" w:rsidR="00AE2255" w:rsidRDefault="00000000">
      <w:pPr>
        <w:pStyle w:val="BodyText"/>
        <w:spacing w:before="92" w:line="249" w:lineRule="auto"/>
        <w:ind w:left="610" w:right="427" w:firstLine="450"/>
        <w:jc w:val="both"/>
      </w:pPr>
      <w:r>
        <w:t>For</w:t>
      </w:r>
      <w:r>
        <w:rPr>
          <w:spacing w:val="-1"/>
        </w:rPr>
        <w:t xml:space="preserve"> </w:t>
      </w:r>
      <w:r>
        <w:t>performance</w:t>
      </w:r>
      <w:r>
        <w:rPr>
          <w:spacing w:val="-1"/>
        </w:rPr>
        <w:t xml:space="preserve"> </w:t>
      </w:r>
      <w:r>
        <w:t>obligations</w:t>
      </w:r>
      <w:r>
        <w:rPr>
          <w:spacing w:val="-1"/>
        </w:rPr>
        <w:t xml:space="preserve"> </w:t>
      </w:r>
      <w:r>
        <w:t>to</w:t>
      </w:r>
      <w:r>
        <w:rPr>
          <w:spacing w:val="-1"/>
        </w:rPr>
        <w:t xml:space="preserve"> </w:t>
      </w:r>
      <w:r>
        <w:t>deliver</w:t>
      </w:r>
      <w:r>
        <w:rPr>
          <w:spacing w:val="-1"/>
        </w:rPr>
        <w:t xml:space="preserve"> </w:t>
      </w:r>
      <w:r>
        <w:t>products</w:t>
      </w:r>
      <w:r>
        <w:rPr>
          <w:spacing w:val="-1"/>
        </w:rPr>
        <w:t xml:space="preserve"> </w:t>
      </w:r>
      <w:r>
        <w:t>with</w:t>
      </w:r>
      <w:r>
        <w:rPr>
          <w:spacing w:val="-1"/>
        </w:rPr>
        <w:t xml:space="preserve"> </w:t>
      </w:r>
      <w:r>
        <w:t>continuous</w:t>
      </w:r>
      <w:r>
        <w:rPr>
          <w:spacing w:val="-1"/>
        </w:rPr>
        <w:t xml:space="preserve"> </w:t>
      </w:r>
      <w:r>
        <w:t>transfer</w:t>
      </w:r>
      <w:r>
        <w:rPr>
          <w:spacing w:val="-1"/>
        </w:rPr>
        <w:t xml:space="preserve"> </w:t>
      </w:r>
      <w:r>
        <w:t>of</w:t>
      </w:r>
      <w:r>
        <w:rPr>
          <w:spacing w:val="-1"/>
        </w:rPr>
        <w:t xml:space="preserve"> </w:t>
      </w:r>
      <w:r>
        <w:t>control</w:t>
      </w:r>
      <w:r>
        <w:rPr>
          <w:spacing w:val="-1"/>
        </w:rPr>
        <w:t xml:space="preserve"> </w:t>
      </w:r>
      <w:r>
        <w:t>to</w:t>
      </w:r>
      <w:r>
        <w:rPr>
          <w:spacing w:val="-1"/>
        </w:rPr>
        <w:t xml:space="preserve"> </w:t>
      </w:r>
      <w:r>
        <w:t>the</w:t>
      </w:r>
      <w:r>
        <w:rPr>
          <w:spacing w:val="-1"/>
        </w:rPr>
        <w:t xml:space="preserve"> </w:t>
      </w:r>
      <w:r>
        <w:t>customer,</w:t>
      </w:r>
      <w:r>
        <w:rPr>
          <w:spacing w:val="-1"/>
        </w:rPr>
        <w:t xml:space="preserve"> </w:t>
      </w:r>
      <w:r>
        <w:t>revenue</w:t>
      </w:r>
      <w:r>
        <w:rPr>
          <w:spacing w:val="-1"/>
        </w:rPr>
        <w:t xml:space="preserve"> </w:t>
      </w:r>
      <w:r>
        <w:t>is</w:t>
      </w:r>
      <w:r>
        <w:rPr>
          <w:spacing w:val="-1"/>
        </w:rPr>
        <w:t xml:space="preserve"> </w:t>
      </w:r>
      <w:r>
        <w:t>recognized based on the extent of progress towards completion of the performance obligation, generally using the percentage-of- completion cost-to-cost measure of progress for our contracts because it best depicts the transfer of control to the customer as we incur costs on our contracts. Under the percentage-of-completion cost-to-cost measure of progress, the extent of progress towards completion is measured based on the ratio of costs incurred to date to the total estimated costs to complete the performance obligation(s). For performance obligations to provide services to the customer, revenue is recognized over time based on costs incurred or the right to invoice method (in situations where the value transferred matches our billing rights) as our customer receives and consumes the benefits.</w:t>
      </w:r>
    </w:p>
    <w:p w14:paraId="1331CDFD" w14:textId="77777777" w:rsidR="00AE2255" w:rsidRDefault="00AE2255">
      <w:pPr>
        <w:pStyle w:val="BodyText"/>
        <w:spacing w:before="11"/>
        <w:rPr>
          <w:sz w:val="17"/>
        </w:rPr>
      </w:pPr>
    </w:p>
    <w:p w14:paraId="78B812F0" w14:textId="77777777" w:rsidR="00AE2255" w:rsidRDefault="00000000">
      <w:pPr>
        <w:pStyle w:val="BodyText"/>
        <w:spacing w:line="249" w:lineRule="auto"/>
        <w:ind w:left="610" w:right="427" w:firstLine="450"/>
        <w:jc w:val="both"/>
      </w:pPr>
      <w:r>
        <w:t>For performance obligations in which control does not continuously transfer to the customer, we recognize revenue at the point in time in which each performance obligation is fully satisfied. This coincides with the point in time the customer obtains control of the product or service, which typically occurs upon customer acceptance or receipt of the product or service, given that we maintain control of the product or service until that point.</w:t>
      </w:r>
    </w:p>
    <w:p w14:paraId="48BB6B96" w14:textId="77777777" w:rsidR="00AE2255" w:rsidRDefault="00AE2255">
      <w:pPr>
        <w:pStyle w:val="BodyText"/>
        <w:spacing w:before="7"/>
        <w:rPr>
          <w:sz w:val="17"/>
        </w:rPr>
      </w:pPr>
    </w:p>
    <w:p w14:paraId="591B30A2" w14:textId="77777777" w:rsidR="00AE2255" w:rsidRDefault="00000000">
      <w:pPr>
        <w:pStyle w:val="BodyText"/>
        <w:spacing w:before="1" w:line="249" w:lineRule="auto"/>
        <w:ind w:left="610" w:right="428" w:firstLine="450"/>
        <w:jc w:val="both"/>
      </w:pPr>
      <w:r>
        <w:t>Significant estimates and assumptions are made in estimating contract sales, costs, and profit. We estimate profit as the difference between estimated revenues and total estimated costs to complete the contract. At the outset of a long-term contract, we identify and monitor risks to the achievement of the technical, schedule and cost aspects of the contract, as well as our</w:t>
      </w:r>
      <w:r>
        <w:rPr>
          <w:spacing w:val="40"/>
        </w:rPr>
        <w:t xml:space="preserve"> </w:t>
      </w:r>
      <w:r>
        <w:t xml:space="preserve">ability to earn variable consideration, and assess the effects of those risks on our estimates of sales and total costs to complete the contract. The estimates consider the technical requirements (e.g., a </w:t>
      </w:r>
      <w:proofErr w:type="gramStart"/>
      <w:r>
        <w:t>newly-developed</w:t>
      </w:r>
      <w:proofErr w:type="gramEnd"/>
      <w:r>
        <w:t xml:space="preserve"> product versus a mature product), the schedule and associated tasks (e.g., the number and type of milestone events) and costs (e.g., material, labor, subcontractor, overhead, general and administrative and the estimated costs to fulfill our industrial cooperation agreements, sometimes</w:t>
      </w:r>
      <w:r>
        <w:rPr>
          <w:spacing w:val="40"/>
        </w:rPr>
        <w:t xml:space="preserve"> </w:t>
      </w:r>
      <w:r>
        <w:t>referred to as offset or localization agreements, required under certain contracts with international customers). The initial profit booking</w:t>
      </w:r>
      <w:r>
        <w:rPr>
          <w:spacing w:val="-2"/>
        </w:rPr>
        <w:t xml:space="preserve"> </w:t>
      </w:r>
      <w:r>
        <w:t>rate</w:t>
      </w:r>
      <w:r>
        <w:rPr>
          <w:spacing w:val="-2"/>
        </w:rPr>
        <w:t xml:space="preserve"> </w:t>
      </w:r>
      <w:r>
        <w:t>of</w:t>
      </w:r>
      <w:r>
        <w:rPr>
          <w:spacing w:val="-2"/>
        </w:rPr>
        <w:t xml:space="preserve"> </w:t>
      </w:r>
      <w:r>
        <w:t>each</w:t>
      </w:r>
      <w:r>
        <w:rPr>
          <w:spacing w:val="-2"/>
        </w:rPr>
        <w:t xml:space="preserve"> </w:t>
      </w:r>
      <w:r>
        <w:t>contract</w:t>
      </w:r>
      <w:r>
        <w:rPr>
          <w:spacing w:val="-2"/>
        </w:rPr>
        <w:t xml:space="preserve"> </w:t>
      </w:r>
      <w:r>
        <w:t>considers</w:t>
      </w:r>
      <w:r>
        <w:rPr>
          <w:spacing w:val="-2"/>
        </w:rPr>
        <w:t xml:space="preserve"> </w:t>
      </w:r>
      <w:r>
        <w:t>risks</w:t>
      </w:r>
      <w:r>
        <w:rPr>
          <w:spacing w:val="-2"/>
        </w:rPr>
        <w:t xml:space="preserve"> </w:t>
      </w:r>
      <w:r>
        <w:t>surrounding</w:t>
      </w:r>
      <w:r>
        <w:rPr>
          <w:spacing w:val="-2"/>
        </w:rPr>
        <w:t xml:space="preserve"> </w:t>
      </w:r>
      <w:r>
        <w:t>the</w:t>
      </w:r>
      <w:r>
        <w:rPr>
          <w:spacing w:val="-2"/>
        </w:rPr>
        <w:t xml:space="preserve"> </w:t>
      </w:r>
      <w:r>
        <w:t>ability</w:t>
      </w:r>
      <w:r>
        <w:rPr>
          <w:spacing w:val="-2"/>
        </w:rPr>
        <w:t xml:space="preserve"> </w:t>
      </w:r>
      <w:r>
        <w:t>to</w:t>
      </w:r>
      <w:r>
        <w:rPr>
          <w:spacing w:val="-2"/>
        </w:rPr>
        <w:t xml:space="preserve"> </w:t>
      </w:r>
      <w:r>
        <w:t>achieve</w:t>
      </w:r>
      <w:r>
        <w:rPr>
          <w:spacing w:val="-2"/>
        </w:rPr>
        <w:t xml:space="preserve"> </w:t>
      </w:r>
      <w:r>
        <w:t>the</w:t>
      </w:r>
      <w:r>
        <w:rPr>
          <w:spacing w:val="-2"/>
        </w:rPr>
        <w:t xml:space="preserve"> </w:t>
      </w:r>
      <w:r>
        <w:t>technical</w:t>
      </w:r>
      <w:r>
        <w:rPr>
          <w:spacing w:val="-2"/>
        </w:rPr>
        <w:t xml:space="preserve"> </w:t>
      </w:r>
      <w:r>
        <w:t>requirements,</w:t>
      </w:r>
      <w:r>
        <w:rPr>
          <w:spacing w:val="-3"/>
        </w:rPr>
        <w:t xml:space="preserve"> </w:t>
      </w:r>
      <w:proofErr w:type="gramStart"/>
      <w:r>
        <w:t>schedule</w:t>
      </w:r>
      <w:proofErr w:type="gramEnd"/>
      <w:r>
        <w:rPr>
          <w:spacing w:val="-2"/>
        </w:rPr>
        <w:t xml:space="preserve"> </w:t>
      </w:r>
      <w:r>
        <w:t>and</w:t>
      </w:r>
      <w:r>
        <w:rPr>
          <w:spacing w:val="-2"/>
        </w:rPr>
        <w:t xml:space="preserve"> </w:t>
      </w:r>
      <w:r>
        <w:t>costs</w:t>
      </w:r>
      <w:r>
        <w:rPr>
          <w:spacing w:val="-2"/>
        </w:rPr>
        <w:t xml:space="preserve"> </w:t>
      </w:r>
      <w:r>
        <w:t>in the initial estimated total costs to complete the contract. Profit booking rates may increase during the performance of the contract if we successfully retire risks related to technical, schedule and cost aspects of the contract, which decreases the estimated total costs to complete the contract or may increase the variable consideration we expect to receive on the contract. Conversely, our profit booking rates may decrease if the estimated total costs to complete the contract increase or our estimates of</w:t>
      </w:r>
      <w:r>
        <w:rPr>
          <w:spacing w:val="-2"/>
        </w:rPr>
        <w:t xml:space="preserve"> </w:t>
      </w:r>
      <w:r>
        <w:t>variable</w:t>
      </w:r>
      <w:r>
        <w:rPr>
          <w:spacing w:val="-2"/>
        </w:rPr>
        <w:t xml:space="preserve"> </w:t>
      </w:r>
      <w:proofErr w:type="gramStart"/>
      <w:r>
        <w:t>consideration</w:t>
      </w:r>
      <w:proofErr w:type="gramEnd"/>
      <w:r>
        <w:rPr>
          <w:spacing w:val="-2"/>
        </w:rPr>
        <w:t xml:space="preserve"> </w:t>
      </w:r>
      <w:r>
        <w:t>we</w:t>
      </w:r>
      <w:r>
        <w:rPr>
          <w:spacing w:val="-2"/>
        </w:rPr>
        <w:t xml:space="preserve"> </w:t>
      </w:r>
      <w:r>
        <w:t>expect</w:t>
      </w:r>
      <w:r>
        <w:rPr>
          <w:spacing w:val="-2"/>
        </w:rPr>
        <w:t xml:space="preserve"> </w:t>
      </w:r>
      <w:r>
        <w:t>to</w:t>
      </w:r>
      <w:r>
        <w:rPr>
          <w:spacing w:val="-2"/>
        </w:rPr>
        <w:t xml:space="preserve"> </w:t>
      </w:r>
      <w:r>
        <w:t>receive</w:t>
      </w:r>
      <w:r>
        <w:rPr>
          <w:spacing w:val="-2"/>
        </w:rPr>
        <w:t xml:space="preserve"> </w:t>
      </w:r>
      <w:r>
        <w:t>decrease.</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estimates</w:t>
      </w:r>
      <w:r>
        <w:rPr>
          <w:spacing w:val="-2"/>
        </w:rPr>
        <w:t xml:space="preserve"> </w:t>
      </w:r>
      <w:r>
        <w:t>are</w:t>
      </w:r>
      <w:r>
        <w:rPr>
          <w:spacing w:val="-2"/>
        </w:rPr>
        <w:t xml:space="preserve"> </w:t>
      </w:r>
      <w:r>
        <w:t>subject</w:t>
      </w:r>
      <w:r>
        <w:rPr>
          <w:spacing w:val="-2"/>
        </w:rPr>
        <w:t xml:space="preserve"> </w:t>
      </w:r>
      <w:r>
        <w:t>to</w:t>
      </w:r>
      <w:r>
        <w:rPr>
          <w:spacing w:val="-2"/>
        </w:rPr>
        <w:t xml:space="preserve"> </w:t>
      </w:r>
      <w:r>
        <w:t>change</w:t>
      </w:r>
      <w:r>
        <w:rPr>
          <w:spacing w:val="-2"/>
        </w:rPr>
        <w:t xml:space="preserve"> </w:t>
      </w:r>
      <w:r>
        <w:t>during</w:t>
      </w:r>
      <w:r>
        <w:rPr>
          <w:spacing w:val="-2"/>
        </w:rPr>
        <w:t xml:space="preserve"> </w:t>
      </w:r>
      <w:r>
        <w:t>the</w:t>
      </w:r>
      <w:r>
        <w:rPr>
          <w:spacing w:val="-2"/>
        </w:rPr>
        <w:t xml:space="preserve"> </w:t>
      </w:r>
      <w:r>
        <w:t>performance</w:t>
      </w:r>
      <w:r>
        <w:rPr>
          <w:spacing w:val="-2"/>
        </w:rPr>
        <w:t xml:space="preserve"> </w:t>
      </w:r>
      <w:r>
        <w:t>of</w:t>
      </w:r>
      <w:r>
        <w:rPr>
          <w:spacing w:val="-2"/>
        </w:rPr>
        <w:t xml:space="preserve"> </w:t>
      </w:r>
      <w:r>
        <w:t>the contract and may affect the profit booking rate. When estimates of total costs to be incurred on a contract exceed total estimates of the transaction price, a provision for the entire loss is determined at the contract level and is recorded in the period in which the loss is evident, which we refer to as a reach-forward loss.</w:t>
      </w:r>
    </w:p>
    <w:p w14:paraId="03259A36" w14:textId="77777777" w:rsidR="00AE2255" w:rsidRDefault="00AE2255">
      <w:pPr>
        <w:pStyle w:val="BodyText"/>
        <w:spacing w:before="6"/>
        <w:rPr>
          <w:sz w:val="18"/>
        </w:rPr>
      </w:pPr>
    </w:p>
    <w:p w14:paraId="5499B78C" w14:textId="77777777" w:rsidR="00AE2255" w:rsidRDefault="00000000">
      <w:pPr>
        <w:pStyle w:val="BodyText"/>
        <w:spacing w:before="1" w:line="249" w:lineRule="auto"/>
        <w:ind w:left="610" w:right="429" w:firstLine="450"/>
        <w:jc w:val="both"/>
      </w:pPr>
      <w:r>
        <w:t>Comparability of our segment sales, operating profit and operating margin may be impacted favorably or unfavorably by changes in profit booking rates on our contracts for which we recognize revenue over time using the percentage-of-completion cost-to-cost method to measure progress towards completion. Increases in the profit booking rates, typically referred to as favorable profit adjustments, usually relate to revisions in the estimated total costs to fulfill the performance obligations that reflect</w:t>
      </w:r>
      <w:r>
        <w:rPr>
          <w:spacing w:val="-3"/>
        </w:rPr>
        <w:t xml:space="preserve"> </w:t>
      </w:r>
      <w:r>
        <w:t>improved</w:t>
      </w:r>
      <w:r>
        <w:rPr>
          <w:spacing w:val="-3"/>
        </w:rPr>
        <w:t xml:space="preserve"> </w:t>
      </w:r>
      <w:r>
        <w:t>conditions</w:t>
      </w:r>
      <w:r>
        <w:rPr>
          <w:spacing w:val="-3"/>
        </w:rPr>
        <w:t xml:space="preserve"> </w:t>
      </w:r>
      <w:r>
        <w:t>on</w:t>
      </w:r>
      <w:r>
        <w:rPr>
          <w:spacing w:val="-3"/>
        </w:rPr>
        <w:t xml:space="preserve"> </w:t>
      </w:r>
      <w:r>
        <w:t>a</w:t>
      </w:r>
      <w:r>
        <w:rPr>
          <w:spacing w:val="-3"/>
        </w:rPr>
        <w:t xml:space="preserve"> </w:t>
      </w:r>
      <w:r>
        <w:t>particular</w:t>
      </w:r>
      <w:r>
        <w:rPr>
          <w:spacing w:val="-3"/>
        </w:rPr>
        <w:t xml:space="preserve"> </w:t>
      </w:r>
      <w:r>
        <w:t>contract.</w:t>
      </w:r>
      <w:r>
        <w:rPr>
          <w:spacing w:val="-3"/>
        </w:rPr>
        <w:t xml:space="preserve"> </w:t>
      </w:r>
      <w:r>
        <w:t>Conversely,</w:t>
      </w:r>
      <w:r>
        <w:rPr>
          <w:spacing w:val="-3"/>
        </w:rPr>
        <w:t xml:space="preserve"> </w:t>
      </w:r>
      <w:r>
        <w:t>conditions</w:t>
      </w:r>
      <w:r>
        <w:rPr>
          <w:spacing w:val="-3"/>
        </w:rPr>
        <w:t xml:space="preserve"> </w:t>
      </w:r>
      <w:r>
        <w:t>on</w:t>
      </w:r>
      <w:r>
        <w:rPr>
          <w:spacing w:val="-3"/>
        </w:rPr>
        <w:t xml:space="preserve"> </w:t>
      </w:r>
      <w:r>
        <w:t>a</w:t>
      </w:r>
      <w:r>
        <w:rPr>
          <w:spacing w:val="-3"/>
        </w:rPr>
        <w:t xml:space="preserve"> </w:t>
      </w:r>
      <w:r>
        <w:t>particular</w:t>
      </w:r>
      <w:r>
        <w:rPr>
          <w:spacing w:val="-3"/>
        </w:rPr>
        <w:t xml:space="preserve"> </w:t>
      </w:r>
      <w:r>
        <w:t>contract</w:t>
      </w:r>
      <w:r>
        <w:rPr>
          <w:spacing w:val="-3"/>
        </w:rPr>
        <w:t xml:space="preserve"> </w:t>
      </w:r>
      <w:r>
        <w:t>may</w:t>
      </w:r>
      <w:r>
        <w:rPr>
          <w:spacing w:val="-3"/>
        </w:rPr>
        <w:t xml:space="preserve"> </w:t>
      </w:r>
      <w:r>
        <w:t>deteriorate,</w:t>
      </w:r>
      <w:r>
        <w:rPr>
          <w:spacing w:val="-3"/>
        </w:rPr>
        <w:t xml:space="preserve"> </w:t>
      </w:r>
      <w:r>
        <w:t>resulting</w:t>
      </w:r>
      <w:r>
        <w:rPr>
          <w:spacing w:val="-3"/>
        </w:rPr>
        <w:t xml:space="preserve"> </w:t>
      </w:r>
      <w:r>
        <w:t>in an increase in the estimated total costs to fulfill the performance obligations and a reduction in the profit booking rate and are typically referred to as unfavorable profit adjustments. Increases or decreases in profit booking rates are recognized in the current</w:t>
      </w:r>
      <w:r>
        <w:rPr>
          <w:spacing w:val="-3"/>
        </w:rPr>
        <w:t xml:space="preserve"> </w:t>
      </w:r>
      <w:r>
        <w:t>period</w:t>
      </w:r>
      <w:r>
        <w:rPr>
          <w:spacing w:val="-3"/>
        </w:rPr>
        <w:t xml:space="preserve"> </w:t>
      </w:r>
      <w:r>
        <w:t>they</w:t>
      </w:r>
      <w:r>
        <w:rPr>
          <w:spacing w:val="-3"/>
        </w:rPr>
        <w:t xml:space="preserve"> </w:t>
      </w:r>
      <w:r>
        <w:t>are</w:t>
      </w:r>
      <w:r>
        <w:rPr>
          <w:spacing w:val="-3"/>
        </w:rPr>
        <w:t xml:space="preserve"> </w:t>
      </w:r>
      <w:r>
        <w:t>determined</w:t>
      </w:r>
      <w:r>
        <w:rPr>
          <w:spacing w:val="-3"/>
        </w:rPr>
        <w:t xml:space="preserve"> </w:t>
      </w:r>
      <w:r>
        <w:t>and</w:t>
      </w:r>
      <w:r>
        <w:rPr>
          <w:spacing w:val="-3"/>
        </w:rPr>
        <w:t xml:space="preserve"> </w:t>
      </w:r>
      <w:r>
        <w:t>reflect</w:t>
      </w:r>
      <w:r>
        <w:rPr>
          <w:spacing w:val="-3"/>
        </w:rPr>
        <w:t xml:space="preserve"> </w:t>
      </w:r>
      <w:r>
        <w:t>the</w:t>
      </w:r>
      <w:r>
        <w:rPr>
          <w:spacing w:val="-3"/>
        </w:rPr>
        <w:t xml:space="preserve"> </w:t>
      </w:r>
      <w:r>
        <w:t>inception-to-date</w:t>
      </w:r>
      <w:r>
        <w:rPr>
          <w:spacing w:val="-3"/>
        </w:rPr>
        <w:t xml:space="preserve"> </w:t>
      </w:r>
      <w:r>
        <w:t>effect</w:t>
      </w:r>
      <w:r>
        <w:rPr>
          <w:spacing w:val="-3"/>
        </w:rPr>
        <w:t xml:space="preserve"> </w:t>
      </w:r>
      <w:r>
        <w:t>of</w:t>
      </w:r>
      <w:r>
        <w:rPr>
          <w:spacing w:val="-3"/>
        </w:rPr>
        <w:t xml:space="preserve"> </w:t>
      </w:r>
      <w:r>
        <w:t>such</w:t>
      </w:r>
      <w:r>
        <w:rPr>
          <w:spacing w:val="-3"/>
        </w:rPr>
        <w:t xml:space="preserve"> </w:t>
      </w:r>
      <w:r>
        <w:t>changes.</w:t>
      </w:r>
      <w:r>
        <w:rPr>
          <w:spacing w:val="-3"/>
        </w:rPr>
        <w:t xml:space="preserve"> </w:t>
      </w:r>
      <w:r>
        <w:t>Segment</w:t>
      </w:r>
      <w:r>
        <w:rPr>
          <w:spacing w:val="-3"/>
        </w:rPr>
        <w:t xml:space="preserve"> </w:t>
      </w:r>
      <w:r>
        <w:t>operating</w:t>
      </w:r>
      <w:r>
        <w:rPr>
          <w:spacing w:val="-3"/>
        </w:rPr>
        <w:t xml:space="preserve"> </w:t>
      </w:r>
      <w:r>
        <w:t>profit</w:t>
      </w:r>
      <w:r>
        <w:rPr>
          <w:spacing w:val="-3"/>
        </w:rPr>
        <w:t xml:space="preserve"> </w:t>
      </w:r>
      <w:r>
        <w:t>and</w:t>
      </w:r>
      <w:r>
        <w:rPr>
          <w:spacing w:val="-3"/>
        </w:rPr>
        <w:t xml:space="preserve"> </w:t>
      </w:r>
      <w:r>
        <w:t>margin may also be impacted favorably or unfavorably by other items, which may or may not impact sales. Favorable items may include the positive resolution of contractual matters, cost recoveries on severance and restructuring, insurance recoveries and gains on sales of assets. Unfavorable items may include the adverse resolution of contractual matters; COVID-19 impacts or supply chain disruptions; restructuring charges (except for significant severance actions, which are excluded from segment operating results); reserves for disputes; certain asset impairments; and losses on sales of certain assets.</w:t>
      </w:r>
    </w:p>
    <w:p w14:paraId="28235CF7" w14:textId="77777777" w:rsidR="00AE2255" w:rsidRDefault="00AE2255">
      <w:pPr>
        <w:pStyle w:val="BodyText"/>
        <w:rPr>
          <w:sz w:val="18"/>
        </w:rPr>
      </w:pPr>
    </w:p>
    <w:p w14:paraId="6FB237CF" w14:textId="77777777" w:rsidR="00AE2255" w:rsidRDefault="00000000">
      <w:pPr>
        <w:pStyle w:val="Heading3"/>
      </w:pPr>
      <w:r>
        <w:t>Other</w:t>
      </w:r>
      <w:r>
        <w:rPr>
          <w:spacing w:val="-7"/>
        </w:rPr>
        <w:t xml:space="preserve"> </w:t>
      </w:r>
      <w:r>
        <w:t>Contract</w:t>
      </w:r>
      <w:r>
        <w:rPr>
          <w:spacing w:val="-7"/>
        </w:rPr>
        <w:t xml:space="preserve"> </w:t>
      </w:r>
      <w:r>
        <w:t>Accounting</w:t>
      </w:r>
      <w:r>
        <w:rPr>
          <w:spacing w:val="-5"/>
        </w:rPr>
        <w:t xml:space="preserve"> </w:t>
      </w:r>
      <w:r>
        <w:rPr>
          <w:spacing w:val="-2"/>
        </w:rPr>
        <w:t>Considerations</w:t>
      </w:r>
    </w:p>
    <w:p w14:paraId="2313F65D" w14:textId="77777777" w:rsidR="00AE2255" w:rsidRDefault="00AE2255">
      <w:pPr>
        <w:pStyle w:val="BodyText"/>
        <w:spacing w:before="6"/>
        <w:rPr>
          <w:b/>
          <w:i/>
          <w:sz w:val="18"/>
        </w:rPr>
      </w:pPr>
    </w:p>
    <w:p w14:paraId="4FDF127E" w14:textId="77777777" w:rsidR="00AE2255" w:rsidRDefault="00000000">
      <w:pPr>
        <w:pStyle w:val="BodyText"/>
        <w:spacing w:line="249" w:lineRule="auto"/>
        <w:ind w:left="610" w:right="428" w:firstLine="360"/>
        <w:jc w:val="both"/>
      </w:pPr>
      <w:proofErr w:type="gramStart"/>
      <w:r>
        <w:t>The majority of</w:t>
      </w:r>
      <w:proofErr w:type="gramEnd"/>
      <w:r>
        <w:t xml:space="preserve"> our sales are driven by pricing based on costs incurred to produce products or perform services under contracts</w:t>
      </w:r>
      <w:r>
        <w:rPr>
          <w:spacing w:val="-2"/>
        </w:rPr>
        <w:t xml:space="preserve"> </w:t>
      </w:r>
      <w:r>
        <w:t>with</w:t>
      </w:r>
      <w:r>
        <w:rPr>
          <w:spacing w:val="-1"/>
        </w:rPr>
        <w:t xml:space="preserve"> </w:t>
      </w:r>
      <w:r>
        <w:t>the</w:t>
      </w:r>
      <w:r>
        <w:rPr>
          <w:spacing w:val="-2"/>
        </w:rPr>
        <w:t xml:space="preserve"> </w:t>
      </w:r>
      <w:r>
        <w:t>U.S.</w:t>
      </w:r>
      <w:r>
        <w:rPr>
          <w:spacing w:val="-1"/>
        </w:rPr>
        <w:t xml:space="preserve"> </w:t>
      </w:r>
      <w:r>
        <w:t>Government.</w:t>
      </w:r>
      <w:r>
        <w:rPr>
          <w:spacing w:val="-1"/>
        </w:rPr>
        <w:t xml:space="preserve"> </w:t>
      </w:r>
      <w:r>
        <w:t>Cost-based</w:t>
      </w:r>
      <w:r>
        <w:rPr>
          <w:spacing w:val="-1"/>
        </w:rPr>
        <w:t xml:space="preserve"> </w:t>
      </w:r>
      <w:r>
        <w:t>pricing</w:t>
      </w:r>
      <w:r>
        <w:rPr>
          <w:spacing w:val="-1"/>
        </w:rPr>
        <w:t xml:space="preserve"> </w:t>
      </w:r>
      <w:r>
        <w:t>is</w:t>
      </w:r>
      <w:r>
        <w:rPr>
          <w:spacing w:val="-2"/>
        </w:rPr>
        <w:t xml:space="preserve"> </w:t>
      </w:r>
      <w:r>
        <w:t>determined</w:t>
      </w:r>
      <w:r>
        <w:rPr>
          <w:spacing w:val="-1"/>
        </w:rPr>
        <w:t xml:space="preserve"> </w:t>
      </w:r>
      <w:r>
        <w:t>under</w:t>
      </w:r>
      <w:r>
        <w:rPr>
          <w:spacing w:val="-1"/>
        </w:rPr>
        <w:t xml:space="preserve"> </w:t>
      </w:r>
      <w:r>
        <w:t>the</w:t>
      </w:r>
      <w:r>
        <w:rPr>
          <w:spacing w:val="-2"/>
        </w:rPr>
        <w:t xml:space="preserve"> </w:t>
      </w:r>
      <w:r>
        <w:t>FAR.</w:t>
      </w:r>
      <w:r>
        <w:rPr>
          <w:spacing w:val="-1"/>
        </w:rPr>
        <w:t xml:space="preserve"> </w:t>
      </w:r>
      <w:r>
        <w:t>The</w:t>
      </w:r>
      <w:r>
        <w:rPr>
          <w:spacing w:val="-2"/>
        </w:rPr>
        <w:t xml:space="preserve"> </w:t>
      </w:r>
      <w:r>
        <w:t>FAR</w:t>
      </w:r>
      <w:r>
        <w:rPr>
          <w:spacing w:val="-2"/>
        </w:rPr>
        <w:t xml:space="preserve"> </w:t>
      </w:r>
      <w:r>
        <w:t>provides</w:t>
      </w:r>
      <w:r>
        <w:rPr>
          <w:spacing w:val="-2"/>
        </w:rPr>
        <w:t xml:space="preserve"> </w:t>
      </w:r>
      <w:r>
        <w:t>guidance</w:t>
      </w:r>
      <w:r>
        <w:rPr>
          <w:spacing w:val="-2"/>
        </w:rPr>
        <w:t xml:space="preserve"> </w:t>
      </w:r>
      <w:r>
        <w:t>on</w:t>
      </w:r>
      <w:r>
        <w:rPr>
          <w:spacing w:val="-1"/>
        </w:rPr>
        <w:t xml:space="preserve"> </w:t>
      </w:r>
      <w:r>
        <w:t>the</w:t>
      </w:r>
      <w:r>
        <w:rPr>
          <w:spacing w:val="-2"/>
        </w:rPr>
        <w:t xml:space="preserve"> </w:t>
      </w:r>
      <w:r>
        <w:t>types of costs that are allowable in establishing prices for goods and services under U.S. Government contracts. For example, costs such as those related to charitable contributions, interest expense and certain advertising and public relations activities are unallowable and, therefore, not recoverable through sales. In addition, we may enter into advance agreements with the U.S. Government that address the subjects of allowability and allocability of costs to contracts for specific matters. For example, most of the environmental costs we incur for environmental remediation related to sites operated in prior years are allocated to our current operations as general and administrative costs under FAR provisions and supporting advance agreements reached with the U.S. Government.</w:t>
      </w:r>
    </w:p>
    <w:p w14:paraId="3BD55B44" w14:textId="77777777" w:rsidR="00AE2255" w:rsidRDefault="00AE2255">
      <w:pPr>
        <w:spacing w:line="249" w:lineRule="auto"/>
        <w:jc w:val="both"/>
        <w:sectPr w:rsidR="00AE2255">
          <w:pgSz w:w="12240" w:h="15840"/>
          <w:pgMar w:top="440" w:right="560" w:bottom="720" w:left="380" w:header="230" w:footer="531" w:gutter="0"/>
          <w:cols w:space="720"/>
        </w:sectPr>
      </w:pPr>
    </w:p>
    <w:p w14:paraId="031B2456" w14:textId="77777777" w:rsidR="00AE2255" w:rsidRDefault="00AE2255">
      <w:pPr>
        <w:pStyle w:val="BodyText"/>
        <w:spacing w:before="10"/>
        <w:rPr>
          <w:sz w:val="22"/>
        </w:rPr>
      </w:pPr>
    </w:p>
    <w:p w14:paraId="434DA88C" w14:textId="77777777" w:rsidR="00AE2255" w:rsidRDefault="00000000">
      <w:pPr>
        <w:pStyle w:val="BodyText"/>
        <w:spacing w:before="92" w:line="249" w:lineRule="auto"/>
        <w:ind w:left="610" w:right="429" w:firstLine="360"/>
        <w:jc w:val="both"/>
      </w:pPr>
      <w:r>
        <w:t xml:space="preserve">We closely monitor compliance </w:t>
      </w:r>
      <w:proofErr w:type="gramStart"/>
      <w:r>
        <w:t>with</w:t>
      </w:r>
      <w:proofErr w:type="gramEnd"/>
      <w:r>
        <w:t xml:space="preserve"> and the consistent application of our critical accounting policies related to contract accounting. Costs incurred and allocated to contracts are reviewed for compliance with U.S. Government regulations by our personnel and are subject to audit by the Defense Contract Audit Agency.</w:t>
      </w:r>
    </w:p>
    <w:p w14:paraId="1547CA45" w14:textId="77777777" w:rsidR="00AE2255" w:rsidRDefault="00AE2255">
      <w:pPr>
        <w:pStyle w:val="BodyText"/>
        <w:spacing w:before="3"/>
        <w:rPr>
          <w:sz w:val="17"/>
        </w:rPr>
      </w:pPr>
    </w:p>
    <w:p w14:paraId="7E278783" w14:textId="77777777" w:rsidR="00AE2255" w:rsidRDefault="00000000">
      <w:pPr>
        <w:pStyle w:val="Heading2"/>
        <w:spacing w:before="1"/>
      </w:pPr>
      <w:r>
        <w:t>Postretirement</w:t>
      </w:r>
      <w:r>
        <w:rPr>
          <w:spacing w:val="-9"/>
        </w:rPr>
        <w:t xml:space="preserve"> </w:t>
      </w:r>
      <w:r>
        <w:t>Benefit</w:t>
      </w:r>
      <w:r>
        <w:rPr>
          <w:spacing w:val="-7"/>
        </w:rPr>
        <w:t xml:space="preserve"> </w:t>
      </w:r>
      <w:r>
        <w:rPr>
          <w:spacing w:val="-4"/>
        </w:rPr>
        <w:t>Plans</w:t>
      </w:r>
    </w:p>
    <w:p w14:paraId="4D86B39C" w14:textId="77777777" w:rsidR="00AE2255" w:rsidRDefault="00AE2255">
      <w:pPr>
        <w:pStyle w:val="BodyText"/>
        <w:spacing w:before="2"/>
        <w:rPr>
          <w:b/>
          <w:sz w:val="18"/>
        </w:rPr>
      </w:pPr>
    </w:p>
    <w:p w14:paraId="43A54DCD" w14:textId="77777777" w:rsidR="00AE2255" w:rsidRDefault="00000000">
      <w:pPr>
        <w:pStyle w:val="Heading3"/>
        <w:spacing w:before="1"/>
      </w:pPr>
      <w:r>
        <w:rPr>
          <w:spacing w:val="-2"/>
        </w:rPr>
        <w:t>Overview</w:t>
      </w:r>
    </w:p>
    <w:p w14:paraId="37A67B0E" w14:textId="77777777" w:rsidR="00AE2255" w:rsidRDefault="00AE2255">
      <w:pPr>
        <w:pStyle w:val="BodyText"/>
        <w:spacing w:before="6"/>
        <w:rPr>
          <w:b/>
          <w:i/>
          <w:sz w:val="18"/>
        </w:rPr>
      </w:pPr>
    </w:p>
    <w:p w14:paraId="08CB89CD" w14:textId="77777777" w:rsidR="00AE2255" w:rsidRDefault="00000000">
      <w:pPr>
        <w:pStyle w:val="BodyText"/>
        <w:spacing w:line="249" w:lineRule="auto"/>
        <w:ind w:left="610" w:right="427" w:firstLine="360"/>
        <w:jc w:val="both"/>
      </w:pPr>
      <w:r>
        <w:t xml:space="preserve">Many of our employees and retirees participate in qualified and nonqualified defined benefit pension plans, retiree medical and life insurance plans and other postemployment plans (collectively, postretirement benefit plans - see “Note 11 – Postretirement Benefit Plans” included in our Notes to Consolidated Financial Statements). </w:t>
      </w:r>
      <w:proofErr w:type="gramStart"/>
      <w:r>
        <w:t>The majority of</w:t>
      </w:r>
      <w:proofErr w:type="gramEnd"/>
      <w:r>
        <w:t xml:space="preserve"> our accrued benefit obligations relate to our qualified defined benefit pension and retiree medical and life insurance plans. We recognize on a plan- by-plan basis the net funded status of these postretirement benefit plans under GAAP as either an asset or a liability on our consolidated balance sheets. The GAAP funded status represents the difference between the fair value of each plan’s assets and the benefit obligation of the plan. The GAAP benefit obligation represents the present value of the estimated future benefits we currently expect to pay to plan participants based on past service. The qualified defined benefit pension plans for salaried employees</w:t>
      </w:r>
      <w:r>
        <w:rPr>
          <w:spacing w:val="-3"/>
        </w:rPr>
        <w:t xml:space="preserve"> </w:t>
      </w:r>
      <w:r>
        <w:t>are</w:t>
      </w:r>
      <w:r>
        <w:rPr>
          <w:spacing w:val="-3"/>
        </w:rPr>
        <w:t xml:space="preserve"> </w:t>
      </w:r>
      <w:r>
        <w:t>fully</w:t>
      </w:r>
      <w:r>
        <w:rPr>
          <w:spacing w:val="-3"/>
        </w:rPr>
        <w:t xml:space="preserve"> </w:t>
      </w:r>
      <w:r>
        <w:t>frozen</w:t>
      </w:r>
      <w:r>
        <w:rPr>
          <w:spacing w:val="-3"/>
        </w:rPr>
        <w:t xml:space="preserve"> </w:t>
      </w:r>
      <w:r>
        <w:t>effective</w:t>
      </w:r>
      <w:r>
        <w:rPr>
          <w:spacing w:val="-3"/>
        </w:rPr>
        <w:t xml:space="preserve"> </w:t>
      </w:r>
      <w:r>
        <w:t>January</w:t>
      </w:r>
      <w:r>
        <w:rPr>
          <w:spacing w:val="-3"/>
        </w:rPr>
        <w:t xml:space="preserve"> </w:t>
      </w:r>
      <w:r>
        <w:t>1,</w:t>
      </w:r>
      <w:r>
        <w:rPr>
          <w:spacing w:val="-3"/>
        </w:rPr>
        <w:t xml:space="preserve"> </w:t>
      </w:r>
      <w:proofErr w:type="gramStart"/>
      <w:r>
        <w:t>2020</w:t>
      </w:r>
      <w:proofErr w:type="gramEnd"/>
      <w:r>
        <w:rPr>
          <w:spacing w:val="-3"/>
        </w:rPr>
        <w:t xml:space="preserve"> </w:t>
      </w:r>
      <w:r>
        <w:t>and</w:t>
      </w:r>
      <w:r>
        <w:rPr>
          <w:spacing w:val="-3"/>
        </w:rPr>
        <w:t xml:space="preserve"> </w:t>
      </w:r>
      <w:r>
        <w:t>our</w:t>
      </w:r>
      <w:r>
        <w:rPr>
          <w:spacing w:val="-3"/>
        </w:rPr>
        <w:t xml:space="preserve"> </w:t>
      </w:r>
      <w:r>
        <w:t>salaried</w:t>
      </w:r>
      <w:r>
        <w:rPr>
          <w:spacing w:val="-3"/>
        </w:rPr>
        <w:t xml:space="preserve"> </w:t>
      </w:r>
      <w:r>
        <w:t>employees</w:t>
      </w:r>
      <w:r>
        <w:rPr>
          <w:spacing w:val="-3"/>
        </w:rPr>
        <w:t xml:space="preserve"> </w:t>
      </w:r>
      <w:r>
        <w:t>participate</w:t>
      </w:r>
      <w:r>
        <w:rPr>
          <w:spacing w:val="-3"/>
        </w:rPr>
        <w:t xml:space="preserve"> </w:t>
      </w:r>
      <w:r>
        <w:t>in</w:t>
      </w:r>
      <w:r>
        <w:rPr>
          <w:spacing w:val="-3"/>
        </w:rPr>
        <w:t xml:space="preserve"> </w:t>
      </w:r>
      <w:r>
        <w:t>an</w:t>
      </w:r>
      <w:r>
        <w:rPr>
          <w:spacing w:val="-3"/>
        </w:rPr>
        <w:t xml:space="preserve"> </w:t>
      </w:r>
      <w:r>
        <w:t>enhanced</w:t>
      </w:r>
      <w:r>
        <w:rPr>
          <w:spacing w:val="-3"/>
        </w:rPr>
        <w:t xml:space="preserve"> </w:t>
      </w:r>
      <w:r>
        <w:t>defined</w:t>
      </w:r>
      <w:r>
        <w:rPr>
          <w:spacing w:val="-3"/>
        </w:rPr>
        <w:t xml:space="preserve"> </w:t>
      </w:r>
      <w:r>
        <w:t>contribution retirement savings plan.</w:t>
      </w:r>
    </w:p>
    <w:p w14:paraId="03723C6B" w14:textId="77777777" w:rsidR="00AE2255" w:rsidRDefault="00AE2255">
      <w:pPr>
        <w:pStyle w:val="BodyText"/>
        <w:spacing w:before="1"/>
        <w:rPr>
          <w:sz w:val="18"/>
        </w:rPr>
      </w:pPr>
    </w:p>
    <w:p w14:paraId="50847829" w14:textId="77777777" w:rsidR="00AE2255" w:rsidRDefault="00000000">
      <w:pPr>
        <w:pStyle w:val="BodyText"/>
        <w:spacing w:line="249" w:lineRule="auto"/>
        <w:ind w:left="610" w:right="428" w:firstLine="360"/>
        <w:jc w:val="both"/>
      </w:pPr>
      <w:proofErr w:type="gramStart"/>
      <w:r>
        <w:t>Similar to</w:t>
      </w:r>
      <w:proofErr w:type="gramEnd"/>
      <w:r>
        <w:t xml:space="preserve"> recent years, we continue to take actions to mitigate the effect of our defined benefit pension plans on our financial results by reducing the volatility of our pension obligations, including entering into pension risk transfer transactions involving the purchase of group annuity contracts (GACs) for portions of our outstanding defined benefit pension obligations using assets from the pension trust. During the second quarter of 2022, we purchased GACs to transfer $4.3 billion of gross defined benefit pension obligations and related plan assets to an insurance company for approximately 13,600 U.S. retirees and beneficiaries. The GACs were purchased using assets from Lockheed Martin’s master retirement trust and no additional</w:t>
      </w:r>
      <w:r>
        <w:rPr>
          <w:spacing w:val="40"/>
        </w:rPr>
        <w:t xml:space="preserve"> </w:t>
      </w:r>
      <w:r>
        <w:t>funding contribution was required. In connection with this transaction, we recognized a noncash, non-operating pension settlement charge of $1.5 billion ($1.2 billion, or $4.33 per share, after-tax) for the affected defined benefit pension plans in the quarter ended June 26, 2022, which represents the accelerated recognition of actuarial losses that were included in the accumulated other comprehensive loss account within stockholders’ equity. Similarly, in the third quarter of 2021, we purchased GACs to transfer $4.9 billion of gross defined benefit pension obligations and related plan assets to an insurance company</w:t>
      </w:r>
      <w:r>
        <w:rPr>
          <w:spacing w:val="-2"/>
        </w:rPr>
        <w:t xml:space="preserve"> </w:t>
      </w:r>
      <w:r>
        <w:t>for</w:t>
      </w:r>
      <w:r>
        <w:rPr>
          <w:spacing w:val="-2"/>
        </w:rPr>
        <w:t xml:space="preserve"> </w:t>
      </w:r>
      <w:r>
        <w:t>approximately</w:t>
      </w:r>
      <w:r>
        <w:rPr>
          <w:spacing w:val="-2"/>
        </w:rPr>
        <w:t xml:space="preserve"> </w:t>
      </w:r>
      <w:r>
        <w:t>18,000</w:t>
      </w:r>
      <w:r>
        <w:rPr>
          <w:spacing w:val="-2"/>
        </w:rPr>
        <w:t xml:space="preserve"> </w:t>
      </w:r>
      <w:r>
        <w:t>U.S.</w:t>
      </w:r>
      <w:r>
        <w:rPr>
          <w:spacing w:val="-2"/>
        </w:rPr>
        <w:t xml:space="preserve"> </w:t>
      </w:r>
      <w:r>
        <w:t>retirees</w:t>
      </w:r>
      <w:r>
        <w:rPr>
          <w:spacing w:val="-2"/>
        </w:rPr>
        <w:t xml:space="preserve"> </w:t>
      </w:r>
      <w:r>
        <w:t>and</w:t>
      </w:r>
      <w:r>
        <w:rPr>
          <w:spacing w:val="-2"/>
        </w:rPr>
        <w:t xml:space="preserve"> </w:t>
      </w:r>
      <w:r>
        <w:t>beneficiaries.</w:t>
      </w:r>
      <w:r>
        <w:rPr>
          <w:spacing w:val="-2"/>
        </w:rPr>
        <w:t xml:space="preserve"> </w:t>
      </w:r>
      <w:r>
        <w:t>In</w:t>
      </w:r>
      <w:r>
        <w:rPr>
          <w:spacing w:val="-2"/>
        </w:rPr>
        <w:t xml:space="preserve"> </w:t>
      </w:r>
      <w:r>
        <w:t>connection</w:t>
      </w:r>
      <w:r>
        <w:rPr>
          <w:spacing w:val="-2"/>
        </w:rPr>
        <w:t xml:space="preserve"> </w:t>
      </w:r>
      <w:r>
        <w:t>with</w:t>
      </w:r>
      <w:r>
        <w:rPr>
          <w:spacing w:val="-2"/>
        </w:rPr>
        <w:t xml:space="preserve"> </w:t>
      </w:r>
      <w:r>
        <w:t>this</w:t>
      </w:r>
      <w:r>
        <w:rPr>
          <w:spacing w:val="-2"/>
        </w:rPr>
        <w:t xml:space="preserve"> </w:t>
      </w:r>
      <w:r>
        <w:t>transaction,</w:t>
      </w:r>
      <w:r>
        <w:rPr>
          <w:spacing w:val="-2"/>
        </w:rPr>
        <w:t xml:space="preserve"> </w:t>
      </w:r>
      <w:r>
        <w:t>we</w:t>
      </w:r>
      <w:r>
        <w:rPr>
          <w:spacing w:val="-2"/>
        </w:rPr>
        <w:t xml:space="preserve"> </w:t>
      </w:r>
      <w:r>
        <w:t>recognized</w:t>
      </w:r>
      <w:r>
        <w:rPr>
          <w:spacing w:val="-2"/>
        </w:rPr>
        <w:t xml:space="preserve"> </w:t>
      </w:r>
      <w:r>
        <w:t>a</w:t>
      </w:r>
      <w:r>
        <w:rPr>
          <w:spacing w:val="-2"/>
        </w:rPr>
        <w:t xml:space="preserve"> </w:t>
      </w:r>
      <w:r>
        <w:t>noncash pension settlement charge of $1.7 billion ($1.3 billion, or $4.72 per share, after tax) during the third quarter of 2021.</w:t>
      </w:r>
    </w:p>
    <w:p w14:paraId="0502ABF1" w14:textId="77777777" w:rsidR="00AE2255" w:rsidRDefault="00AE2255">
      <w:pPr>
        <w:pStyle w:val="BodyText"/>
        <w:spacing w:before="4"/>
        <w:rPr>
          <w:sz w:val="18"/>
        </w:rPr>
      </w:pPr>
    </w:p>
    <w:p w14:paraId="528AF75E" w14:textId="77777777" w:rsidR="00AE2255" w:rsidRDefault="00000000">
      <w:pPr>
        <w:pStyle w:val="BodyText"/>
        <w:spacing w:line="249" w:lineRule="auto"/>
        <w:ind w:left="610" w:right="429" w:firstLine="360"/>
        <w:jc w:val="both"/>
      </w:pPr>
      <w:r>
        <w:t>Inclusive of the transactions described above, since December 2018, Lockheed Martin, through its master retirement trust, has purchased total contracts for approximately $15.9 billion related to our outstanding defined benefit pension obligations eliminating pension plan volatility for approximately 109,000 retirees and beneficiaries and annually required Pension Benefit Guarantee Corporation (PBGC) premiums of approximately $79 million per year.</w:t>
      </w:r>
    </w:p>
    <w:p w14:paraId="3840C18B" w14:textId="77777777" w:rsidR="00AE2255" w:rsidRDefault="00AE2255">
      <w:pPr>
        <w:pStyle w:val="BodyText"/>
        <w:spacing w:before="7"/>
        <w:rPr>
          <w:sz w:val="17"/>
        </w:rPr>
      </w:pPr>
    </w:p>
    <w:p w14:paraId="274DB6A8" w14:textId="77777777" w:rsidR="00AE2255" w:rsidRDefault="00000000">
      <w:pPr>
        <w:pStyle w:val="BodyText"/>
        <w:spacing w:line="249" w:lineRule="auto"/>
        <w:ind w:left="610" w:right="430" w:firstLine="360"/>
        <w:jc w:val="both"/>
      </w:pPr>
      <w:r>
        <w:t>We expect to continue to look for opportunities to manage our pension liabilities through additional pension risk transfer transactions</w:t>
      </w:r>
      <w:r>
        <w:rPr>
          <w:spacing w:val="-2"/>
        </w:rPr>
        <w:t xml:space="preserve"> </w:t>
      </w:r>
      <w:r>
        <w:t>in</w:t>
      </w:r>
      <w:r>
        <w:rPr>
          <w:spacing w:val="-2"/>
        </w:rPr>
        <w:t xml:space="preserve"> </w:t>
      </w:r>
      <w:r>
        <w:t>future</w:t>
      </w:r>
      <w:r>
        <w:rPr>
          <w:spacing w:val="-2"/>
        </w:rPr>
        <w:t xml:space="preserve"> </w:t>
      </w:r>
      <w:r>
        <w:t>years.</w:t>
      </w:r>
      <w:r>
        <w:rPr>
          <w:spacing w:val="-2"/>
        </w:rPr>
        <w:t xml:space="preserve"> </w:t>
      </w:r>
      <w:r>
        <w:t>Future</w:t>
      </w:r>
      <w:r>
        <w:rPr>
          <w:spacing w:val="-2"/>
        </w:rPr>
        <w:t xml:space="preserve"> </w:t>
      </w:r>
      <w:r>
        <w:t>transactions</w:t>
      </w:r>
      <w:r>
        <w:rPr>
          <w:spacing w:val="-2"/>
        </w:rPr>
        <w:t xml:space="preserve"> </w:t>
      </w:r>
      <w:r>
        <w:t>could</w:t>
      </w:r>
      <w:r>
        <w:rPr>
          <w:spacing w:val="-2"/>
        </w:rPr>
        <w:t xml:space="preserve"> </w:t>
      </w:r>
      <w:r>
        <w:t>result</w:t>
      </w:r>
      <w:r>
        <w:rPr>
          <w:spacing w:val="-2"/>
        </w:rPr>
        <w:t xml:space="preserve"> </w:t>
      </w:r>
      <w:r>
        <w:t>in</w:t>
      </w:r>
      <w:r>
        <w:rPr>
          <w:spacing w:val="-2"/>
        </w:rPr>
        <w:t xml:space="preserve"> </w:t>
      </w:r>
      <w:r>
        <w:t>a</w:t>
      </w:r>
      <w:r>
        <w:rPr>
          <w:spacing w:val="-2"/>
        </w:rPr>
        <w:t xml:space="preserve"> </w:t>
      </w:r>
      <w:r>
        <w:t>noncash</w:t>
      </w:r>
      <w:r>
        <w:rPr>
          <w:spacing w:val="-2"/>
        </w:rPr>
        <w:t xml:space="preserve"> </w:t>
      </w:r>
      <w:r>
        <w:t>settlement</w:t>
      </w:r>
      <w:r>
        <w:rPr>
          <w:spacing w:val="-2"/>
        </w:rPr>
        <w:t xml:space="preserve"> </w:t>
      </w:r>
      <w:r>
        <w:t>charge</w:t>
      </w:r>
      <w:r>
        <w:rPr>
          <w:spacing w:val="-2"/>
        </w:rPr>
        <w:t xml:space="preserve"> </w:t>
      </w:r>
      <w:r>
        <w:t>to</w:t>
      </w:r>
      <w:r>
        <w:rPr>
          <w:spacing w:val="-2"/>
        </w:rPr>
        <w:t xml:space="preserve"> </w:t>
      </w:r>
      <w:r>
        <w:t>earnings,</w:t>
      </w:r>
      <w:r>
        <w:rPr>
          <w:spacing w:val="-2"/>
        </w:rPr>
        <w:t xml:space="preserve"> </w:t>
      </w:r>
      <w:r>
        <w:t>which</w:t>
      </w:r>
      <w:r>
        <w:rPr>
          <w:spacing w:val="-2"/>
        </w:rPr>
        <w:t xml:space="preserve"> </w:t>
      </w:r>
      <w:r>
        <w:t>could</w:t>
      </w:r>
      <w:r>
        <w:rPr>
          <w:spacing w:val="-2"/>
        </w:rPr>
        <w:t xml:space="preserve"> </w:t>
      </w:r>
      <w:r>
        <w:t>be</w:t>
      </w:r>
      <w:r>
        <w:rPr>
          <w:spacing w:val="-2"/>
        </w:rPr>
        <w:t xml:space="preserve"> </w:t>
      </w:r>
      <w:r>
        <w:t>material to a reporting period.</w:t>
      </w:r>
    </w:p>
    <w:p w14:paraId="6B65179B" w14:textId="77777777" w:rsidR="00AE2255" w:rsidRDefault="00AE2255">
      <w:pPr>
        <w:pStyle w:val="BodyText"/>
        <w:spacing w:before="7"/>
        <w:rPr>
          <w:sz w:val="17"/>
        </w:rPr>
      </w:pPr>
    </w:p>
    <w:p w14:paraId="20478794" w14:textId="77777777" w:rsidR="00AE2255" w:rsidRDefault="00000000">
      <w:pPr>
        <w:pStyle w:val="BodyText"/>
        <w:spacing w:line="249" w:lineRule="auto"/>
        <w:ind w:left="610" w:right="428" w:firstLine="360"/>
        <w:jc w:val="both"/>
      </w:pPr>
      <w:r>
        <w:t>Notwithstanding these actions, the impact of our postretirement benefit plans on our earnings may be volatile in that the amount of expense we record and the funded status for our postretirement benefit plans may materially change from year to</w:t>
      </w:r>
      <w:r>
        <w:rPr>
          <w:spacing w:val="40"/>
        </w:rPr>
        <w:t xml:space="preserve"> </w:t>
      </w:r>
      <w:r>
        <w:t>year</w:t>
      </w:r>
      <w:r>
        <w:rPr>
          <w:spacing w:val="-1"/>
        </w:rPr>
        <w:t xml:space="preserve"> </w:t>
      </w:r>
      <w:r>
        <w:t>because</w:t>
      </w:r>
      <w:r>
        <w:rPr>
          <w:spacing w:val="-1"/>
        </w:rPr>
        <w:t xml:space="preserve"> </w:t>
      </w:r>
      <w:r>
        <w:t>the</w:t>
      </w:r>
      <w:r>
        <w:rPr>
          <w:spacing w:val="-1"/>
        </w:rPr>
        <w:t xml:space="preserve"> </w:t>
      </w:r>
      <w:r>
        <w:t>calculations</w:t>
      </w:r>
      <w:r>
        <w:rPr>
          <w:spacing w:val="-1"/>
        </w:rPr>
        <w:t xml:space="preserve"> </w:t>
      </w:r>
      <w:r>
        <w:t>are</w:t>
      </w:r>
      <w:r>
        <w:rPr>
          <w:spacing w:val="-1"/>
        </w:rPr>
        <w:t xml:space="preserve"> </w:t>
      </w:r>
      <w:r>
        <w:t>sensitive</w:t>
      </w:r>
      <w:r>
        <w:rPr>
          <w:spacing w:val="-1"/>
        </w:rPr>
        <w:t xml:space="preserve"> </w:t>
      </w:r>
      <w:r>
        <w:t>to</w:t>
      </w:r>
      <w:r>
        <w:rPr>
          <w:spacing w:val="-1"/>
        </w:rPr>
        <w:t xml:space="preserve"> </w:t>
      </w:r>
      <w:r>
        <w:t>changes</w:t>
      </w:r>
      <w:r>
        <w:rPr>
          <w:spacing w:val="-1"/>
        </w:rPr>
        <w:t xml:space="preserve"> </w:t>
      </w:r>
      <w:r>
        <w:t>in</w:t>
      </w:r>
      <w:r>
        <w:rPr>
          <w:spacing w:val="-1"/>
        </w:rPr>
        <w:t xml:space="preserve"> </w:t>
      </w:r>
      <w:r>
        <w:t>several</w:t>
      </w:r>
      <w:r>
        <w:rPr>
          <w:spacing w:val="-1"/>
        </w:rPr>
        <w:t xml:space="preserve"> </w:t>
      </w:r>
      <w:r>
        <w:t>key</w:t>
      </w:r>
      <w:r>
        <w:rPr>
          <w:spacing w:val="-1"/>
        </w:rPr>
        <w:t xml:space="preserve"> </w:t>
      </w:r>
      <w:r>
        <w:t>economic</w:t>
      </w:r>
      <w:r>
        <w:rPr>
          <w:spacing w:val="-1"/>
        </w:rPr>
        <w:t xml:space="preserve"> </w:t>
      </w:r>
      <w:r>
        <w:t>assumptions,</w:t>
      </w:r>
      <w:r>
        <w:rPr>
          <w:spacing w:val="-1"/>
        </w:rPr>
        <w:t xml:space="preserve"> </w:t>
      </w:r>
      <w:r>
        <w:t>including</w:t>
      </w:r>
      <w:r>
        <w:rPr>
          <w:spacing w:val="-1"/>
        </w:rPr>
        <w:t xml:space="preserve"> </w:t>
      </w:r>
      <w:r>
        <w:t>interest</w:t>
      </w:r>
      <w:r>
        <w:rPr>
          <w:spacing w:val="-1"/>
        </w:rPr>
        <w:t xml:space="preserve"> </w:t>
      </w:r>
      <w:r>
        <w:t>rates,</w:t>
      </w:r>
      <w:r>
        <w:rPr>
          <w:spacing w:val="-1"/>
        </w:rPr>
        <w:t xml:space="preserve"> </w:t>
      </w:r>
      <w:r>
        <w:t>actual</w:t>
      </w:r>
      <w:r>
        <w:rPr>
          <w:spacing w:val="-1"/>
        </w:rPr>
        <w:t xml:space="preserve"> </w:t>
      </w:r>
      <w:r>
        <w:t>rates of return on plan assets and other actuarial assumptions including participant longevity, as well as the timing of cash funding.</w:t>
      </w:r>
    </w:p>
    <w:p w14:paraId="7328EC63" w14:textId="77777777" w:rsidR="00AE2255" w:rsidRDefault="00AE2255">
      <w:pPr>
        <w:pStyle w:val="BodyText"/>
        <w:spacing w:before="10"/>
      </w:pPr>
    </w:p>
    <w:p w14:paraId="040197F1" w14:textId="77777777" w:rsidR="00AE2255" w:rsidRDefault="00000000">
      <w:pPr>
        <w:pStyle w:val="Heading3"/>
        <w:spacing w:before="1"/>
      </w:pPr>
      <w:r>
        <w:t>Actuarial</w:t>
      </w:r>
      <w:r>
        <w:rPr>
          <w:spacing w:val="-7"/>
        </w:rPr>
        <w:t xml:space="preserve"> </w:t>
      </w:r>
      <w:r>
        <w:rPr>
          <w:spacing w:val="-2"/>
        </w:rPr>
        <w:t>Assumptions</w:t>
      </w:r>
    </w:p>
    <w:p w14:paraId="4C2EA356" w14:textId="77777777" w:rsidR="00AE2255" w:rsidRDefault="00AE2255">
      <w:pPr>
        <w:pStyle w:val="BodyText"/>
        <w:spacing w:before="6"/>
        <w:rPr>
          <w:b/>
          <w:i/>
          <w:sz w:val="18"/>
        </w:rPr>
      </w:pPr>
    </w:p>
    <w:p w14:paraId="343CE938" w14:textId="77777777" w:rsidR="00AE2255" w:rsidRDefault="00000000">
      <w:pPr>
        <w:pStyle w:val="BodyText"/>
        <w:spacing w:line="249" w:lineRule="auto"/>
        <w:ind w:left="610" w:right="427" w:firstLine="360"/>
        <w:jc w:val="both"/>
      </w:pPr>
      <w:r>
        <w:t>The benefit obligations and assets of our postretirement benefit plans are measured at the end of each year, or more frequently, upon the occurrence of certain events such as a significant plan amendment (including in connection with a pension risk transfer transaction), settlement, or curtailment. The amounts we record are measured using actuarial valuations, which are dependent upon key assumptions such as discount rates, the expected long-term rate of return on plan assets and participant longevity. The assumptions we make affect both the calculation of the benefit obligations as of the measurement date and the calculation of FAS expense in subsequent periods. When reassessing these assumptions, we consider past and current market conditions and make judgments about future market trends. We also consider factors such as the timing and amounts of expected contributions to the plans and benefit payments to plan participants.</w:t>
      </w:r>
    </w:p>
    <w:p w14:paraId="1FCBCE0E" w14:textId="77777777" w:rsidR="00AE2255" w:rsidRDefault="00AE2255">
      <w:pPr>
        <w:pStyle w:val="BodyText"/>
        <w:spacing w:before="11"/>
        <w:rPr>
          <w:sz w:val="17"/>
        </w:rPr>
      </w:pPr>
    </w:p>
    <w:p w14:paraId="68ACB837" w14:textId="77777777" w:rsidR="00AE2255" w:rsidRDefault="00000000">
      <w:pPr>
        <w:pStyle w:val="BodyText"/>
        <w:spacing w:line="249" w:lineRule="auto"/>
        <w:ind w:left="610" w:right="429" w:firstLine="360"/>
        <w:jc w:val="both"/>
      </w:pPr>
      <w:r>
        <w:t xml:space="preserve">We continue to use a single weighted average discount rate approach when calculating our consolidated benefit obligations related to our defined benefit pension plans resulting in 5.250% </w:t>
      </w:r>
      <w:proofErr w:type="gramStart"/>
      <w:r>
        <w:t>at</w:t>
      </w:r>
      <w:proofErr w:type="gramEnd"/>
      <w:r>
        <w:t xml:space="preserve"> December 31, 2022, compared to 2.875% at December 31,</w:t>
      </w:r>
    </w:p>
    <w:p w14:paraId="4523FA9C" w14:textId="77777777" w:rsidR="00AE2255" w:rsidRDefault="00AE2255">
      <w:pPr>
        <w:spacing w:line="249" w:lineRule="auto"/>
        <w:jc w:val="both"/>
        <w:sectPr w:rsidR="00AE2255">
          <w:pgSz w:w="12240" w:h="15840"/>
          <w:pgMar w:top="440" w:right="560" w:bottom="720" w:left="380" w:header="230" w:footer="531" w:gutter="0"/>
          <w:cols w:space="720"/>
        </w:sectPr>
      </w:pPr>
    </w:p>
    <w:p w14:paraId="10520A57" w14:textId="77777777" w:rsidR="00AE2255" w:rsidRDefault="00AE2255">
      <w:pPr>
        <w:pStyle w:val="BodyText"/>
        <w:spacing w:before="10"/>
        <w:rPr>
          <w:sz w:val="22"/>
        </w:rPr>
      </w:pPr>
    </w:p>
    <w:p w14:paraId="36637303" w14:textId="77777777" w:rsidR="00AE2255" w:rsidRDefault="00000000">
      <w:pPr>
        <w:pStyle w:val="BodyText"/>
        <w:spacing w:before="92" w:line="249" w:lineRule="auto"/>
        <w:ind w:left="610" w:right="428"/>
        <w:jc w:val="both"/>
      </w:pPr>
      <w:r>
        <w:t xml:space="preserve">2021. We utilized a single weighted average discount rate of 5.25% when calculating our benefit obligations related to our retiree medical and life insurance plans </w:t>
      </w:r>
      <w:proofErr w:type="gramStart"/>
      <w:r>
        <w:t>at</w:t>
      </w:r>
      <w:proofErr w:type="gramEnd"/>
      <w:r>
        <w:t xml:space="preserve"> December 31, 2022, compared to 2.75% at December 31, 2021. We evaluate several data points </w:t>
      </w:r>
      <w:proofErr w:type="gramStart"/>
      <w:r>
        <w:t>in order to</w:t>
      </w:r>
      <w:proofErr w:type="gramEnd"/>
      <w:r>
        <w:t xml:space="preserve"> arrive at an appropriate single weighted average discount rate, including results from cash flow models, quoted rates from long-term bond indices and changes in long-term bond rates over the past year. As part of our evaluation, we calculate the approximate average yields on corporate bonds rated AA or better selected to match our projected postretirement benefit plan cash flows. The increase in the discount rate from December 31, </w:t>
      </w:r>
      <w:proofErr w:type="gramStart"/>
      <w:r>
        <w:t>2021</w:t>
      </w:r>
      <w:proofErr w:type="gramEnd"/>
      <w:r>
        <w:t xml:space="preserve"> to December 31, 2022 resulted in a decrease in</w:t>
      </w:r>
      <w:r>
        <w:rPr>
          <w:spacing w:val="40"/>
        </w:rPr>
        <w:t xml:space="preserve"> </w:t>
      </w:r>
      <w:r>
        <w:t>the</w:t>
      </w:r>
      <w:r>
        <w:rPr>
          <w:spacing w:val="40"/>
        </w:rPr>
        <w:t xml:space="preserve"> </w:t>
      </w:r>
      <w:r>
        <w:t>projected</w:t>
      </w:r>
      <w:r>
        <w:rPr>
          <w:spacing w:val="40"/>
        </w:rPr>
        <w:t xml:space="preserve"> </w:t>
      </w:r>
      <w:r>
        <w:t>benefit</w:t>
      </w:r>
      <w:r>
        <w:rPr>
          <w:spacing w:val="40"/>
        </w:rPr>
        <w:t xml:space="preserve"> </w:t>
      </w:r>
      <w:r>
        <w:t>obligations</w:t>
      </w:r>
      <w:r>
        <w:rPr>
          <w:spacing w:val="40"/>
        </w:rPr>
        <w:t xml:space="preserve"> </w:t>
      </w:r>
      <w:r>
        <w:t>of</w:t>
      </w:r>
      <w:r>
        <w:rPr>
          <w:spacing w:val="40"/>
        </w:rPr>
        <w:t xml:space="preserve"> </w:t>
      </w:r>
      <w:r>
        <w:t>our</w:t>
      </w:r>
      <w:r>
        <w:rPr>
          <w:spacing w:val="40"/>
        </w:rPr>
        <w:t xml:space="preserve"> </w:t>
      </w:r>
      <w:r>
        <w:t>qualified</w:t>
      </w:r>
      <w:r>
        <w:rPr>
          <w:spacing w:val="40"/>
        </w:rPr>
        <w:t xml:space="preserve"> </w:t>
      </w:r>
      <w:r>
        <w:t>defined</w:t>
      </w:r>
      <w:r>
        <w:rPr>
          <w:spacing w:val="40"/>
        </w:rPr>
        <w:t xml:space="preserve"> </w:t>
      </w:r>
      <w:r>
        <w:t>benefit</w:t>
      </w:r>
      <w:r>
        <w:rPr>
          <w:spacing w:val="40"/>
        </w:rPr>
        <w:t xml:space="preserve"> </w:t>
      </w:r>
      <w:r>
        <w:t>pension</w:t>
      </w:r>
      <w:r>
        <w:rPr>
          <w:spacing w:val="40"/>
        </w:rPr>
        <w:t xml:space="preserve"> </w:t>
      </w:r>
      <w:r>
        <w:t>plans</w:t>
      </w:r>
      <w:r>
        <w:rPr>
          <w:spacing w:val="40"/>
        </w:rPr>
        <w:t xml:space="preserve"> </w:t>
      </w:r>
      <w:r>
        <w:t>of</w:t>
      </w:r>
      <w:r>
        <w:rPr>
          <w:spacing w:val="40"/>
        </w:rPr>
        <w:t xml:space="preserve"> </w:t>
      </w:r>
      <w:r>
        <w:t>approximately</w:t>
      </w:r>
      <w:r>
        <w:rPr>
          <w:spacing w:val="40"/>
        </w:rPr>
        <w:t xml:space="preserve"> </w:t>
      </w:r>
      <w:r>
        <w:t>$10.2</w:t>
      </w:r>
      <w:r>
        <w:rPr>
          <w:spacing w:val="40"/>
        </w:rPr>
        <w:t xml:space="preserve"> </w:t>
      </w:r>
      <w:r>
        <w:t>billion</w:t>
      </w:r>
      <w:r>
        <w:rPr>
          <w:spacing w:val="40"/>
        </w:rPr>
        <w:t xml:space="preserve"> </w:t>
      </w:r>
      <w:r>
        <w:t>at December 31, 2022.</w:t>
      </w:r>
    </w:p>
    <w:p w14:paraId="204017E7" w14:textId="77777777" w:rsidR="00AE2255" w:rsidRDefault="00AE2255">
      <w:pPr>
        <w:pStyle w:val="BodyText"/>
        <w:spacing w:before="11"/>
        <w:rPr>
          <w:sz w:val="17"/>
        </w:rPr>
      </w:pPr>
    </w:p>
    <w:p w14:paraId="55E1BC47" w14:textId="77777777" w:rsidR="00AE2255" w:rsidRDefault="00000000">
      <w:pPr>
        <w:pStyle w:val="BodyText"/>
        <w:spacing w:line="249" w:lineRule="auto"/>
        <w:ind w:left="610" w:right="428" w:firstLine="360"/>
        <w:jc w:val="both"/>
      </w:pPr>
      <w:r>
        <w:t xml:space="preserve">We utilized an expected long-term rate of return on plan assets of 6.50% at both December 31, </w:t>
      </w:r>
      <w:proofErr w:type="gramStart"/>
      <w:r>
        <w:t>2022</w:t>
      </w:r>
      <w:proofErr w:type="gramEnd"/>
      <w:r>
        <w:t xml:space="preserve"> and December 31, 2021. The long-term rate of return assumption represents the expected long-term rate of return on the funds invested or to be invested, to provide for the benefits included in the benefit obligations. This assumption is based on several factors including historical market index returns, the anticipated long-term allocation of plan assets, the historical return data for the trust funds, plan expenses and the potential to outperform market index returns. The difference between the long-term rate of return on plan assets assumption we select and the actual return on plan assets in any given year affects both the funded status of our benefit plans and the calculation of FAS pension expense in subsequent periods. Although the actual return in any specific year likely will differ from the assumption, the average expected return over a long-term future horizon should be approximately equal to the assumption. Any variance each year should not, by itself, suggest that the assumption should be changed. Patterns of variances are reviewed over time, and then combined with expectations for the future. As a result, changes in this assumption are less frequent than changes in the discount rate. The actual investment return for our qualified defined benefit plans during 2022 of $(5.9) billion, based on an actual rate of approximately </w:t>
      </w:r>
      <w:r>
        <w:rPr>
          <w:sz w:val="18"/>
        </w:rPr>
        <w:t>(</w:t>
      </w:r>
      <w:proofErr w:type="gramStart"/>
      <w:r>
        <w:rPr>
          <w:sz w:val="18"/>
        </w:rPr>
        <w:t>18)%</w:t>
      </w:r>
      <w:proofErr w:type="gramEnd"/>
      <w:r>
        <w:t>, reduced plan assets more than the $1.9 billion expected return based on our long-term rate of return assumption.</w:t>
      </w:r>
    </w:p>
    <w:p w14:paraId="5000D4F2" w14:textId="77777777" w:rsidR="00AE2255" w:rsidRDefault="00AE2255">
      <w:pPr>
        <w:pStyle w:val="BodyText"/>
        <w:spacing w:before="3"/>
        <w:rPr>
          <w:sz w:val="18"/>
        </w:rPr>
      </w:pPr>
    </w:p>
    <w:p w14:paraId="4AF629FF" w14:textId="77777777" w:rsidR="00AE2255" w:rsidRDefault="00000000">
      <w:pPr>
        <w:pStyle w:val="BodyText"/>
        <w:spacing w:before="1" w:line="249" w:lineRule="auto"/>
        <w:ind w:left="610" w:right="428" w:firstLine="360"/>
        <w:jc w:val="both"/>
      </w:pPr>
      <w:r>
        <w:t>Our stockholders’ equity has been reduced cumulatively by $7.9 billion from the annual year-end measurements of the funded status of postretirement benefit plans. The cumulative noncash, after-tax reduction primarily represents net actuarial losses resulting from changes in discount rates, investment experience, and updated longevity. A market-related value of our plan assets, determined using actual asset gains or losses over the prior three-year period, is used to calculate the amount of deferred asset gains or losses to be amortized. These cumulative actuarial losses will be amortized to expense using the corridor method,</w:t>
      </w:r>
      <w:r>
        <w:rPr>
          <w:spacing w:val="-2"/>
        </w:rPr>
        <w:t xml:space="preserve"> </w:t>
      </w:r>
      <w:r>
        <w:t>where</w:t>
      </w:r>
      <w:r>
        <w:rPr>
          <w:spacing w:val="-2"/>
        </w:rPr>
        <w:t xml:space="preserve"> </w:t>
      </w:r>
      <w:r>
        <w:t>gains</w:t>
      </w:r>
      <w:r>
        <w:rPr>
          <w:spacing w:val="-2"/>
        </w:rPr>
        <w:t xml:space="preserve"> </w:t>
      </w:r>
      <w:r>
        <w:t>and</w:t>
      </w:r>
      <w:r>
        <w:rPr>
          <w:spacing w:val="-2"/>
        </w:rPr>
        <w:t xml:space="preserve"> </w:t>
      </w:r>
      <w:r>
        <w:t>losses</w:t>
      </w:r>
      <w:r>
        <w:rPr>
          <w:spacing w:val="-2"/>
        </w:rPr>
        <w:t xml:space="preserve"> </w:t>
      </w:r>
      <w:r>
        <w:t>are</w:t>
      </w:r>
      <w:r>
        <w:rPr>
          <w:spacing w:val="-2"/>
        </w:rPr>
        <w:t xml:space="preserve"> </w:t>
      </w:r>
      <w:r>
        <w:t>recognized</w:t>
      </w:r>
      <w:r>
        <w:rPr>
          <w:spacing w:val="-2"/>
        </w:rPr>
        <w:t xml:space="preserve"> </w:t>
      </w:r>
      <w:r>
        <w:t>to</w:t>
      </w:r>
      <w:r>
        <w:rPr>
          <w:spacing w:val="-2"/>
        </w:rPr>
        <w:t xml:space="preserve"> </w:t>
      </w:r>
      <w:r>
        <w:t>the</w:t>
      </w:r>
      <w:r>
        <w:rPr>
          <w:spacing w:val="-2"/>
        </w:rPr>
        <w:t xml:space="preserve"> </w:t>
      </w:r>
      <w:proofErr w:type="gramStart"/>
      <w:r>
        <w:t>extent</w:t>
      </w:r>
      <w:proofErr w:type="gramEnd"/>
      <w:r>
        <w:rPr>
          <w:spacing w:val="-2"/>
        </w:rPr>
        <w:t xml:space="preserve"> </w:t>
      </w:r>
      <w:r>
        <w:t>they</w:t>
      </w:r>
      <w:r>
        <w:rPr>
          <w:spacing w:val="-2"/>
        </w:rPr>
        <w:t xml:space="preserve"> </w:t>
      </w:r>
      <w:r>
        <w:t>exceed</w:t>
      </w:r>
      <w:r>
        <w:rPr>
          <w:spacing w:val="-2"/>
        </w:rPr>
        <w:t xml:space="preserve"> </w:t>
      </w:r>
      <w:r>
        <w:t>10%</w:t>
      </w:r>
      <w:r>
        <w:rPr>
          <w:spacing w:val="-2"/>
        </w:rPr>
        <w:t xml:space="preserve"> </w:t>
      </w:r>
      <w:r>
        <w:t>of</w:t>
      </w:r>
      <w:r>
        <w:rPr>
          <w:spacing w:val="-2"/>
        </w:rPr>
        <w:t xml:space="preserve"> </w:t>
      </w:r>
      <w:r>
        <w:t>the</w:t>
      </w:r>
      <w:r>
        <w:rPr>
          <w:spacing w:val="-2"/>
        </w:rPr>
        <w:t xml:space="preserve"> </w:t>
      </w:r>
      <w:r>
        <w:t>greater</w:t>
      </w:r>
      <w:r>
        <w:rPr>
          <w:spacing w:val="-2"/>
        </w:rPr>
        <w:t xml:space="preserve"> </w:t>
      </w:r>
      <w:r>
        <w:t>of</w:t>
      </w:r>
      <w:r>
        <w:rPr>
          <w:spacing w:val="-2"/>
        </w:rPr>
        <w:t xml:space="preserve"> </w:t>
      </w:r>
      <w:r>
        <w:t>plan</w:t>
      </w:r>
      <w:r>
        <w:rPr>
          <w:spacing w:val="-2"/>
        </w:rPr>
        <w:t xml:space="preserve"> </w:t>
      </w:r>
      <w:r>
        <w:t>assets</w:t>
      </w:r>
      <w:r>
        <w:rPr>
          <w:spacing w:val="-2"/>
        </w:rPr>
        <w:t xml:space="preserve"> </w:t>
      </w:r>
      <w:r>
        <w:t>or</w:t>
      </w:r>
      <w:r>
        <w:rPr>
          <w:spacing w:val="-2"/>
        </w:rPr>
        <w:t xml:space="preserve"> </w:t>
      </w:r>
      <w:r>
        <w:t>benefit</w:t>
      </w:r>
      <w:r>
        <w:rPr>
          <w:spacing w:val="-2"/>
        </w:rPr>
        <w:t xml:space="preserve"> </w:t>
      </w:r>
      <w:r>
        <w:t>obligations, over an average period of approximately twenty years as of December 31, 2022. During 2022, $1.2 billion of these amounts, along with amortization of net prior service credit, were recognized as a component of postretirement benefit plans expense inclusive of the noncash pension settlement charge of $1.2 billion.</w:t>
      </w:r>
    </w:p>
    <w:p w14:paraId="60B5EC8F" w14:textId="77777777" w:rsidR="00AE2255" w:rsidRDefault="00AE2255">
      <w:pPr>
        <w:pStyle w:val="BodyText"/>
        <w:rPr>
          <w:sz w:val="18"/>
        </w:rPr>
      </w:pPr>
    </w:p>
    <w:p w14:paraId="3E410A62" w14:textId="77777777" w:rsidR="00AE2255" w:rsidRDefault="00000000">
      <w:pPr>
        <w:pStyle w:val="BodyText"/>
        <w:spacing w:line="249" w:lineRule="auto"/>
        <w:ind w:left="610" w:right="427" w:firstLine="360"/>
        <w:jc w:val="both"/>
      </w:pPr>
      <w:r>
        <w:t>The</w:t>
      </w:r>
      <w:r>
        <w:rPr>
          <w:spacing w:val="-1"/>
        </w:rPr>
        <w:t xml:space="preserve"> </w:t>
      </w:r>
      <w:r>
        <w:t>discount</w:t>
      </w:r>
      <w:r>
        <w:rPr>
          <w:spacing w:val="-1"/>
        </w:rPr>
        <w:t xml:space="preserve"> </w:t>
      </w:r>
      <w:r>
        <w:t>rate</w:t>
      </w:r>
      <w:r>
        <w:rPr>
          <w:spacing w:val="-1"/>
        </w:rPr>
        <w:t xml:space="preserve"> </w:t>
      </w:r>
      <w:r>
        <w:t>and</w:t>
      </w:r>
      <w:r>
        <w:rPr>
          <w:spacing w:val="-1"/>
        </w:rPr>
        <w:t xml:space="preserve"> </w:t>
      </w:r>
      <w:r>
        <w:t>long-term</w:t>
      </w:r>
      <w:r>
        <w:rPr>
          <w:spacing w:val="-1"/>
        </w:rPr>
        <w:t xml:space="preserve"> </w:t>
      </w:r>
      <w:r>
        <w:t>rate</w:t>
      </w:r>
      <w:r>
        <w:rPr>
          <w:spacing w:val="-1"/>
        </w:rPr>
        <w:t xml:space="preserve"> </w:t>
      </w:r>
      <w:r>
        <w:t>of</w:t>
      </w:r>
      <w:r>
        <w:rPr>
          <w:spacing w:val="-1"/>
        </w:rPr>
        <w:t xml:space="preserve"> </w:t>
      </w:r>
      <w:r>
        <w:t>return</w:t>
      </w:r>
      <w:r>
        <w:rPr>
          <w:spacing w:val="-1"/>
        </w:rPr>
        <w:t xml:space="preserve"> </w:t>
      </w:r>
      <w:r>
        <w:t>on</w:t>
      </w:r>
      <w:r>
        <w:rPr>
          <w:spacing w:val="-1"/>
        </w:rPr>
        <w:t xml:space="preserve"> </w:t>
      </w:r>
      <w:r>
        <w:t>plan</w:t>
      </w:r>
      <w:r>
        <w:rPr>
          <w:spacing w:val="-1"/>
        </w:rPr>
        <w:t xml:space="preserve"> </w:t>
      </w:r>
      <w:r>
        <w:t>assets</w:t>
      </w:r>
      <w:r>
        <w:rPr>
          <w:spacing w:val="-1"/>
        </w:rPr>
        <w:t xml:space="preserve"> </w:t>
      </w:r>
      <w:r>
        <w:t>assumptions</w:t>
      </w:r>
      <w:r>
        <w:rPr>
          <w:spacing w:val="-1"/>
        </w:rPr>
        <w:t xml:space="preserve"> </w:t>
      </w:r>
      <w:r>
        <w:t>we</w:t>
      </w:r>
      <w:r>
        <w:rPr>
          <w:spacing w:val="-1"/>
        </w:rPr>
        <w:t xml:space="preserve"> </w:t>
      </w:r>
      <w:r>
        <w:t>select</w:t>
      </w:r>
      <w:r>
        <w:rPr>
          <w:spacing w:val="-1"/>
        </w:rPr>
        <w:t xml:space="preserve"> </w:t>
      </w:r>
      <w:r>
        <w:t>at</w:t>
      </w:r>
      <w:r>
        <w:rPr>
          <w:spacing w:val="-1"/>
        </w:rPr>
        <w:t xml:space="preserve"> </w:t>
      </w:r>
      <w:r>
        <w:t>the</w:t>
      </w:r>
      <w:r>
        <w:rPr>
          <w:spacing w:val="-1"/>
        </w:rPr>
        <w:t xml:space="preserve"> </w:t>
      </w:r>
      <w:r>
        <w:t>end</w:t>
      </w:r>
      <w:r>
        <w:rPr>
          <w:spacing w:val="-1"/>
        </w:rPr>
        <w:t xml:space="preserve"> </w:t>
      </w:r>
      <w:r>
        <w:t>of</w:t>
      </w:r>
      <w:r>
        <w:rPr>
          <w:spacing w:val="-1"/>
        </w:rPr>
        <w:t xml:space="preserve"> </w:t>
      </w:r>
      <w:r>
        <w:t>each</w:t>
      </w:r>
      <w:r>
        <w:rPr>
          <w:spacing w:val="-1"/>
        </w:rPr>
        <w:t xml:space="preserve"> </w:t>
      </w:r>
      <w:r>
        <w:t>year</w:t>
      </w:r>
      <w:r>
        <w:rPr>
          <w:spacing w:val="-1"/>
        </w:rPr>
        <w:t xml:space="preserve"> </w:t>
      </w:r>
      <w:r>
        <w:t>are</w:t>
      </w:r>
      <w:r>
        <w:rPr>
          <w:spacing w:val="-1"/>
        </w:rPr>
        <w:t xml:space="preserve"> </w:t>
      </w:r>
      <w:r>
        <w:t>based</w:t>
      </w:r>
      <w:r>
        <w:rPr>
          <w:spacing w:val="-1"/>
        </w:rPr>
        <w:t xml:space="preserve"> </w:t>
      </w:r>
      <w:r>
        <w:t>on</w:t>
      </w:r>
      <w:r>
        <w:rPr>
          <w:spacing w:val="-1"/>
        </w:rPr>
        <w:t xml:space="preserve"> </w:t>
      </w:r>
      <w:r>
        <w:t xml:space="preserve">our best estimates and judgment. A change of plus or minus 25 basis points in the 5.25% discount rate assumption </w:t>
      </w:r>
      <w:proofErr w:type="gramStart"/>
      <w:r>
        <w:t>at</w:t>
      </w:r>
      <w:proofErr w:type="gramEnd"/>
      <w:r>
        <w:t xml:space="preserve"> December 31, 2022, with all other assumptions held constant, would have decreased or increased the amount of the qualified pension benefit obligation we recorded at the end of 2022 by approximately $800 million, which would result in an after-tax increase or decrease</w:t>
      </w:r>
      <w:r>
        <w:rPr>
          <w:spacing w:val="40"/>
        </w:rPr>
        <w:t xml:space="preserve"> </w:t>
      </w:r>
      <w:r>
        <w:t>in</w:t>
      </w:r>
      <w:r>
        <w:rPr>
          <w:spacing w:val="40"/>
        </w:rPr>
        <w:t xml:space="preserve"> </w:t>
      </w:r>
      <w:r>
        <w:t>stockholders’</w:t>
      </w:r>
      <w:r>
        <w:rPr>
          <w:spacing w:val="40"/>
        </w:rPr>
        <w:t xml:space="preserve"> </w:t>
      </w:r>
      <w:r>
        <w:t>equity</w:t>
      </w:r>
      <w:r>
        <w:rPr>
          <w:spacing w:val="40"/>
        </w:rPr>
        <w:t xml:space="preserve"> </w:t>
      </w:r>
      <w:r>
        <w:t>at</w:t>
      </w:r>
      <w:r>
        <w:rPr>
          <w:spacing w:val="40"/>
        </w:rPr>
        <w:t xml:space="preserve"> </w:t>
      </w:r>
      <w:r>
        <w:t>the</w:t>
      </w:r>
      <w:r>
        <w:rPr>
          <w:spacing w:val="40"/>
        </w:rPr>
        <w:t xml:space="preserve"> </w:t>
      </w:r>
      <w:r>
        <w:t>end</w:t>
      </w:r>
      <w:r>
        <w:rPr>
          <w:spacing w:val="40"/>
        </w:rPr>
        <w:t xml:space="preserve"> </w:t>
      </w:r>
      <w:r>
        <w:t>of</w:t>
      </w:r>
      <w:r>
        <w:rPr>
          <w:spacing w:val="40"/>
        </w:rPr>
        <w:t xml:space="preserve"> </w:t>
      </w:r>
      <w:r>
        <w:t>the</w:t>
      </w:r>
      <w:r>
        <w:rPr>
          <w:spacing w:val="40"/>
        </w:rPr>
        <w:t xml:space="preserve"> </w:t>
      </w:r>
      <w:r>
        <w:t>year</w:t>
      </w:r>
      <w:r>
        <w:rPr>
          <w:spacing w:val="40"/>
        </w:rPr>
        <w:t xml:space="preserve"> </w:t>
      </w:r>
      <w:r>
        <w:t>of</w:t>
      </w:r>
      <w:r>
        <w:rPr>
          <w:spacing w:val="40"/>
        </w:rPr>
        <w:t xml:space="preserve"> </w:t>
      </w:r>
      <w:r>
        <w:t>approximately</w:t>
      </w:r>
      <w:r>
        <w:rPr>
          <w:spacing w:val="40"/>
        </w:rPr>
        <w:t xml:space="preserve"> </w:t>
      </w:r>
      <w:r>
        <w:t>$600</w:t>
      </w:r>
      <w:r>
        <w:rPr>
          <w:spacing w:val="40"/>
        </w:rPr>
        <w:t xml:space="preserve"> </w:t>
      </w:r>
      <w:r>
        <w:t>million.</w:t>
      </w:r>
      <w:r>
        <w:rPr>
          <w:spacing w:val="40"/>
        </w:rPr>
        <w:t xml:space="preserve"> </w:t>
      </w:r>
      <w:r>
        <w:t>If</w:t>
      </w:r>
      <w:r>
        <w:rPr>
          <w:spacing w:val="40"/>
        </w:rPr>
        <w:t xml:space="preserve"> </w:t>
      </w:r>
      <w:r>
        <w:t>the</w:t>
      </w:r>
      <w:r>
        <w:rPr>
          <w:spacing w:val="40"/>
        </w:rPr>
        <w:t xml:space="preserve"> </w:t>
      </w:r>
      <w:r>
        <w:t>5.25%</w:t>
      </w:r>
      <w:r>
        <w:rPr>
          <w:spacing w:val="40"/>
        </w:rPr>
        <w:t xml:space="preserve"> </w:t>
      </w:r>
      <w:r>
        <w:t>discount</w:t>
      </w:r>
      <w:r>
        <w:rPr>
          <w:spacing w:val="40"/>
        </w:rPr>
        <w:t xml:space="preserve"> </w:t>
      </w:r>
      <w:r>
        <w:t>rate</w:t>
      </w:r>
      <w:r>
        <w:rPr>
          <w:spacing w:val="40"/>
        </w:rPr>
        <w:t xml:space="preserve"> </w:t>
      </w:r>
      <w:proofErr w:type="gramStart"/>
      <w:r>
        <w:t>at</w:t>
      </w:r>
      <w:proofErr w:type="gramEnd"/>
      <w:r>
        <w:t xml:space="preserve"> December 31, 2022 that was used to compute the expected 2023 FAS pension income for our qualified defined benefit pension plans had been 25 basis points higher or lower, with all other assumptions held constant, the amount of FAS pension income projected for 2023 would change approximately $5 million. If the 6.50% expected long-term rate of return on plan assets assumption </w:t>
      </w:r>
      <w:proofErr w:type="gramStart"/>
      <w:r>
        <w:t>at</w:t>
      </w:r>
      <w:proofErr w:type="gramEnd"/>
      <w:r>
        <w:t xml:space="preserve"> December 31, 2022 that was used to compute the expected 2023 FAS pension income for our qualified defined benefit pension plans had been 25 basis points higher or lower, with all other assumptions held constant, the amount of FAS pension income projected for 2023 would be higher or lower by approximately $65 million. Each year, differences between the actual and expected long-term rate of return on plan assets impacts the measurement of the following year’s FAS pension income.</w:t>
      </w:r>
      <w:r>
        <w:rPr>
          <w:spacing w:val="14"/>
        </w:rPr>
        <w:t xml:space="preserve"> </w:t>
      </w:r>
      <w:r>
        <w:t>Every</w:t>
      </w:r>
      <w:r>
        <w:rPr>
          <w:spacing w:val="17"/>
        </w:rPr>
        <w:t xml:space="preserve"> </w:t>
      </w:r>
      <w:r>
        <w:t>100</w:t>
      </w:r>
      <w:r>
        <w:rPr>
          <w:spacing w:val="17"/>
        </w:rPr>
        <w:t xml:space="preserve"> </w:t>
      </w:r>
      <w:r>
        <w:t>basis</w:t>
      </w:r>
      <w:r>
        <w:rPr>
          <w:spacing w:val="17"/>
        </w:rPr>
        <w:t xml:space="preserve"> </w:t>
      </w:r>
      <w:r>
        <w:t>points</w:t>
      </w:r>
      <w:r>
        <w:rPr>
          <w:spacing w:val="17"/>
        </w:rPr>
        <w:t xml:space="preserve"> </w:t>
      </w:r>
      <w:r>
        <w:t>increase</w:t>
      </w:r>
      <w:r>
        <w:rPr>
          <w:spacing w:val="17"/>
        </w:rPr>
        <w:t xml:space="preserve"> </w:t>
      </w:r>
      <w:r>
        <w:t>(decrease)</w:t>
      </w:r>
      <w:r>
        <w:rPr>
          <w:spacing w:val="16"/>
        </w:rPr>
        <w:t xml:space="preserve"> </w:t>
      </w:r>
      <w:r>
        <w:t>in</w:t>
      </w:r>
      <w:r>
        <w:rPr>
          <w:spacing w:val="17"/>
        </w:rPr>
        <w:t xml:space="preserve"> </w:t>
      </w:r>
      <w:r>
        <w:t>return</w:t>
      </w:r>
      <w:r>
        <w:rPr>
          <w:spacing w:val="17"/>
        </w:rPr>
        <w:t xml:space="preserve"> </w:t>
      </w:r>
      <w:r>
        <w:t>during</w:t>
      </w:r>
      <w:r>
        <w:rPr>
          <w:spacing w:val="17"/>
        </w:rPr>
        <w:t xml:space="preserve"> </w:t>
      </w:r>
      <w:r>
        <w:t>2022</w:t>
      </w:r>
      <w:r>
        <w:rPr>
          <w:spacing w:val="17"/>
        </w:rPr>
        <w:t xml:space="preserve"> </w:t>
      </w:r>
      <w:r>
        <w:t>between</w:t>
      </w:r>
      <w:r>
        <w:rPr>
          <w:spacing w:val="17"/>
        </w:rPr>
        <w:t xml:space="preserve"> </w:t>
      </w:r>
      <w:r>
        <w:t>our</w:t>
      </w:r>
      <w:r>
        <w:rPr>
          <w:spacing w:val="16"/>
        </w:rPr>
        <w:t xml:space="preserve"> </w:t>
      </w:r>
      <w:r>
        <w:t>actual</w:t>
      </w:r>
      <w:r>
        <w:rPr>
          <w:spacing w:val="17"/>
        </w:rPr>
        <w:t xml:space="preserve"> </w:t>
      </w:r>
      <w:r>
        <w:t>rate</w:t>
      </w:r>
      <w:r>
        <w:rPr>
          <w:spacing w:val="17"/>
        </w:rPr>
        <w:t xml:space="preserve"> </w:t>
      </w:r>
      <w:r>
        <w:t>of</w:t>
      </w:r>
      <w:r>
        <w:rPr>
          <w:spacing w:val="17"/>
        </w:rPr>
        <w:t xml:space="preserve"> </w:t>
      </w:r>
      <w:r>
        <w:t>return</w:t>
      </w:r>
      <w:r>
        <w:rPr>
          <w:spacing w:val="17"/>
        </w:rPr>
        <w:t xml:space="preserve"> </w:t>
      </w:r>
      <w:r>
        <w:t>of</w:t>
      </w:r>
      <w:r>
        <w:rPr>
          <w:spacing w:val="17"/>
        </w:rPr>
        <w:t xml:space="preserve"> </w:t>
      </w:r>
      <w:r>
        <w:rPr>
          <w:spacing w:val="-2"/>
        </w:rPr>
        <w:t>approximately</w:t>
      </w:r>
    </w:p>
    <w:p w14:paraId="603822AC" w14:textId="77777777" w:rsidR="00AE2255" w:rsidRDefault="00000000">
      <w:pPr>
        <w:pStyle w:val="BodyText"/>
        <w:spacing w:before="11"/>
        <w:ind w:left="610"/>
        <w:jc w:val="both"/>
      </w:pPr>
      <w:r>
        <w:t>(</w:t>
      </w:r>
      <w:proofErr w:type="gramStart"/>
      <w:r>
        <w:t>18)%</w:t>
      </w:r>
      <w:proofErr w:type="gramEnd"/>
      <w:r>
        <w:rPr>
          <w:spacing w:val="10"/>
        </w:rPr>
        <w:t xml:space="preserve"> </w:t>
      </w:r>
      <w:r>
        <w:t>and</w:t>
      </w:r>
      <w:r>
        <w:rPr>
          <w:spacing w:val="13"/>
        </w:rPr>
        <w:t xml:space="preserve"> </w:t>
      </w:r>
      <w:r>
        <w:t>our</w:t>
      </w:r>
      <w:r>
        <w:rPr>
          <w:spacing w:val="12"/>
        </w:rPr>
        <w:t xml:space="preserve"> </w:t>
      </w:r>
      <w:r>
        <w:t>expected</w:t>
      </w:r>
      <w:r>
        <w:rPr>
          <w:spacing w:val="13"/>
        </w:rPr>
        <w:t xml:space="preserve"> </w:t>
      </w:r>
      <w:r>
        <w:t>long-term</w:t>
      </w:r>
      <w:r>
        <w:rPr>
          <w:spacing w:val="13"/>
        </w:rPr>
        <w:t xml:space="preserve"> </w:t>
      </w:r>
      <w:r>
        <w:t>rate</w:t>
      </w:r>
      <w:r>
        <w:rPr>
          <w:spacing w:val="12"/>
        </w:rPr>
        <w:t xml:space="preserve"> </w:t>
      </w:r>
      <w:r>
        <w:t>of</w:t>
      </w:r>
      <w:r>
        <w:rPr>
          <w:spacing w:val="13"/>
        </w:rPr>
        <w:t xml:space="preserve"> </w:t>
      </w:r>
      <w:r>
        <w:t>return</w:t>
      </w:r>
      <w:r>
        <w:rPr>
          <w:spacing w:val="13"/>
        </w:rPr>
        <w:t xml:space="preserve"> </w:t>
      </w:r>
      <w:r>
        <w:t>increased</w:t>
      </w:r>
      <w:r>
        <w:rPr>
          <w:spacing w:val="12"/>
        </w:rPr>
        <w:t xml:space="preserve"> </w:t>
      </w:r>
      <w:r>
        <w:t>(decreased)</w:t>
      </w:r>
      <w:r>
        <w:rPr>
          <w:spacing w:val="13"/>
        </w:rPr>
        <w:t xml:space="preserve"> </w:t>
      </w:r>
      <w:r>
        <w:t>2023</w:t>
      </w:r>
      <w:r>
        <w:rPr>
          <w:spacing w:val="12"/>
        </w:rPr>
        <w:t xml:space="preserve"> </w:t>
      </w:r>
      <w:r>
        <w:t>expected</w:t>
      </w:r>
      <w:r>
        <w:rPr>
          <w:spacing w:val="13"/>
        </w:rPr>
        <w:t xml:space="preserve"> </w:t>
      </w:r>
      <w:r>
        <w:t>FAS</w:t>
      </w:r>
      <w:r>
        <w:rPr>
          <w:spacing w:val="13"/>
        </w:rPr>
        <w:t xml:space="preserve"> </w:t>
      </w:r>
      <w:r>
        <w:t>pension</w:t>
      </w:r>
      <w:r>
        <w:rPr>
          <w:spacing w:val="12"/>
        </w:rPr>
        <w:t xml:space="preserve"> </w:t>
      </w:r>
      <w:r>
        <w:t>income</w:t>
      </w:r>
      <w:r>
        <w:rPr>
          <w:spacing w:val="13"/>
        </w:rPr>
        <w:t xml:space="preserve"> </w:t>
      </w:r>
      <w:r>
        <w:t>by</w:t>
      </w:r>
      <w:r>
        <w:rPr>
          <w:spacing w:val="13"/>
        </w:rPr>
        <w:t xml:space="preserve"> </w:t>
      </w:r>
      <w:r>
        <w:rPr>
          <w:spacing w:val="-2"/>
        </w:rPr>
        <w:t>approximately</w:t>
      </w:r>
    </w:p>
    <w:p w14:paraId="64970EDA" w14:textId="77777777" w:rsidR="00AE2255" w:rsidRDefault="00000000">
      <w:pPr>
        <w:pStyle w:val="BodyText"/>
        <w:spacing w:before="10"/>
        <w:ind w:left="610"/>
        <w:jc w:val="both"/>
      </w:pPr>
      <w:r>
        <w:t xml:space="preserve">$10 </w:t>
      </w:r>
      <w:r>
        <w:rPr>
          <w:spacing w:val="-2"/>
        </w:rPr>
        <w:t>million.</w:t>
      </w:r>
    </w:p>
    <w:p w14:paraId="1221B064" w14:textId="77777777" w:rsidR="00AE2255" w:rsidRDefault="00AE2255">
      <w:pPr>
        <w:pStyle w:val="BodyText"/>
        <w:spacing w:before="11"/>
        <w:rPr>
          <w:sz w:val="17"/>
        </w:rPr>
      </w:pPr>
    </w:p>
    <w:p w14:paraId="3178B516" w14:textId="77777777" w:rsidR="00AE2255" w:rsidRDefault="00000000">
      <w:pPr>
        <w:pStyle w:val="Heading3"/>
        <w:jc w:val="both"/>
      </w:pPr>
      <w:r>
        <w:t>Funding</w:t>
      </w:r>
      <w:r>
        <w:rPr>
          <w:spacing w:val="-5"/>
        </w:rPr>
        <w:t xml:space="preserve"> </w:t>
      </w:r>
      <w:r>
        <w:rPr>
          <w:spacing w:val="-2"/>
        </w:rPr>
        <w:t>Considerations</w:t>
      </w:r>
    </w:p>
    <w:p w14:paraId="7EC7CEC7" w14:textId="77777777" w:rsidR="00AE2255" w:rsidRDefault="00AE2255">
      <w:pPr>
        <w:pStyle w:val="BodyText"/>
        <w:spacing w:before="6"/>
        <w:rPr>
          <w:b/>
          <w:i/>
          <w:sz w:val="18"/>
        </w:rPr>
      </w:pPr>
    </w:p>
    <w:p w14:paraId="52549490" w14:textId="77777777" w:rsidR="00AE2255" w:rsidRDefault="00000000">
      <w:pPr>
        <w:pStyle w:val="BodyText"/>
        <w:spacing w:line="249" w:lineRule="auto"/>
        <w:ind w:left="610" w:right="429" w:firstLine="360"/>
        <w:jc w:val="both"/>
      </w:pPr>
      <w:r>
        <w:t>We made no contributions in 2022 and 2021 to our qualified defined benefit pension plans. Funding of our qualified defined benefit pension plans is determined in a manner consistent with CAS and in accordance with the Employee Retirement Income Security Act of 1974 (ERISA), as amended, along with consideration of CAS and Internal Revenue Code rules. Our goal</w:t>
      </w:r>
      <w:r>
        <w:rPr>
          <w:spacing w:val="-1"/>
        </w:rPr>
        <w:t xml:space="preserve"> </w:t>
      </w:r>
      <w:r>
        <w:t>has</w:t>
      </w:r>
      <w:r>
        <w:rPr>
          <w:spacing w:val="-1"/>
        </w:rPr>
        <w:t xml:space="preserve"> </w:t>
      </w:r>
      <w:r>
        <w:t>been</w:t>
      </w:r>
      <w:r>
        <w:rPr>
          <w:spacing w:val="-1"/>
        </w:rPr>
        <w:t xml:space="preserve"> </w:t>
      </w:r>
      <w:r>
        <w:t>to</w:t>
      </w:r>
      <w:r>
        <w:rPr>
          <w:spacing w:val="-1"/>
        </w:rPr>
        <w:t xml:space="preserve"> </w:t>
      </w:r>
      <w:r>
        <w:t>fund</w:t>
      </w:r>
      <w:r>
        <w:rPr>
          <w:spacing w:val="-1"/>
        </w:rPr>
        <w:t xml:space="preserve"> </w:t>
      </w:r>
      <w:r>
        <w:t>the</w:t>
      </w:r>
      <w:r>
        <w:rPr>
          <w:spacing w:val="-1"/>
        </w:rPr>
        <w:t xml:space="preserve"> </w:t>
      </w:r>
      <w:r>
        <w:t>pension</w:t>
      </w:r>
      <w:r>
        <w:rPr>
          <w:spacing w:val="-1"/>
        </w:rPr>
        <w:t xml:space="preserve"> </w:t>
      </w:r>
      <w:r>
        <w:t>plans</w:t>
      </w:r>
      <w:r>
        <w:rPr>
          <w:spacing w:val="-1"/>
        </w:rPr>
        <w:t xml:space="preserve"> </w:t>
      </w:r>
      <w:r>
        <w:t>to</w:t>
      </w:r>
      <w:r>
        <w:rPr>
          <w:spacing w:val="-1"/>
        </w:rPr>
        <w:t xml:space="preserve"> </w:t>
      </w:r>
      <w:r>
        <w:t>a</w:t>
      </w:r>
      <w:r>
        <w:rPr>
          <w:spacing w:val="-1"/>
        </w:rPr>
        <w:t xml:space="preserve"> </w:t>
      </w:r>
      <w:r>
        <w:t>level</w:t>
      </w:r>
      <w:r>
        <w:rPr>
          <w:spacing w:val="-1"/>
        </w:rPr>
        <w:t xml:space="preserve"> </w:t>
      </w:r>
      <w:r>
        <w:t>of</w:t>
      </w:r>
      <w:r>
        <w:rPr>
          <w:spacing w:val="-1"/>
        </w:rPr>
        <w:t xml:space="preserve"> </w:t>
      </w:r>
      <w:r>
        <w:t>at</w:t>
      </w:r>
      <w:r>
        <w:rPr>
          <w:spacing w:val="-1"/>
        </w:rPr>
        <w:t xml:space="preserve"> </w:t>
      </w:r>
      <w:r>
        <w:t>least</w:t>
      </w:r>
      <w:r>
        <w:rPr>
          <w:spacing w:val="-1"/>
        </w:rPr>
        <w:t xml:space="preserve"> </w:t>
      </w:r>
      <w:r>
        <w:t>80%,</w:t>
      </w:r>
      <w:r>
        <w:rPr>
          <w:spacing w:val="-1"/>
        </w:rPr>
        <w:t xml:space="preserve"> </w:t>
      </w:r>
      <w:r>
        <w:t>as</w:t>
      </w:r>
      <w:r>
        <w:rPr>
          <w:spacing w:val="-1"/>
        </w:rPr>
        <w:t xml:space="preserve"> </w:t>
      </w:r>
      <w:r>
        <w:t>determined</w:t>
      </w:r>
      <w:r>
        <w:rPr>
          <w:spacing w:val="-1"/>
        </w:rPr>
        <w:t xml:space="preserve"> </w:t>
      </w:r>
      <w:r>
        <w:t>in</w:t>
      </w:r>
      <w:r>
        <w:rPr>
          <w:spacing w:val="-1"/>
        </w:rPr>
        <w:t xml:space="preserve"> </w:t>
      </w:r>
      <w:r>
        <w:t>accordance</w:t>
      </w:r>
      <w:r>
        <w:rPr>
          <w:spacing w:val="-1"/>
        </w:rPr>
        <w:t xml:space="preserve"> </w:t>
      </w:r>
      <w:r>
        <w:t>with</w:t>
      </w:r>
      <w:r>
        <w:rPr>
          <w:spacing w:val="-1"/>
        </w:rPr>
        <w:t xml:space="preserve"> </w:t>
      </w:r>
      <w:r>
        <w:t>ERISA.</w:t>
      </w:r>
      <w:r>
        <w:rPr>
          <w:spacing w:val="-1"/>
        </w:rPr>
        <w:t xml:space="preserve"> </w:t>
      </w:r>
      <w:r>
        <w:t>The</w:t>
      </w:r>
      <w:r>
        <w:rPr>
          <w:spacing w:val="-1"/>
        </w:rPr>
        <w:t xml:space="preserve"> </w:t>
      </w:r>
      <w:r>
        <w:t>ERISA</w:t>
      </w:r>
      <w:r>
        <w:rPr>
          <w:spacing w:val="-1"/>
        </w:rPr>
        <w:t xml:space="preserve"> </w:t>
      </w:r>
      <w:r>
        <w:t xml:space="preserve">funded status of our qualified defined benefit pension plans was approximately 82% and 92% as of December 31, </w:t>
      </w:r>
      <w:proofErr w:type="gramStart"/>
      <w:r>
        <w:t>2022</w:t>
      </w:r>
      <w:proofErr w:type="gramEnd"/>
      <w:r>
        <w:t xml:space="preserve"> and 2021; which is calculated on a different basis than under GAAP and reflects the impact of the American Rescue Plan Act of 2021.</w:t>
      </w:r>
    </w:p>
    <w:p w14:paraId="11D4444A" w14:textId="77777777" w:rsidR="00AE2255" w:rsidRDefault="00AE2255">
      <w:pPr>
        <w:pStyle w:val="BodyText"/>
        <w:spacing w:before="9"/>
        <w:rPr>
          <w:sz w:val="17"/>
        </w:rPr>
      </w:pPr>
    </w:p>
    <w:p w14:paraId="174C748C" w14:textId="77777777" w:rsidR="00AE2255" w:rsidRDefault="00000000">
      <w:pPr>
        <w:pStyle w:val="BodyText"/>
        <w:spacing w:before="1" w:line="249" w:lineRule="auto"/>
        <w:ind w:left="610" w:right="428" w:firstLine="360"/>
        <w:jc w:val="both"/>
      </w:pPr>
      <w:r>
        <w:t>Contributions</w:t>
      </w:r>
      <w:r>
        <w:rPr>
          <w:spacing w:val="-1"/>
        </w:rPr>
        <w:t xml:space="preserve"> </w:t>
      </w:r>
      <w:r>
        <w:t>to our defined benefit</w:t>
      </w:r>
      <w:r>
        <w:rPr>
          <w:spacing w:val="-1"/>
        </w:rPr>
        <w:t xml:space="preserve"> </w:t>
      </w:r>
      <w:r>
        <w:t>pension plans</w:t>
      </w:r>
      <w:r>
        <w:rPr>
          <w:spacing w:val="-1"/>
        </w:rPr>
        <w:t xml:space="preserve"> </w:t>
      </w:r>
      <w:r>
        <w:t>are</w:t>
      </w:r>
      <w:r>
        <w:rPr>
          <w:spacing w:val="-1"/>
        </w:rPr>
        <w:t xml:space="preserve"> </w:t>
      </w:r>
      <w:r>
        <w:t>recovered over time</w:t>
      </w:r>
      <w:r>
        <w:rPr>
          <w:spacing w:val="-1"/>
        </w:rPr>
        <w:t xml:space="preserve"> </w:t>
      </w:r>
      <w:r>
        <w:t>through the</w:t>
      </w:r>
      <w:r>
        <w:rPr>
          <w:spacing w:val="-1"/>
        </w:rPr>
        <w:t xml:space="preserve"> </w:t>
      </w:r>
      <w:r>
        <w:t>pricing of our products</w:t>
      </w:r>
      <w:r>
        <w:rPr>
          <w:spacing w:val="-1"/>
        </w:rPr>
        <w:t xml:space="preserve"> </w:t>
      </w:r>
      <w:r>
        <w:t>and services on U.S. Government contracts, including FMS, and are recognized in our cost of sales and net sales. CAS govern the extent to</w:t>
      </w:r>
    </w:p>
    <w:p w14:paraId="6B1FD208" w14:textId="77777777" w:rsidR="00AE2255" w:rsidRDefault="00AE2255">
      <w:pPr>
        <w:spacing w:line="249" w:lineRule="auto"/>
        <w:jc w:val="both"/>
        <w:sectPr w:rsidR="00AE2255">
          <w:pgSz w:w="12240" w:h="15840"/>
          <w:pgMar w:top="440" w:right="560" w:bottom="720" w:left="380" w:header="230" w:footer="531" w:gutter="0"/>
          <w:cols w:space="720"/>
        </w:sectPr>
      </w:pPr>
    </w:p>
    <w:p w14:paraId="3EC97F6F" w14:textId="77777777" w:rsidR="00AE2255" w:rsidRDefault="00AE2255">
      <w:pPr>
        <w:pStyle w:val="BodyText"/>
        <w:spacing w:before="10"/>
        <w:rPr>
          <w:sz w:val="22"/>
        </w:rPr>
      </w:pPr>
    </w:p>
    <w:p w14:paraId="532A88FC" w14:textId="77777777" w:rsidR="00AE2255" w:rsidRDefault="00000000">
      <w:pPr>
        <w:pStyle w:val="BodyText"/>
        <w:spacing w:before="92" w:line="249" w:lineRule="auto"/>
        <w:ind w:left="610" w:right="430"/>
      </w:pPr>
      <w:r>
        <w:t>which our pension costs are allocable to and recoverable under contracts with the U.S. Government, including FMS. Pension</w:t>
      </w:r>
      <w:r>
        <w:rPr>
          <w:spacing w:val="40"/>
        </w:rPr>
        <w:t xml:space="preserve"> </w:t>
      </w:r>
      <w:r>
        <w:t>cost recoveries under CAS occur in different periods from when pension contributions are made in accordance with ERISA.</w:t>
      </w:r>
    </w:p>
    <w:p w14:paraId="21D60636" w14:textId="77777777" w:rsidR="00AE2255" w:rsidRDefault="00AE2255">
      <w:pPr>
        <w:pStyle w:val="BodyText"/>
        <w:spacing w:before="6"/>
        <w:rPr>
          <w:sz w:val="17"/>
        </w:rPr>
      </w:pPr>
    </w:p>
    <w:p w14:paraId="2AB91737" w14:textId="77777777" w:rsidR="00AE2255" w:rsidRDefault="00000000">
      <w:pPr>
        <w:pStyle w:val="BodyText"/>
        <w:spacing w:line="249" w:lineRule="auto"/>
        <w:ind w:left="610" w:right="428" w:firstLine="360"/>
        <w:jc w:val="both"/>
      </w:pPr>
      <w:r>
        <w:t xml:space="preserve">We recovered $1.8 billion in 2022 and $2.1 billion in 2021 as CAS pension costs. Amounts contributed </w:t>
      </w:r>
      <w:proofErr w:type="gramStart"/>
      <w:r>
        <w:t>in excess of</w:t>
      </w:r>
      <w:proofErr w:type="gramEnd"/>
      <w:r>
        <w:t xml:space="preserve"> the CAS pension costs recovered under U.S. Government contracts are considered to be prepayment credits under the CAS rules. Our prepayment credits were approximately $4.3 billion and $7.0 billion </w:t>
      </w:r>
      <w:proofErr w:type="gramStart"/>
      <w:r>
        <w:t>at</w:t>
      </w:r>
      <w:proofErr w:type="gramEnd"/>
      <w:r>
        <w:t xml:space="preserve"> December 31, 2022 and 2021. The prepayment credit balance will increase or decrease based on our actual investment return on plan assets.</w:t>
      </w:r>
    </w:p>
    <w:p w14:paraId="19BC6B67" w14:textId="77777777" w:rsidR="00AE2255" w:rsidRDefault="00AE2255">
      <w:pPr>
        <w:pStyle w:val="BodyText"/>
        <w:spacing w:before="4"/>
        <w:rPr>
          <w:sz w:val="17"/>
        </w:rPr>
      </w:pPr>
    </w:p>
    <w:p w14:paraId="6C7120C3" w14:textId="77777777" w:rsidR="00AE2255" w:rsidRDefault="00000000">
      <w:pPr>
        <w:pStyle w:val="Heading2"/>
      </w:pPr>
      <w:r>
        <w:t>Environmental</w:t>
      </w:r>
      <w:r>
        <w:rPr>
          <w:spacing w:val="-8"/>
        </w:rPr>
        <w:t xml:space="preserve"> </w:t>
      </w:r>
      <w:r>
        <w:rPr>
          <w:spacing w:val="-2"/>
        </w:rPr>
        <w:t>Matters</w:t>
      </w:r>
    </w:p>
    <w:p w14:paraId="4B02CA95" w14:textId="77777777" w:rsidR="00AE2255" w:rsidRDefault="00AE2255">
      <w:pPr>
        <w:pStyle w:val="BodyText"/>
        <w:spacing w:before="7"/>
        <w:rPr>
          <w:b/>
          <w:sz w:val="18"/>
        </w:rPr>
      </w:pPr>
    </w:p>
    <w:p w14:paraId="452285C7" w14:textId="77777777" w:rsidR="00AE2255" w:rsidRDefault="00000000">
      <w:pPr>
        <w:pStyle w:val="BodyText"/>
        <w:spacing w:line="249" w:lineRule="auto"/>
        <w:ind w:left="610" w:right="428" w:firstLine="360"/>
        <w:jc w:val="both"/>
      </w:pPr>
      <w:r>
        <w:t xml:space="preserve">We are a party to various agreements, </w:t>
      </w:r>
      <w:proofErr w:type="gramStart"/>
      <w:r>
        <w:t>proceedings</w:t>
      </w:r>
      <w:proofErr w:type="gramEnd"/>
      <w:r>
        <w:t xml:space="preserve"> and potential proceedings for environmental remediation issues, including matters at various sites where we have been designated a potentially responsible party (PRP). </w:t>
      </w:r>
      <w:proofErr w:type="gramStart"/>
      <w:r>
        <w:t>At</w:t>
      </w:r>
      <w:proofErr w:type="gramEnd"/>
      <w:r>
        <w:t xml:space="preserve"> December 31, 2022 and 2021, the</w:t>
      </w:r>
      <w:r>
        <w:rPr>
          <w:spacing w:val="-1"/>
        </w:rPr>
        <w:t xml:space="preserve"> </w:t>
      </w:r>
      <w:r>
        <w:t>total</w:t>
      </w:r>
      <w:r>
        <w:rPr>
          <w:spacing w:val="-1"/>
        </w:rPr>
        <w:t xml:space="preserve"> </w:t>
      </w:r>
      <w:r>
        <w:t>amount</w:t>
      </w:r>
      <w:r>
        <w:rPr>
          <w:spacing w:val="-1"/>
        </w:rPr>
        <w:t xml:space="preserve"> </w:t>
      </w:r>
      <w:r>
        <w:t>of liabilities</w:t>
      </w:r>
      <w:r>
        <w:rPr>
          <w:spacing w:val="-1"/>
        </w:rPr>
        <w:t xml:space="preserve"> </w:t>
      </w:r>
      <w:r>
        <w:t>recorded on our consolidated balance</w:t>
      </w:r>
      <w:r>
        <w:rPr>
          <w:spacing w:val="-1"/>
        </w:rPr>
        <w:t xml:space="preserve"> </w:t>
      </w:r>
      <w:r>
        <w:t>sheet</w:t>
      </w:r>
      <w:r>
        <w:rPr>
          <w:spacing w:val="-1"/>
        </w:rPr>
        <w:t xml:space="preserve"> </w:t>
      </w:r>
      <w:r>
        <w:t>for environmental</w:t>
      </w:r>
      <w:r>
        <w:rPr>
          <w:spacing w:val="-1"/>
        </w:rPr>
        <w:t xml:space="preserve"> </w:t>
      </w:r>
      <w:r>
        <w:t>matters</w:t>
      </w:r>
      <w:r>
        <w:rPr>
          <w:spacing w:val="-1"/>
        </w:rPr>
        <w:t xml:space="preserve"> </w:t>
      </w:r>
      <w:r>
        <w:t>was</w:t>
      </w:r>
      <w:r>
        <w:rPr>
          <w:spacing w:val="-1"/>
        </w:rPr>
        <w:t xml:space="preserve"> </w:t>
      </w:r>
      <w:r>
        <w:t xml:space="preserve">$696 million and $742 million. We have recorded assets totaling $618 million and $645 million </w:t>
      </w:r>
      <w:proofErr w:type="gramStart"/>
      <w:r>
        <w:t>at</w:t>
      </w:r>
      <w:proofErr w:type="gramEnd"/>
      <w:r>
        <w:t xml:space="preserve"> December 31, 2022 and 2021 for the portion</w:t>
      </w:r>
      <w:r>
        <w:rPr>
          <w:spacing w:val="11"/>
        </w:rPr>
        <w:t xml:space="preserve"> </w:t>
      </w:r>
      <w:r>
        <w:t>of</w:t>
      </w:r>
      <w:r>
        <w:rPr>
          <w:spacing w:val="11"/>
        </w:rPr>
        <w:t xml:space="preserve"> </w:t>
      </w:r>
      <w:r>
        <w:t>environmental</w:t>
      </w:r>
      <w:r>
        <w:rPr>
          <w:spacing w:val="11"/>
        </w:rPr>
        <w:t xml:space="preserve"> </w:t>
      </w:r>
      <w:r>
        <w:t>costs</w:t>
      </w:r>
      <w:r>
        <w:rPr>
          <w:spacing w:val="11"/>
        </w:rPr>
        <w:t xml:space="preserve"> </w:t>
      </w:r>
      <w:r>
        <w:t>that</w:t>
      </w:r>
      <w:r>
        <w:rPr>
          <w:spacing w:val="11"/>
        </w:rPr>
        <w:t xml:space="preserve"> </w:t>
      </w:r>
      <w:r>
        <w:t>are</w:t>
      </w:r>
      <w:r>
        <w:rPr>
          <w:spacing w:val="11"/>
        </w:rPr>
        <w:t xml:space="preserve"> </w:t>
      </w:r>
      <w:r>
        <w:t>probable</w:t>
      </w:r>
      <w:r>
        <w:rPr>
          <w:spacing w:val="11"/>
        </w:rPr>
        <w:t xml:space="preserve"> </w:t>
      </w:r>
      <w:r>
        <w:t>of</w:t>
      </w:r>
      <w:r>
        <w:rPr>
          <w:spacing w:val="11"/>
        </w:rPr>
        <w:t xml:space="preserve"> </w:t>
      </w:r>
      <w:r>
        <w:t>future</w:t>
      </w:r>
      <w:r>
        <w:rPr>
          <w:spacing w:val="11"/>
        </w:rPr>
        <w:t xml:space="preserve"> </w:t>
      </w:r>
      <w:r>
        <w:t>recovery</w:t>
      </w:r>
      <w:r>
        <w:rPr>
          <w:spacing w:val="11"/>
        </w:rPr>
        <w:t xml:space="preserve"> </w:t>
      </w:r>
      <w:r>
        <w:t>in</w:t>
      </w:r>
      <w:r>
        <w:rPr>
          <w:spacing w:val="11"/>
        </w:rPr>
        <w:t xml:space="preserve"> </w:t>
      </w:r>
      <w:r>
        <w:t>pricing</w:t>
      </w:r>
      <w:r>
        <w:rPr>
          <w:spacing w:val="11"/>
        </w:rPr>
        <w:t xml:space="preserve"> </w:t>
      </w:r>
      <w:r>
        <w:t>of</w:t>
      </w:r>
      <w:r>
        <w:rPr>
          <w:spacing w:val="11"/>
        </w:rPr>
        <w:t xml:space="preserve"> </w:t>
      </w:r>
      <w:r>
        <w:t>our</w:t>
      </w:r>
      <w:r>
        <w:rPr>
          <w:spacing w:val="11"/>
        </w:rPr>
        <w:t xml:space="preserve"> </w:t>
      </w:r>
      <w:r>
        <w:t>products</w:t>
      </w:r>
      <w:r>
        <w:rPr>
          <w:spacing w:val="11"/>
        </w:rPr>
        <w:t xml:space="preserve"> </w:t>
      </w:r>
      <w:r>
        <w:t>and</w:t>
      </w:r>
      <w:r>
        <w:rPr>
          <w:spacing w:val="11"/>
        </w:rPr>
        <w:t xml:space="preserve"> </w:t>
      </w:r>
      <w:r>
        <w:t>services</w:t>
      </w:r>
      <w:r>
        <w:rPr>
          <w:spacing w:val="11"/>
        </w:rPr>
        <w:t xml:space="preserve"> </w:t>
      </w:r>
      <w:r>
        <w:t>for</w:t>
      </w:r>
      <w:r>
        <w:rPr>
          <w:spacing w:val="11"/>
        </w:rPr>
        <w:t xml:space="preserve"> </w:t>
      </w:r>
      <w:r>
        <w:t>agencies</w:t>
      </w:r>
      <w:r>
        <w:rPr>
          <w:spacing w:val="11"/>
        </w:rPr>
        <w:t xml:space="preserve"> </w:t>
      </w:r>
      <w:r>
        <w:t>of</w:t>
      </w:r>
      <w:r>
        <w:rPr>
          <w:spacing w:val="11"/>
        </w:rPr>
        <w:t xml:space="preserve"> </w:t>
      </w:r>
      <w:r>
        <w:t>the</w:t>
      </w:r>
    </w:p>
    <w:p w14:paraId="5873005A" w14:textId="77777777" w:rsidR="00AE2255" w:rsidRDefault="00000000">
      <w:pPr>
        <w:pStyle w:val="BodyText"/>
        <w:spacing w:before="4" w:line="249" w:lineRule="auto"/>
        <w:ind w:left="610" w:right="429"/>
        <w:jc w:val="both"/>
      </w:pPr>
      <w:r>
        <w:t>U.S. Government, as discussed below. The amount that is expected to be allocated to our non-U.S. Government contracts or</w:t>
      </w:r>
      <w:r>
        <w:rPr>
          <w:spacing w:val="40"/>
        </w:rPr>
        <w:t xml:space="preserve"> </w:t>
      </w:r>
      <w:r>
        <w:t>that is determined to not be recoverable under U.S. Government contracts is expensed through cost of sales. We project costs and recovery of costs over approximately 20 years.</w:t>
      </w:r>
    </w:p>
    <w:p w14:paraId="4EE16D76" w14:textId="77777777" w:rsidR="00AE2255" w:rsidRDefault="00AE2255">
      <w:pPr>
        <w:pStyle w:val="BodyText"/>
        <w:spacing w:before="1"/>
        <w:rPr>
          <w:sz w:val="21"/>
        </w:rPr>
      </w:pPr>
    </w:p>
    <w:p w14:paraId="39312FDE" w14:textId="77777777" w:rsidR="00AE2255" w:rsidRDefault="00000000">
      <w:pPr>
        <w:pStyle w:val="BodyText"/>
        <w:spacing w:line="249" w:lineRule="auto"/>
        <w:ind w:left="610" w:right="428" w:firstLine="360"/>
        <w:jc w:val="both"/>
      </w:pPr>
      <w:r>
        <w:t>We enter into agreements (e.g.</w:t>
      </w:r>
      <w:r>
        <w:rPr>
          <w:i/>
        </w:rPr>
        <w:t xml:space="preserve">, </w:t>
      </w:r>
      <w:r>
        <w:t>administrative consent orders, consent decrees) that document the extent and timing of some</w:t>
      </w:r>
      <w:r>
        <w:rPr>
          <w:spacing w:val="-1"/>
        </w:rPr>
        <w:t xml:space="preserve"> </w:t>
      </w:r>
      <w:r>
        <w:t>of</w:t>
      </w:r>
      <w:r>
        <w:rPr>
          <w:spacing w:val="-1"/>
        </w:rPr>
        <w:t xml:space="preserve"> </w:t>
      </w:r>
      <w:r>
        <w:t>our</w:t>
      </w:r>
      <w:r>
        <w:rPr>
          <w:spacing w:val="-1"/>
        </w:rPr>
        <w:t xml:space="preserve"> </w:t>
      </w:r>
      <w:r>
        <w:t>environmental</w:t>
      </w:r>
      <w:r>
        <w:rPr>
          <w:spacing w:val="-1"/>
        </w:rPr>
        <w:t xml:space="preserve"> </w:t>
      </w:r>
      <w:r>
        <w:t>remediation</w:t>
      </w:r>
      <w:r>
        <w:rPr>
          <w:spacing w:val="-1"/>
        </w:rPr>
        <w:t xml:space="preserve"> </w:t>
      </w:r>
      <w:r>
        <w:t>obligations.</w:t>
      </w:r>
      <w:r>
        <w:rPr>
          <w:spacing w:val="-1"/>
        </w:rPr>
        <w:t xml:space="preserve"> </w:t>
      </w:r>
      <w:r>
        <w:t>We</w:t>
      </w:r>
      <w:r>
        <w:rPr>
          <w:spacing w:val="-1"/>
        </w:rPr>
        <w:t xml:space="preserve"> </w:t>
      </w:r>
      <w:r>
        <w:t>also</w:t>
      </w:r>
      <w:r>
        <w:rPr>
          <w:spacing w:val="-1"/>
        </w:rPr>
        <w:t xml:space="preserve"> </w:t>
      </w:r>
      <w:r>
        <w:t>are</w:t>
      </w:r>
      <w:r>
        <w:rPr>
          <w:spacing w:val="-1"/>
        </w:rPr>
        <w:t xml:space="preserve"> </w:t>
      </w:r>
      <w:r>
        <w:t>involved</w:t>
      </w:r>
      <w:r>
        <w:rPr>
          <w:spacing w:val="-1"/>
        </w:rPr>
        <w:t xml:space="preserve"> </w:t>
      </w:r>
      <w:r>
        <w:t>in</w:t>
      </w:r>
      <w:r>
        <w:rPr>
          <w:spacing w:val="-1"/>
        </w:rPr>
        <w:t xml:space="preserve"> </w:t>
      </w:r>
      <w:r>
        <w:t>environmental</w:t>
      </w:r>
      <w:r>
        <w:rPr>
          <w:spacing w:val="-1"/>
        </w:rPr>
        <w:t xml:space="preserve"> </w:t>
      </w:r>
      <w:r>
        <w:t>remediation</w:t>
      </w:r>
      <w:r>
        <w:rPr>
          <w:spacing w:val="-1"/>
        </w:rPr>
        <w:t xml:space="preserve"> </w:t>
      </w:r>
      <w:r>
        <w:t>activities</w:t>
      </w:r>
      <w:r>
        <w:rPr>
          <w:spacing w:val="-1"/>
        </w:rPr>
        <w:t xml:space="preserve"> </w:t>
      </w:r>
      <w:r>
        <w:t>at</w:t>
      </w:r>
      <w:r>
        <w:rPr>
          <w:spacing w:val="-1"/>
        </w:rPr>
        <w:t xml:space="preserve"> </w:t>
      </w:r>
      <w:r>
        <w:t>sites</w:t>
      </w:r>
      <w:r>
        <w:rPr>
          <w:spacing w:val="-1"/>
        </w:rPr>
        <w:t xml:space="preserve"> </w:t>
      </w:r>
      <w:r>
        <w:t>where formal agreements either do not exist or do not quantify the extent and timing of our obligations. Environmental remediation activities usually span many years, which makes estimating the costs more judgmental due to, for example, changing remediation</w:t>
      </w:r>
      <w:r>
        <w:rPr>
          <w:spacing w:val="-2"/>
        </w:rPr>
        <w:t xml:space="preserve"> </w:t>
      </w:r>
      <w:r>
        <w:t>technologies.</w:t>
      </w:r>
      <w:r>
        <w:rPr>
          <w:spacing w:val="-2"/>
        </w:rPr>
        <w:t xml:space="preserve"> </w:t>
      </w:r>
      <w:r>
        <w:t>To</w:t>
      </w:r>
      <w:r>
        <w:rPr>
          <w:spacing w:val="-2"/>
        </w:rPr>
        <w:t xml:space="preserve"> </w:t>
      </w:r>
      <w:r>
        <w:t>determine</w:t>
      </w:r>
      <w:r>
        <w:rPr>
          <w:spacing w:val="-2"/>
        </w:rPr>
        <w:t xml:space="preserve"> </w:t>
      </w:r>
      <w:r>
        <w:t>the</w:t>
      </w:r>
      <w:r>
        <w:rPr>
          <w:spacing w:val="-2"/>
        </w:rPr>
        <w:t xml:space="preserve"> </w:t>
      </w:r>
      <w:r>
        <w:t>costs</w:t>
      </w:r>
      <w:r>
        <w:rPr>
          <w:spacing w:val="-2"/>
        </w:rPr>
        <w:t xml:space="preserve"> </w:t>
      </w:r>
      <w:r>
        <w:t>related</w:t>
      </w:r>
      <w:r>
        <w:rPr>
          <w:spacing w:val="-2"/>
        </w:rPr>
        <w:t xml:space="preserve"> </w:t>
      </w:r>
      <w:r>
        <w:t>to</w:t>
      </w:r>
      <w:r>
        <w:rPr>
          <w:spacing w:val="-2"/>
        </w:rPr>
        <w:t xml:space="preserve"> </w:t>
      </w:r>
      <w:r>
        <w:t>clean</w:t>
      </w:r>
      <w:r>
        <w:rPr>
          <w:spacing w:val="-2"/>
        </w:rPr>
        <w:t xml:space="preserve"> </w:t>
      </w:r>
      <w:r>
        <w:t>up</w:t>
      </w:r>
      <w:r>
        <w:rPr>
          <w:spacing w:val="-2"/>
        </w:rPr>
        <w:t xml:space="preserve"> </w:t>
      </w:r>
      <w:r>
        <w:t>sites,</w:t>
      </w:r>
      <w:r>
        <w:rPr>
          <w:spacing w:val="-2"/>
        </w:rPr>
        <w:t xml:space="preserve"> </w:t>
      </w:r>
      <w:r>
        <w:t>we</w:t>
      </w:r>
      <w:r>
        <w:rPr>
          <w:spacing w:val="-2"/>
        </w:rPr>
        <w:t xml:space="preserve"> </w:t>
      </w:r>
      <w:r>
        <w:t>have</w:t>
      </w:r>
      <w:r>
        <w:rPr>
          <w:spacing w:val="-2"/>
        </w:rPr>
        <w:t xml:space="preserve"> </w:t>
      </w:r>
      <w:r>
        <w:t>to</w:t>
      </w:r>
      <w:r>
        <w:rPr>
          <w:spacing w:val="-2"/>
        </w:rPr>
        <w:t xml:space="preserve"> </w:t>
      </w:r>
      <w:r>
        <w:t>assess</w:t>
      </w:r>
      <w:r>
        <w:rPr>
          <w:spacing w:val="-2"/>
        </w:rPr>
        <w:t xml:space="preserve"> </w:t>
      </w:r>
      <w:r>
        <w:t>the</w:t>
      </w:r>
      <w:r>
        <w:rPr>
          <w:spacing w:val="-2"/>
        </w:rPr>
        <w:t xml:space="preserve"> </w:t>
      </w:r>
      <w:r>
        <w:t>extent</w:t>
      </w:r>
      <w:r>
        <w:rPr>
          <w:spacing w:val="-2"/>
        </w:rPr>
        <w:t xml:space="preserve"> </w:t>
      </w:r>
      <w:r>
        <w:t>of</w:t>
      </w:r>
      <w:r>
        <w:rPr>
          <w:spacing w:val="-2"/>
        </w:rPr>
        <w:t xml:space="preserve"> </w:t>
      </w:r>
      <w:r>
        <w:t>contamination,</w:t>
      </w:r>
      <w:r>
        <w:rPr>
          <w:spacing w:val="-2"/>
        </w:rPr>
        <w:t xml:space="preserve"> </w:t>
      </w:r>
      <w:r>
        <w:t xml:space="preserve">effects on natural resources, the appropriate technology to be used to accomplish the </w:t>
      </w:r>
      <w:proofErr w:type="gramStart"/>
      <w:r>
        <w:t>remediation, and</w:t>
      </w:r>
      <w:proofErr w:type="gramEnd"/>
      <w:r>
        <w:t xml:space="preserve"> evolving environmental </w:t>
      </w:r>
      <w:r>
        <w:rPr>
          <w:spacing w:val="-2"/>
        </w:rPr>
        <w:t>standards.</w:t>
      </w:r>
    </w:p>
    <w:p w14:paraId="2F0635FC" w14:textId="77777777" w:rsidR="00AE2255" w:rsidRDefault="00AE2255">
      <w:pPr>
        <w:pStyle w:val="BodyText"/>
        <w:spacing w:before="4"/>
        <w:rPr>
          <w:sz w:val="21"/>
        </w:rPr>
      </w:pPr>
    </w:p>
    <w:p w14:paraId="1C51D253" w14:textId="77777777" w:rsidR="00AE2255" w:rsidRDefault="00000000">
      <w:pPr>
        <w:pStyle w:val="BodyText"/>
        <w:spacing w:line="249" w:lineRule="auto"/>
        <w:ind w:left="610" w:right="428" w:firstLine="360"/>
        <w:jc w:val="both"/>
      </w:pPr>
      <w:r>
        <w:t xml:space="preserve">We perform quarterly reviews of environmental remediation sites and record liabilities and receivables in the period it becomes probable that the liabilities have been incurred and the amounts can be reasonably estimated (see the discussion under “Environmental Matters” in “Note 1 – Organization and Significant Accounting Policies” and “Note 14 – Legal Proceedings, Commitments and Contingencies” included in our Notes to Consolidated Financial Statements). We consider the above factors in our quarterly estimates of the timing and amount of any future costs that may be required for environmental remediation activities, which result in the calculation of a range of estimates for each </w:t>
      </w:r>
      <w:proofErr w:type="gramStart"/>
      <w:r>
        <w:t>particular environmental</w:t>
      </w:r>
      <w:proofErr w:type="gramEnd"/>
      <w:r>
        <w:t xml:space="preserve"> remediation site. We do not discount the recorded liabilities, as the amount and timing of future cash payments are not fixed or cannot be reliably determined.</w:t>
      </w:r>
      <w:r>
        <w:rPr>
          <w:spacing w:val="-2"/>
        </w:rPr>
        <w:t xml:space="preserve"> </w:t>
      </w:r>
      <w:r>
        <w:t>Given</w:t>
      </w:r>
      <w:r>
        <w:rPr>
          <w:spacing w:val="-2"/>
        </w:rPr>
        <w:t xml:space="preserve"> </w:t>
      </w:r>
      <w:r>
        <w:t>the</w:t>
      </w:r>
      <w:r>
        <w:rPr>
          <w:spacing w:val="-2"/>
        </w:rPr>
        <w:t xml:space="preserve"> </w:t>
      </w:r>
      <w:r>
        <w:t>required</w:t>
      </w:r>
      <w:r>
        <w:rPr>
          <w:spacing w:val="-2"/>
        </w:rPr>
        <w:t xml:space="preserve"> </w:t>
      </w:r>
      <w:r>
        <w:t>level</w:t>
      </w:r>
      <w:r>
        <w:rPr>
          <w:spacing w:val="-2"/>
        </w:rPr>
        <w:t xml:space="preserve"> </w:t>
      </w:r>
      <w:r>
        <w:t>of</w:t>
      </w:r>
      <w:r>
        <w:rPr>
          <w:spacing w:val="-2"/>
        </w:rPr>
        <w:t xml:space="preserve"> </w:t>
      </w:r>
      <w:r>
        <w:t>judgment</w:t>
      </w:r>
      <w:r>
        <w:rPr>
          <w:spacing w:val="-2"/>
        </w:rPr>
        <w:t xml:space="preserve"> </w:t>
      </w:r>
      <w:r>
        <w:t>and</w:t>
      </w:r>
      <w:r>
        <w:rPr>
          <w:spacing w:val="-2"/>
        </w:rPr>
        <w:t xml:space="preserve"> </w:t>
      </w:r>
      <w:r>
        <w:t>estimation,</w:t>
      </w:r>
      <w:r>
        <w:rPr>
          <w:spacing w:val="-2"/>
        </w:rPr>
        <w:t xml:space="preserve"> </w:t>
      </w:r>
      <w:r>
        <w:t>it</w:t>
      </w:r>
      <w:r>
        <w:rPr>
          <w:spacing w:val="-2"/>
        </w:rPr>
        <w:t xml:space="preserve"> </w:t>
      </w:r>
      <w:r>
        <w:t>is</w:t>
      </w:r>
      <w:r>
        <w:rPr>
          <w:spacing w:val="-2"/>
        </w:rPr>
        <w:t xml:space="preserve"> </w:t>
      </w:r>
      <w:r>
        <w:t>likely</w:t>
      </w:r>
      <w:r>
        <w:rPr>
          <w:spacing w:val="-2"/>
        </w:rPr>
        <w:t xml:space="preserve"> </w:t>
      </w:r>
      <w:r>
        <w:t>that</w:t>
      </w:r>
      <w:r>
        <w:rPr>
          <w:spacing w:val="-2"/>
        </w:rPr>
        <w:t xml:space="preserve"> </w:t>
      </w:r>
      <w:r>
        <w:t>materially</w:t>
      </w:r>
      <w:r>
        <w:rPr>
          <w:spacing w:val="-2"/>
        </w:rPr>
        <w:t xml:space="preserve"> </w:t>
      </w:r>
      <w:r>
        <w:t>different</w:t>
      </w:r>
      <w:r>
        <w:rPr>
          <w:spacing w:val="-2"/>
        </w:rPr>
        <w:t xml:space="preserve"> </w:t>
      </w:r>
      <w:r>
        <w:t>amounts</w:t>
      </w:r>
      <w:r>
        <w:rPr>
          <w:spacing w:val="-2"/>
        </w:rPr>
        <w:t xml:space="preserve"> </w:t>
      </w:r>
      <w:r>
        <w:t>could</w:t>
      </w:r>
      <w:r>
        <w:rPr>
          <w:spacing w:val="-2"/>
        </w:rPr>
        <w:t xml:space="preserve"> </w:t>
      </w:r>
      <w:r>
        <w:t>be</w:t>
      </w:r>
      <w:r>
        <w:rPr>
          <w:spacing w:val="-2"/>
        </w:rPr>
        <w:t xml:space="preserve"> </w:t>
      </w:r>
      <w:r>
        <w:t>recorded if different assumptions were used or if circumstances were to change (e.g.</w:t>
      </w:r>
      <w:r>
        <w:rPr>
          <w:i/>
        </w:rPr>
        <w:t xml:space="preserve">, </w:t>
      </w:r>
      <w:r>
        <w:t>a change in environmental standards or a change in our estimate of the extent of contamination).</w:t>
      </w:r>
    </w:p>
    <w:p w14:paraId="09FE8276" w14:textId="77777777" w:rsidR="00AE2255" w:rsidRDefault="00AE2255">
      <w:pPr>
        <w:pStyle w:val="BodyText"/>
        <w:spacing w:before="1"/>
        <w:rPr>
          <w:sz w:val="18"/>
        </w:rPr>
      </w:pPr>
    </w:p>
    <w:p w14:paraId="03DFA736" w14:textId="77777777" w:rsidR="00AE2255" w:rsidRDefault="00000000">
      <w:pPr>
        <w:pStyle w:val="BodyText"/>
        <w:spacing w:line="249" w:lineRule="auto"/>
        <w:ind w:left="610" w:right="428" w:firstLine="360"/>
        <w:jc w:val="both"/>
      </w:pPr>
      <w:r>
        <w:t>Under agreements reached with the U.S. Government, most of the amounts we spend for environmental remediation are allocated to our operations as general and administrative costs. Under existing U.S. Government regulations, these and other environmental expenditures relating to our U.S. Government business, after deducting any recoveries received from insurance or other PRPs, are allowable in establishing prices of our products and services. As a result, most of the expenditures we incur are included in our net sales and cost of sales according to U.S. Government agreement or regulation, regardless of the contract form (</w:t>
      </w:r>
      <w:proofErr w:type="gramStart"/>
      <w:r>
        <w:t>e.g.</w:t>
      </w:r>
      <w:proofErr w:type="gramEnd"/>
      <w:r>
        <w:t xml:space="preserve"> cost-reimbursable, fixed-price). We continually evaluate the recoverability of our assets for the portion of environmental</w:t>
      </w:r>
      <w:r>
        <w:rPr>
          <w:spacing w:val="8"/>
        </w:rPr>
        <w:t xml:space="preserve"> </w:t>
      </w:r>
      <w:r>
        <w:t>costs</w:t>
      </w:r>
      <w:r>
        <w:rPr>
          <w:spacing w:val="10"/>
        </w:rPr>
        <w:t xml:space="preserve"> </w:t>
      </w:r>
      <w:r>
        <w:t>that</w:t>
      </w:r>
      <w:r>
        <w:rPr>
          <w:spacing w:val="10"/>
        </w:rPr>
        <w:t xml:space="preserve"> </w:t>
      </w:r>
      <w:r>
        <w:t>are</w:t>
      </w:r>
      <w:r>
        <w:rPr>
          <w:spacing w:val="10"/>
        </w:rPr>
        <w:t xml:space="preserve"> </w:t>
      </w:r>
      <w:r>
        <w:t>probable</w:t>
      </w:r>
      <w:r>
        <w:rPr>
          <w:spacing w:val="10"/>
        </w:rPr>
        <w:t xml:space="preserve"> </w:t>
      </w:r>
      <w:r>
        <w:t>of</w:t>
      </w:r>
      <w:r>
        <w:rPr>
          <w:spacing w:val="11"/>
        </w:rPr>
        <w:t xml:space="preserve"> </w:t>
      </w:r>
      <w:r>
        <w:t>future</w:t>
      </w:r>
      <w:r>
        <w:rPr>
          <w:spacing w:val="10"/>
        </w:rPr>
        <w:t xml:space="preserve"> </w:t>
      </w:r>
      <w:r>
        <w:t>recovery</w:t>
      </w:r>
      <w:r>
        <w:rPr>
          <w:spacing w:val="10"/>
        </w:rPr>
        <w:t xml:space="preserve"> </w:t>
      </w:r>
      <w:r>
        <w:t>by</w:t>
      </w:r>
      <w:r>
        <w:rPr>
          <w:spacing w:val="10"/>
        </w:rPr>
        <w:t xml:space="preserve"> </w:t>
      </w:r>
      <w:r>
        <w:t>assessing,</w:t>
      </w:r>
      <w:r>
        <w:rPr>
          <w:spacing w:val="10"/>
        </w:rPr>
        <w:t xml:space="preserve"> </w:t>
      </w:r>
      <w:r>
        <w:t>among</w:t>
      </w:r>
      <w:r>
        <w:rPr>
          <w:spacing w:val="11"/>
        </w:rPr>
        <w:t xml:space="preserve"> </w:t>
      </w:r>
      <w:r>
        <w:t>other</w:t>
      </w:r>
      <w:r>
        <w:rPr>
          <w:spacing w:val="10"/>
        </w:rPr>
        <w:t xml:space="preserve"> </w:t>
      </w:r>
      <w:r>
        <w:t>factors,</w:t>
      </w:r>
      <w:r>
        <w:rPr>
          <w:spacing w:val="10"/>
        </w:rPr>
        <w:t xml:space="preserve"> </w:t>
      </w:r>
      <w:r>
        <w:t>U.S.</w:t>
      </w:r>
      <w:r>
        <w:rPr>
          <w:spacing w:val="10"/>
        </w:rPr>
        <w:t xml:space="preserve"> </w:t>
      </w:r>
      <w:r>
        <w:t>Government</w:t>
      </w:r>
      <w:r>
        <w:rPr>
          <w:spacing w:val="10"/>
        </w:rPr>
        <w:t xml:space="preserve"> </w:t>
      </w:r>
      <w:r>
        <w:t>regulations,</w:t>
      </w:r>
      <w:r>
        <w:rPr>
          <w:spacing w:val="11"/>
        </w:rPr>
        <w:t xml:space="preserve"> </w:t>
      </w:r>
      <w:proofErr w:type="gramStart"/>
      <w:r>
        <w:rPr>
          <w:spacing w:val="-5"/>
        </w:rPr>
        <w:t>our</w:t>
      </w:r>
      <w:proofErr w:type="gramEnd"/>
    </w:p>
    <w:p w14:paraId="361E7AE4" w14:textId="77777777" w:rsidR="00AE2255" w:rsidRDefault="00000000">
      <w:pPr>
        <w:pStyle w:val="BodyText"/>
        <w:spacing w:before="6"/>
        <w:ind w:left="610"/>
        <w:jc w:val="both"/>
      </w:pPr>
      <w:r>
        <w:t>U.S.</w:t>
      </w:r>
      <w:r>
        <w:rPr>
          <w:spacing w:val="13"/>
        </w:rPr>
        <w:t xml:space="preserve"> </w:t>
      </w:r>
      <w:r>
        <w:t>Government</w:t>
      </w:r>
      <w:r>
        <w:rPr>
          <w:spacing w:val="16"/>
        </w:rPr>
        <w:t xml:space="preserve"> </w:t>
      </w:r>
      <w:r>
        <w:t>business</w:t>
      </w:r>
      <w:r>
        <w:rPr>
          <w:spacing w:val="15"/>
        </w:rPr>
        <w:t xml:space="preserve"> </w:t>
      </w:r>
      <w:r>
        <w:t>base</w:t>
      </w:r>
      <w:r>
        <w:rPr>
          <w:spacing w:val="16"/>
        </w:rPr>
        <w:t xml:space="preserve"> </w:t>
      </w:r>
      <w:r>
        <w:t>and</w:t>
      </w:r>
      <w:r>
        <w:rPr>
          <w:spacing w:val="16"/>
        </w:rPr>
        <w:t xml:space="preserve"> </w:t>
      </w:r>
      <w:r>
        <w:t>contract</w:t>
      </w:r>
      <w:r>
        <w:rPr>
          <w:spacing w:val="15"/>
        </w:rPr>
        <w:t xml:space="preserve"> </w:t>
      </w:r>
      <w:r>
        <w:t>mix,</w:t>
      </w:r>
      <w:r>
        <w:rPr>
          <w:spacing w:val="16"/>
        </w:rPr>
        <w:t xml:space="preserve"> </w:t>
      </w:r>
      <w:r>
        <w:t>our</w:t>
      </w:r>
      <w:r>
        <w:rPr>
          <w:spacing w:val="15"/>
        </w:rPr>
        <w:t xml:space="preserve"> </w:t>
      </w:r>
      <w:r>
        <w:t>history</w:t>
      </w:r>
      <w:r>
        <w:rPr>
          <w:spacing w:val="16"/>
        </w:rPr>
        <w:t xml:space="preserve"> </w:t>
      </w:r>
      <w:r>
        <w:t>of</w:t>
      </w:r>
      <w:r>
        <w:rPr>
          <w:spacing w:val="16"/>
        </w:rPr>
        <w:t xml:space="preserve"> </w:t>
      </w:r>
      <w:r>
        <w:t>receiving</w:t>
      </w:r>
      <w:r>
        <w:rPr>
          <w:spacing w:val="15"/>
        </w:rPr>
        <w:t xml:space="preserve"> </w:t>
      </w:r>
      <w:r>
        <w:t>reimbursement</w:t>
      </w:r>
      <w:r>
        <w:rPr>
          <w:spacing w:val="16"/>
        </w:rPr>
        <w:t xml:space="preserve"> </w:t>
      </w:r>
      <w:r>
        <w:t>of</w:t>
      </w:r>
      <w:r>
        <w:rPr>
          <w:spacing w:val="15"/>
        </w:rPr>
        <w:t xml:space="preserve"> </w:t>
      </w:r>
      <w:r>
        <w:t>such</w:t>
      </w:r>
      <w:r>
        <w:rPr>
          <w:spacing w:val="16"/>
        </w:rPr>
        <w:t xml:space="preserve"> </w:t>
      </w:r>
      <w:r>
        <w:t>costs,</w:t>
      </w:r>
      <w:r>
        <w:rPr>
          <w:spacing w:val="16"/>
        </w:rPr>
        <w:t xml:space="preserve"> </w:t>
      </w:r>
      <w:r>
        <w:t>and</w:t>
      </w:r>
      <w:r>
        <w:rPr>
          <w:spacing w:val="15"/>
        </w:rPr>
        <w:t xml:space="preserve"> </w:t>
      </w:r>
      <w:r>
        <w:t>efforts</w:t>
      </w:r>
      <w:r>
        <w:rPr>
          <w:spacing w:val="16"/>
        </w:rPr>
        <w:t xml:space="preserve"> </w:t>
      </w:r>
      <w:r>
        <w:t>by</w:t>
      </w:r>
      <w:r>
        <w:rPr>
          <w:spacing w:val="16"/>
        </w:rPr>
        <w:t xml:space="preserve"> </w:t>
      </w:r>
      <w:r>
        <w:rPr>
          <w:spacing w:val="-4"/>
        </w:rPr>
        <w:t>some</w:t>
      </w:r>
    </w:p>
    <w:p w14:paraId="4A5D401D" w14:textId="77777777" w:rsidR="00AE2255" w:rsidRDefault="00000000">
      <w:pPr>
        <w:pStyle w:val="BodyText"/>
        <w:spacing w:before="10"/>
        <w:ind w:left="610"/>
        <w:jc w:val="both"/>
      </w:pPr>
      <w:r>
        <w:t>U.S.</w:t>
      </w:r>
      <w:r>
        <w:rPr>
          <w:spacing w:val="-6"/>
        </w:rPr>
        <w:t xml:space="preserve"> </w:t>
      </w:r>
      <w:r>
        <w:t>Government</w:t>
      </w:r>
      <w:r>
        <w:rPr>
          <w:spacing w:val="-5"/>
        </w:rPr>
        <w:t xml:space="preserve"> </w:t>
      </w:r>
      <w:r>
        <w:t>representatives</w:t>
      </w:r>
      <w:r>
        <w:rPr>
          <w:spacing w:val="-4"/>
        </w:rPr>
        <w:t xml:space="preserve"> </w:t>
      </w:r>
      <w:r>
        <w:t>to</w:t>
      </w:r>
      <w:r>
        <w:rPr>
          <w:spacing w:val="-4"/>
        </w:rPr>
        <w:t xml:space="preserve"> </w:t>
      </w:r>
      <w:r>
        <w:t>limit</w:t>
      </w:r>
      <w:r>
        <w:rPr>
          <w:spacing w:val="-5"/>
        </w:rPr>
        <w:t xml:space="preserve"> </w:t>
      </w:r>
      <w:r>
        <w:t>such</w:t>
      </w:r>
      <w:r>
        <w:rPr>
          <w:spacing w:val="-3"/>
        </w:rPr>
        <w:t xml:space="preserve"> </w:t>
      </w:r>
      <w:r>
        <w:rPr>
          <w:spacing w:val="-2"/>
        </w:rPr>
        <w:t>reimbursement.</w:t>
      </w:r>
    </w:p>
    <w:p w14:paraId="767176B8" w14:textId="77777777" w:rsidR="00AE2255" w:rsidRDefault="00AE2255">
      <w:pPr>
        <w:pStyle w:val="BodyText"/>
        <w:spacing w:before="3"/>
        <w:rPr>
          <w:sz w:val="18"/>
        </w:rPr>
      </w:pPr>
    </w:p>
    <w:p w14:paraId="79E4570B" w14:textId="77777777" w:rsidR="00AE2255" w:rsidRDefault="00000000">
      <w:pPr>
        <w:pStyle w:val="BodyText"/>
        <w:spacing w:line="249" w:lineRule="auto"/>
        <w:ind w:left="610" w:right="428" w:firstLine="360"/>
        <w:jc w:val="both"/>
      </w:pPr>
      <w:r>
        <w:t xml:space="preserve">As disclosed above, we may record changes in the amount of environmental remediation liabilities </w:t>
      </w:r>
      <w:proofErr w:type="gramStart"/>
      <w:r>
        <w:t>as a result of</w:t>
      </w:r>
      <w:proofErr w:type="gramEnd"/>
      <w:r>
        <w:t xml:space="preserve"> our quarterly reviews of the status of our environmental remediation sites, which would result in a change to the corresponding amount that is probable of future recovery and a charge to earnings. For example, if we were to determine that the liabilities should be increased by $100 million, the corresponding amount that is probable of future recovery would be increased by approximately $89 million, with the remainder recorded as a charge to earnings. This allocation is determined annually, based upon our existing and projected business activities with the U.S. Government.</w:t>
      </w:r>
    </w:p>
    <w:p w14:paraId="47EC37E8" w14:textId="77777777" w:rsidR="00AE2255" w:rsidRDefault="00AE2255">
      <w:pPr>
        <w:pStyle w:val="BodyText"/>
        <w:spacing w:before="9"/>
        <w:rPr>
          <w:sz w:val="17"/>
        </w:rPr>
      </w:pPr>
    </w:p>
    <w:p w14:paraId="4C29A34F" w14:textId="77777777" w:rsidR="00AE2255" w:rsidRDefault="00000000">
      <w:pPr>
        <w:pStyle w:val="BodyText"/>
        <w:spacing w:before="1" w:line="249" w:lineRule="auto"/>
        <w:ind w:left="610" w:right="429" w:firstLine="360"/>
        <w:jc w:val="both"/>
      </w:pPr>
      <w:r>
        <w:t xml:space="preserve">We cannot reasonably determine the extent of our financial exposure at all environmental remediation sites with which we are involved. There are </w:t>
      </w:r>
      <w:proofErr w:type="gramStart"/>
      <w:r>
        <w:t>a number of</w:t>
      </w:r>
      <w:proofErr w:type="gramEnd"/>
      <w:r>
        <w:t xml:space="preserve"> former operating facilities we are monitoring or investigating for potential future environmental</w:t>
      </w:r>
      <w:r>
        <w:rPr>
          <w:spacing w:val="-1"/>
        </w:rPr>
        <w:t xml:space="preserve"> </w:t>
      </w:r>
      <w:r>
        <w:t>remediation.</w:t>
      </w:r>
      <w:r>
        <w:rPr>
          <w:spacing w:val="-1"/>
        </w:rPr>
        <w:t xml:space="preserve"> </w:t>
      </w:r>
      <w:r>
        <w:t>In</w:t>
      </w:r>
      <w:r>
        <w:rPr>
          <w:spacing w:val="-1"/>
        </w:rPr>
        <w:t xml:space="preserve"> </w:t>
      </w:r>
      <w:r>
        <w:t>some</w:t>
      </w:r>
      <w:r>
        <w:rPr>
          <w:spacing w:val="-1"/>
        </w:rPr>
        <w:t xml:space="preserve"> </w:t>
      </w:r>
      <w:r>
        <w:t>cases,</w:t>
      </w:r>
      <w:r>
        <w:rPr>
          <w:spacing w:val="-1"/>
        </w:rPr>
        <w:t xml:space="preserve"> </w:t>
      </w:r>
      <w:r>
        <w:t>although</w:t>
      </w:r>
      <w:r>
        <w:rPr>
          <w:spacing w:val="-1"/>
        </w:rPr>
        <w:t xml:space="preserve"> </w:t>
      </w:r>
      <w:r>
        <w:t>a</w:t>
      </w:r>
      <w:r>
        <w:rPr>
          <w:spacing w:val="-1"/>
        </w:rPr>
        <w:t xml:space="preserve"> </w:t>
      </w:r>
      <w:r>
        <w:t>loss</w:t>
      </w:r>
      <w:r>
        <w:rPr>
          <w:spacing w:val="-1"/>
        </w:rPr>
        <w:t xml:space="preserve"> </w:t>
      </w:r>
      <w:r>
        <w:t>may</w:t>
      </w:r>
      <w:r>
        <w:rPr>
          <w:spacing w:val="-1"/>
        </w:rPr>
        <w:t xml:space="preserve"> </w:t>
      </w:r>
      <w:r>
        <w:t>be</w:t>
      </w:r>
      <w:r>
        <w:rPr>
          <w:spacing w:val="-1"/>
        </w:rPr>
        <w:t xml:space="preserve"> </w:t>
      </w:r>
      <w:r>
        <w:t>probable,</w:t>
      </w:r>
      <w:r>
        <w:rPr>
          <w:spacing w:val="-1"/>
        </w:rPr>
        <w:t xml:space="preserve"> </w:t>
      </w:r>
      <w:r>
        <w:t>it</w:t>
      </w:r>
      <w:r>
        <w:rPr>
          <w:spacing w:val="-1"/>
        </w:rPr>
        <w:t xml:space="preserve"> </w:t>
      </w:r>
      <w:r>
        <w:t>is</w:t>
      </w:r>
      <w:r>
        <w:rPr>
          <w:spacing w:val="-1"/>
        </w:rPr>
        <w:t xml:space="preserve"> </w:t>
      </w:r>
      <w:r>
        <w:t>not</w:t>
      </w:r>
      <w:r>
        <w:rPr>
          <w:spacing w:val="-1"/>
        </w:rPr>
        <w:t xml:space="preserve"> </w:t>
      </w:r>
      <w:r>
        <w:t>possible</w:t>
      </w:r>
      <w:r>
        <w:rPr>
          <w:spacing w:val="-1"/>
        </w:rPr>
        <w:t xml:space="preserve"> </w:t>
      </w:r>
      <w:r>
        <w:t>at</w:t>
      </w:r>
      <w:r>
        <w:rPr>
          <w:spacing w:val="-1"/>
        </w:rPr>
        <w:t xml:space="preserve"> </w:t>
      </w:r>
      <w:r>
        <w:t>this</w:t>
      </w:r>
      <w:r>
        <w:rPr>
          <w:spacing w:val="-1"/>
        </w:rPr>
        <w:t xml:space="preserve"> </w:t>
      </w:r>
      <w:r>
        <w:t>time</w:t>
      </w:r>
      <w:r>
        <w:rPr>
          <w:spacing w:val="-1"/>
        </w:rPr>
        <w:t xml:space="preserve"> </w:t>
      </w:r>
      <w:r>
        <w:t>to</w:t>
      </w:r>
      <w:r>
        <w:rPr>
          <w:spacing w:val="-1"/>
        </w:rPr>
        <w:t xml:space="preserve"> </w:t>
      </w:r>
      <w:r>
        <w:t>reasonably</w:t>
      </w:r>
      <w:r>
        <w:rPr>
          <w:spacing w:val="-1"/>
        </w:rPr>
        <w:t xml:space="preserve"> </w:t>
      </w:r>
      <w:r>
        <w:t>estimate the</w:t>
      </w:r>
      <w:r>
        <w:rPr>
          <w:spacing w:val="-2"/>
        </w:rPr>
        <w:t xml:space="preserve"> </w:t>
      </w:r>
      <w:r>
        <w:t>amount</w:t>
      </w:r>
      <w:r>
        <w:rPr>
          <w:spacing w:val="-2"/>
        </w:rPr>
        <w:t xml:space="preserve"> </w:t>
      </w:r>
      <w:r>
        <w:t>of</w:t>
      </w:r>
      <w:r>
        <w:rPr>
          <w:spacing w:val="-2"/>
        </w:rPr>
        <w:t xml:space="preserve"> </w:t>
      </w:r>
      <w:r>
        <w:t>any</w:t>
      </w:r>
      <w:r>
        <w:rPr>
          <w:spacing w:val="-2"/>
        </w:rPr>
        <w:t xml:space="preserve"> </w:t>
      </w:r>
      <w:r>
        <w:t>obligation</w:t>
      </w:r>
      <w:r>
        <w:rPr>
          <w:spacing w:val="-2"/>
        </w:rPr>
        <w:t xml:space="preserve"> </w:t>
      </w:r>
      <w:r>
        <w:t>for</w:t>
      </w:r>
      <w:r>
        <w:rPr>
          <w:spacing w:val="-2"/>
        </w:rPr>
        <w:t xml:space="preserve"> </w:t>
      </w:r>
      <w:r>
        <w:t>remediation</w:t>
      </w:r>
      <w:r>
        <w:rPr>
          <w:spacing w:val="-2"/>
        </w:rPr>
        <w:t xml:space="preserve"> </w:t>
      </w:r>
      <w:r>
        <w:t>activities</w:t>
      </w:r>
      <w:r>
        <w:rPr>
          <w:spacing w:val="-2"/>
        </w:rPr>
        <w:t xml:space="preserve"> </w:t>
      </w:r>
      <w:r>
        <w:t>because</w:t>
      </w:r>
      <w:r>
        <w:rPr>
          <w:spacing w:val="-2"/>
        </w:rPr>
        <w:t xml:space="preserve"> </w:t>
      </w:r>
      <w:r>
        <w:t>of</w:t>
      </w:r>
      <w:r>
        <w:rPr>
          <w:spacing w:val="-2"/>
        </w:rPr>
        <w:t xml:space="preserve"> </w:t>
      </w:r>
      <w:r>
        <w:t>uncertainties</w:t>
      </w:r>
      <w:r>
        <w:rPr>
          <w:spacing w:val="-2"/>
        </w:rPr>
        <w:t xml:space="preserve"> </w:t>
      </w:r>
      <w:r>
        <w:t>(e.g.,</w:t>
      </w:r>
      <w:r>
        <w:rPr>
          <w:spacing w:val="-2"/>
        </w:rPr>
        <w:t xml:space="preserve"> </w:t>
      </w:r>
      <w:r>
        <w:t>assessing</w:t>
      </w:r>
      <w:r>
        <w:rPr>
          <w:spacing w:val="-2"/>
        </w:rPr>
        <w:t xml:space="preserve"> </w:t>
      </w:r>
      <w:r>
        <w:t>the</w:t>
      </w:r>
      <w:r>
        <w:rPr>
          <w:spacing w:val="-2"/>
        </w:rPr>
        <w:t xml:space="preserve"> </w:t>
      </w:r>
      <w:r>
        <w:t>extent</w:t>
      </w:r>
      <w:r>
        <w:rPr>
          <w:spacing w:val="-2"/>
        </w:rPr>
        <w:t xml:space="preserve"> </w:t>
      </w:r>
      <w:r>
        <w:t>of</w:t>
      </w:r>
      <w:r>
        <w:rPr>
          <w:spacing w:val="-2"/>
        </w:rPr>
        <w:t xml:space="preserve"> </w:t>
      </w:r>
      <w:r>
        <w:t>the</w:t>
      </w:r>
      <w:r>
        <w:rPr>
          <w:spacing w:val="-2"/>
        </w:rPr>
        <w:t xml:space="preserve"> </w:t>
      </w:r>
      <w:r>
        <w:t xml:space="preserve">contamination). During any </w:t>
      </w:r>
      <w:proofErr w:type="gramStart"/>
      <w:r>
        <w:t>particular quarter</w:t>
      </w:r>
      <w:proofErr w:type="gramEnd"/>
      <w:r>
        <w:t>, such uncertainties may be resolved, allowing us to estimate and recognize the initial liability to</w:t>
      </w:r>
    </w:p>
    <w:p w14:paraId="746AFA58" w14:textId="77777777" w:rsidR="00AE2255" w:rsidRDefault="00AE2255">
      <w:pPr>
        <w:spacing w:line="249" w:lineRule="auto"/>
        <w:jc w:val="both"/>
        <w:sectPr w:rsidR="00AE2255">
          <w:pgSz w:w="12240" w:h="15840"/>
          <w:pgMar w:top="440" w:right="560" w:bottom="720" w:left="380" w:header="230" w:footer="531" w:gutter="0"/>
          <w:cols w:space="720"/>
        </w:sectPr>
      </w:pPr>
    </w:p>
    <w:p w14:paraId="4712EA58" w14:textId="77777777" w:rsidR="00AE2255" w:rsidRDefault="00AE2255">
      <w:pPr>
        <w:pStyle w:val="BodyText"/>
        <w:spacing w:before="10"/>
        <w:rPr>
          <w:sz w:val="22"/>
        </w:rPr>
      </w:pPr>
    </w:p>
    <w:p w14:paraId="3BB50CDB" w14:textId="77777777" w:rsidR="00AE2255" w:rsidRDefault="00000000">
      <w:pPr>
        <w:pStyle w:val="BodyText"/>
        <w:spacing w:before="92" w:line="249" w:lineRule="auto"/>
        <w:ind w:left="610" w:right="429"/>
        <w:jc w:val="both"/>
      </w:pPr>
      <w:r>
        <w:t xml:space="preserve">remediate a particular former operating site. The amount of the liability could be material. Upon recognition of the liability, a portion will be recognized as a receivable with the remainder charged to earnings, which may have a material effect in any </w:t>
      </w:r>
      <w:proofErr w:type="gramStart"/>
      <w:r>
        <w:t>particular interim</w:t>
      </w:r>
      <w:proofErr w:type="gramEnd"/>
      <w:r>
        <w:t xml:space="preserve"> reporting period.</w:t>
      </w:r>
    </w:p>
    <w:p w14:paraId="2BBB1410" w14:textId="77777777" w:rsidR="00AE2255" w:rsidRDefault="00AE2255">
      <w:pPr>
        <w:pStyle w:val="BodyText"/>
        <w:spacing w:before="7"/>
        <w:rPr>
          <w:sz w:val="17"/>
        </w:rPr>
      </w:pPr>
    </w:p>
    <w:p w14:paraId="42FD6FDF" w14:textId="77777777" w:rsidR="00AE2255" w:rsidRDefault="00000000">
      <w:pPr>
        <w:pStyle w:val="BodyText"/>
        <w:spacing w:line="249" w:lineRule="auto"/>
        <w:ind w:left="610" w:right="428" w:firstLine="360"/>
        <w:jc w:val="both"/>
      </w:pPr>
      <w:r>
        <w:t>If we are ultimately found to have liability at those sites where we have been designated a PRP, we expect that the actual costs of environmental remediation will be shared with other liable PRPs. Generally, PRPs that are ultimately determined to be responsible</w:t>
      </w:r>
      <w:r>
        <w:rPr>
          <w:spacing w:val="-4"/>
        </w:rPr>
        <w:t xml:space="preserve"> </w:t>
      </w:r>
      <w:r>
        <w:t>parties</w:t>
      </w:r>
      <w:r>
        <w:rPr>
          <w:spacing w:val="-4"/>
        </w:rPr>
        <w:t xml:space="preserve"> </w:t>
      </w:r>
      <w:r>
        <w:t>are</w:t>
      </w:r>
      <w:r>
        <w:rPr>
          <w:spacing w:val="-4"/>
        </w:rPr>
        <w:t xml:space="preserve"> </w:t>
      </w:r>
      <w:r>
        <w:t>strictly</w:t>
      </w:r>
      <w:r>
        <w:rPr>
          <w:spacing w:val="-3"/>
        </w:rPr>
        <w:t xml:space="preserve"> </w:t>
      </w:r>
      <w:r>
        <w:t>liable</w:t>
      </w:r>
      <w:r>
        <w:rPr>
          <w:spacing w:val="-4"/>
        </w:rPr>
        <w:t xml:space="preserve"> </w:t>
      </w:r>
      <w:r>
        <w:t>for</w:t>
      </w:r>
      <w:r>
        <w:rPr>
          <w:spacing w:val="-3"/>
        </w:rPr>
        <w:t xml:space="preserve"> </w:t>
      </w:r>
      <w:r>
        <w:t>site</w:t>
      </w:r>
      <w:r>
        <w:rPr>
          <w:spacing w:val="-4"/>
        </w:rPr>
        <w:t xml:space="preserve"> </w:t>
      </w:r>
      <w:r>
        <w:t>remediation</w:t>
      </w:r>
      <w:r>
        <w:rPr>
          <w:spacing w:val="-3"/>
        </w:rPr>
        <w:t xml:space="preserve"> </w:t>
      </w:r>
      <w:r>
        <w:t>and</w:t>
      </w:r>
      <w:r>
        <w:rPr>
          <w:spacing w:val="-3"/>
        </w:rPr>
        <w:t xml:space="preserve"> </w:t>
      </w:r>
      <w:r>
        <w:t>usually</w:t>
      </w:r>
      <w:r>
        <w:rPr>
          <w:spacing w:val="-3"/>
        </w:rPr>
        <w:t xml:space="preserve"> </w:t>
      </w:r>
      <w:r>
        <w:t>agree</w:t>
      </w:r>
      <w:r>
        <w:rPr>
          <w:spacing w:val="-4"/>
        </w:rPr>
        <w:t xml:space="preserve"> </w:t>
      </w:r>
      <w:r>
        <w:t>among</w:t>
      </w:r>
      <w:r>
        <w:rPr>
          <w:spacing w:val="-3"/>
        </w:rPr>
        <w:t xml:space="preserve"> </w:t>
      </w:r>
      <w:r>
        <w:t>themselves</w:t>
      </w:r>
      <w:r>
        <w:rPr>
          <w:spacing w:val="-4"/>
        </w:rPr>
        <w:t xml:space="preserve"> </w:t>
      </w:r>
      <w:r>
        <w:t>to</w:t>
      </w:r>
      <w:r>
        <w:rPr>
          <w:spacing w:val="-3"/>
        </w:rPr>
        <w:t xml:space="preserve"> </w:t>
      </w:r>
      <w:r>
        <w:t>share,</w:t>
      </w:r>
      <w:r>
        <w:rPr>
          <w:spacing w:val="-3"/>
        </w:rPr>
        <w:t xml:space="preserve"> </w:t>
      </w:r>
      <w:r>
        <w:t>on</w:t>
      </w:r>
      <w:r>
        <w:rPr>
          <w:spacing w:val="-3"/>
        </w:rPr>
        <w:t xml:space="preserve"> </w:t>
      </w:r>
      <w:r>
        <w:t>an</w:t>
      </w:r>
      <w:r>
        <w:rPr>
          <w:spacing w:val="-3"/>
        </w:rPr>
        <w:t xml:space="preserve"> </w:t>
      </w:r>
      <w:r>
        <w:t>allocated</w:t>
      </w:r>
      <w:r>
        <w:rPr>
          <w:spacing w:val="-3"/>
        </w:rPr>
        <w:t xml:space="preserve"> </w:t>
      </w:r>
      <w:r>
        <w:t>basis,</w:t>
      </w:r>
      <w:r>
        <w:rPr>
          <w:spacing w:val="-3"/>
        </w:rPr>
        <w:t xml:space="preserve"> </w:t>
      </w:r>
      <w:r>
        <w:t>the costs and expenses for environmental investigation and remediation. Under existing environmental laws, responsible parties are jointly and severally liable and, therefore, we are potentially liable for the full cost of funding such remediation. In the unlikely event that we were required to fund the entire cost of such remediation, the statutory framework provides that we may pursue rights of cost recovery or contribution from the other PRPs. The amounts we record do not reflect the fact that we may recover some of the environmental costs we have incurred through insurance or from other PRPs, which we are required to pursue by agreement and U.S. Government regulation.</w:t>
      </w:r>
    </w:p>
    <w:p w14:paraId="0FB9917C" w14:textId="77777777" w:rsidR="00AE2255" w:rsidRDefault="00AE2255">
      <w:pPr>
        <w:pStyle w:val="BodyText"/>
        <w:spacing w:before="8"/>
        <w:rPr>
          <w:sz w:val="17"/>
        </w:rPr>
      </w:pPr>
    </w:p>
    <w:p w14:paraId="5D0F02DC" w14:textId="77777777" w:rsidR="00AE2255" w:rsidRDefault="00000000">
      <w:pPr>
        <w:pStyle w:val="Heading2"/>
        <w:jc w:val="both"/>
      </w:pPr>
      <w:r>
        <w:t>Goodwill</w:t>
      </w:r>
      <w:r>
        <w:rPr>
          <w:spacing w:val="-5"/>
        </w:rPr>
        <w:t xml:space="preserve"> </w:t>
      </w:r>
      <w:r>
        <w:t>and</w:t>
      </w:r>
      <w:r>
        <w:rPr>
          <w:spacing w:val="-5"/>
        </w:rPr>
        <w:t xml:space="preserve"> </w:t>
      </w:r>
      <w:r>
        <w:t>Intangible</w:t>
      </w:r>
      <w:r>
        <w:rPr>
          <w:spacing w:val="-5"/>
        </w:rPr>
        <w:t xml:space="preserve"> </w:t>
      </w:r>
      <w:r>
        <w:rPr>
          <w:spacing w:val="-2"/>
        </w:rPr>
        <w:t>Assets</w:t>
      </w:r>
    </w:p>
    <w:p w14:paraId="23ED9055" w14:textId="77777777" w:rsidR="00AE2255" w:rsidRDefault="00AE2255">
      <w:pPr>
        <w:pStyle w:val="BodyText"/>
        <w:spacing w:before="6"/>
        <w:rPr>
          <w:b/>
          <w:sz w:val="18"/>
        </w:rPr>
      </w:pPr>
    </w:p>
    <w:p w14:paraId="6BC6E19F" w14:textId="77777777" w:rsidR="00AE2255" w:rsidRDefault="00000000">
      <w:pPr>
        <w:pStyle w:val="BodyText"/>
        <w:spacing w:before="1" w:line="249" w:lineRule="auto"/>
        <w:ind w:left="610" w:right="428" w:firstLine="360"/>
        <w:jc w:val="both"/>
      </w:pPr>
      <w:r>
        <w:t xml:space="preserve">The assets and liabilities of acquired businesses are recorded under the acquisition method of accounting at their estimated fair values at the date of acquisition. Goodwill represents costs </w:t>
      </w:r>
      <w:proofErr w:type="gramStart"/>
      <w:r>
        <w:t>in excess of</w:t>
      </w:r>
      <w:proofErr w:type="gramEnd"/>
      <w:r>
        <w:t xml:space="preserve"> fair values assigned to the underlying identifiable net assets of acquired businesses. Intangible assets from acquired businesses are recognized at fair value on the acquisition date and consist of customer programs, trademarks, customer relationships, </w:t>
      </w:r>
      <w:proofErr w:type="gramStart"/>
      <w:r>
        <w:t>technology</w:t>
      </w:r>
      <w:proofErr w:type="gramEnd"/>
      <w:r>
        <w:t xml:space="preserve"> and other intangible assets. Customer programs include values assigned to major programs of acquired businesses and represent the aggregate value associated with the customer relationships, contracts, </w:t>
      </w:r>
      <w:proofErr w:type="gramStart"/>
      <w:r>
        <w:t>technology</w:t>
      </w:r>
      <w:proofErr w:type="gramEnd"/>
      <w:r>
        <w:t xml:space="preserve"> and trademarks underlying the associated program. Intangible assets are amortized over a period of expected cash flows used to measure fair value, which typically ranges from five to 20 years.</w:t>
      </w:r>
    </w:p>
    <w:p w14:paraId="47CA7B4F" w14:textId="77777777" w:rsidR="00AE2255" w:rsidRDefault="00AE2255">
      <w:pPr>
        <w:pStyle w:val="BodyText"/>
        <w:spacing w:before="4"/>
        <w:rPr>
          <w:sz w:val="18"/>
        </w:rPr>
      </w:pPr>
    </w:p>
    <w:p w14:paraId="3DE96AEE" w14:textId="77777777" w:rsidR="00AE2255" w:rsidRDefault="00000000">
      <w:pPr>
        <w:pStyle w:val="BodyText"/>
        <w:spacing w:line="232" w:lineRule="auto"/>
        <w:ind w:left="610" w:right="428" w:firstLine="360"/>
        <w:jc w:val="both"/>
      </w:pPr>
      <w:r>
        <w:t xml:space="preserve">Our goodwill balance was $10.8 billion at both December 31, </w:t>
      </w:r>
      <w:proofErr w:type="gramStart"/>
      <w:r>
        <w:t>2022</w:t>
      </w:r>
      <w:proofErr w:type="gramEnd"/>
      <w:r>
        <w:t xml:space="preserve"> and 2021. We perform an impairment test of our goodwill at least annually in the fourth quarter or more frequently whenever events or changes in circumstances indicate the carrying</w:t>
      </w:r>
      <w:r>
        <w:rPr>
          <w:spacing w:val="-1"/>
        </w:rPr>
        <w:t xml:space="preserve"> </w:t>
      </w:r>
      <w:r>
        <w:t>value</w:t>
      </w:r>
      <w:r>
        <w:rPr>
          <w:spacing w:val="-1"/>
        </w:rPr>
        <w:t xml:space="preserve"> </w:t>
      </w:r>
      <w:r>
        <w:t>of</w:t>
      </w:r>
      <w:r>
        <w:rPr>
          <w:spacing w:val="-1"/>
        </w:rPr>
        <w:t xml:space="preserve"> </w:t>
      </w:r>
      <w:r>
        <w:t>goodwill</w:t>
      </w:r>
      <w:r>
        <w:rPr>
          <w:spacing w:val="-1"/>
        </w:rPr>
        <w:t xml:space="preserve"> </w:t>
      </w:r>
      <w:r>
        <w:t>may</w:t>
      </w:r>
      <w:r>
        <w:rPr>
          <w:spacing w:val="-1"/>
        </w:rPr>
        <w:t xml:space="preserve"> </w:t>
      </w:r>
      <w:r>
        <w:t>be</w:t>
      </w:r>
      <w:r>
        <w:rPr>
          <w:spacing w:val="-1"/>
        </w:rPr>
        <w:t xml:space="preserve"> </w:t>
      </w:r>
      <w:r>
        <w:t>impaired.</w:t>
      </w:r>
      <w:r>
        <w:rPr>
          <w:spacing w:val="-1"/>
        </w:rPr>
        <w:t xml:space="preserve"> </w:t>
      </w:r>
      <w:r>
        <w:t>Such</w:t>
      </w:r>
      <w:r>
        <w:rPr>
          <w:spacing w:val="-1"/>
        </w:rPr>
        <w:t xml:space="preserve"> </w:t>
      </w:r>
      <w:r>
        <w:t>events</w:t>
      </w:r>
      <w:r>
        <w:rPr>
          <w:spacing w:val="-1"/>
        </w:rPr>
        <w:t xml:space="preserve"> </w:t>
      </w:r>
      <w:r>
        <w:t>or</w:t>
      </w:r>
      <w:r>
        <w:rPr>
          <w:spacing w:val="-1"/>
        </w:rPr>
        <w:t xml:space="preserve"> </w:t>
      </w:r>
      <w:r>
        <w:t>changes</w:t>
      </w:r>
      <w:r>
        <w:rPr>
          <w:spacing w:val="-1"/>
        </w:rPr>
        <w:t xml:space="preserve"> </w:t>
      </w:r>
      <w:r>
        <w:t>in</w:t>
      </w:r>
      <w:r>
        <w:rPr>
          <w:spacing w:val="-1"/>
        </w:rPr>
        <w:t xml:space="preserve"> </w:t>
      </w:r>
      <w:r>
        <w:t>circumstances</w:t>
      </w:r>
      <w:r>
        <w:rPr>
          <w:spacing w:val="-1"/>
        </w:rPr>
        <w:t xml:space="preserve"> </w:t>
      </w:r>
      <w:r>
        <w:t>may</w:t>
      </w:r>
      <w:r>
        <w:rPr>
          <w:spacing w:val="-1"/>
        </w:rPr>
        <w:t xml:space="preserve"> </w:t>
      </w:r>
      <w:r>
        <w:t>include</w:t>
      </w:r>
      <w:r>
        <w:rPr>
          <w:spacing w:val="-1"/>
        </w:rPr>
        <w:t xml:space="preserve"> </w:t>
      </w:r>
      <w:r>
        <w:t>a</w:t>
      </w:r>
      <w:r>
        <w:rPr>
          <w:spacing w:val="-1"/>
        </w:rPr>
        <w:t xml:space="preserve"> </w:t>
      </w:r>
      <w:r>
        <w:t>significant</w:t>
      </w:r>
      <w:r>
        <w:rPr>
          <w:spacing w:val="-1"/>
        </w:rPr>
        <w:t xml:space="preserve"> </w:t>
      </w:r>
      <w:r>
        <w:t>deterioration</w:t>
      </w:r>
      <w:r>
        <w:rPr>
          <w:spacing w:val="-1"/>
        </w:rPr>
        <w:t xml:space="preserve"> </w:t>
      </w:r>
      <w:r>
        <w:t>in overall economic conditions, changes in the business climate of our industry, a decline in our market capitalization, operating performance indicators, competition, reorganizations of our business, U.S. Government budget restrictions or the disposal of all or a portion of a reporting unit. Our goodwill has been allocated to and is tested for impairment at a level referred to as the reporting unit, which is our business segment level or a level below the business segment. The level at which we test goodwill for</w:t>
      </w:r>
      <w:r>
        <w:rPr>
          <w:spacing w:val="-2"/>
        </w:rPr>
        <w:t xml:space="preserve"> </w:t>
      </w:r>
      <w:r>
        <w:t>impairment</w:t>
      </w:r>
      <w:r>
        <w:rPr>
          <w:spacing w:val="-2"/>
        </w:rPr>
        <w:t xml:space="preserve"> </w:t>
      </w:r>
      <w:r>
        <w:t>requires</w:t>
      </w:r>
      <w:r>
        <w:rPr>
          <w:spacing w:val="-2"/>
        </w:rPr>
        <w:t xml:space="preserve"> </w:t>
      </w:r>
      <w:r>
        <w:t>us</w:t>
      </w:r>
      <w:r>
        <w:rPr>
          <w:spacing w:val="-2"/>
        </w:rPr>
        <w:t xml:space="preserve"> </w:t>
      </w:r>
      <w:r>
        <w:t>to</w:t>
      </w:r>
      <w:r>
        <w:rPr>
          <w:spacing w:val="-2"/>
        </w:rPr>
        <w:t xml:space="preserve"> </w:t>
      </w:r>
      <w:r>
        <w:t>determine</w:t>
      </w:r>
      <w:r>
        <w:rPr>
          <w:spacing w:val="-2"/>
        </w:rPr>
        <w:t xml:space="preserve"> </w:t>
      </w:r>
      <w:r>
        <w:t>whether</w:t>
      </w:r>
      <w:r>
        <w:rPr>
          <w:spacing w:val="-2"/>
        </w:rPr>
        <w:t xml:space="preserve"> </w:t>
      </w:r>
      <w:r>
        <w:t>the</w:t>
      </w:r>
      <w:r>
        <w:rPr>
          <w:spacing w:val="-2"/>
        </w:rPr>
        <w:t xml:space="preserve"> </w:t>
      </w:r>
      <w:r>
        <w:t>operations</w:t>
      </w:r>
      <w:r>
        <w:rPr>
          <w:spacing w:val="-2"/>
        </w:rPr>
        <w:t xml:space="preserve"> </w:t>
      </w:r>
      <w:r>
        <w:t>below</w:t>
      </w:r>
      <w:r>
        <w:rPr>
          <w:spacing w:val="-2"/>
        </w:rPr>
        <w:t xml:space="preserve"> </w:t>
      </w:r>
      <w:r>
        <w:t>the</w:t>
      </w:r>
      <w:r>
        <w:rPr>
          <w:spacing w:val="-2"/>
        </w:rPr>
        <w:t xml:space="preserve"> </w:t>
      </w:r>
      <w:r>
        <w:t>business</w:t>
      </w:r>
      <w:r>
        <w:rPr>
          <w:spacing w:val="-2"/>
        </w:rPr>
        <w:t xml:space="preserve"> </w:t>
      </w:r>
      <w:r>
        <w:t>segment</w:t>
      </w:r>
      <w:r>
        <w:rPr>
          <w:spacing w:val="-2"/>
        </w:rPr>
        <w:t xml:space="preserve"> </w:t>
      </w:r>
      <w:r>
        <w:t>constitute</w:t>
      </w:r>
      <w:r>
        <w:rPr>
          <w:spacing w:val="-2"/>
        </w:rPr>
        <w:t xml:space="preserve"> </w:t>
      </w:r>
      <w:r>
        <w:t>a</w:t>
      </w:r>
      <w:r>
        <w:rPr>
          <w:spacing w:val="-2"/>
        </w:rPr>
        <w:t xml:space="preserve"> </w:t>
      </w:r>
      <w:r>
        <w:t>self-sustaining</w:t>
      </w:r>
      <w:r>
        <w:rPr>
          <w:spacing w:val="-2"/>
        </w:rPr>
        <w:t xml:space="preserve"> </w:t>
      </w:r>
      <w:r>
        <w:t>business for which discrete financial information is available and segment management regularly reviews the operating results.</w:t>
      </w:r>
    </w:p>
    <w:p w14:paraId="3EB7EF26" w14:textId="77777777" w:rsidR="00AE2255" w:rsidRDefault="00AE2255">
      <w:pPr>
        <w:pStyle w:val="BodyText"/>
        <w:spacing w:before="8"/>
        <w:rPr>
          <w:sz w:val="19"/>
        </w:rPr>
      </w:pPr>
    </w:p>
    <w:p w14:paraId="315E519B" w14:textId="77777777" w:rsidR="00AE2255" w:rsidRDefault="00000000">
      <w:pPr>
        <w:pStyle w:val="BodyText"/>
        <w:spacing w:line="249" w:lineRule="auto"/>
        <w:ind w:left="610" w:right="428" w:firstLine="360"/>
        <w:jc w:val="both"/>
      </w:pPr>
      <w:r>
        <w:t xml:space="preserve">We may use both qualitative and quantitative approaches when testing goodwill for impairment. For selected reporting units where we use the qualitative approach, we perform a qualitative evaluation of events and circumstances impacting the reporting unit to determine the likelihood of goodwill impairment. Based on that qualitative evaluation, if we determine it is more likely than not that the fair value of a reporting unit exceeds </w:t>
      </w:r>
      <w:proofErr w:type="gramStart"/>
      <w:r>
        <w:t>its</w:t>
      </w:r>
      <w:proofErr w:type="gramEnd"/>
      <w:r>
        <w:t xml:space="preserve"> carrying amount, no further evaluation is necessary. Otherwise,</w:t>
      </w:r>
      <w:r>
        <w:rPr>
          <w:spacing w:val="-1"/>
        </w:rPr>
        <w:t xml:space="preserve"> </w:t>
      </w:r>
      <w:r>
        <w:t>we</w:t>
      </w:r>
      <w:r>
        <w:rPr>
          <w:spacing w:val="-1"/>
        </w:rPr>
        <w:t xml:space="preserve"> </w:t>
      </w:r>
      <w:r>
        <w:t>perform</w:t>
      </w:r>
      <w:r>
        <w:rPr>
          <w:spacing w:val="-1"/>
        </w:rPr>
        <w:t xml:space="preserve"> </w:t>
      </w:r>
      <w:r>
        <w:t>a</w:t>
      </w:r>
      <w:r>
        <w:rPr>
          <w:spacing w:val="-1"/>
        </w:rPr>
        <w:t xml:space="preserve"> </w:t>
      </w:r>
      <w:r>
        <w:t>quantitative</w:t>
      </w:r>
      <w:r>
        <w:rPr>
          <w:spacing w:val="-1"/>
        </w:rPr>
        <w:t xml:space="preserve"> </w:t>
      </w:r>
      <w:r>
        <w:t>impairment</w:t>
      </w:r>
      <w:r>
        <w:rPr>
          <w:spacing w:val="-1"/>
        </w:rPr>
        <w:t xml:space="preserve"> </w:t>
      </w:r>
      <w:r>
        <w:t>test.</w:t>
      </w:r>
      <w:r>
        <w:rPr>
          <w:spacing w:val="-1"/>
        </w:rPr>
        <w:t xml:space="preserve"> </w:t>
      </w:r>
      <w:r>
        <w:t>We</w:t>
      </w:r>
      <w:r>
        <w:rPr>
          <w:spacing w:val="-1"/>
        </w:rPr>
        <w:t xml:space="preserve"> </w:t>
      </w:r>
      <w:r>
        <w:t>perform</w:t>
      </w:r>
      <w:r>
        <w:rPr>
          <w:spacing w:val="-1"/>
        </w:rPr>
        <w:t xml:space="preserve"> </w:t>
      </w:r>
      <w:r>
        <w:t>quantitative</w:t>
      </w:r>
      <w:r>
        <w:rPr>
          <w:spacing w:val="-1"/>
        </w:rPr>
        <w:t xml:space="preserve"> </w:t>
      </w:r>
      <w:r>
        <w:t>tests</w:t>
      </w:r>
      <w:r>
        <w:rPr>
          <w:spacing w:val="-1"/>
        </w:rPr>
        <w:t xml:space="preserve"> </w:t>
      </w:r>
      <w:r>
        <w:t>for</w:t>
      </w:r>
      <w:r>
        <w:rPr>
          <w:spacing w:val="-1"/>
        </w:rPr>
        <w:t xml:space="preserve"> </w:t>
      </w:r>
      <w:r>
        <w:t>most</w:t>
      </w:r>
      <w:r>
        <w:rPr>
          <w:spacing w:val="-1"/>
        </w:rPr>
        <w:t xml:space="preserve"> </w:t>
      </w:r>
      <w:r>
        <w:t>reporting</w:t>
      </w:r>
      <w:r>
        <w:rPr>
          <w:spacing w:val="-1"/>
        </w:rPr>
        <w:t xml:space="preserve"> </w:t>
      </w:r>
      <w:r>
        <w:t>units</w:t>
      </w:r>
      <w:r>
        <w:rPr>
          <w:spacing w:val="-1"/>
        </w:rPr>
        <w:t xml:space="preserve"> </w:t>
      </w:r>
      <w:r>
        <w:t>at</w:t>
      </w:r>
      <w:r>
        <w:rPr>
          <w:spacing w:val="-1"/>
        </w:rPr>
        <w:t xml:space="preserve"> </w:t>
      </w:r>
      <w:r>
        <w:t>least</w:t>
      </w:r>
      <w:r>
        <w:rPr>
          <w:spacing w:val="-1"/>
        </w:rPr>
        <w:t xml:space="preserve"> </w:t>
      </w:r>
      <w:r>
        <w:t>once</w:t>
      </w:r>
      <w:r>
        <w:rPr>
          <w:spacing w:val="-1"/>
        </w:rPr>
        <w:t xml:space="preserve"> </w:t>
      </w:r>
      <w:r>
        <w:t>every three years. However, for certain reporting units we may perform a quantitative impairment test every year.</w:t>
      </w:r>
    </w:p>
    <w:p w14:paraId="0A6D881F" w14:textId="77777777" w:rsidR="00AE2255" w:rsidRDefault="00AE2255">
      <w:pPr>
        <w:pStyle w:val="BodyText"/>
        <w:spacing w:before="9"/>
        <w:rPr>
          <w:sz w:val="17"/>
        </w:rPr>
      </w:pPr>
    </w:p>
    <w:p w14:paraId="270BB473" w14:textId="77777777" w:rsidR="00AE2255" w:rsidRDefault="00000000">
      <w:pPr>
        <w:pStyle w:val="BodyText"/>
        <w:spacing w:before="1" w:line="249" w:lineRule="auto"/>
        <w:ind w:left="610" w:right="427" w:firstLine="360"/>
        <w:jc w:val="both"/>
      </w:pPr>
      <w:r>
        <w:t xml:space="preserve">To perform the quantitative impairment test, we compare the fair value of a reporting unit to </w:t>
      </w:r>
      <w:proofErr w:type="gramStart"/>
      <w:r>
        <w:t>its</w:t>
      </w:r>
      <w:proofErr w:type="gramEnd"/>
      <w:r>
        <w:t xml:space="preserve"> carrying value, including goodwill. If the fair value of a reporting unit exceeds </w:t>
      </w:r>
      <w:proofErr w:type="gramStart"/>
      <w:r>
        <w:t>its</w:t>
      </w:r>
      <w:proofErr w:type="gramEnd"/>
      <w:r>
        <w:t xml:space="preserve"> carrying value, goodwill of the reporting unit is not impaired. If the carrying value of the reporting unit, including goodwill, exceeds its fair value, a goodwill impairment loss is recognized in an amount equal to that excess. We generally estimate the fair value of each reporting unit using a combination of a discounted cash flow (DCF) analysis and market-based valuation methodologies such as comparable public company trading values and values</w:t>
      </w:r>
      <w:r>
        <w:rPr>
          <w:spacing w:val="-1"/>
        </w:rPr>
        <w:t xml:space="preserve"> </w:t>
      </w:r>
      <w:r>
        <w:t>observed</w:t>
      </w:r>
      <w:r>
        <w:rPr>
          <w:spacing w:val="-1"/>
        </w:rPr>
        <w:t xml:space="preserve"> </w:t>
      </w:r>
      <w:r>
        <w:t>in</w:t>
      </w:r>
      <w:r>
        <w:rPr>
          <w:spacing w:val="-1"/>
        </w:rPr>
        <w:t xml:space="preserve"> </w:t>
      </w:r>
      <w:r>
        <w:t>recent</w:t>
      </w:r>
      <w:r>
        <w:rPr>
          <w:spacing w:val="-1"/>
        </w:rPr>
        <w:t xml:space="preserve"> </w:t>
      </w:r>
      <w:r>
        <w:t>business</w:t>
      </w:r>
      <w:r>
        <w:rPr>
          <w:spacing w:val="-1"/>
        </w:rPr>
        <w:t xml:space="preserve"> </w:t>
      </w:r>
      <w:r>
        <w:t>acquisitions.</w:t>
      </w:r>
      <w:r>
        <w:rPr>
          <w:spacing w:val="-1"/>
        </w:rPr>
        <w:t xml:space="preserve"> </w:t>
      </w:r>
      <w:r>
        <w:t>Determining</w:t>
      </w:r>
      <w:r>
        <w:rPr>
          <w:spacing w:val="-1"/>
        </w:rPr>
        <w:t xml:space="preserve"> </w:t>
      </w:r>
      <w:r>
        <w:t>fair</w:t>
      </w:r>
      <w:r>
        <w:rPr>
          <w:spacing w:val="-1"/>
        </w:rPr>
        <w:t xml:space="preserve"> </w:t>
      </w:r>
      <w:r>
        <w:t>value</w:t>
      </w:r>
      <w:r>
        <w:rPr>
          <w:spacing w:val="-1"/>
        </w:rPr>
        <w:t xml:space="preserve"> </w:t>
      </w:r>
      <w:r>
        <w:t>requires</w:t>
      </w:r>
      <w:r>
        <w:rPr>
          <w:spacing w:val="-1"/>
        </w:rPr>
        <w:t xml:space="preserve"> </w:t>
      </w:r>
      <w:r>
        <w:t>the</w:t>
      </w:r>
      <w:r>
        <w:rPr>
          <w:spacing w:val="-1"/>
        </w:rPr>
        <w:t xml:space="preserve"> </w:t>
      </w:r>
      <w:r>
        <w:t>exercise</w:t>
      </w:r>
      <w:r>
        <w:rPr>
          <w:spacing w:val="-1"/>
        </w:rPr>
        <w:t xml:space="preserve"> </w:t>
      </w:r>
      <w:r>
        <w:t>of</w:t>
      </w:r>
      <w:r>
        <w:rPr>
          <w:spacing w:val="-1"/>
        </w:rPr>
        <w:t xml:space="preserve"> </w:t>
      </w:r>
      <w:r>
        <w:t>significant</w:t>
      </w:r>
      <w:r>
        <w:rPr>
          <w:spacing w:val="-1"/>
        </w:rPr>
        <w:t xml:space="preserve"> </w:t>
      </w:r>
      <w:r>
        <w:t>judgments,</w:t>
      </w:r>
      <w:r>
        <w:rPr>
          <w:spacing w:val="-1"/>
        </w:rPr>
        <w:t xml:space="preserve"> </w:t>
      </w:r>
      <w:r>
        <w:t xml:space="preserve">including the amount and timing of expected future cash flows, long-term growth rates, discount rates and relevant comparable public company earnings multiples and relevant transaction multiples. The cash flows employed in the DCF analysis are based on our best estimate of future sales, </w:t>
      </w:r>
      <w:proofErr w:type="gramStart"/>
      <w:r>
        <w:t>earnings</w:t>
      </w:r>
      <w:proofErr w:type="gramEnd"/>
      <w:r>
        <w:t xml:space="preserve"> and cash flows after considering factors such as general market conditions, U.S. Government budgets, existing firm orders, expected future orders, contracts with suppliers, labor agreements, changes in working capital, long term business plans and recent operating performance. The discount rates utilized in the DCF analysis are based on the respective reporting unit’s weighted average cost of capital, which </w:t>
      </w:r>
      <w:proofErr w:type="gramStart"/>
      <w:r>
        <w:t>takes into account</w:t>
      </w:r>
      <w:proofErr w:type="gramEnd"/>
      <w:r>
        <w:t xml:space="preserve"> the relative weights of each component of capital structure (equity and debt) and represents the expected cost of new capital, adjusted as appropriate to consider the risk inherent in future cash flows of the respective reporting unit. The carrying value of each reporting unit</w:t>
      </w:r>
      <w:r>
        <w:rPr>
          <w:spacing w:val="40"/>
        </w:rPr>
        <w:t xml:space="preserve"> </w:t>
      </w:r>
      <w:r>
        <w:t>includes the assets and liabilities employed in its operations, goodwill and allocations of amounts held at the business segment and corporate levels.</w:t>
      </w:r>
    </w:p>
    <w:p w14:paraId="0716798C" w14:textId="77777777" w:rsidR="00AE2255" w:rsidRDefault="00AE2255">
      <w:pPr>
        <w:pStyle w:val="BodyText"/>
        <w:spacing w:before="6"/>
        <w:rPr>
          <w:sz w:val="18"/>
        </w:rPr>
      </w:pPr>
    </w:p>
    <w:p w14:paraId="04419434" w14:textId="77777777" w:rsidR="00AE2255" w:rsidRDefault="00000000">
      <w:pPr>
        <w:pStyle w:val="BodyText"/>
        <w:spacing w:line="249" w:lineRule="auto"/>
        <w:ind w:left="610" w:right="429" w:firstLine="360"/>
        <w:jc w:val="both"/>
      </w:pPr>
      <w:r>
        <w:t>In</w:t>
      </w:r>
      <w:r>
        <w:rPr>
          <w:spacing w:val="-2"/>
        </w:rPr>
        <w:t xml:space="preserve"> </w:t>
      </w:r>
      <w:r>
        <w:t>the</w:t>
      </w:r>
      <w:r>
        <w:rPr>
          <w:spacing w:val="-2"/>
        </w:rPr>
        <w:t xml:space="preserve"> </w:t>
      </w:r>
      <w:r>
        <w:t>fourth</w:t>
      </w:r>
      <w:r>
        <w:rPr>
          <w:spacing w:val="-2"/>
        </w:rPr>
        <w:t xml:space="preserve"> </w:t>
      </w:r>
      <w:r>
        <w:t>quarter</w:t>
      </w:r>
      <w:r>
        <w:rPr>
          <w:spacing w:val="-2"/>
        </w:rPr>
        <w:t xml:space="preserve"> </w:t>
      </w:r>
      <w:r>
        <w:t>of</w:t>
      </w:r>
      <w:r>
        <w:rPr>
          <w:spacing w:val="-2"/>
        </w:rPr>
        <w:t xml:space="preserve"> </w:t>
      </w:r>
      <w:r>
        <w:t>2022,</w:t>
      </w:r>
      <w:r>
        <w:rPr>
          <w:spacing w:val="-2"/>
        </w:rPr>
        <w:t xml:space="preserve"> </w:t>
      </w:r>
      <w:r>
        <w:t>we</w:t>
      </w:r>
      <w:r>
        <w:rPr>
          <w:spacing w:val="-2"/>
        </w:rPr>
        <w:t xml:space="preserve"> </w:t>
      </w:r>
      <w:r>
        <w:t>performed</w:t>
      </w:r>
      <w:r>
        <w:rPr>
          <w:spacing w:val="-2"/>
        </w:rPr>
        <w:t xml:space="preserve"> </w:t>
      </w:r>
      <w:r>
        <w:t>our</w:t>
      </w:r>
      <w:r>
        <w:rPr>
          <w:spacing w:val="-2"/>
        </w:rPr>
        <w:t xml:space="preserve"> </w:t>
      </w:r>
      <w:r>
        <w:t>annual</w:t>
      </w:r>
      <w:r>
        <w:rPr>
          <w:spacing w:val="-2"/>
        </w:rPr>
        <w:t xml:space="preserve"> </w:t>
      </w:r>
      <w:r>
        <w:t>goodwill</w:t>
      </w:r>
      <w:r>
        <w:rPr>
          <w:spacing w:val="-2"/>
        </w:rPr>
        <w:t xml:space="preserve"> </w:t>
      </w:r>
      <w:r>
        <w:t>impairment</w:t>
      </w:r>
      <w:r>
        <w:rPr>
          <w:spacing w:val="-2"/>
        </w:rPr>
        <w:t xml:space="preserve"> </w:t>
      </w:r>
      <w:r>
        <w:t>test</w:t>
      </w:r>
      <w:r>
        <w:rPr>
          <w:spacing w:val="-2"/>
        </w:rPr>
        <w:t xml:space="preserve"> </w:t>
      </w:r>
      <w:r>
        <w:t>for</w:t>
      </w:r>
      <w:r>
        <w:rPr>
          <w:spacing w:val="-2"/>
        </w:rPr>
        <w:t xml:space="preserve"> </w:t>
      </w:r>
      <w:r>
        <w:t>each</w:t>
      </w:r>
      <w:r>
        <w:rPr>
          <w:spacing w:val="-2"/>
        </w:rPr>
        <w:t xml:space="preserve"> </w:t>
      </w:r>
      <w:r>
        <w:t>of</w:t>
      </w:r>
      <w:r>
        <w:rPr>
          <w:spacing w:val="-2"/>
        </w:rPr>
        <w:t xml:space="preserve"> </w:t>
      </w:r>
      <w:r>
        <w:t>our</w:t>
      </w:r>
      <w:r>
        <w:rPr>
          <w:spacing w:val="-2"/>
        </w:rPr>
        <w:t xml:space="preserve"> </w:t>
      </w:r>
      <w:r>
        <w:t>reporting</w:t>
      </w:r>
      <w:r>
        <w:rPr>
          <w:spacing w:val="-2"/>
        </w:rPr>
        <w:t xml:space="preserve"> </w:t>
      </w:r>
      <w:r>
        <w:t>units.</w:t>
      </w:r>
      <w:r>
        <w:rPr>
          <w:spacing w:val="-2"/>
        </w:rPr>
        <w:t xml:space="preserve"> </w:t>
      </w:r>
      <w:r>
        <w:t>The</w:t>
      </w:r>
      <w:r>
        <w:rPr>
          <w:spacing w:val="-2"/>
        </w:rPr>
        <w:t xml:space="preserve"> </w:t>
      </w:r>
      <w:r>
        <w:t>results of that test indicated that for each of our reporting units no impairment existed, including Sikorsky. Based on this, the fair value</w:t>
      </w:r>
    </w:p>
    <w:p w14:paraId="62DF4609" w14:textId="77777777" w:rsidR="00AE2255" w:rsidRDefault="00AE2255">
      <w:pPr>
        <w:spacing w:line="249" w:lineRule="auto"/>
        <w:jc w:val="both"/>
        <w:sectPr w:rsidR="00AE2255">
          <w:pgSz w:w="12240" w:h="15840"/>
          <w:pgMar w:top="440" w:right="560" w:bottom="720" w:left="380" w:header="230" w:footer="531" w:gutter="0"/>
          <w:cols w:space="720"/>
        </w:sectPr>
      </w:pPr>
    </w:p>
    <w:p w14:paraId="2A8EBB7C" w14:textId="77777777" w:rsidR="00AE2255" w:rsidRDefault="00AE2255">
      <w:pPr>
        <w:pStyle w:val="BodyText"/>
        <w:spacing w:before="10"/>
        <w:rPr>
          <w:sz w:val="22"/>
        </w:rPr>
      </w:pPr>
    </w:p>
    <w:p w14:paraId="40BB5352" w14:textId="77777777" w:rsidR="00AE2255" w:rsidRDefault="00000000">
      <w:pPr>
        <w:pStyle w:val="BodyText"/>
        <w:spacing w:before="92" w:line="249" w:lineRule="auto"/>
        <w:ind w:left="610" w:right="429"/>
        <w:jc w:val="both"/>
      </w:pPr>
      <w:r>
        <w:t xml:space="preserve">of our Sikorsky reporting unit exceeded </w:t>
      </w:r>
      <w:proofErr w:type="gramStart"/>
      <w:r>
        <w:t>its</w:t>
      </w:r>
      <w:proofErr w:type="gramEnd"/>
      <w:r>
        <w:t xml:space="preserve"> carrying value, which included goodwill of $2.7 billion, by a margin of approximately 40%. The fair value of both our Sikorsky reporting unit and the indefinite-lived trademark intangible asset can</w:t>
      </w:r>
      <w:r>
        <w:rPr>
          <w:spacing w:val="40"/>
        </w:rPr>
        <w:t xml:space="preserve"> </w:t>
      </w:r>
      <w:r>
        <w:t xml:space="preserve">be significantly impacted by its performance, the amount and timing of expected future cash flows, contract terminations, changes in expected future orders, general market pressures, including U.S. Government budgetary constraints, discount rates, long term growth rates, and changes in U.S. (federal or state) or foreign tax laws and regulations, or their interpretation and application, including those with retroactive effect, along with other significant judgments. Based on our assessment of these circumstances, we have determined that goodwill at our Sikorsky reporting unit and the indefinite-lived trademark intangible asset at our Sikorsky reporting unit are at risk for impairment should there be a significant deterioration of projected cash flows of the reporting unit. We do not currently anticipate any material impairments on our assets </w:t>
      </w:r>
      <w:proofErr w:type="gramStart"/>
      <w:r>
        <w:t>as a result of</w:t>
      </w:r>
      <w:proofErr w:type="gramEnd"/>
      <w:r>
        <w:t xml:space="preserve"> COVID-19 or </w:t>
      </w:r>
      <w:r>
        <w:rPr>
          <w:spacing w:val="-2"/>
        </w:rPr>
        <w:t>inflation.</w:t>
      </w:r>
    </w:p>
    <w:p w14:paraId="6D78515F" w14:textId="77777777" w:rsidR="00AE2255" w:rsidRDefault="00AE2255">
      <w:pPr>
        <w:pStyle w:val="BodyText"/>
        <w:spacing w:before="1"/>
        <w:rPr>
          <w:sz w:val="18"/>
        </w:rPr>
      </w:pPr>
    </w:p>
    <w:p w14:paraId="3BD68885" w14:textId="77777777" w:rsidR="00AE2255" w:rsidRDefault="00000000">
      <w:pPr>
        <w:pStyle w:val="BodyText"/>
        <w:spacing w:line="249" w:lineRule="auto"/>
        <w:ind w:left="610" w:right="428" w:firstLine="360"/>
        <w:jc w:val="both"/>
      </w:pPr>
      <w:r>
        <w:t xml:space="preserve">Impairment assessments inherently involve management judgments regarding </w:t>
      </w:r>
      <w:proofErr w:type="gramStart"/>
      <w:r>
        <w:t>a number of</w:t>
      </w:r>
      <w:proofErr w:type="gramEnd"/>
      <w:r>
        <w:t xml:space="preserve"> assumptions such as those described above. Due to the many variables inherent in the estimation of a reporting unit’s fair value and the relative size of our recorded goodwill, differences in assumptions could have a material effect on the estimated fair value of one or more of our reporting units and could result in a goodwill impairment charge in a future period.</w:t>
      </w:r>
    </w:p>
    <w:p w14:paraId="30403C72" w14:textId="77777777" w:rsidR="00AE2255" w:rsidRDefault="00AE2255">
      <w:pPr>
        <w:pStyle w:val="BodyText"/>
        <w:spacing w:before="7"/>
        <w:rPr>
          <w:sz w:val="21"/>
        </w:rPr>
      </w:pPr>
    </w:p>
    <w:p w14:paraId="2B5BAAFF" w14:textId="77777777" w:rsidR="00AE2255" w:rsidRDefault="00000000">
      <w:pPr>
        <w:pStyle w:val="BodyText"/>
        <w:spacing w:line="232" w:lineRule="auto"/>
        <w:ind w:left="610" w:right="428" w:firstLine="360"/>
        <w:jc w:val="both"/>
      </w:pPr>
      <w:r>
        <w:t xml:space="preserve">Acquired intangible assets deemed to have indefinite lives are not </w:t>
      </w:r>
      <w:proofErr w:type="gramStart"/>
      <w:r>
        <w:t>amortized, but</w:t>
      </w:r>
      <w:proofErr w:type="gramEnd"/>
      <w:r>
        <w:t xml:space="preserve"> are subject to annual impairment testing</w:t>
      </w:r>
      <w:r>
        <w:rPr>
          <w:spacing w:val="40"/>
        </w:rPr>
        <w:t xml:space="preserve"> </w:t>
      </w:r>
      <w:r>
        <w:t>or more frequently if events or change in circumstance indicate that it is more likely than not that the asset is impaired. This testing compares carrying value to fair value and, when appropriate, the carrying value of these assets is reduced to fair value.</w:t>
      </w:r>
      <w:r>
        <w:rPr>
          <w:spacing w:val="40"/>
        </w:rPr>
        <w:t xml:space="preserve"> </w:t>
      </w:r>
      <w:r>
        <w:t>In the fourth quarter of 2022, we performed our annual impairment test, and the results of that test indicated no impairment existed. Intangibles are amortized to expense over their applicable useful lives, ranging from five to 20 years, based on the nature of the asset and the underlying pattern of economic benefit as reflected by future net cash inflows. We perform an impairment test of finite-lived intangibles whenever events or changes in circumstances indicate their carrying value may be impaired.</w:t>
      </w:r>
      <w:r>
        <w:rPr>
          <w:spacing w:val="-2"/>
        </w:rPr>
        <w:t xml:space="preserve"> </w:t>
      </w:r>
      <w:r>
        <w:t>If</w:t>
      </w:r>
      <w:r>
        <w:rPr>
          <w:spacing w:val="-2"/>
        </w:rPr>
        <w:t xml:space="preserve"> </w:t>
      </w:r>
      <w:r>
        <w:t>events</w:t>
      </w:r>
      <w:r>
        <w:rPr>
          <w:spacing w:val="-2"/>
        </w:rPr>
        <w:t xml:space="preserve"> </w:t>
      </w:r>
      <w:r>
        <w:t>or</w:t>
      </w:r>
      <w:r>
        <w:rPr>
          <w:spacing w:val="-2"/>
        </w:rPr>
        <w:t xml:space="preserve"> </w:t>
      </w:r>
      <w:r>
        <w:t>changes</w:t>
      </w:r>
      <w:r>
        <w:rPr>
          <w:spacing w:val="-2"/>
        </w:rPr>
        <w:t xml:space="preserve"> </w:t>
      </w:r>
      <w:r>
        <w:t>in</w:t>
      </w:r>
      <w:r>
        <w:rPr>
          <w:spacing w:val="-2"/>
        </w:rPr>
        <w:t xml:space="preserve"> </w:t>
      </w:r>
      <w:r>
        <w:t>circumstances</w:t>
      </w:r>
      <w:r>
        <w:rPr>
          <w:spacing w:val="-2"/>
        </w:rPr>
        <w:t xml:space="preserve"> </w:t>
      </w:r>
      <w:r>
        <w:t>indicate</w:t>
      </w:r>
      <w:r>
        <w:rPr>
          <w:spacing w:val="-2"/>
        </w:rPr>
        <w:t xml:space="preserve"> </w:t>
      </w:r>
      <w:r>
        <w:t>the</w:t>
      </w:r>
      <w:r>
        <w:rPr>
          <w:spacing w:val="-2"/>
        </w:rPr>
        <w:t xml:space="preserve"> </w:t>
      </w:r>
      <w:r>
        <w:t>carrying</w:t>
      </w:r>
      <w:r>
        <w:rPr>
          <w:spacing w:val="-2"/>
        </w:rPr>
        <w:t xml:space="preserve"> </w:t>
      </w:r>
      <w:r>
        <w:t>value</w:t>
      </w:r>
      <w:r>
        <w:rPr>
          <w:spacing w:val="-2"/>
        </w:rPr>
        <w:t xml:space="preserve"> </w:t>
      </w:r>
      <w:r>
        <w:t>of</w:t>
      </w:r>
      <w:r>
        <w:rPr>
          <w:spacing w:val="-2"/>
        </w:rPr>
        <w:t xml:space="preserve"> </w:t>
      </w:r>
      <w:r>
        <w:t>a</w:t>
      </w:r>
      <w:r>
        <w:rPr>
          <w:spacing w:val="-2"/>
        </w:rPr>
        <w:t xml:space="preserve"> </w:t>
      </w:r>
      <w:r>
        <w:t>finite-lived</w:t>
      </w:r>
      <w:r>
        <w:rPr>
          <w:spacing w:val="-2"/>
        </w:rPr>
        <w:t xml:space="preserve"> </w:t>
      </w:r>
      <w:r>
        <w:t>intangible</w:t>
      </w:r>
      <w:r>
        <w:rPr>
          <w:spacing w:val="-2"/>
        </w:rPr>
        <w:t xml:space="preserve"> </w:t>
      </w:r>
      <w:r>
        <w:t>may</w:t>
      </w:r>
      <w:r>
        <w:rPr>
          <w:spacing w:val="-2"/>
        </w:rPr>
        <w:t xml:space="preserve"> </w:t>
      </w:r>
      <w:r>
        <w:t>be</w:t>
      </w:r>
      <w:r>
        <w:rPr>
          <w:spacing w:val="-2"/>
        </w:rPr>
        <w:t xml:space="preserve"> </w:t>
      </w:r>
      <w:r>
        <w:t>impaired,</w:t>
      </w:r>
      <w:r>
        <w:rPr>
          <w:spacing w:val="-2"/>
        </w:rPr>
        <w:t xml:space="preserve"> </w:t>
      </w:r>
      <w:r>
        <w:t>the</w:t>
      </w:r>
      <w:r>
        <w:rPr>
          <w:spacing w:val="-2"/>
        </w:rPr>
        <w:t xml:space="preserve"> </w:t>
      </w:r>
      <w:r>
        <w:t>sum of the undiscounted future cash flows expected to result from the use of the asset group would be compared to the asset group’s carrying value. If the asset group’s carrying amount exceed the sum of the undiscounted future cash flows, we would determine the fair value of the asset group and record an impairment loss in net earnings.</w:t>
      </w:r>
    </w:p>
    <w:p w14:paraId="76BBBA59" w14:textId="77777777" w:rsidR="00AE2255" w:rsidRDefault="00AE2255">
      <w:pPr>
        <w:spacing w:line="232" w:lineRule="auto"/>
        <w:jc w:val="both"/>
        <w:sectPr w:rsidR="00AE2255">
          <w:pgSz w:w="12240" w:h="15840"/>
          <w:pgMar w:top="440" w:right="560" w:bottom="720" w:left="380" w:header="230" w:footer="531" w:gutter="0"/>
          <w:cols w:space="720"/>
        </w:sectPr>
      </w:pPr>
    </w:p>
    <w:p w14:paraId="1AE8CDA3" w14:textId="77777777" w:rsidR="00AE2255" w:rsidRDefault="00AE2255">
      <w:pPr>
        <w:pStyle w:val="BodyText"/>
        <w:spacing w:before="10"/>
        <w:rPr>
          <w:sz w:val="22"/>
        </w:rPr>
      </w:pPr>
    </w:p>
    <w:p w14:paraId="7025AFDE" w14:textId="77777777" w:rsidR="00AE2255" w:rsidRDefault="00000000">
      <w:pPr>
        <w:pStyle w:val="Heading2"/>
        <w:tabs>
          <w:tab w:val="left" w:pos="1869"/>
        </w:tabs>
        <w:spacing w:before="92"/>
      </w:pPr>
      <w:bookmarkStart w:id="32" w:name="Item_7A._Quantitative_and_Qualitative_Di"/>
      <w:bookmarkStart w:id="33" w:name="_bookmark11"/>
      <w:bookmarkEnd w:id="32"/>
      <w:bookmarkEnd w:id="33"/>
      <w:r>
        <w:t>ITEM</w:t>
      </w:r>
      <w:r>
        <w:rPr>
          <w:spacing w:val="-4"/>
        </w:rPr>
        <w:t xml:space="preserve"> </w:t>
      </w:r>
      <w:r>
        <w:rPr>
          <w:spacing w:val="-5"/>
        </w:rPr>
        <w:t>7A.</w:t>
      </w:r>
      <w:r>
        <w:tab/>
        <w:t>Quantitative</w:t>
      </w:r>
      <w:r>
        <w:rPr>
          <w:spacing w:val="-6"/>
        </w:rPr>
        <w:t xml:space="preserve"> </w:t>
      </w:r>
      <w:r>
        <w:t>and</w:t>
      </w:r>
      <w:r>
        <w:rPr>
          <w:spacing w:val="-5"/>
        </w:rPr>
        <w:t xml:space="preserve"> </w:t>
      </w:r>
      <w:r>
        <w:t>Qualitative</w:t>
      </w:r>
      <w:r>
        <w:rPr>
          <w:spacing w:val="-6"/>
        </w:rPr>
        <w:t xml:space="preserve"> </w:t>
      </w:r>
      <w:r>
        <w:t>Disclosures</w:t>
      </w:r>
      <w:r>
        <w:rPr>
          <w:spacing w:val="-5"/>
        </w:rPr>
        <w:t xml:space="preserve"> </w:t>
      </w:r>
      <w:r>
        <w:t>About</w:t>
      </w:r>
      <w:r>
        <w:rPr>
          <w:spacing w:val="-5"/>
        </w:rPr>
        <w:t xml:space="preserve"> </w:t>
      </w:r>
      <w:r>
        <w:t>Market</w:t>
      </w:r>
      <w:r>
        <w:rPr>
          <w:spacing w:val="-4"/>
        </w:rPr>
        <w:t xml:space="preserve"> Risk</w:t>
      </w:r>
    </w:p>
    <w:p w14:paraId="70D8C6B1" w14:textId="77777777" w:rsidR="00AE2255" w:rsidRDefault="00AE2255">
      <w:pPr>
        <w:pStyle w:val="BodyText"/>
        <w:spacing w:before="3"/>
        <w:rPr>
          <w:b/>
          <w:sz w:val="18"/>
        </w:rPr>
      </w:pPr>
    </w:p>
    <w:p w14:paraId="474B55A2" w14:textId="77777777" w:rsidR="00AE2255" w:rsidRDefault="00000000">
      <w:pPr>
        <w:pStyle w:val="BodyText"/>
        <w:spacing w:line="249" w:lineRule="auto"/>
        <w:ind w:left="610" w:right="428" w:firstLine="360"/>
        <w:jc w:val="both"/>
      </w:pPr>
      <w:r>
        <w:t>We</w:t>
      </w:r>
      <w:r>
        <w:rPr>
          <w:spacing w:val="-2"/>
        </w:rPr>
        <w:t xml:space="preserve"> </w:t>
      </w:r>
      <w:r>
        <w:t>maintain</w:t>
      </w:r>
      <w:r>
        <w:rPr>
          <w:spacing w:val="-1"/>
        </w:rPr>
        <w:t xml:space="preserve"> </w:t>
      </w:r>
      <w:r>
        <w:t>active</w:t>
      </w:r>
      <w:r>
        <w:rPr>
          <w:spacing w:val="-2"/>
        </w:rPr>
        <w:t xml:space="preserve"> </w:t>
      </w:r>
      <w:r>
        <w:t>relationships</w:t>
      </w:r>
      <w:r>
        <w:rPr>
          <w:spacing w:val="-2"/>
        </w:rPr>
        <w:t xml:space="preserve"> </w:t>
      </w:r>
      <w:r>
        <w:t>with</w:t>
      </w:r>
      <w:r>
        <w:rPr>
          <w:spacing w:val="-1"/>
        </w:rPr>
        <w:t xml:space="preserve"> </w:t>
      </w:r>
      <w:r>
        <w:t>a</w:t>
      </w:r>
      <w:r>
        <w:rPr>
          <w:spacing w:val="-2"/>
        </w:rPr>
        <w:t xml:space="preserve"> </w:t>
      </w:r>
      <w:r>
        <w:t>broad</w:t>
      </w:r>
      <w:r>
        <w:rPr>
          <w:spacing w:val="-1"/>
        </w:rPr>
        <w:t xml:space="preserve"> </w:t>
      </w:r>
      <w:r>
        <w:t>and</w:t>
      </w:r>
      <w:r>
        <w:rPr>
          <w:spacing w:val="-1"/>
        </w:rPr>
        <w:t xml:space="preserve"> </w:t>
      </w:r>
      <w:r>
        <w:t>diverse</w:t>
      </w:r>
      <w:r>
        <w:rPr>
          <w:spacing w:val="-2"/>
        </w:rPr>
        <w:t xml:space="preserve"> </w:t>
      </w:r>
      <w:r>
        <w:t>group</w:t>
      </w:r>
      <w:r>
        <w:rPr>
          <w:spacing w:val="-1"/>
        </w:rPr>
        <w:t xml:space="preserve"> </w:t>
      </w:r>
      <w:r>
        <w:t>of</w:t>
      </w:r>
      <w:r>
        <w:rPr>
          <w:spacing w:val="-1"/>
        </w:rPr>
        <w:t xml:space="preserve"> </w:t>
      </w:r>
      <w:r>
        <w:t>U.S.</w:t>
      </w:r>
      <w:r>
        <w:rPr>
          <w:spacing w:val="-1"/>
        </w:rPr>
        <w:t xml:space="preserve"> </w:t>
      </w:r>
      <w:r>
        <w:t>and</w:t>
      </w:r>
      <w:r>
        <w:rPr>
          <w:spacing w:val="-1"/>
        </w:rPr>
        <w:t xml:space="preserve"> </w:t>
      </w:r>
      <w:r>
        <w:t>international</w:t>
      </w:r>
      <w:r>
        <w:rPr>
          <w:spacing w:val="-2"/>
        </w:rPr>
        <w:t xml:space="preserve"> </w:t>
      </w:r>
      <w:r>
        <w:t>financial</w:t>
      </w:r>
      <w:r>
        <w:rPr>
          <w:spacing w:val="-2"/>
        </w:rPr>
        <w:t xml:space="preserve"> </w:t>
      </w:r>
      <w:r>
        <w:t>institutions.</w:t>
      </w:r>
      <w:r>
        <w:rPr>
          <w:spacing w:val="-1"/>
        </w:rPr>
        <w:t xml:space="preserve"> </w:t>
      </w:r>
      <w:r>
        <w:t>We</w:t>
      </w:r>
      <w:r>
        <w:rPr>
          <w:spacing w:val="-2"/>
        </w:rPr>
        <w:t xml:space="preserve"> </w:t>
      </w:r>
      <w:r>
        <w:t>believe that they provide us with sufficient access to the general and trade credit we require to conduct our business. We closely</w:t>
      </w:r>
      <w:r>
        <w:rPr>
          <w:spacing w:val="40"/>
        </w:rPr>
        <w:t xml:space="preserve"> </w:t>
      </w:r>
      <w:r>
        <w:t>monitor the financial market environment and actively manage counterparty exposure to minimize the potential impact from adverse developments with any single credit provider while ensuring availability of, and access to, sufficient credit resources.</w:t>
      </w:r>
    </w:p>
    <w:p w14:paraId="3020FFE5" w14:textId="77777777" w:rsidR="00AE2255" w:rsidRDefault="00AE2255">
      <w:pPr>
        <w:pStyle w:val="BodyText"/>
        <w:spacing w:before="7"/>
        <w:rPr>
          <w:sz w:val="17"/>
        </w:rPr>
      </w:pPr>
    </w:p>
    <w:p w14:paraId="7D05B813" w14:textId="77777777" w:rsidR="00AE2255" w:rsidRDefault="00000000">
      <w:pPr>
        <w:pStyle w:val="BodyText"/>
        <w:spacing w:before="1" w:line="249" w:lineRule="auto"/>
        <w:ind w:left="610" w:right="429" w:firstLine="360"/>
        <w:jc w:val="both"/>
      </w:pPr>
      <w:r>
        <w:t xml:space="preserve">Our main exposure to market risk relates to interest rates, foreign currency exchange rates and market prices on certain equity securities. Our financial instruments that are subject to interest rate risk principally include fixed-rate long-term debt and commercial paper, if issued. The estimated fair value of our outstanding debt was $16.0 billion </w:t>
      </w:r>
      <w:proofErr w:type="gramStart"/>
      <w:r>
        <w:t>at</w:t>
      </w:r>
      <w:proofErr w:type="gramEnd"/>
      <w:r>
        <w:t xml:space="preserve"> December 31, 2022 and the outstanding principal amount was $16.8 billion, excluding unamortized discounts and issuance costs of $1.3 billion. A 10% change in the level of interest rates would not have a material impact on the fair value of our outstanding debt </w:t>
      </w:r>
      <w:proofErr w:type="gramStart"/>
      <w:r>
        <w:t>at</w:t>
      </w:r>
      <w:proofErr w:type="gramEnd"/>
      <w:r>
        <w:t xml:space="preserve"> December 31, </w:t>
      </w:r>
      <w:r>
        <w:rPr>
          <w:spacing w:val="-2"/>
        </w:rPr>
        <w:t>2022.</w:t>
      </w:r>
    </w:p>
    <w:p w14:paraId="5F73A078" w14:textId="77777777" w:rsidR="00AE2255" w:rsidRDefault="00AE2255">
      <w:pPr>
        <w:pStyle w:val="BodyText"/>
        <w:spacing w:before="9"/>
        <w:rPr>
          <w:sz w:val="9"/>
        </w:rPr>
      </w:pPr>
    </w:p>
    <w:p w14:paraId="71E00743" w14:textId="77777777" w:rsidR="00AE2255" w:rsidRDefault="00000000">
      <w:pPr>
        <w:pStyle w:val="BodyText"/>
        <w:spacing w:before="92"/>
        <w:ind w:left="610" w:right="428" w:firstLine="495"/>
        <w:jc w:val="both"/>
      </w:pPr>
      <w:r>
        <w:t xml:space="preserve">We use derivative instruments principally to reduce our exposure to market risks from changes in foreign currency exchange rates and interest rates. We do not </w:t>
      </w:r>
      <w:proofErr w:type="gramStart"/>
      <w:r>
        <w:t>enter into</w:t>
      </w:r>
      <w:proofErr w:type="gramEnd"/>
      <w:r>
        <w:t xml:space="preserve"> or hold derivative instruments for speculative trading purposes. We transact business globally and are subject to risks associated with changing foreign currency exchange rates. We </w:t>
      </w:r>
      <w:proofErr w:type="gramStart"/>
      <w:r>
        <w:t>enter into</w:t>
      </w:r>
      <w:proofErr w:type="gramEnd"/>
      <w:r>
        <w:t xml:space="preserve"> foreign currency hedges such as forward and option contracts that change in value as foreign currency exchange rates change. Our most significant foreign currency exposures relate to the British pound sterling, the euro, the Canadian dollar, the Australian dollar, the Norwegian </w:t>
      </w:r>
      <w:proofErr w:type="gramStart"/>
      <w:r>
        <w:t>kroner</w:t>
      </w:r>
      <w:proofErr w:type="gramEnd"/>
      <w:r>
        <w:t xml:space="preserve"> and the Polish zloty. These contracts hedge forecasted foreign currency transactions </w:t>
      </w:r>
      <w:proofErr w:type="gramStart"/>
      <w:r>
        <w:t>in order to</w:t>
      </w:r>
      <w:proofErr w:type="gramEnd"/>
      <w:r>
        <w:t xml:space="preserve"> minimize fluctuations in our earnings and cash flows associated with changes in foreign currency exchange rates. We designate foreign currency hedges as cash flow hedges. We also are exposed to the impact of interest rate changes primarily through our borrowing activities. For fixed rate borrowings, we may use variable interest rate swaps, effectively converting fixed rate borrowings to variable rate borrowings </w:t>
      </w:r>
      <w:proofErr w:type="gramStart"/>
      <w:r>
        <w:t>in order to</w:t>
      </w:r>
      <w:proofErr w:type="gramEnd"/>
      <w:r>
        <w:t xml:space="preserve"> hedge changes in the fair value of the debt. These swaps are designated as fair value hedges. For variable rate borrowings, we may use fixed interest rate swaps, effectively converting variable rate borrowings to fixed rate borrowings </w:t>
      </w:r>
      <w:proofErr w:type="gramStart"/>
      <w:r>
        <w:t>in order to</w:t>
      </w:r>
      <w:proofErr w:type="gramEnd"/>
      <w:r>
        <w:t xml:space="preserve"> minimize the impact of interest rate changes on earnings. These swaps are designated as cash flow hedges. We also may </w:t>
      </w:r>
      <w:proofErr w:type="gramStart"/>
      <w:r>
        <w:t>enter into</w:t>
      </w:r>
      <w:proofErr w:type="gramEnd"/>
      <w:r>
        <w:t xml:space="preserve"> derivative instruments that are not designated as hedges and do not qualify for hedge accounting, which are intended to minimize certain economic exposures.</w:t>
      </w:r>
    </w:p>
    <w:p w14:paraId="3A839638" w14:textId="77777777" w:rsidR="00AE2255" w:rsidRDefault="00AE2255">
      <w:pPr>
        <w:pStyle w:val="BodyText"/>
        <w:spacing w:before="10"/>
      </w:pPr>
    </w:p>
    <w:p w14:paraId="6526A601" w14:textId="77777777" w:rsidR="00AE2255" w:rsidRDefault="00000000">
      <w:pPr>
        <w:pStyle w:val="BodyText"/>
        <w:spacing w:line="249" w:lineRule="auto"/>
        <w:ind w:left="610" w:right="429" w:firstLine="360"/>
        <w:jc w:val="both"/>
      </w:pPr>
      <w:r>
        <w:t>The classification of gains and losses resulting from changes in the fair values of derivatives is dependent on our intended use of the derivative and its resulting designation. Adjustments to reflect changes in fair values of derivatives attributable to highly effective hedges are either reflected in earnings and largely offset by corresponding adjustments to the hedged items or reflected net of income taxes in accumulated other comprehensive loss until the hedged transaction is recognized in earnings. Changes in the fair value of the derivatives that are not highly effective, if any, are immediately recognized in earnings. The aggregate</w:t>
      </w:r>
      <w:r>
        <w:rPr>
          <w:spacing w:val="42"/>
        </w:rPr>
        <w:t xml:space="preserve"> </w:t>
      </w:r>
      <w:r>
        <w:t>notional</w:t>
      </w:r>
      <w:r>
        <w:rPr>
          <w:spacing w:val="43"/>
        </w:rPr>
        <w:t xml:space="preserve"> </w:t>
      </w:r>
      <w:r>
        <w:t>amount</w:t>
      </w:r>
      <w:r>
        <w:rPr>
          <w:spacing w:val="43"/>
        </w:rPr>
        <w:t xml:space="preserve"> </w:t>
      </w:r>
      <w:r>
        <w:t>of</w:t>
      </w:r>
      <w:r>
        <w:rPr>
          <w:spacing w:val="43"/>
        </w:rPr>
        <w:t xml:space="preserve"> </w:t>
      </w:r>
      <w:r>
        <w:t>our</w:t>
      </w:r>
      <w:r>
        <w:rPr>
          <w:spacing w:val="43"/>
        </w:rPr>
        <w:t xml:space="preserve"> </w:t>
      </w:r>
      <w:r>
        <w:t>outstanding</w:t>
      </w:r>
      <w:r>
        <w:rPr>
          <w:spacing w:val="43"/>
        </w:rPr>
        <w:t xml:space="preserve"> </w:t>
      </w:r>
      <w:r>
        <w:t>interest</w:t>
      </w:r>
      <w:r>
        <w:rPr>
          <w:spacing w:val="43"/>
        </w:rPr>
        <w:t xml:space="preserve"> </w:t>
      </w:r>
      <w:r>
        <w:t>rate</w:t>
      </w:r>
      <w:r>
        <w:rPr>
          <w:spacing w:val="43"/>
        </w:rPr>
        <w:t xml:space="preserve"> </w:t>
      </w:r>
      <w:r>
        <w:t>swaps</w:t>
      </w:r>
      <w:r>
        <w:rPr>
          <w:spacing w:val="43"/>
        </w:rPr>
        <w:t xml:space="preserve"> </w:t>
      </w:r>
      <w:proofErr w:type="gramStart"/>
      <w:r>
        <w:t>at</w:t>
      </w:r>
      <w:proofErr w:type="gramEnd"/>
      <w:r>
        <w:rPr>
          <w:spacing w:val="42"/>
        </w:rPr>
        <w:t xml:space="preserve"> </w:t>
      </w:r>
      <w:r>
        <w:t>December</w:t>
      </w:r>
      <w:r>
        <w:rPr>
          <w:spacing w:val="43"/>
        </w:rPr>
        <w:t xml:space="preserve"> </w:t>
      </w:r>
      <w:r>
        <w:t>31,</w:t>
      </w:r>
      <w:r>
        <w:rPr>
          <w:spacing w:val="43"/>
        </w:rPr>
        <w:t xml:space="preserve"> </w:t>
      </w:r>
      <w:r>
        <w:t>2022</w:t>
      </w:r>
      <w:r>
        <w:rPr>
          <w:spacing w:val="43"/>
        </w:rPr>
        <w:t xml:space="preserve"> </w:t>
      </w:r>
      <w:r>
        <w:t>and</w:t>
      </w:r>
      <w:r>
        <w:rPr>
          <w:spacing w:val="43"/>
        </w:rPr>
        <w:t xml:space="preserve"> </w:t>
      </w:r>
      <w:r>
        <w:t>2021</w:t>
      </w:r>
      <w:r>
        <w:rPr>
          <w:spacing w:val="43"/>
        </w:rPr>
        <w:t xml:space="preserve"> </w:t>
      </w:r>
      <w:r>
        <w:t>was</w:t>
      </w:r>
      <w:r>
        <w:rPr>
          <w:spacing w:val="43"/>
        </w:rPr>
        <w:t xml:space="preserve"> </w:t>
      </w:r>
      <w:r>
        <w:t>$1.3</w:t>
      </w:r>
      <w:r>
        <w:rPr>
          <w:spacing w:val="43"/>
        </w:rPr>
        <w:t xml:space="preserve"> </w:t>
      </w:r>
      <w:r>
        <w:t>billion</w:t>
      </w:r>
      <w:r>
        <w:rPr>
          <w:spacing w:val="43"/>
        </w:rPr>
        <w:t xml:space="preserve"> </w:t>
      </w:r>
      <w:r>
        <w:rPr>
          <w:spacing w:val="-5"/>
        </w:rPr>
        <w:t>and</w:t>
      </w:r>
    </w:p>
    <w:p w14:paraId="16BB4F08" w14:textId="77777777" w:rsidR="00AE2255" w:rsidRDefault="00000000">
      <w:pPr>
        <w:pStyle w:val="BodyText"/>
        <w:spacing w:before="5" w:line="249" w:lineRule="auto"/>
        <w:ind w:left="610" w:right="428"/>
        <w:jc w:val="both"/>
      </w:pPr>
      <w:r>
        <w:t>$500 million. The increase in 2022 was designated on the additional debt we issued during the fourth quarter.</w:t>
      </w:r>
      <w:r>
        <w:rPr>
          <w:spacing w:val="40"/>
        </w:rPr>
        <w:t xml:space="preserve"> </w:t>
      </w:r>
      <w:r>
        <w:t xml:space="preserve">The aggregate notional amount of our outstanding foreign currency hedges </w:t>
      </w:r>
      <w:proofErr w:type="gramStart"/>
      <w:r>
        <w:t>at</w:t>
      </w:r>
      <w:proofErr w:type="gramEnd"/>
      <w:r>
        <w:t xml:space="preserve"> December 31, 2022 and 2021 was $7.3 billion and $4.0 billion. The increase in 2022 is due to the timing of foreign denominated international contract awards. </w:t>
      </w:r>
      <w:proofErr w:type="gramStart"/>
      <w:r>
        <w:t>At</w:t>
      </w:r>
      <w:proofErr w:type="gramEnd"/>
      <w:r>
        <w:t xml:space="preserve"> December 31, 2022 and 2021, the net fair value of our derivative instruments was not material (see “Note 15 – Fair Value Measurements” included in our Notes to Consolidated Financial Statements). A 10% unfavorable exchange rate movement of our foreign currency</w:t>
      </w:r>
      <w:r>
        <w:rPr>
          <w:spacing w:val="40"/>
        </w:rPr>
        <w:t xml:space="preserve"> </w:t>
      </w:r>
      <w:r>
        <w:t xml:space="preserve">contracts would not have a material impact on the aggregate net fair value of such contracts or our consolidated financial statements. Additionally, as we enter into foreign currency contracts to hedge foreign currency exposure on underlying </w:t>
      </w:r>
      <w:proofErr w:type="gramStart"/>
      <w:r>
        <w:t>transactions</w:t>
      </w:r>
      <w:proofErr w:type="gramEnd"/>
      <w:r>
        <w:t xml:space="preserve"> we believe that any movement on our foreign currency contracts would be offset by movement on the underlying transactions and, therefore, when taken together do not create material risk.</w:t>
      </w:r>
    </w:p>
    <w:p w14:paraId="2AD39124" w14:textId="77777777" w:rsidR="00AE2255" w:rsidRDefault="00AE2255">
      <w:pPr>
        <w:pStyle w:val="BodyText"/>
        <w:rPr>
          <w:sz w:val="18"/>
        </w:rPr>
      </w:pPr>
    </w:p>
    <w:p w14:paraId="1173E481" w14:textId="77777777" w:rsidR="00AE2255" w:rsidRDefault="00000000">
      <w:pPr>
        <w:pStyle w:val="BodyText"/>
        <w:spacing w:before="1" w:line="249" w:lineRule="auto"/>
        <w:ind w:left="610" w:right="428" w:firstLine="360"/>
        <w:jc w:val="both"/>
      </w:pPr>
      <w:r>
        <w:t>We evaluate the credit quality of potential counterparties to derivative transactions and only enter into agreements with those deemed to have acceptable credit risk at the time the agreements are executed. Our foreign currency exchange hedge portfolio is diversified across many banks. We regularly monitor changes to counterparty credit quality as well as our concentration of credit exposure to individual counterparties. We do not hold or issue derivative financial instruments for trading or speculative purposes.</w:t>
      </w:r>
    </w:p>
    <w:p w14:paraId="2611D4D9" w14:textId="77777777" w:rsidR="00AE2255" w:rsidRDefault="00AE2255">
      <w:pPr>
        <w:pStyle w:val="BodyText"/>
        <w:spacing w:before="8"/>
        <w:rPr>
          <w:sz w:val="17"/>
        </w:rPr>
      </w:pPr>
    </w:p>
    <w:p w14:paraId="151F5436" w14:textId="77777777" w:rsidR="00AE2255" w:rsidRDefault="00000000">
      <w:pPr>
        <w:pStyle w:val="BodyText"/>
        <w:spacing w:line="249" w:lineRule="auto"/>
        <w:ind w:left="610" w:right="427" w:firstLine="360"/>
        <w:jc w:val="both"/>
      </w:pPr>
      <w:r>
        <w:t>We</w:t>
      </w:r>
      <w:r>
        <w:rPr>
          <w:spacing w:val="-2"/>
        </w:rPr>
        <w:t xml:space="preserve"> </w:t>
      </w:r>
      <w:r>
        <w:t>maintain</w:t>
      </w:r>
      <w:r>
        <w:rPr>
          <w:spacing w:val="-2"/>
        </w:rPr>
        <w:t xml:space="preserve"> </w:t>
      </w:r>
      <w:r>
        <w:t>a</w:t>
      </w:r>
      <w:r>
        <w:rPr>
          <w:spacing w:val="-3"/>
        </w:rPr>
        <w:t xml:space="preserve"> </w:t>
      </w:r>
      <w:r>
        <w:t>separate</w:t>
      </w:r>
      <w:r>
        <w:rPr>
          <w:spacing w:val="-2"/>
        </w:rPr>
        <w:t xml:space="preserve"> </w:t>
      </w:r>
      <w:r>
        <w:t>trust</w:t>
      </w:r>
      <w:r>
        <w:rPr>
          <w:spacing w:val="-2"/>
        </w:rPr>
        <w:t xml:space="preserve"> </w:t>
      </w:r>
      <w:r>
        <w:t>that</w:t>
      </w:r>
      <w:r>
        <w:rPr>
          <w:spacing w:val="-3"/>
        </w:rPr>
        <w:t xml:space="preserve"> </w:t>
      </w:r>
      <w:r>
        <w:t>includes</w:t>
      </w:r>
      <w:r>
        <w:rPr>
          <w:spacing w:val="-2"/>
        </w:rPr>
        <w:t xml:space="preserve"> </w:t>
      </w:r>
      <w:r>
        <w:t>investments</w:t>
      </w:r>
      <w:r>
        <w:rPr>
          <w:spacing w:val="-2"/>
        </w:rPr>
        <w:t xml:space="preserve"> </w:t>
      </w:r>
      <w:r>
        <w:t>to</w:t>
      </w:r>
      <w:r>
        <w:rPr>
          <w:spacing w:val="-3"/>
        </w:rPr>
        <w:t xml:space="preserve"> </w:t>
      </w:r>
      <w:r>
        <w:t>fund</w:t>
      </w:r>
      <w:r>
        <w:rPr>
          <w:spacing w:val="-2"/>
        </w:rPr>
        <w:t xml:space="preserve"> </w:t>
      </w:r>
      <w:r>
        <w:t>certain</w:t>
      </w:r>
      <w:r>
        <w:rPr>
          <w:spacing w:val="-2"/>
        </w:rPr>
        <w:t xml:space="preserve"> </w:t>
      </w:r>
      <w:r>
        <w:t>of</w:t>
      </w:r>
      <w:r>
        <w:rPr>
          <w:spacing w:val="-3"/>
        </w:rPr>
        <w:t xml:space="preserve"> </w:t>
      </w:r>
      <w:r>
        <w:t>our</w:t>
      </w:r>
      <w:r>
        <w:rPr>
          <w:spacing w:val="-2"/>
        </w:rPr>
        <w:t xml:space="preserve"> </w:t>
      </w:r>
      <w:r>
        <w:t>non-qualified</w:t>
      </w:r>
      <w:r>
        <w:rPr>
          <w:spacing w:val="-2"/>
        </w:rPr>
        <w:t xml:space="preserve"> </w:t>
      </w:r>
      <w:r>
        <w:t>deferred</w:t>
      </w:r>
      <w:r>
        <w:rPr>
          <w:spacing w:val="-3"/>
        </w:rPr>
        <w:t xml:space="preserve"> </w:t>
      </w:r>
      <w:r>
        <w:t>compensation</w:t>
      </w:r>
      <w:r>
        <w:rPr>
          <w:spacing w:val="-2"/>
        </w:rPr>
        <w:t xml:space="preserve"> </w:t>
      </w:r>
      <w:r>
        <w:t>plans.</w:t>
      </w:r>
      <w:r>
        <w:rPr>
          <w:spacing w:val="-2"/>
        </w:rPr>
        <w:t xml:space="preserve"> </w:t>
      </w:r>
      <w:r>
        <w:t>As of December 31, 2022, investments in the trust totaled $1.6 billion and are reflected at fair value on our consolidated balance sheet</w:t>
      </w:r>
      <w:r>
        <w:rPr>
          <w:spacing w:val="-1"/>
        </w:rPr>
        <w:t xml:space="preserve"> </w:t>
      </w:r>
      <w:r>
        <w:t>in other noncurrent</w:t>
      </w:r>
      <w:r>
        <w:rPr>
          <w:spacing w:val="-1"/>
        </w:rPr>
        <w:t xml:space="preserve"> </w:t>
      </w:r>
      <w:r>
        <w:t>assets. The</w:t>
      </w:r>
      <w:r>
        <w:rPr>
          <w:spacing w:val="-1"/>
        </w:rPr>
        <w:t xml:space="preserve"> </w:t>
      </w:r>
      <w:r>
        <w:t>trust</w:t>
      </w:r>
      <w:r>
        <w:rPr>
          <w:spacing w:val="-1"/>
        </w:rPr>
        <w:t xml:space="preserve"> </w:t>
      </w:r>
      <w:r>
        <w:t>holds</w:t>
      </w:r>
      <w:r>
        <w:rPr>
          <w:spacing w:val="-1"/>
        </w:rPr>
        <w:t xml:space="preserve"> </w:t>
      </w:r>
      <w:r>
        <w:t>investments</w:t>
      </w:r>
      <w:r>
        <w:rPr>
          <w:spacing w:val="-1"/>
        </w:rPr>
        <w:t xml:space="preserve"> </w:t>
      </w:r>
      <w:r>
        <w:t>in marketable</w:t>
      </w:r>
      <w:r>
        <w:rPr>
          <w:spacing w:val="-1"/>
        </w:rPr>
        <w:t xml:space="preserve"> </w:t>
      </w:r>
      <w:r>
        <w:t>equity securities</w:t>
      </w:r>
      <w:r>
        <w:rPr>
          <w:spacing w:val="-1"/>
        </w:rPr>
        <w:t xml:space="preserve"> </w:t>
      </w:r>
      <w:r>
        <w:t>and fixed-income</w:t>
      </w:r>
      <w:r>
        <w:rPr>
          <w:spacing w:val="-1"/>
        </w:rPr>
        <w:t xml:space="preserve"> </w:t>
      </w:r>
      <w:r>
        <w:t>securities</w:t>
      </w:r>
      <w:r>
        <w:rPr>
          <w:spacing w:val="-1"/>
        </w:rPr>
        <w:t xml:space="preserve"> </w:t>
      </w:r>
      <w:r>
        <w:t>that</w:t>
      </w:r>
      <w:r>
        <w:rPr>
          <w:spacing w:val="-1"/>
        </w:rPr>
        <w:t xml:space="preserve"> </w:t>
      </w:r>
      <w:r>
        <w:t>are exposed to price changes and changes in interest rates. A portion of the liabilities associated with the deferred compensation plans supported by the trust is also impacted by changes in the market price of our common stock and certain market indices. Changes in the value of the liabilities have the effect of partially offsetting the impact of changes in the value of the trust. Both the change in the fair value of the trust and the change in the value of the liabilities are recognized on our consolidated statements of earnings in other unallocated, net and were not material for the year ended December 31, 2022.</w:t>
      </w:r>
    </w:p>
    <w:p w14:paraId="6DEE6B1D" w14:textId="77777777" w:rsidR="00AE2255" w:rsidRDefault="00AE2255">
      <w:pPr>
        <w:spacing w:line="249" w:lineRule="auto"/>
        <w:jc w:val="both"/>
        <w:sectPr w:rsidR="00AE2255">
          <w:pgSz w:w="12240" w:h="15840"/>
          <w:pgMar w:top="440" w:right="560" w:bottom="720" w:left="380" w:header="230" w:footer="531" w:gutter="0"/>
          <w:cols w:space="720"/>
        </w:sectPr>
      </w:pPr>
    </w:p>
    <w:p w14:paraId="6E902D05" w14:textId="77777777" w:rsidR="00AE2255" w:rsidRDefault="00AE2255">
      <w:pPr>
        <w:pStyle w:val="BodyText"/>
        <w:spacing w:before="10"/>
        <w:rPr>
          <w:sz w:val="22"/>
        </w:rPr>
      </w:pPr>
    </w:p>
    <w:p w14:paraId="2C1C11D4" w14:textId="77777777" w:rsidR="00AE2255" w:rsidRDefault="00000000">
      <w:pPr>
        <w:pStyle w:val="BodyText"/>
        <w:spacing w:before="92" w:line="249" w:lineRule="auto"/>
        <w:ind w:left="610" w:right="429" w:firstLine="360"/>
        <w:jc w:val="both"/>
      </w:pPr>
      <w:r>
        <w:t xml:space="preserve">We are exposed to equity market risk through certain marketable securities. The fair value of these marketable securities was $24 million as of December 31, 2022. A 10% decrease in the market price of our marketable equity securities as of December 31, </w:t>
      </w:r>
      <w:proofErr w:type="gramStart"/>
      <w:r>
        <w:t>2022</w:t>
      </w:r>
      <w:proofErr w:type="gramEnd"/>
      <w:r>
        <w:t xml:space="preserve"> would not have a material impact on the carrying amounts of these securities or our consolidated financial statements. Many of the same factors that could result in an adverse movement of equity market prices affect our non- marketable equity investments, although we cannot always quantify the impacts directly. Financial markets are volatile, which could negatively affect the valuations and prospects of the companies we invest in, their ability to raise additional capital, and the</w:t>
      </w:r>
      <w:r>
        <w:rPr>
          <w:spacing w:val="-1"/>
        </w:rPr>
        <w:t xml:space="preserve"> </w:t>
      </w:r>
      <w:r>
        <w:t>likelihood</w:t>
      </w:r>
      <w:r>
        <w:rPr>
          <w:spacing w:val="-1"/>
        </w:rPr>
        <w:t xml:space="preserve"> </w:t>
      </w:r>
      <w:r>
        <w:t>of</w:t>
      </w:r>
      <w:r>
        <w:rPr>
          <w:spacing w:val="-1"/>
        </w:rPr>
        <w:t xml:space="preserve"> </w:t>
      </w:r>
      <w:r>
        <w:t>our</w:t>
      </w:r>
      <w:r>
        <w:rPr>
          <w:spacing w:val="-1"/>
        </w:rPr>
        <w:t xml:space="preserve"> </w:t>
      </w:r>
      <w:r>
        <w:t>ability</w:t>
      </w:r>
      <w:r>
        <w:rPr>
          <w:spacing w:val="-1"/>
        </w:rPr>
        <w:t xml:space="preserve"> </w:t>
      </w:r>
      <w:r>
        <w:t>to</w:t>
      </w:r>
      <w:r>
        <w:rPr>
          <w:spacing w:val="-1"/>
        </w:rPr>
        <w:t xml:space="preserve"> </w:t>
      </w:r>
      <w:r>
        <w:t>realize</w:t>
      </w:r>
      <w:r>
        <w:rPr>
          <w:spacing w:val="-1"/>
        </w:rPr>
        <w:t xml:space="preserve"> </w:t>
      </w:r>
      <w:r>
        <w:t>value</w:t>
      </w:r>
      <w:r>
        <w:rPr>
          <w:spacing w:val="-1"/>
        </w:rPr>
        <w:t xml:space="preserve"> </w:t>
      </w:r>
      <w:r>
        <w:t>in</w:t>
      </w:r>
      <w:r>
        <w:rPr>
          <w:spacing w:val="-1"/>
        </w:rPr>
        <w:t xml:space="preserve"> </w:t>
      </w:r>
      <w:r>
        <w:t>our</w:t>
      </w:r>
      <w:r>
        <w:rPr>
          <w:spacing w:val="-1"/>
        </w:rPr>
        <w:t xml:space="preserve"> </w:t>
      </w:r>
      <w:r>
        <w:t>investments</w:t>
      </w:r>
      <w:r>
        <w:rPr>
          <w:spacing w:val="-1"/>
        </w:rPr>
        <w:t xml:space="preserve"> </w:t>
      </w:r>
      <w:r>
        <w:t>through</w:t>
      </w:r>
      <w:r>
        <w:rPr>
          <w:spacing w:val="-1"/>
        </w:rPr>
        <w:t xml:space="preserve"> </w:t>
      </w:r>
      <w:r>
        <w:t>liquidity</w:t>
      </w:r>
      <w:r>
        <w:rPr>
          <w:spacing w:val="-1"/>
        </w:rPr>
        <w:t xml:space="preserve"> </w:t>
      </w:r>
      <w:r>
        <w:t>events</w:t>
      </w:r>
      <w:r>
        <w:rPr>
          <w:spacing w:val="-1"/>
        </w:rPr>
        <w:t xml:space="preserve"> </w:t>
      </w:r>
      <w:r>
        <w:t>such</w:t>
      </w:r>
      <w:r>
        <w:rPr>
          <w:spacing w:val="-1"/>
        </w:rPr>
        <w:t xml:space="preserve"> </w:t>
      </w:r>
      <w:r>
        <w:t>as</w:t>
      </w:r>
      <w:r>
        <w:rPr>
          <w:spacing w:val="-1"/>
        </w:rPr>
        <w:t xml:space="preserve"> </w:t>
      </w:r>
      <w:r>
        <w:t>initial</w:t>
      </w:r>
      <w:r>
        <w:rPr>
          <w:spacing w:val="-1"/>
        </w:rPr>
        <w:t xml:space="preserve"> </w:t>
      </w:r>
      <w:r>
        <w:t>public</w:t>
      </w:r>
      <w:r>
        <w:rPr>
          <w:spacing w:val="-1"/>
        </w:rPr>
        <w:t xml:space="preserve"> </w:t>
      </w:r>
      <w:r>
        <w:t>offerings,</w:t>
      </w:r>
      <w:r>
        <w:rPr>
          <w:spacing w:val="-1"/>
        </w:rPr>
        <w:t xml:space="preserve"> </w:t>
      </w:r>
      <w:r>
        <w:t>mergers, and private sales.</w:t>
      </w:r>
    </w:p>
    <w:p w14:paraId="4BE4B2FA" w14:textId="77777777" w:rsidR="00AE2255" w:rsidRDefault="00AE2255">
      <w:pPr>
        <w:spacing w:line="249" w:lineRule="auto"/>
        <w:jc w:val="both"/>
        <w:sectPr w:rsidR="00AE2255">
          <w:pgSz w:w="12240" w:h="15840"/>
          <w:pgMar w:top="440" w:right="560" w:bottom="720" w:left="380" w:header="230" w:footer="531" w:gutter="0"/>
          <w:cols w:space="720"/>
        </w:sectPr>
      </w:pPr>
    </w:p>
    <w:p w14:paraId="1FB30D2B" w14:textId="77777777" w:rsidR="00AE2255" w:rsidRDefault="00AE2255">
      <w:pPr>
        <w:pStyle w:val="BodyText"/>
        <w:spacing w:before="10"/>
        <w:rPr>
          <w:sz w:val="22"/>
        </w:rPr>
      </w:pPr>
    </w:p>
    <w:p w14:paraId="330CF720" w14:textId="77777777" w:rsidR="00AE2255" w:rsidRDefault="00000000">
      <w:pPr>
        <w:pStyle w:val="Heading2"/>
        <w:tabs>
          <w:tab w:val="left" w:pos="1869"/>
        </w:tabs>
        <w:spacing w:before="92"/>
      </w:pPr>
      <w:bookmarkStart w:id="34" w:name="Item_8._Financial_Statements_and_Supplem"/>
      <w:bookmarkStart w:id="35" w:name="_bookmark12"/>
      <w:bookmarkEnd w:id="34"/>
      <w:bookmarkEnd w:id="35"/>
      <w:r>
        <w:t>ITEM</w:t>
      </w:r>
      <w:r>
        <w:rPr>
          <w:spacing w:val="-4"/>
        </w:rPr>
        <w:t xml:space="preserve"> </w:t>
      </w:r>
      <w:r>
        <w:rPr>
          <w:spacing w:val="-5"/>
        </w:rPr>
        <w:t>8.</w:t>
      </w:r>
      <w:r>
        <w:tab/>
        <w:t>Financial</w:t>
      </w:r>
      <w:r>
        <w:rPr>
          <w:spacing w:val="-8"/>
        </w:rPr>
        <w:t xml:space="preserve"> </w:t>
      </w:r>
      <w:r>
        <w:t>Statements</w:t>
      </w:r>
      <w:r>
        <w:rPr>
          <w:spacing w:val="-6"/>
        </w:rPr>
        <w:t xml:space="preserve"> </w:t>
      </w:r>
      <w:r>
        <w:t>and</w:t>
      </w:r>
      <w:r>
        <w:rPr>
          <w:spacing w:val="-6"/>
        </w:rPr>
        <w:t xml:space="preserve"> </w:t>
      </w:r>
      <w:r>
        <w:t>Supplementary</w:t>
      </w:r>
      <w:r>
        <w:rPr>
          <w:spacing w:val="-5"/>
        </w:rPr>
        <w:t xml:space="preserve"> </w:t>
      </w:r>
      <w:r>
        <w:rPr>
          <w:spacing w:val="-4"/>
        </w:rPr>
        <w:t>Data</w:t>
      </w:r>
    </w:p>
    <w:p w14:paraId="13714B90" w14:textId="77777777" w:rsidR="00AE2255" w:rsidRDefault="00AE2255">
      <w:pPr>
        <w:pStyle w:val="BodyText"/>
        <w:spacing w:before="5"/>
        <w:rPr>
          <w:b/>
          <w:sz w:val="21"/>
        </w:rPr>
      </w:pPr>
    </w:p>
    <w:p w14:paraId="7C6C8AFB" w14:textId="77777777" w:rsidR="00AE2255" w:rsidRDefault="00000000">
      <w:pPr>
        <w:pStyle w:val="Heading3"/>
        <w:spacing w:line="249" w:lineRule="auto"/>
        <w:ind w:left="3666" w:right="2995" w:hanging="341"/>
      </w:pPr>
      <w:r>
        <w:t>Report</w:t>
      </w:r>
      <w:r>
        <w:rPr>
          <w:spacing w:val="-8"/>
        </w:rPr>
        <w:t xml:space="preserve"> </w:t>
      </w:r>
      <w:r>
        <w:t>of</w:t>
      </w:r>
      <w:r>
        <w:rPr>
          <w:spacing w:val="-7"/>
        </w:rPr>
        <w:t xml:space="preserve"> </w:t>
      </w:r>
      <w:r>
        <w:t>Independent</w:t>
      </w:r>
      <w:r>
        <w:rPr>
          <w:spacing w:val="-8"/>
        </w:rPr>
        <w:t xml:space="preserve"> </w:t>
      </w:r>
      <w:r>
        <w:t>Registered</w:t>
      </w:r>
      <w:r>
        <w:rPr>
          <w:spacing w:val="-7"/>
        </w:rPr>
        <w:t xml:space="preserve"> </w:t>
      </w:r>
      <w:r>
        <w:t>Public</w:t>
      </w:r>
      <w:r>
        <w:rPr>
          <w:spacing w:val="-8"/>
        </w:rPr>
        <w:t xml:space="preserve"> </w:t>
      </w:r>
      <w:r>
        <w:t>Accounting</w:t>
      </w:r>
      <w:r>
        <w:rPr>
          <w:spacing w:val="-7"/>
        </w:rPr>
        <w:t xml:space="preserve"> </w:t>
      </w:r>
      <w:r>
        <w:t>Firm on the Audited Consolidated Financial Statements</w:t>
      </w:r>
    </w:p>
    <w:p w14:paraId="6B1CBDCF" w14:textId="77777777" w:rsidR="00AE2255" w:rsidRDefault="00AE2255">
      <w:pPr>
        <w:pStyle w:val="BodyText"/>
        <w:rPr>
          <w:b/>
          <w:i/>
          <w:sz w:val="22"/>
        </w:rPr>
      </w:pPr>
    </w:p>
    <w:p w14:paraId="48AAAD81" w14:textId="77777777" w:rsidR="00AE2255" w:rsidRDefault="00000000">
      <w:pPr>
        <w:pStyle w:val="BodyText"/>
        <w:spacing w:before="192" w:line="249" w:lineRule="auto"/>
        <w:ind w:left="610" w:right="7500"/>
      </w:pPr>
      <w:r>
        <w:t>Board</w:t>
      </w:r>
      <w:r>
        <w:rPr>
          <w:spacing w:val="-10"/>
        </w:rPr>
        <w:t xml:space="preserve"> </w:t>
      </w:r>
      <w:r>
        <w:t>of</w:t>
      </w:r>
      <w:r>
        <w:rPr>
          <w:spacing w:val="-10"/>
        </w:rPr>
        <w:t xml:space="preserve"> </w:t>
      </w:r>
      <w:r>
        <w:t>Directors</w:t>
      </w:r>
      <w:r>
        <w:rPr>
          <w:spacing w:val="-11"/>
        </w:rPr>
        <w:t xml:space="preserve"> </w:t>
      </w:r>
      <w:r>
        <w:t>and</w:t>
      </w:r>
      <w:r>
        <w:rPr>
          <w:spacing w:val="-10"/>
        </w:rPr>
        <w:t xml:space="preserve"> </w:t>
      </w:r>
      <w:r>
        <w:t>Stockholders Lockheed Martin Corporation</w:t>
      </w:r>
    </w:p>
    <w:p w14:paraId="56CEF8B7" w14:textId="77777777" w:rsidR="00AE2255" w:rsidRDefault="00AE2255">
      <w:pPr>
        <w:pStyle w:val="BodyText"/>
        <w:spacing w:before="3"/>
        <w:rPr>
          <w:sz w:val="17"/>
        </w:rPr>
      </w:pPr>
    </w:p>
    <w:p w14:paraId="5D286FED" w14:textId="77777777" w:rsidR="00AE2255" w:rsidRDefault="00000000">
      <w:pPr>
        <w:pStyle w:val="Heading2"/>
      </w:pPr>
      <w:r>
        <w:t>Opinion</w:t>
      </w:r>
      <w:r>
        <w:rPr>
          <w:spacing w:val="-4"/>
        </w:rPr>
        <w:t xml:space="preserve"> </w:t>
      </w:r>
      <w:r>
        <w:t>on</w:t>
      </w:r>
      <w:r>
        <w:rPr>
          <w:spacing w:val="-4"/>
        </w:rPr>
        <w:t xml:space="preserve"> </w:t>
      </w:r>
      <w:r>
        <w:t>the</w:t>
      </w:r>
      <w:r>
        <w:rPr>
          <w:spacing w:val="-4"/>
        </w:rPr>
        <w:t xml:space="preserve"> </w:t>
      </w:r>
      <w:r>
        <w:t>Financial</w:t>
      </w:r>
      <w:r>
        <w:rPr>
          <w:spacing w:val="-4"/>
        </w:rPr>
        <w:t xml:space="preserve"> </w:t>
      </w:r>
      <w:r>
        <w:rPr>
          <w:spacing w:val="-2"/>
        </w:rPr>
        <w:t>Statements</w:t>
      </w:r>
    </w:p>
    <w:p w14:paraId="735AC311" w14:textId="77777777" w:rsidR="00AE2255" w:rsidRDefault="00AE2255">
      <w:pPr>
        <w:pStyle w:val="BodyText"/>
        <w:spacing w:before="6"/>
        <w:rPr>
          <w:b/>
          <w:sz w:val="18"/>
        </w:rPr>
      </w:pPr>
    </w:p>
    <w:p w14:paraId="7BFA598F" w14:textId="77777777" w:rsidR="00AE2255" w:rsidRDefault="00000000">
      <w:pPr>
        <w:pStyle w:val="BodyText"/>
        <w:spacing w:line="249" w:lineRule="auto"/>
        <w:ind w:left="610" w:right="428" w:firstLine="360"/>
        <w:jc w:val="both"/>
      </w:pPr>
      <w:r>
        <w:t xml:space="preserve">We have audited the accompanying consolidated balance sheets of Lockheed Martin Corporation (the Corporation) as of December 31, </w:t>
      </w:r>
      <w:proofErr w:type="gramStart"/>
      <w:r>
        <w:t>2022</w:t>
      </w:r>
      <w:proofErr w:type="gramEnd"/>
      <w:r>
        <w:t xml:space="preserve"> and 2021, the related consolidated statements of earnings, comprehensive income, cash flows and equity</w:t>
      </w:r>
      <w:r>
        <w:rPr>
          <w:spacing w:val="40"/>
        </w:rPr>
        <w:t xml:space="preserve"> </w:t>
      </w:r>
      <w:r>
        <w:t>for each of the three years in the period ended December 31, 2022, and the related notes (collectively referred to as the “consolidated</w:t>
      </w:r>
      <w:r>
        <w:rPr>
          <w:spacing w:val="-3"/>
        </w:rPr>
        <w:t xml:space="preserve"> </w:t>
      </w:r>
      <w:r>
        <w:t>financial</w:t>
      </w:r>
      <w:r>
        <w:rPr>
          <w:spacing w:val="-3"/>
        </w:rPr>
        <w:t xml:space="preserve"> </w:t>
      </w:r>
      <w:r>
        <w:t>statements”).</w:t>
      </w:r>
      <w:r>
        <w:rPr>
          <w:spacing w:val="-3"/>
        </w:rPr>
        <w:t xml:space="preserve"> </w:t>
      </w:r>
      <w:r>
        <w:t>In</w:t>
      </w:r>
      <w:r>
        <w:rPr>
          <w:spacing w:val="-3"/>
        </w:rPr>
        <w:t xml:space="preserve"> </w:t>
      </w:r>
      <w:r>
        <w:t>our</w:t>
      </w:r>
      <w:r>
        <w:rPr>
          <w:spacing w:val="-3"/>
        </w:rPr>
        <w:t xml:space="preserve"> </w:t>
      </w:r>
      <w:r>
        <w:t>opinion,</w:t>
      </w:r>
      <w:r>
        <w:rPr>
          <w:spacing w:val="-3"/>
        </w:rPr>
        <w:t xml:space="preserve"> </w:t>
      </w:r>
      <w:r>
        <w:t>the</w:t>
      </w:r>
      <w:r>
        <w:rPr>
          <w:spacing w:val="-3"/>
        </w:rPr>
        <w:t xml:space="preserve"> </w:t>
      </w:r>
      <w:r>
        <w:t>consolidated</w:t>
      </w:r>
      <w:r>
        <w:rPr>
          <w:spacing w:val="-3"/>
        </w:rPr>
        <w:t xml:space="preserve"> </w:t>
      </w:r>
      <w:r>
        <w:t>financial</w:t>
      </w:r>
      <w:r>
        <w:rPr>
          <w:spacing w:val="-3"/>
        </w:rPr>
        <w:t xml:space="preserve"> </w:t>
      </w:r>
      <w:r>
        <w:t>statements</w:t>
      </w:r>
      <w:r>
        <w:rPr>
          <w:spacing w:val="-3"/>
        </w:rPr>
        <w:t xml:space="preserve"> </w:t>
      </w:r>
      <w:r>
        <w:t>present</w:t>
      </w:r>
      <w:r>
        <w:rPr>
          <w:spacing w:val="-3"/>
        </w:rPr>
        <w:t xml:space="preserve"> </w:t>
      </w:r>
      <w:r>
        <w:t>fairly,</w:t>
      </w:r>
      <w:r>
        <w:rPr>
          <w:spacing w:val="-3"/>
        </w:rPr>
        <w:t xml:space="preserve"> </w:t>
      </w:r>
      <w:r>
        <w:t>in</w:t>
      </w:r>
      <w:r>
        <w:rPr>
          <w:spacing w:val="-3"/>
        </w:rPr>
        <w:t xml:space="preserve"> </w:t>
      </w:r>
      <w:r>
        <w:t>all</w:t>
      </w:r>
      <w:r>
        <w:rPr>
          <w:spacing w:val="-3"/>
        </w:rPr>
        <w:t xml:space="preserve"> </w:t>
      </w:r>
      <w:r>
        <w:t>material</w:t>
      </w:r>
      <w:r>
        <w:rPr>
          <w:spacing w:val="-3"/>
        </w:rPr>
        <w:t xml:space="preserve"> </w:t>
      </w:r>
      <w:r>
        <w:t xml:space="preserve">respects, the financial position of the Corporation </w:t>
      </w:r>
      <w:proofErr w:type="gramStart"/>
      <w:r>
        <w:t>at</w:t>
      </w:r>
      <w:proofErr w:type="gramEnd"/>
      <w:r>
        <w:t xml:space="preserve"> December 31, 2022 and 2021, and the results of its operations and its cash flows for each of the three years in the period ended December 31, 2022, in conformity with U.S. generally accepted accounting </w:t>
      </w:r>
      <w:r>
        <w:rPr>
          <w:spacing w:val="-2"/>
        </w:rPr>
        <w:t>principles.</w:t>
      </w:r>
    </w:p>
    <w:p w14:paraId="4E4AC2DA" w14:textId="77777777" w:rsidR="00AE2255" w:rsidRDefault="00AE2255">
      <w:pPr>
        <w:pStyle w:val="BodyText"/>
        <w:spacing w:before="4"/>
        <w:rPr>
          <w:sz w:val="21"/>
        </w:rPr>
      </w:pPr>
    </w:p>
    <w:p w14:paraId="2522016F" w14:textId="77777777" w:rsidR="00AE2255" w:rsidRDefault="00000000">
      <w:pPr>
        <w:pStyle w:val="BodyText"/>
        <w:spacing w:line="249" w:lineRule="auto"/>
        <w:ind w:left="610" w:right="428" w:firstLine="360"/>
        <w:jc w:val="both"/>
      </w:pPr>
      <w:r>
        <w:t>We also have audited, in accordance with the standards of the Public Company Accounting Oversight Board (United</w:t>
      </w:r>
      <w:r>
        <w:rPr>
          <w:spacing w:val="40"/>
        </w:rPr>
        <w:t xml:space="preserve"> </w:t>
      </w:r>
      <w:r>
        <w:t xml:space="preserve">States) (PCAOB), the Corporation’s internal control over financial reporting as of December 31, 2022, based on criteria established in Internal Control-Integrated Framework issued by the Committee of Sponsoring Organizations of the Treadway Commission (2013 framework) and our report dated January 26, </w:t>
      </w:r>
      <w:proofErr w:type="gramStart"/>
      <w:r>
        <w:t>2023</w:t>
      </w:r>
      <w:proofErr w:type="gramEnd"/>
      <w:r>
        <w:t xml:space="preserve"> expressed an unqualified opinion thereon.</w:t>
      </w:r>
    </w:p>
    <w:p w14:paraId="249DC9CE" w14:textId="77777777" w:rsidR="00AE2255" w:rsidRDefault="00AE2255">
      <w:pPr>
        <w:pStyle w:val="BodyText"/>
        <w:spacing w:before="10"/>
      </w:pPr>
    </w:p>
    <w:p w14:paraId="5453AC71" w14:textId="77777777" w:rsidR="00AE2255" w:rsidRDefault="00000000">
      <w:pPr>
        <w:pStyle w:val="Heading2"/>
        <w:spacing w:before="1"/>
      </w:pPr>
      <w:r>
        <w:t>Basis</w:t>
      </w:r>
      <w:r>
        <w:rPr>
          <w:spacing w:val="-3"/>
        </w:rPr>
        <w:t xml:space="preserve"> </w:t>
      </w:r>
      <w:r>
        <w:t>for</w:t>
      </w:r>
      <w:r>
        <w:rPr>
          <w:spacing w:val="-2"/>
        </w:rPr>
        <w:t xml:space="preserve"> Opinion</w:t>
      </w:r>
    </w:p>
    <w:p w14:paraId="290B4544" w14:textId="77777777" w:rsidR="00AE2255" w:rsidRDefault="00AE2255">
      <w:pPr>
        <w:pStyle w:val="BodyText"/>
        <w:rPr>
          <w:b/>
          <w:sz w:val="22"/>
        </w:rPr>
      </w:pPr>
    </w:p>
    <w:p w14:paraId="306D0FDB" w14:textId="77777777" w:rsidR="00AE2255" w:rsidRDefault="00000000">
      <w:pPr>
        <w:pStyle w:val="BodyText"/>
        <w:spacing w:line="249" w:lineRule="auto"/>
        <w:ind w:left="610" w:right="429" w:firstLine="360"/>
        <w:jc w:val="both"/>
      </w:pPr>
      <w:r>
        <w:t>These financial statements are the responsibility of the Corporation’s management. Our responsibility is to express an opinion on the Corporation’s financial statements based on our audits. We are a public accounting firm registered with the PCAOB and are required to be independent with respect to the Corporation in accordance with the U.S. federal securities laws and the applicable rules and regulations of the Securities and Exchange Commission and the PCAOB.</w:t>
      </w:r>
    </w:p>
    <w:p w14:paraId="63060957" w14:textId="77777777" w:rsidR="00AE2255" w:rsidRDefault="00AE2255">
      <w:pPr>
        <w:pStyle w:val="BodyText"/>
        <w:spacing w:before="1"/>
        <w:rPr>
          <w:sz w:val="21"/>
        </w:rPr>
      </w:pPr>
    </w:p>
    <w:p w14:paraId="79A14510" w14:textId="77777777" w:rsidR="00AE2255" w:rsidRDefault="00000000">
      <w:pPr>
        <w:pStyle w:val="BodyText"/>
        <w:spacing w:before="1" w:line="249" w:lineRule="auto"/>
        <w:ind w:left="610" w:right="428" w:firstLine="360"/>
        <w:jc w:val="both"/>
      </w:pPr>
      <w: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3AE37DAF" w14:textId="77777777" w:rsidR="00AE2255" w:rsidRDefault="00AE2255">
      <w:pPr>
        <w:pStyle w:val="BodyText"/>
        <w:rPr>
          <w:sz w:val="21"/>
        </w:rPr>
      </w:pPr>
    </w:p>
    <w:p w14:paraId="44597A9D" w14:textId="77777777" w:rsidR="00AE2255" w:rsidRDefault="00000000">
      <w:pPr>
        <w:pStyle w:val="Heading2"/>
        <w:spacing w:before="1"/>
      </w:pPr>
      <w:r>
        <w:t>Critical</w:t>
      </w:r>
      <w:r>
        <w:rPr>
          <w:spacing w:val="-6"/>
        </w:rPr>
        <w:t xml:space="preserve"> </w:t>
      </w:r>
      <w:r>
        <w:t>Audit</w:t>
      </w:r>
      <w:r>
        <w:rPr>
          <w:spacing w:val="-4"/>
        </w:rPr>
        <w:t xml:space="preserve"> </w:t>
      </w:r>
      <w:r>
        <w:rPr>
          <w:spacing w:val="-2"/>
        </w:rPr>
        <w:t>Matters</w:t>
      </w:r>
    </w:p>
    <w:p w14:paraId="37C1C349" w14:textId="77777777" w:rsidR="00AE2255" w:rsidRDefault="00AE2255">
      <w:pPr>
        <w:pStyle w:val="BodyText"/>
        <w:rPr>
          <w:b/>
          <w:sz w:val="22"/>
        </w:rPr>
      </w:pPr>
    </w:p>
    <w:p w14:paraId="1F6D90BA" w14:textId="77777777" w:rsidR="00AE2255" w:rsidRDefault="00000000">
      <w:pPr>
        <w:pStyle w:val="BodyText"/>
        <w:spacing w:line="249" w:lineRule="auto"/>
        <w:ind w:left="610" w:right="428"/>
        <w:jc w:val="both"/>
      </w:pPr>
      <w:r>
        <w:t xml:space="preserve">The critical audit matters communicated below are matters arising from the current period audit of the financial statements that were communicated or required to be communicated to the audit committee and that: (1) relate to accounts or disclosures that are material to the financial statements and (2) involved our especially challenging, </w:t>
      </w:r>
      <w:proofErr w:type="gramStart"/>
      <w:r>
        <w:t>subjective</w:t>
      </w:r>
      <w:proofErr w:type="gramEnd"/>
      <w:r>
        <w:t xml:space="preserve"> or complex judgments. The communication of critical audit matters does not alter in any way our opinion on the consolidated financial statements, taken as a whole, and we are not, by communicating the critical audit matters below, providing separate opinions on the critical audit matters or on the accounts or disclosures to which they relate.</w:t>
      </w:r>
    </w:p>
    <w:p w14:paraId="4955F4CE" w14:textId="77777777" w:rsidR="00AE2255" w:rsidRDefault="00AE2255">
      <w:pPr>
        <w:spacing w:line="249" w:lineRule="auto"/>
        <w:jc w:val="both"/>
        <w:sectPr w:rsidR="00AE2255">
          <w:pgSz w:w="12240" w:h="15840"/>
          <w:pgMar w:top="440" w:right="560" w:bottom="720" w:left="380" w:header="230" w:footer="531" w:gutter="0"/>
          <w:cols w:space="720"/>
        </w:sectPr>
      </w:pPr>
    </w:p>
    <w:p w14:paraId="019D5663" w14:textId="77777777" w:rsidR="00AE2255" w:rsidRDefault="00AE2255">
      <w:pPr>
        <w:pStyle w:val="BodyText"/>
        <w:spacing w:before="1"/>
        <w:rPr>
          <w:sz w:val="29"/>
        </w:rPr>
      </w:pPr>
    </w:p>
    <w:p w14:paraId="0C07B563" w14:textId="77777777" w:rsidR="00AE2255" w:rsidRDefault="00AE2255">
      <w:pPr>
        <w:rPr>
          <w:sz w:val="29"/>
        </w:rPr>
        <w:sectPr w:rsidR="00AE2255">
          <w:pgSz w:w="12240" w:h="15840"/>
          <w:pgMar w:top="440" w:right="560" w:bottom="720" w:left="380" w:header="230" w:footer="531" w:gutter="0"/>
          <w:cols w:space="720"/>
        </w:sectPr>
      </w:pPr>
    </w:p>
    <w:p w14:paraId="1EC64AE5" w14:textId="77777777" w:rsidR="00AE2255" w:rsidRDefault="00AE2255">
      <w:pPr>
        <w:pStyle w:val="BodyText"/>
        <w:rPr>
          <w:sz w:val="22"/>
        </w:rPr>
      </w:pPr>
    </w:p>
    <w:p w14:paraId="3833ED73" w14:textId="77777777" w:rsidR="00AE2255" w:rsidRDefault="00AE2255">
      <w:pPr>
        <w:pStyle w:val="BodyText"/>
        <w:spacing w:before="4"/>
        <w:rPr>
          <w:sz w:val="22"/>
        </w:rPr>
      </w:pPr>
    </w:p>
    <w:p w14:paraId="3B292417" w14:textId="77777777" w:rsidR="00AE2255" w:rsidRDefault="00000000">
      <w:pPr>
        <w:spacing w:line="208" w:lineRule="auto"/>
        <w:ind w:left="670" w:right="-8"/>
        <w:rPr>
          <w:i/>
          <w:sz w:val="20"/>
        </w:rPr>
      </w:pPr>
      <w:r>
        <w:rPr>
          <w:i/>
          <w:sz w:val="20"/>
        </w:rPr>
        <w:t>Description</w:t>
      </w:r>
      <w:r>
        <w:rPr>
          <w:i/>
          <w:spacing w:val="-13"/>
          <w:sz w:val="20"/>
        </w:rPr>
        <w:t xml:space="preserve"> </w:t>
      </w:r>
      <w:r>
        <w:rPr>
          <w:i/>
          <w:sz w:val="20"/>
        </w:rPr>
        <w:t>of the Matter</w:t>
      </w:r>
    </w:p>
    <w:p w14:paraId="345A5747" w14:textId="77777777" w:rsidR="00AE2255" w:rsidRDefault="00000000">
      <w:pPr>
        <w:pStyle w:val="Heading3"/>
        <w:spacing w:before="92"/>
        <w:ind w:left="476"/>
        <w:jc w:val="both"/>
      </w:pPr>
      <w:r>
        <w:rPr>
          <w:b w:val="0"/>
          <w:i w:val="0"/>
        </w:rPr>
        <w:br w:type="column"/>
      </w:r>
      <w:r>
        <w:t>Revenue</w:t>
      </w:r>
      <w:r>
        <w:rPr>
          <w:spacing w:val="-7"/>
        </w:rPr>
        <w:t xml:space="preserve"> </w:t>
      </w:r>
      <w:r>
        <w:t>recognition</w:t>
      </w:r>
      <w:r>
        <w:rPr>
          <w:spacing w:val="-5"/>
        </w:rPr>
        <w:t xml:space="preserve"> </w:t>
      </w:r>
      <w:r>
        <w:t>based</w:t>
      </w:r>
      <w:r>
        <w:rPr>
          <w:spacing w:val="-3"/>
        </w:rPr>
        <w:t xml:space="preserve"> </w:t>
      </w:r>
      <w:r>
        <w:t>on</w:t>
      </w:r>
      <w:r>
        <w:rPr>
          <w:spacing w:val="-5"/>
        </w:rPr>
        <w:t xml:space="preserve"> </w:t>
      </w:r>
      <w:r>
        <w:t>the</w:t>
      </w:r>
      <w:r>
        <w:rPr>
          <w:spacing w:val="-5"/>
        </w:rPr>
        <w:t xml:space="preserve"> </w:t>
      </w:r>
      <w:r>
        <w:t>percentage</w:t>
      </w:r>
      <w:r>
        <w:rPr>
          <w:spacing w:val="-4"/>
        </w:rPr>
        <w:t xml:space="preserve"> </w:t>
      </w:r>
      <w:r>
        <w:t>of</w:t>
      </w:r>
      <w:r>
        <w:rPr>
          <w:spacing w:val="-4"/>
        </w:rPr>
        <w:t xml:space="preserve"> </w:t>
      </w:r>
      <w:r>
        <w:t>completion</w:t>
      </w:r>
      <w:r>
        <w:rPr>
          <w:spacing w:val="-4"/>
        </w:rPr>
        <w:t xml:space="preserve"> </w:t>
      </w:r>
      <w:r>
        <w:rPr>
          <w:spacing w:val="-2"/>
        </w:rPr>
        <w:t>method</w:t>
      </w:r>
    </w:p>
    <w:p w14:paraId="08D31F3B" w14:textId="77777777" w:rsidR="00AE2255" w:rsidRDefault="00000000">
      <w:pPr>
        <w:pStyle w:val="BodyText"/>
        <w:spacing w:before="176" w:line="223" w:lineRule="auto"/>
        <w:ind w:left="476" w:right="488"/>
        <w:jc w:val="both"/>
      </w:pPr>
      <w:r>
        <w:t>For</w:t>
      </w:r>
      <w:r>
        <w:rPr>
          <w:spacing w:val="-2"/>
        </w:rPr>
        <w:t xml:space="preserve"> </w:t>
      </w:r>
      <w:r>
        <w:t>the</w:t>
      </w:r>
      <w:r>
        <w:rPr>
          <w:spacing w:val="-2"/>
        </w:rPr>
        <w:t xml:space="preserve"> </w:t>
      </w:r>
      <w:r>
        <w:t>year</w:t>
      </w:r>
      <w:r>
        <w:rPr>
          <w:spacing w:val="-2"/>
        </w:rPr>
        <w:t xml:space="preserve"> </w:t>
      </w:r>
      <w:r>
        <w:t>ended</w:t>
      </w:r>
      <w:r>
        <w:rPr>
          <w:spacing w:val="-2"/>
        </w:rPr>
        <w:t xml:space="preserve"> </w:t>
      </w:r>
      <w:r>
        <w:t>December</w:t>
      </w:r>
      <w:r>
        <w:rPr>
          <w:spacing w:val="-2"/>
        </w:rPr>
        <w:t xml:space="preserve"> </w:t>
      </w:r>
      <w:r>
        <w:t>31,</w:t>
      </w:r>
      <w:r>
        <w:rPr>
          <w:spacing w:val="-2"/>
        </w:rPr>
        <w:t xml:space="preserve"> </w:t>
      </w:r>
      <w:r>
        <w:t>2022,</w:t>
      </w:r>
      <w:r>
        <w:rPr>
          <w:spacing w:val="-2"/>
        </w:rPr>
        <w:t xml:space="preserve"> </w:t>
      </w:r>
      <w:r>
        <w:t>the</w:t>
      </w:r>
      <w:r>
        <w:rPr>
          <w:spacing w:val="-2"/>
        </w:rPr>
        <w:t xml:space="preserve"> </w:t>
      </w:r>
      <w:r>
        <w:t>Corporation</w:t>
      </w:r>
      <w:r>
        <w:rPr>
          <w:spacing w:val="-2"/>
        </w:rPr>
        <w:t xml:space="preserve"> </w:t>
      </w:r>
      <w:r>
        <w:t>recorded</w:t>
      </w:r>
      <w:r>
        <w:rPr>
          <w:spacing w:val="-2"/>
        </w:rPr>
        <w:t xml:space="preserve"> </w:t>
      </w:r>
      <w:r>
        <w:t>net</w:t>
      </w:r>
      <w:r>
        <w:rPr>
          <w:spacing w:val="-2"/>
        </w:rPr>
        <w:t xml:space="preserve"> </w:t>
      </w:r>
      <w:r>
        <w:t>sales</w:t>
      </w:r>
      <w:r>
        <w:rPr>
          <w:spacing w:val="-2"/>
        </w:rPr>
        <w:t xml:space="preserve"> </w:t>
      </w:r>
      <w:r>
        <w:t>of</w:t>
      </w:r>
      <w:r>
        <w:rPr>
          <w:spacing w:val="-2"/>
        </w:rPr>
        <w:t xml:space="preserve"> </w:t>
      </w:r>
      <w:r>
        <w:t>$66.0</w:t>
      </w:r>
      <w:r>
        <w:rPr>
          <w:spacing w:val="-2"/>
        </w:rPr>
        <w:t xml:space="preserve"> </w:t>
      </w:r>
      <w:r>
        <w:t>billion.</w:t>
      </w:r>
      <w:r>
        <w:rPr>
          <w:spacing w:val="-2"/>
        </w:rPr>
        <w:t xml:space="preserve"> </w:t>
      </w:r>
      <w:r>
        <w:t>As</w:t>
      </w:r>
      <w:r>
        <w:rPr>
          <w:spacing w:val="-2"/>
        </w:rPr>
        <w:t xml:space="preserve"> </w:t>
      </w:r>
      <w:r>
        <w:t>more</w:t>
      </w:r>
      <w:r>
        <w:rPr>
          <w:spacing w:val="-2"/>
        </w:rPr>
        <w:t xml:space="preserve"> </w:t>
      </w:r>
      <w:r>
        <w:t xml:space="preserve">fully described in Note 1 to the consolidated financial statements, the Corporation generates </w:t>
      </w:r>
      <w:proofErr w:type="gramStart"/>
      <w:r>
        <w:t>the majority of</w:t>
      </w:r>
      <w:proofErr w:type="gramEnd"/>
      <w:r>
        <w:t xml:space="preserve"> its net sales from long-term contracts with its customers whereby substantially all of the Corporation’s revenue is recognized over time using the percentage-of-completion cost-to-cost measure of progress. Under the percentage-of-completion cost-to-cost measure of progress, the Corporation measures progress towards</w:t>
      </w:r>
      <w:r>
        <w:rPr>
          <w:spacing w:val="-3"/>
        </w:rPr>
        <w:t xml:space="preserve"> </w:t>
      </w:r>
      <w:r>
        <w:t>completion</w:t>
      </w:r>
      <w:r>
        <w:rPr>
          <w:spacing w:val="-3"/>
        </w:rPr>
        <w:t xml:space="preserve"> </w:t>
      </w:r>
      <w:r>
        <w:t>based</w:t>
      </w:r>
      <w:r>
        <w:rPr>
          <w:spacing w:val="-3"/>
        </w:rPr>
        <w:t xml:space="preserve"> </w:t>
      </w:r>
      <w:r>
        <w:t>on</w:t>
      </w:r>
      <w:r>
        <w:rPr>
          <w:spacing w:val="-3"/>
        </w:rPr>
        <w:t xml:space="preserve"> </w:t>
      </w:r>
      <w:r>
        <w:t>the</w:t>
      </w:r>
      <w:r>
        <w:rPr>
          <w:spacing w:val="-3"/>
        </w:rPr>
        <w:t xml:space="preserve"> </w:t>
      </w:r>
      <w:r>
        <w:t>ratio</w:t>
      </w:r>
      <w:r>
        <w:rPr>
          <w:spacing w:val="-3"/>
        </w:rPr>
        <w:t xml:space="preserve"> </w:t>
      </w:r>
      <w:r>
        <w:t>of</w:t>
      </w:r>
      <w:r>
        <w:rPr>
          <w:spacing w:val="-3"/>
        </w:rPr>
        <w:t xml:space="preserve"> </w:t>
      </w:r>
      <w:r>
        <w:t>costs</w:t>
      </w:r>
      <w:r>
        <w:rPr>
          <w:spacing w:val="-3"/>
        </w:rPr>
        <w:t xml:space="preserve"> </w:t>
      </w:r>
      <w:r>
        <w:t>incurred</w:t>
      </w:r>
      <w:r>
        <w:rPr>
          <w:spacing w:val="-3"/>
        </w:rPr>
        <w:t xml:space="preserve"> </w:t>
      </w:r>
      <w:r>
        <w:t>to</w:t>
      </w:r>
      <w:r>
        <w:rPr>
          <w:spacing w:val="-3"/>
        </w:rPr>
        <w:t xml:space="preserve"> </w:t>
      </w:r>
      <w:r>
        <w:t>date</w:t>
      </w:r>
      <w:r>
        <w:rPr>
          <w:spacing w:val="-3"/>
        </w:rPr>
        <w:t xml:space="preserve"> </w:t>
      </w:r>
      <w:r>
        <w:t>to</w:t>
      </w:r>
      <w:r>
        <w:rPr>
          <w:spacing w:val="-3"/>
        </w:rPr>
        <w:t xml:space="preserve"> </w:t>
      </w:r>
      <w:r>
        <w:t>the</w:t>
      </w:r>
      <w:r>
        <w:rPr>
          <w:spacing w:val="-3"/>
        </w:rPr>
        <w:t xml:space="preserve"> </w:t>
      </w:r>
      <w:r>
        <w:t>estimated</w:t>
      </w:r>
      <w:r>
        <w:rPr>
          <w:spacing w:val="-3"/>
        </w:rPr>
        <w:t xml:space="preserve"> </w:t>
      </w:r>
      <w:r>
        <w:t>total</w:t>
      </w:r>
      <w:r>
        <w:rPr>
          <w:spacing w:val="-3"/>
        </w:rPr>
        <w:t xml:space="preserve"> </w:t>
      </w:r>
      <w:r>
        <w:t>costs</w:t>
      </w:r>
      <w:r>
        <w:rPr>
          <w:spacing w:val="-3"/>
        </w:rPr>
        <w:t xml:space="preserve"> </w:t>
      </w:r>
      <w:r>
        <w:t>to</w:t>
      </w:r>
      <w:r>
        <w:rPr>
          <w:spacing w:val="-3"/>
        </w:rPr>
        <w:t xml:space="preserve"> </w:t>
      </w:r>
      <w:r>
        <w:t>complete</w:t>
      </w:r>
      <w:r>
        <w:rPr>
          <w:spacing w:val="-3"/>
        </w:rPr>
        <w:t xml:space="preserve"> </w:t>
      </w:r>
      <w:r>
        <w:t>the performance</w:t>
      </w:r>
      <w:r>
        <w:rPr>
          <w:spacing w:val="-4"/>
        </w:rPr>
        <w:t xml:space="preserve"> </w:t>
      </w:r>
      <w:r>
        <w:t>obligation(s)</w:t>
      </w:r>
      <w:r>
        <w:rPr>
          <w:spacing w:val="-4"/>
        </w:rPr>
        <w:t xml:space="preserve"> </w:t>
      </w:r>
      <w:r>
        <w:t>(referred</w:t>
      </w:r>
      <w:r>
        <w:rPr>
          <w:spacing w:val="-4"/>
        </w:rPr>
        <w:t xml:space="preserve"> </w:t>
      </w:r>
      <w:r>
        <w:t>to</w:t>
      </w:r>
      <w:r>
        <w:rPr>
          <w:spacing w:val="-4"/>
        </w:rPr>
        <w:t xml:space="preserve"> </w:t>
      </w:r>
      <w:r>
        <w:t>as</w:t>
      </w:r>
      <w:r>
        <w:rPr>
          <w:spacing w:val="-4"/>
        </w:rPr>
        <w:t xml:space="preserve"> </w:t>
      </w:r>
      <w:r>
        <w:t>the</w:t>
      </w:r>
      <w:r>
        <w:rPr>
          <w:spacing w:val="-4"/>
        </w:rPr>
        <w:t xml:space="preserve"> </w:t>
      </w:r>
      <w:r>
        <w:t>estimate-at-completion</w:t>
      </w:r>
      <w:r>
        <w:rPr>
          <w:spacing w:val="-4"/>
        </w:rPr>
        <w:t xml:space="preserve"> </w:t>
      </w:r>
      <w:r>
        <w:t>analysis).</w:t>
      </w:r>
      <w:r>
        <w:rPr>
          <w:spacing w:val="40"/>
        </w:rPr>
        <w:t xml:space="preserve"> </w:t>
      </w:r>
      <w:r>
        <w:t>The</w:t>
      </w:r>
      <w:r>
        <w:rPr>
          <w:spacing w:val="-4"/>
        </w:rPr>
        <w:t xml:space="preserve"> </w:t>
      </w:r>
      <w:r>
        <w:t>Corporation</w:t>
      </w:r>
      <w:r>
        <w:rPr>
          <w:spacing w:val="-4"/>
        </w:rPr>
        <w:t xml:space="preserve"> </w:t>
      </w:r>
      <w:r>
        <w:t xml:space="preserve">estimates profit on these contracts as the difference between total estimated revenues and total estimated cost at </w:t>
      </w:r>
      <w:r>
        <w:rPr>
          <w:spacing w:val="-2"/>
        </w:rPr>
        <w:t>completion.</w:t>
      </w:r>
    </w:p>
    <w:p w14:paraId="2661C525" w14:textId="77777777" w:rsidR="00AE2255" w:rsidRDefault="00AE2255">
      <w:pPr>
        <w:pStyle w:val="BodyText"/>
        <w:spacing w:before="1"/>
      </w:pPr>
    </w:p>
    <w:p w14:paraId="0FD4E473" w14:textId="77777777" w:rsidR="00AE2255" w:rsidRDefault="00000000">
      <w:pPr>
        <w:pStyle w:val="BodyText"/>
        <w:spacing w:line="223" w:lineRule="auto"/>
        <w:ind w:left="476" w:right="488"/>
        <w:jc w:val="both"/>
      </w:pPr>
      <w:r>
        <w:t>The percentage-of-completion cost-to-cost method requires management to make significant estimates and assumptions to estimate contract sales and costs associated with its contracts with customers.</w:t>
      </w:r>
      <w:r>
        <w:rPr>
          <w:spacing w:val="40"/>
        </w:rPr>
        <w:t xml:space="preserve"> </w:t>
      </w:r>
      <w:r>
        <w:t>At the outset of a long-term contract, the Corporation identifies risks to the achievement of the technical, schedule and cost aspects of the contract. Throughout the contract life cycle, the Corporation monitors and assesses the effects of those risks on its estimates of sales and total costs to complete the contract. Profit booking rates may increase during the performance of the contract if the Corporation successfully retires risks surrounding the technical, schedule and cost aspects of the contract, which would decrease the estimated total costs to complete the contract.</w:t>
      </w:r>
      <w:r>
        <w:rPr>
          <w:spacing w:val="40"/>
        </w:rPr>
        <w:t xml:space="preserve"> </w:t>
      </w:r>
      <w:r>
        <w:t>Conversely, the profit booking rates may decrease if</w:t>
      </w:r>
      <w:r>
        <w:rPr>
          <w:spacing w:val="40"/>
        </w:rPr>
        <w:t xml:space="preserve"> </w:t>
      </w:r>
      <w:r>
        <w:t>the estimated total costs to complete the contract increase.</w:t>
      </w:r>
      <w:r>
        <w:rPr>
          <w:spacing w:val="40"/>
        </w:rPr>
        <w:t xml:space="preserve"> </w:t>
      </w:r>
      <w:r>
        <w:t>Changes to the profit booking rates resulting from changes in estimates could have a material effect on the Corporation’s results of operations.</w:t>
      </w:r>
    </w:p>
    <w:p w14:paraId="754CD89B" w14:textId="77777777" w:rsidR="00AE2255" w:rsidRDefault="00AE2255">
      <w:pPr>
        <w:pStyle w:val="BodyText"/>
        <w:spacing w:before="1"/>
      </w:pPr>
    </w:p>
    <w:p w14:paraId="201EA16E" w14:textId="77777777" w:rsidR="00AE2255" w:rsidRDefault="00000000">
      <w:pPr>
        <w:pStyle w:val="BodyText"/>
        <w:spacing w:before="1" w:line="223" w:lineRule="auto"/>
        <w:ind w:left="476" w:right="488"/>
        <w:jc w:val="both"/>
      </w:pPr>
      <w:r>
        <w:t>Auditing the Corporation’s estimate-at-completion analyses used in its revenue recognition process was complex due to the judgment involved in evaluating the significant estimates and assumptions made by management in the creation and subsequent updates to the Corporation’s estimate-at-completion</w:t>
      </w:r>
      <w:r>
        <w:rPr>
          <w:spacing w:val="40"/>
        </w:rPr>
        <w:t xml:space="preserve"> </w:t>
      </w:r>
      <w:r>
        <w:t>analyses.</w:t>
      </w:r>
      <w:r>
        <w:rPr>
          <w:spacing w:val="40"/>
        </w:rPr>
        <w:t xml:space="preserve"> </w:t>
      </w:r>
      <w:r>
        <w:t>The estimate-at-completion analyses of each contract consider risks surrounding the Corporation’s ability to achieve the technical, schedule, and cost aspects of the contract.</w:t>
      </w:r>
    </w:p>
    <w:p w14:paraId="5223BAD2" w14:textId="77777777" w:rsidR="00AE2255" w:rsidRDefault="00AE2255">
      <w:pPr>
        <w:spacing w:line="223" w:lineRule="auto"/>
        <w:jc w:val="both"/>
        <w:sectPr w:rsidR="00AE2255">
          <w:type w:val="continuous"/>
          <w:pgSz w:w="12240" w:h="15840"/>
          <w:pgMar w:top="440" w:right="560" w:bottom="280" w:left="380" w:header="230" w:footer="531" w:gutter="0"/>
          <w:cols w:num="2" w:space="720" w:equalWidth="0">
            <w:col w:w="1819" w:space="40"/>
            <w:col w:w="9441"/>
          </w:cols>
        </w:sectPr>
      </w:pPr>
    </w:p>
    <w:p w14:paraId="3FC2FD87" w14:textId="77777777" w:rsidR="00AE2255" w:rsidRDefault="00AE2255">
      <w:pPr>
        <w:pStyle w:val="BodyText"/>
        <w:spacing w:before="1"/>
        <w:rPr>
          <w:sz w:val="22"/>
        </w:rPr>
      </w:pPr>
    </w:p>
    <w:p w14:paraId="36850BD2" w14:textId="77777777" w:rsidR="00AE2255" w:rsidRDefault="00AE2255">
      <w:pPr>
        <w:sectPr w:rsidR="00AE2255">
          <w:type w:val="continuous"/>
          <w:pgSz w:w="12240" w:h="15840"/>
          <w:pgMar w:top="440" w:right="560" w:bottom="280" w:left="380" w:header="230" w:footer="531" w:gutter="0"/>
          <w:cols w:space="720"/>
        </w:sectPr>
      </w:pPr>
    </w:p>
    <w:p w14:paraId="292340B8" w14:textId="77777777" w:rsidR="00AE2255" w:rsidRDefault="00000000">
      <w:pPr>
        <w:spacing w:before="117" w:line="208" w:lineRule="auto"/>
        <w:ind w:left="670" w:right="14"/>
        <w:rPr>
          <w:i/>
          <w:sz w:val="20"/>
        </w:rPr>
      </w:pPr>
      <w:r>
        <w:rPr>
          <w:i/>
          <w:sz w:val="20"/>
        </w:rPr>
        <w:t>How We Addressed</w:t>
      </w:r>
      <w:r>
        <w:rPr>
          <w:i/>
          <w:spacing w:val="-13"/>
          <w:sz w:val="20"/>
        </w:rPr>
        <w:t xml:space="preserve"> </w:t>
      </w:r>
      <w:r>
        <w:rPr>
          <w:i/>
          <w:sz w:val="20"/>
        </w:rPr>
        <w:t>the Matter</w:t>
      </w:r>
      <w:r>
        <w:rPr>
          <w:i/>
          <w:spacing w:val="-13"/>
          <w:sz w:val="20"/>
        </w:rPr>
        <w:t xml:space="preserve"> </w:t>
      </w:r>
      <w:r>
        <w:rPr>
          <w:i/>
          <w:sz w:val="20"/>
        </w:rPr>
        <w:t>in</w:t>
      </w:r>
      <w:r>
        <w:rPr>
          <w:i/>
          <w:spacing w:val="-12"/>
          <w:sz w:val="20"/>
        </w:rPr>
        <w:t xml:space="preserve"> </w:t>
      </w:r>
      <w:r>
        <w:rPr>
          <w:i/>
          <w:sz w:val="20"/>
        </w:rPr>
        <w:t xml:space="preserve">Our </w:t>
      </w:r>
      <w:r>
        <w:rPr>
          <w:i/>
          <w:spacing w:val="-2"/>
          <w:sz w:val="20"/>
        </w:rPr>
        <w:t>Audit</w:t>
      </w:r>
    </w:p>
    <w:p w14:paraId="4876ACFB" w14:textId="77777777" w:rsidR="00AE2255" w:rsidRDefault="00AE2255">
      <w:pPr>
        <w:pStyle w:val="BodyText"/>
        <w:rPr>
          <w:i/>
          <w:sz w:val="22"/>
        </w:rPr>
      </w:pPr>
    </w:p>
    <w:p w14:paraId="0BD706BB" w14:textId="77777777" w:rsidR="00AE2255" w:rsidRDefault="00AE2255">
      <w:pPr>
        <w:pStyle w:val="BodyText"/>
        <w:rPr>
          <w:i/>
          <w:sz w:val="22"/>
        </w:rPr>
      </w:pPr>
    </w:p>
    <w:p w14:paraId="5329FCD7" w14:textId="77777777" w:rsidR="00AE2255" w:rsidRDefault="00AE2255">
      <w:pPr>
        <w:pStyle w:val="BodyText"/>
        <w:rPr>
          <w:i/>
          <w:sz w:val="22"/>
        </w:rPr>
      </w:pPr>
    </w:p>
    <w:p w14:paraId="0CD593D5" w14:textId="77777777" w:rsidR="00AE2255" w:rsidRDefault="00AE2255">
      <w:pPr>
        <w:pStyle w:val="BodyText"/>
        <w:rPr>
          <w:i/>
          <w:sz w:val="22"/>
        </w:rPr>
      </w:pPr>
    </w:p>
    <w:p w14:paraId="7895100B" w14:textId="77777777" w:rsidR="00AE2255" w:rsidRDefault="00AE2255">
      <w:pPr>
        <w:pStyle w:val="BodyText"/>
        <w:rPr>
          <w:i/>
          <w:sz w:val="22"/>
        </w:rPr>
      </w:pPr>
    </w:p>
    <w:p w14:paraId="099562A5" w14:textId="77777777" w:rsidR="00AE2255" w:rsidRDefault="00AE2255">
      <w:pPr>
        <w:pStyle w:val="BodyText"/>
        <w:rPr>
          <w:i/>
          <w:sz w:val="22"/>
        </w:rPr>
      </w:pPr>
    </w:p>
    <w:p w14:paraId="42F6161A" w14:textId="77777777" w:rsidR="00AE2255" w:rsidRDefault="00AE2255">
      <w:pPr>
        <w:pStyle w:val="BodyText"/>
        <w:rPr>
          <w:i/>
          <w:sz w:val="22"/>
        </w:rPr>
      </w:pPr>
    </w:p>
    <w:p w14:paraId="75BACC31" w14:textId="77777777" w:rsidR="00AE2255" w:rsidRDefault="00AE2255">
      <w:pPr>
        <w:pStyle w:val="BodyText"/>
        <w:rPr>
          <w:i/>
          <w:sz w:val="22"/>
        </w:rPr>
      </w:pPr>
    </w:p>
    <w:p w14:paraId="1A387175" w14:textId="77777777" w:rsidR="00AE2255" w:rsidRDefault="00AE2255">
      <w:pPr>
        <w:pStyle w:val="BodyText"/>
        <w:rPr>
          <w:i/>
          <w:sz w:val="22"/>
        </w:rPr>
      </w:pPr>
    </w:p>
    <w:p w14:paraId="02656083" w14:textId="77777777" w:rsidR="00AE2255" w:rsidRDefault="00000000">
      <w:pPr>
        <w:spacing w:before="132" w:line="208" w:lineRule="auto"/>
        <w:ind w:left="670" w:right="-8"/>
        <w:rPr>
          <w:i/>
          <w:sz w:val="20"/>
        </w:rPr>
      </w:pPr>
      <w:r>
        <w:rPr>
          <w:i/>
          <w:sz w:val="20"/>
        </w:rPr>
        <w:t>Description</w:t>
      </w:r>
      <w:r>
        <w:rPr>
          <w:i/>
          <w:spacing w:val="-13"/>
          <w:sz w:val="20"/>
        </w:rPr>
        <w:t xml:space="preserve"> </w:t>
      </w:r>
      <w:r>
        <w:rPr>
          <w:i/>
          <w:sz w:val="20"/>
        </w:rPr>
        <w:t>of the Matter</w:t>
      </w:r>
    </w:p>
    <w:p w14:paraId="06342E40" w14:textId="77777777" w:rsidR="00AE2255" w:rsidRDefault="00000000">
      <w:pPr>
        <w:pStyle w:val="BodyText"/>
        <w:spacing w:before="105" w:line="223" w:lineRule="auto"/>
        <w:ind w:left="476" w:right="488"/>
        <w:jc w:val="both"/>
      </w:pPr>
      <w:r>
        <w:br w:type="column"/>
      </w:r>
      <w:r>
        <w:t xml:space="preserve">We obtained an understanding, evaluated the </w:t>
      </w:r>
      <w:proofErr w:type="gramStart"/>
      <w:r>
        <w:t>design</w:t>
      </w:r>
      <w:proofErr w:type="gramEnd"/>
      <w:r>
        <w:t xml:space="preserve"> and tested the operating effectiveness of relevant internal controls over the Corporation’s revenue recognition process.</w:t>
      </w:r>
      <w:r>
        <w:rPr>
          <w:spacing w:val="40"/>
        </w:rPr>
        <w:t xml:space="preserve"> </w:t>
      </w:r>
      <w:r>
        <w:t>For example, we tested internal controls over management’s review of the estimate-at-completion analyses and the significant assumptions underlying the estimated contract value and estimated total costs to complete.</w:t>
      </w:r>
      <w:r>
        <w:rPr>
          <w:spacing w:val="40"/>
        </w:rPr>
        <w:t xml:space="preserve"> </w:t>
      </w:r>
      <w:r>
        <w:t>We also</w:t>
      </w:r>
      <w:r>
        <w:rPr>
          <w:spacing w:val="40"/>
        </w:rPr>
        <w:t xml:space="preserve"> </w:t>
      </w:r>
      <w:r>
        <w:t>tested internal controls that management executes which are designed to validate the data used in the estimate-at-completion analyses was complete and accurate.</w:t>
      </w:r>
    </w:p>
    <w:p w14:paraId="1ADF0A9F" w14:textId="77777777" w:rsidR="00AE2255" w:rsidRDefault="00AE2255">
      <w:pPr>
        <w:pStyle w:val="BodyText"/>
        <w:spacing w:before="1"/>
      </w:pPr>
    </w:p>
    <w:p w14:paraId="79A73729" w14:textId="77777777" w:rsidR="00AE2255" w:rsidRDefault="00000000">
      <w:pPr>
        <w:pStyle w:val="BodyText"/>
        <w:spacing w:line="223" w:lineRule="auto"/>
        <w:ind w:left="476" w:right="489"/>
        <w:jc w:val="both"/>
      </w:pPr>
      <w:r>
        <w:t>To test the accuracy of the Corporation’s estimate-at-completion analyses, our audit procedures included, among others, comparing estimates of labor costs, subcontractor costs, and materials to historical results of similar contracts, and agreeing the key terms to contract documentation and management’s estimates. We also performed sensitivity analyses over the significant assumptions to evaluate the change in the profit booking rates resulting from changes in the assumptions.</w:t>
      </w:r>
    </w:p>
    <w:p w14:paraId="1EFC26CE" w14:textId="77777777" w:rsidR="00AE2255" w:rsidRDefault="00AE2255">
      <w:pPr>
        <w:pStyle w:val="BodyText"/>
        <w:spacing w:before="2"/>
        <w:rPr>
          <w:sz w:val="19"/>
        </w:rPr>
      </w:pPr>
    </w:p>
    <w:p w14:paraId="4A69754B" w14:textId="77777777" w:rsidR="00AE2255" w:rsidRDefault="00000000">
      <w:pPr>
        <w:pStyle w:val="Heading3"/>
        <w:ind w:left="476"/>
        <w:jc w:val="both"/>
      </w:pPr>
      <w:r>
        <w:t>Defined</w:t>
      </w:r>
      <w:r>
        <w:rPr>
          <w:spacing w:val="-5"/>
        </w:rPr>
        <w:t xml:space="preserve"> </w:t>
      </w:r>
      <w:r>
        <w:t>Benefit</w:t>
      </w:r>
      <w:r>
        <w:rPr>
          <w:spacing w:val="-5"/>
        </w:rPr>
        <w:t xml:space="preserve"> </w:t>
      </w:r>
      <w:r>
        <w:t>Pension</w:t>
      </w:r>
      <w:r>
        <w:rPr>
          <w:spacing w:val="-5"/>
        </w:rPr>
        <w:t xml:space="preserve"> </w:t>
      </w:r>
      <w:r>
        <w:t>Plan</w:t>
      </w:r>
      <w:r>
        <w:rPr>
          <w:spacing w:val="-5"/>
        </w:rPr>
        <w:t xml:space="preserve"> </w:t>
      </w:r>
      <w:r>
        <w:rPr>
          <w:spacing w:val="-2"/>
        </w:rPr>
        <w:t>Obligation</w:t>
      </w:r>
    </w:p>
    <w:p w14:paraId="4AC58A86" w14:textId="77777777" w:rsidR="00AE2255" w:rsidRDefault="00000000">
      <w:pPr>
        <w:pStyle w:val="BodyText"/>
        <w:spacing w:before="176" w:line="223" w:lineRule="auto"/>
        <w:ind w:left="476" w:right="488"/>
        <w:jc w:val="both"/>
      </w:pPr>
      <w:proofErr w:type="gramStart"/>
      <w:r>
        <w:t>At</w:t>
      </w:r>
      <w:proofErr w:type="gramEnd"/>
      <w:r>
        <w:t xml:space="preserve"> December 31, 2022, the Corporation’s aggregate obligation for its qualified defined benefit pension plans was $28.7 billion and exceeded the gross fair value of the related plan assets of $23.2 billion, resulting in a net unfunded qualified defined benefit pension obligation of $5.5 billion. As explained in Note</w:t>
      </w:r>
      <w:r>
        <w:rPr>
          <w:spacing w:val="-3"/>
        </w:rPr>
        <w:t xml:space="preserve"> </w:t>
      </w:r>
      <w:r>
        <w:t>11</w:t>
      </w:r>
      <w:r>
        <w:rPr>
          <w:spacing w:val="-3"/>
        </w:rPr>
        <w:t xml:space="preserve"> </w:t>
      </w:r>
      <w:r>
        <w:t>of</w:t>
      </w:r>
      <w:r>
        <w:rPr>
          <w:spacing w:val="-3"/>
        </w:rPr>
        <w:t xml:space="preserve"> </w:t>
      </w:r>
      <w:r>
        <w:t>the</w:t>
      </w:r>
      <w:r>
        <w:rPr>
          <w:spacing w:val="-3"/>
        </w:rPr>
        <w:t xml:space="preserve"> </w:t>
      </w:r>
      <w:r>
        <w:t>consolidated</w:t>
      </w:r>
      <w:r>
        <w:rPr>
          <w:spacing w:val="-3"/>
        </w:rPr>
        <w:t xml:space="preserve"> </w:t>
      </w:r>
      <w:r>
        <w:t>financial</w:t>
      </w:r>
      <w:r>
        <w:rPr>
          <w:spacing w:val="-3"/>
        </w:rPr>
        <w:t xml:space="preserve"> </w:t>
      </w:r>
      <w:r>
        <w:t>statements,</w:t>
      </w:r>
      <w:r>
        <w:rPr>
          <w:spacing w:val="-3"/>
        </w:rPr>
        <w:t xml:space="preserve"> </w:t>
      </w:r>
      <w:r>
        <w:t>the</w:t>
      </w:r>
      <w:r>
        <w:rPr>
          <w:spacing w:val="-3"/>
        </w:rPr>
        <w:t xml:space="preserve"> </w:t>
      </w:r>
      <w:r>
        <w:t>Corporation</w:t>
      </w:r>
      <w:r>
        <w:rPr>
          <w:spacing w:val="-3"/>
        </w:rPr>
        <w:t xml:space="preserve"> </w:t>
      </w:r>
      <w:r>
        <w:t>remeasures</w:t>
      </w:r>
      <w:r>
        <w:rPr>
          <w:spacing w:val="-3"/>
        </w:rPr>
        <w:t xml:space="preserve"> </w:t>
      </w:r>
      <w:r>
        <w:t>the</w:t>
      </w:r>
      <w:r>
        <w:rPr>
          <w:spacing w:val="-3"/>
        </w:rPr>
        <w:t xml:space="preserve"> </w:t>
      </w:r>
      <w:r>
        <w:t>qualified</w:t>
      </w:r>
      <w:r>
        <w:rPr>
          <w:spacing w:val="-3"/>
        </w:rPr>
        <w:t xml:space="preserve"> </w:t>
      </w:r>
      <w:r>
        <w:t>defined</w:t>
      </w:r>
      <w:r>
        <w:rPr>
          <w:spacing w:val="-3"/>
        </w:rPr>
        <w:t xml:space="preserve"> </w:t>
      </w:r>
      <w:r>
        <w:t>benefit pension assets and obligations at the end of each year or more frequently upon the occurrence of certain events.</w:t>
      </w:r>
      <w:r>
        <w:rPr>
          <w:spacing w:val="40"/>
        </w:rPr>
        <w:t xml:space="preserve"> </w:t>
      </w:r>
      <w:r>
        <w:t>The amounts are measured using actuarial valuations, which depend on key assumptions such as the discount rate.</w:t>
      </w:r>
    </w:p>
    <w:p w14:paraId="17600D13" w14:textId="77777777" w:rsidR="00AE2255" w:rsidRDefault="00AE2255">
      <w:pPr>
        <w:pStyle w:val="BodyText"/>
        <w:spacing w:before="1"/>
      </w:pPr>
    </w:p>
    <w:p w14:paraId="5AE255F0" w14:textId="77777777" w:rsidR="00AE2255" w:rsidRDefault="00000000">
      <w:pPr>
        <w:pStyle w:val="BodyText"/>
        <w:spacing w:line="223" w:lineRule="auto"/>
        <w:ind w:left="476" w:right="489"/>
        <w:jc w:val="both"/>
      </w:pPr>
      <w:r>
        <w:t xml:space="preserve">Auditing the defined benefit pension obligation was complex and required the involvement of specialists </w:t>
      </w:r>
      <w:proofErr w:type="gramStart"/>
      <w:r>
        <w:t>as a result of</w:t>
      </w:r>
      <w:proofErr w:type="gramEnd"/>
      <w:r>
        <w:t xml:space="preserve"> the judgmental nature of the actuarial assumptions such as the discount rate used in the measurement process. The discount rate assumption has a significant effect on the measurement of the projected benefit obligation.</w:t>
      </w:r>
    </w:p>
    <w:p w14:paraId="3807AF54" w14:textId="77777777" w:rsidR="00AE2255" w:rsidRDefault="00AE2255">
      <w:pPr>
        <w:spacing w:line="223" w:lineRule="auto"/>
        <w:jc w:val="both"/>
        <w:sectPr w:rsidR="00AE2255">
          <w:type w:val="continuous"/>
          <w:pgSz w:w="12240" w:h="15840"/>
          <w:pgMar w:top="440" w:right="560" w:bottom="280" w:left="380" w:header="230" w:footer="531" w:gutter="0"/>
          <w:cols w:num="2" w:space="720" w:equalWidth="0">
            <w:col w:w="1819" w:space="40"/>
            <w:col w:w="9441"/>
          </w:cols>
        </w:sectPr>
      </w:pPr>
    </w:p>
    <w:p w14:paraId="19DE0CE0" w14:textId="77777777" w:rsidR="00AE2255" w:rsidRDefault="00AE2255">
      <w:pPr>
        <w:pStyle w:val="BodyText"/>
        <w:spacing w:before="5"/>
        <w:rPr>
          <w:sz w:val="29"/>
        </w:rPr>
      </w:pPr>
    </w:p>
    <w:p w14:paraId="76A09B4E" w14:textId="77777777" w:rsidR="00AE2255" w:rsidRDefault="00AE2255">
      <w:pPr>
        <w:rPr>
          <w:sz w:val="29"/>
        </w:rPr>
        <w:sectPr w:rsidR="00AE2255">
          <w:pgSz w:w="12240" w:h="15840"/>
          <w:pgMar w:top="440" w:right="560" w:bottom="720" w:left="380" w:header="230" w:footer="531" w:gutter="0"/>
          <w:cols w:space="720"/>
        </w:sectPr>
      </w:pPr>
    </w:p>
    <w:p w14:paraId="0A72E671" w14:textId="77777777" w:rsidR="00AE2255" w:rsidRDefault="00000000">
      <w:pPr>
        <w:spacing w:before="116" w:line="208" w:lineRule="auto"/>
        <w:ind w:left="670" w:right="-8"/>
        <w:rPr>
          <w:i/>
          <w:sz w:val="20"/>
        </w:rPr>
      </w:pPr>
      <w:r>
        <w:rPr>
          <w:i/>
          <w:sz w:val="20"/>
        </w:rPr>
        <w:t>How We Addressed</w:t>
      </w:r>
      <w:r>
        <w:rPr>
          <w:i/>
          <w:spacing w:val="-13"/>
          <w:sz w:val="20"/>
        </w:rPr>
        <w:t xml:space="preserve"> </w:t>
      </w:r>
      <w:r>
        <w:rPr>
          <w:i/>
          <w:sz w:val="20"/>
        </w:rPr>
        <w:t>the Matter</w:t>
      </w:r>
      <w:r>
        <w:rPr>
          <w:i/>
          <w:spacing w:val="-13"/>
          <w:sz w:val="20"/>
        </w:rPr>
        <w:t xml:space="preserve"> </w:t>
      </w:r>
      <w:r>
        <w:rPr>
          <w:i/>
          <w:sz w:val="20"/>
        </w:rPr>
        <w:t>in</w:t>
      </w:r>
      <w:r>
        <w:rPr>
          <w:i/>
          <w:spacing w:val="-12"/>
          <w:sz w:val="20"/>
        </w:rPr>
        <w:t xml:space="preserve"> </w:t>
      </w:r>
      <w:r>
        <w:rPr>
          <w:i/>
          <w:sz w:val="20"/>
        </w:rPr>
        <w:t xml:space="preserve">Our </w:t>
      </w:r>
      <w:r>
        <w:rPr>
          <w:i/>
          <w:spacing w:val="-2"/>
          <w:sz w:val="20"/>
        </w:rPr>
        <w:t>Audit</w:t>
      </w:r>
    </w:p>
    <w:p w14:paraId="74FF2E20" w14:textId="77777777" w:rsidR="00AE2255" w:rsidRDefault="00000000">
      <w:pPr>
        <w:pStyle w:val="BodyText"/>
        <w:spacing w:before="104" w:line="223" w:lineRule="auto"/>
        <w:ind w:left="498" w:right="488"/>
        <w:jc w:val="both"/>
      </w:pPr>
      <w:r>
        <w:br w:type="column"/>
      </w:r>
      <w:r>
        <w:t xml:space="preserve">We obtained an understanding, evaluated the </w:t>
      </w:r>
      <w:proofErr w:type="gramStart"/>
      <w:r>
        <w:t>design</w:t>
      </w:r>
      <w:proofErr w:type="gramEnd"/>
      <w:r>
        <w:t xml:space="preserve"> and tested the operating effectiveness of relevant internal</w:t>
      </w:r>
      <w:r>
        <w:rPr>
          <w:spacing w:val="-4"/>
        </w:rPr>
        <w:t xml:space="preserve"> </w:t>
      </w:r>
      <w:r>
        <w:t>controls</w:t>
      </w:r>
      <w:r>
        <w:rPr>
          <w:spacing w:val="-4"/>
        </w:rPr>
        <w:t xml:space="preserve"> </w:t>
      </w:r>
      <w:r>
        <w:t>over</w:t>
      </w:r>
      <w:r>
        <w:rPr>
          <w:spacing w:val="-4"/>
        </w:rPr>
        <w:t xml:space="preserve"> </w:t>
      </w:r>
      <w:r>
        <w:t>management’s</w:t>
      </w:r>
      <w:r>
        <w:rPr>
          <w:spacing w:val="-4"/>
        </w:rPr>
        <w:t xml:space="preserve"> </w:t>
      </w:r>
      <w:r>
        <w:t>measurement</w:t>
      </w:r>
      <w:r>
        <w:rPr>
          <w:spacing w:val="-4"/>
        </w:rPr>
        <w:t xml:space="preserve"> </w:t>
      </w:r>
      <w:r>
        <w:t>and</w:t>
      </w:r>
      <w:r>
        <w:rPr>
          <w:spacing w:val="-4"/>
        </w:rPr>
        <w:t xml:space="preserve"> </w:t>
      </w:r>
      <w:r>
        <w:t>valuation</w:t>
      </w:r>
      <w:r>
        <w:rPr>
          <w:spacing w:val="-4"/>
        </w:rPr>
        <w:t xml:space="preserve"> </w:t>
      </w:r>
      <w:r>
        <w:t>of</w:t>
      </w:r>
      <w:r>
        <w:rPr>
          <w:spacing w:val="-4"/>
        </w:rPr>
        <w:t xml:space="preserve"> </w:t>
      </w:r>
      <w:r>
        <w:t>the</w:t>
      </w:r>
      <w:r>
        <w:rPr>
          <w:spacing w:val="-4"/>
        </w:rPr>
        <w:t xml:space="preserve"> </w:t>
      </w:r>
      <w:r>
        <w:t>defined</w:t>
      </w:r>
      <w:r>
        <w:rPr>
          <w:spacing w:val="-4"/>
        </w:rPr>
        <w:t xml:space="preserve"> </w:t>
      </w:r>
      <w:r>
        <w:t>benefit</w:t>
      </w:r>
      <w:r>
        <w:rPr>
          <w:spacing w:val="-4"/>
        </w:rPr>
        <w:t xml:space="preserve"> </w:t>
      </w:r>
      <w:r>
        <w:t>pension</w:t>
      </w:r>
      <w:r>
        <w:rPr>
          <w:spacing w:val="-4"/>
        </w:rPr>
        <w:t xml:space="preserve"> </w:t>
      </w:r>
      <w:r>
        <w:t>obligation calculations.</w:t>
      </w:r>
      <w:r>
        <w:rPr>
          <w:spacing w:val="40"/>
        </w:rPr>
        <w:t xml:space="preserve"> </w:t>
      </w:r>
      <w:r>
        <w:t>For example, we tested the internal controls over management’s review of the defined benefit pension obligation calculations, the significant actuarial assumptions and the data inputs provided to the actuaries.</w:t>
      </w:r>
    </w:p>
    <w:p w14:paraId="7C9980DA" w14:textId="77777777" w:rsidR="00AE2255" w:rsidRDefault="00AE2255">
      <w:pPr>
        <w:pStyle w:val="BodyText"/>
        <w:spacing w:before="1"/>
      </w:pPr>
    </w:p>
    <w:p w14:paraId="27F11585" w14:textId="77777777" w:rsidR="00AE2255" w:rsidRDefault="00000000">
      <w:pPr>
        <w:pStyle w:val="BodyText"/>
        <w:spacing w:line="223" w:lineRule="auto"/>
        <w:ind w:left="498" w:right="488"/>
        <w:jc w:val="both"/>
      </w:pPr>
      <w:r>
        <w:t>To test the defined benefit pension obligation, our audit procedures included, among others, evaluating the</w:t>
      </w:r>
      <w:r>
        <w:rPr>
          <w:spacing w:val="-3"/>
        </w:rPr>
        <w:t xml:space="preserve"> </w:t>
      </w:r>
      <w:r>
        <w:t>methodology</w:t>
      </w:r>
      <w:r>
        <w:rPr>
          <w:spacing w:val="-3"/>
        </w:rPr>
        <w:t xml:space="preserve"> </w:t>
      </w:r>
      <w:r>
        <w:t>used,</w:t>
      </w:r>
      <w:r>
        <w:rPr>
          <w:spacing w:val="-3"/>
        </w:rPr>
        <w:t xml:space="preserve"> </w:t>
      </w:r>
      <w:r>
        <w:t>the</w:t>
      </w:r>
      <w:r>
        <w:rPr>
          <w:spacing w:val="-3"/>
        </w:rPr>
        <w:t xml:space="preserve"> </w:t>
      </w:r>
      <w:r>
        <w:t>significant</w:t>
      </w:r>
      <w:r>
        <w:rPr>
          <w:spacing w:val="-3"/>
        </w:rPr>
        <w:t xml:space="preserve"> </w:t>
      </w:r>
      <w:r>
        <w:t>actuarial</w:t>
      </w:r>
      <w:r>
        <w:rPr>
          <w:spacing w:val="-3"/>
        </w:rPr>
        <w:t xml:space="preserve"> </w:t>
      </w:r>
      <w:r>
        <w:t>assumptions</w:t>
      </w:r>
      <w:r>
        <w:rPr>
          <w:spacing w:val="-3"/>
        </w:rPr>
        <w:t xml:space="preserve"> </w:t>
      </w:r>
      <w:r>
        <w:t>described</w:t>
      </w:r>
      <w:r>
        <w:rPr>
          <w:spacing w:val="-3"/>
        </w:rPr>
        <w:t xml:space="preserve"> </w:t>
      </w:r>
      <w:proofErr w:type="gramStart"/>
      <w:r>
        <w:t>above</w:t>
      </w:r>
      <w:proofErr w:type="gramEnd"/>
      <w:r>
        <w:rPr>
          <w:spacing w:val="-3"/>
        </w:rPr>
        <w:t xml:space="preserve"> </w:t>
      </w:r>
      <w:r>
        <w:t>and</w:t>
      </w:r>
      <w:r>
        <w:rPr>
          <w:spacing w:val="-3"/>
        </w:rPr>
        <w:t xml:space="preserve"> </w:t>
      </w:r>
      <w:r>
        <w:t>the</w:t>
      </w:r>
      <w:r>
        <w:rPr>
          <w:spacing w:val="-3"/>
        </w:rPr>
        <w:t xml:space="preserve"> </w:t>
      </w:r>
      <w:r>
        <w:t>underlying</w:t>
      </w:r>
      <w:r>
        <w:rPr>
          <w:spacing w:val="-3"/>
        </w:rPr>
        <w:t xml:space="preserve"> </w:t>
      </w:r>
      <w:r>
        <w:t>data</w:t>
      </w:r>
      <w:r>
        <w:rPr>
          <w:spacing w:val="-3"/>
        </w:rPr>
        <w:t xml:space="preserve"> </w:t>
      </w:r>
      <w:r>
        <w:t>used by</w:t>
      </w:r>
      <w:r>
        <w:rPr>
          <w:spacing w:val="-2"/>
        </w:rPr>
        <w:t xml:space="preserve"> </w:t>
      </w:r>
      <w:r>
        <w:t>the</w:t>
      </w:r>
      <w:r>
        <w:rPr>
          <w:spacing w:val="-2"/>
        </w:rPr>
        <w:t xml:space="preserve"> </w:t>
      </w:r>
      <w:r>
        <w:t>Corporation.</w:t>
      </w:r>
      <w:r>
        <w:rPr>
          <w:spacing w:val="40"/>
        </w:rPr>
        <w:t xml:space="preserve"> </w:t>
      </w:r>
      <w:r>
        <w:t>We</w:t>
      </w:r>
      <w:r>
        <w:rPr>
          <w:spacing w:val="-2"/>
        </w:rPr>
        <w:t xml:space="preserve"> </w:t>
      </w:r>
      <w:r>
        <w:t>compared</w:t>
      </w:r>
      <w:r>
        <w:rPr>
          <w:spacing w:val="-2"/>
        </w:rPr>
        <w:t xml:space="preserve"> </w:t>
      </w:r>
      <w:r>
        <w:t>the</w:t>
      </w:r>
      <w:r>
        <w:rPr>
          <w:spacing w:val="-2"/>
        </w:rPr>
        <w:t xml:space="preserve"> </w:t>
      </w:r>
      <w:r>
        <w:t>actuarial</w:t>
      </w:r>
      <w:r>
        <w:rPr>
          <w:spacing w:val="-2"/>
        </w:rPr>
        <w:t xml:space="preserve"> </w:t>
      </w:r>
      <w:r>
        <w:t>assumptions</w:t>
      </w:r>
      <w:r>
        <w:rPr>
          <w:spacing w:val="-2"/>
        </w:rPr>
        <w:t xml:space="preserve"> </w:t>
      </w:r>
      <w:r>
        <w:t>used</w:t>
      </w:r>
      <w:r>
        <w:rPr>
          <w:spacing w:val="-2"/>
        </w:rPr>
        <w:t xml:space="preserve"> </w:t>
      </w:r>
      <w:r>
        <w:t>by</w:t>
      </w:r>
      <w:r>
        <w:rPr>
          <w:spacing w:val="-2"/>
        </w:rPr>
        <w:t xml:space="preserve"> </w:t>
      </w:r>
      <w:r>
        <w:t>management</w:t>
      </w:r>
      <w:r>
        <w:rPr>
          <w:spacing w:val="-2"/>
        </w:rPr>
        <w:t xml:space="preserve"> </w:t>
      </w:r>
      <w:r>
        <w:t>to</w:t>
      </w:r>
      <w:r>
        <w:rPr>
          <w:spacing w:val="-2"/>
        </w:rPr>
        <w:t xml:space="preserve"> </w:t>
      </w:r>
      <w:r>
        <w:t>historical</w:t>
      </w:r>
      <w:r>
        <w:rPr>
          <w:spacing w:val="-2"/>
        </w:rPr>
        <w:t xml:space="preserve"> </w:t>
      </w:r>
      <w:r>
        <w:t>trends</w:t>
      </w:r>
      <w:r>
        <w:rPr>
          <w:spacing w:val="-2"/>
        </w:rPr>
        <w:t xml:space="preserve"> </w:t>
      </w:r>
      <w:r>
        <w:t>and evaluated the change in the defined benefit pension obligation from prior year due to the change in</w:t>
      </w:r>
      <w:r>
        <w:rPr>
          <w:spacing w:val="40"/>
        </w:rPr>
        <w:t xml:space="preserve"> </w:t>
      </w:r>
      <w:r>
        <w:t>service cost, interest cost, benefit payments, settlements, actuarial gains and losses, longevity</w:t>
      </w:r>
      <w:r>
        <w:rPr>
          <w:spacing w:val="40"/>
        </w:rPr>
        <w:t xml:space="preserve"> </w:t>
      </w:r>
      <w:r>
        <w:t>assumptions and plan amendments.</w:t>
      </w:r>
      <w:r>
        <w:rPr>
          <w:spacing w:val="40"/>
        </w:rPr>
        <w:t xml:space="preserve"> </w:t>
      </w:r>
      <w:r>
        <w:t>In addition, we involved our actuarial specialists to assist in evaluating management’s methodology for determining the discount rate that considers the maturity and duration of the benefit payments and is used to measure the defined benefit pension obligation.</w:t>
      </w:r>
      <w:r>
        <w:rPr>
          <w:spacing w:val="69"/>
        </w:rPr>
        <w:t xml:space="preserve"> </w:t>
      </w:r>
      <w:r>
        <w:t>As part</w:t>
      </w:r>
      <w:r>
        <w:rPr>
          <w:spacing w:val="40"/>
        </w:rPr>
        <w:t xml:space="preserve"> </w:t>
      </w:r>
      <w:r>
        <w:t>of this assessment, we compared the projected cash flows to the prior year and compared the current year benefits paid to the prior year projected cash flows. Lastly, we also tested the completeness and accuracy of the underlying data, including the participant data provided to the Corporation’s actuarial specialists.</w:t>
      </w:r>
    </w:p>
    <w:p w14:paraId="66D35F90" w14:textId="77777777" w:rsidR="00AE2255" w:rsidRDefault="00AE2255">
      <w:pPr>
        <w:spacing w:line="223" w:lineRule="auto"/>
        <w:jc w:val="both"/>
        <w:sectPr w:rsidR="00AE2255">
          <w:type w:val="continuous"/>
          <w:pgSz w:w="12240" w:h="15840"/>
          <w:pgMar w:top="440" w:right="560" w:bottom="280" w:left="380" w:header="230" w:footer="531" w:gutter="0"/>
          <w:cols w:num="2" w:space="720" w:equalWidth="0">
            <w:col w:w="1797" w:space="40"/>
            <w:col w:w="9463"/>
          </w:cols>
        </w:sectPr>
      </w:pPr>
    </w:p>
    <w:p w14:paraId="560605C1" w14:textId="77777777" w:rsidR="00AE2255" w:rsidRDefault="00AE2255">
      <w:pPr>
        <w:pStyle w:val="BodyText"/>
      </w:pPr>
    </w:p>
    <w:p w14:paraId="4017B347" w14:textId="77777777" w:rsidR="00AE2255" w:rsidRDefault="00AE2255">
      <w:pPr>
        <w:pStyle w:val="BodyText"/>
      </w:pPr>
    </w:p>
    <w:p w14:paraId="68456F6D" w14:textId="77777777" w:rsidR="00AE2255" w:rsidRDefault="00AE2255">
      <w:pPr>
        <w:pStyle w:val="BodyText"/>
      </w:pPr>
    </w:p>
    <w:p w14:paraId="4AD0911F" w14:textId="77777777" w:rsidR="00AE2255" w:rsidRDefault="00AE2255">
      <w:pPr>
        <w:pStyle w:val="BodyText"/>
        <w:rPr>
          <w:sz w:val="25"/>
        </w:rPr>
      </w:pPr>
    </w:p>
    <w:p w14:paraId="3E5C3B03" w14:textId="77777777" w:rsidR="00AE2255" w:rsidRDefault="00000000">
      <w:pPr>
        <w:pStyle w:val="BodyText"/>
        <w:spacing w:before="92"/>
        <w:ind w:left="610"/>
      </w:pPr>
      <w:r>
        <w:t>/s/</w:t>
      </w:r>
      <w:r>
        <w:rPr>
          <w:spacing w:val="-3"/>
        </w:rPr>
        <w:t xml:space="preserve"> </w:t>
      </w:r>
      <w:r>
        <w:t>Ernst</w:t>
      </w:r>
      <w:r>
        <w:rPr>
          <w:spacing w:val="-2"/>
        </w:rPr>
        <w:t xml:space="preserve"> </w:t>
      </w:r>
      <w:r>
        <w:t>&amp;</w:t>
      </w:r>
      <w:r>
        <w:rPr>
          <w:spacing w:val="-2"/>
        </w:rPr>
        <w:t xml:space="preserve"> </w:t>
      </w:r>
      <w:r>
        <w:t>Young</w:t>
      </w:r>
      <w:r>
        <w:rPr>
          <w:spacing w:val="-1"/>
        </w:rPr>
        <w:t xml:space="preserve"> </w:t>
      </w:r>
      <w:r>
        <w:rPr>
          <w:spacing w:val="-5"/>
        </w:rPr>
        <w:t>LLP</w:t>
      </w:r>
    </w:p>
    <w:p w14:paraId="7350B961" w14:textId="77777777" w:rsidR="00AE2255" w:rsidRDefault="00000000">
      <w:pPr>
        <w:pStyle w:val="BodyText"/>
        <w:spacing w:line="480" w:lineRule="atLeast"/>
        <w:ind w:left="610" w:right="5685"/>
      </w:pPr>
      <w:r>
        <w:t>We</w:t>
      </w:r>
      <w:r>
        <w:rPr>
          <w:spacing w:val="-6"/>
        </w:rPr>
        <w:t xml:space="preserve"> </w:t>
      </w:r>
      <w:r>
        <w:t>have</w:t>
      </w:r>
      <w:r>
        <w:rPr>
          <w:spacing w:val="-6"/>
        </w:rPr>
        <w:t xml:space="preserve"> </w:t>
      </w:r>
      <w:r>
        <w:t>served</w:t>
      </w:r>
      <w:r>
        <w:rPr>
          <w:spacing w:val="-5"/>
        </w:rPr>
        <w:t xml:space="preserve"> </w:t>
      </w:r>
      <w:r>
        <w:t>as</w:t>
      </w:r>
      <w:r>
        <w:rPr>
          <w:spacing w:val="-6"/>
        </w:rPr>
        <w:t xml:space="preserve"> </w:t>
      </w:r>
      <w:r>
        <w:t>the</w:t>
      </w:r>
      <w:r>
        <w:rPr>
          <w:spacing w:val="-6"/>
        </w:rPr>
        <w:t xml:space="preserve"> </w:t>
      </w:r>
      <w:r>
        <w:t>Corporation’s</w:t>
      </w:r>
      <w:r>
        <w:rPr>
          <w:spacing w:val="-6"/>
        </w:rPr>
        <w:t xml:space="preserve"> </w:t>
      </w:r>
      <w:r>
        <w:t>auditor</w:t>
      </w:r>
      <w:r>
        <w:rPr>
          <w:spacing w:val="-5"/>
        </w:rPr>
        <w:t xml:space="preserve"> </w:t>
      </w:r>
      <w:r>
        <w:t>since</w:t>
      </w:r>
      <w:r>
        <w:rPr>
          <w:spacing w:val="-6"/>
        </w:rPr>
        <w:t xml:space="preserve"> </w:t>
      </w:r>
      <w:r>
        <w:t>1994. Tysons, Virginia</w:t>
      </w:r>
    </w:p>
    <w:p w14:paraId="7AE4AF87" w14:textId="77777777" w:rsidR="00AE2255" w:rsidRDefault="00000000">
      <w:pPr>
        <w:pStyle w:val="BodyText"/>
        <w:spacing w:before="10"/>
        <w:ind w:left="610"/>
      </w:pPr>
      <w:r>
        <w:t>January</w:t>
      </w:r>
      <w:r>
        <w:rPr>
          <w:spacing w:val="-2"/>
        </w:rPr>
        <w:t xml:space="preserve"> </w:t>
      </w:r>
      <w:r>
        <w:t>26,</w:t>
      </w:r>
      <w:r>
        <w:rPr>
          <w:spacing w:val="-1"/>
        </w:rPr>
        <w:t xml:space="preserve"> </w:t>
      </w:r>
      <w:r>
        <w:rPr>
          <w:spacing w:val="-4"/>
        </w:rPr>
        <w:t>2023</w:t>
      </w:r>
    </w:p>
    <w:p w14:paraId="322EC076" w14:textId="77777777" w:rsidR="00AE2255" w:rsidRDefault="00AE2255">
      <w:pPr>
        <w:sectPr w:rsidR="00AE2255">
          <w:type w:val="continuous"/>
          <w:pgSz w:w="12240" w:h="15840"/>
          <w:pgMar w:top="440" w:right="560" w:bottom="280" w:left="380" w:header="230" w:footer="531" w:gutter="0"/>
          <w:cols w:space="720"/>
        </w:sectPr>
      </w:pPr>
    </w:p>
    <w:p w14:paraId="469A306E" w14:textId="77777777" w:rsidR="00AE2255" w:rsidRDefault="00AE2255">
      <w:pPr>
        <w:pStyle w:val="BodyText"/>
        <w:spacing w:before="7"/>
        <w:rPr>
          <w:sz w:val="22"/>
        </w:rPr>
      </w:pPr>
    </w:p>
    <w:p w14:paraId="2440C354" w14:textId="77777777" w:rsidR="00AE2255" w:rsidRDefault="00000000">
      <w:pPr>
        <w:spacing w:before="92" w:line="249" w:lineRule="auto"/>
        <w:ind w:left="4160" w:right="3978" w:hanging="1"/>
        <w:jc w:val="center"/>
        <w:rPr>
          <w:b/>
          <w:sz w:val="20"/>
        </w:rPr>
      </w:pPr>
      <w:bookmarkStart w:id="36" w:name="Consolidated_Statements_of_Earnings"/>
      <w:bookmarkStart w:id="37" w:name="_bookmark13"/>
      <w:bookmarkEnd w:id="36"/>
      <w:bookmarkEnd w:id="37"/>
      <w:r>
        <w:rPr>
          <w:b/>
          <w:sz w:val="20"/>
        </w:rPr>
        <w:t>Lockheed Martin Corporation Consolidated</w:t>
      </w:r>
      <w:r>
        <w:rPr>
          <w:b/>
          <w:spacing w:val="-13"/>
          <w:sz w:val="20"/>
        </w:rPr>
        <w:t xml:space="preserve"> </w:t>
      </w:r>
      <w:r>
        <w:rPr>
          <w:b/>
          <w:sz w:val="20"/>
        </w:rPr>
        <w:t>Statements</w:t>
      </w:r>
      <w:r>
        <w:rPr>
          <w:b/>
          <w:spacing w:val="-12"/>
          <w:sz w:val="20"/>
        </w:rPr>
        <w:t xml:space="preserve"> </w:t>
      </w:r>
      <w:r>
        <w:rPr>
          <w:b/>
          <w:sz w:val="20"/>
        </w:rPr>
        <w:t>of</w:t>
      </w:r>
      <w:r>
        <w:rPr>
          <w:b/>
          <w:spacing w:val="-13"/>
          <w:sz w:val="20"/>
        </w:rPr>
        <w:t xml:space="preserve"> </w:t>
      </w:r>
      <w:r>
        <w:rPr>
          <w:b/>
          <w:sz w:val="20"/>
        </w:rPr>
        <w:t>Earnings (in millions, except per share data)</w:t>
      </w:r>
    </w:p>
    <w:p w14:paraId="63923F69" w14:textId="77777777" w:rsidR="00AE2255" w:rsidRDefault="00AE2255">
      <w:pPr>
        <w:pStyle w:val="BodyText"/>
        <w:spacing w:before="10"/>
        <w:rPr>
          <w:b/>
          <w:sz w:val="23"/>
        </w:rPr>
      </w:pPr>
    </w:p>
    <w:p w14:paraId="7C978D70" w14:textId="77777777" w:rsidR="00AE2255" w:rsidRDefault="00000000">
      <w:pPr>
        <w:spacing w:before="92" w:after="30"/>
        <w:ind w:right="865"/>
        <w:jc w:val="right"/>
        <w:rPr>
          <w:b/>
          <w:sz w:val="20"/>
        </w:rPr>
      </w:pPr>
      <w:r>
        <w:rPr>
          <w:b/>
          <w:sz w:val="20"/>
        </w:rPr>
        <w:t>Years</w:t>
      </w:r>
      <w:r>
        <w:rPr>
          <w:b/>
          <w:spacing w:val="-6"/>
          <w:sz w:val="20"/>
        </w:rPr>
        <w:t xml:space="preserve"> </w:t>
      </w:r>
      <w:r>
        <w:rPr>
          <w:b/>
          <w:sz w:val="20"/>
        </w:rPr>
        <w:t>Ended</w:t>
      </w:r>
      <w:r>
        <w:rPr>
          <w:b/>
          <w:spacing w:val="-5"/>
          <w:sz w:val="20"/>
        </w:rPr>
        <w:t xml:space="preserve"> </w:t>
      </w:r>
      <w:r>
        <w:rPr>
          <w:b/>
          <w:sz w:val="20"/>
        </w:rPr>
        <w:t>December</w:t>
      </w:r>
      <w:r>
        <w:rPr>
          <w:b/>
          <w:spacing w:val="-5"/>
          <w:sz w:val="20"/>
        </w:rPr>
        <w:t xml:space="preserve"> 31,</w:t>
      </w:r>
    </w:p>
    <w:tbl>
      <w:tblPr>
        <w:tblW w:w="0" w:type="auto"/>
        <w:tblInd w:w="617" w:type="dxa"/>
        <w:tblLayout w:type="fixed"/>
        <w:tblCellMar>
          <w:left w:w="0" w:type="dxa"/>
          <w:right w:w="0" w:type="dxa"/>
        </w:tblCellMar>
        <w:tblLook w:val="01E0" w:firstRow="1" w:lastRow="1" w:firstColumn="1" w:lastColumn="1" w:noHBand="0" w:noVBand="0"/>
      </w:tblPr>
      <w:tblGrid>
        <w:gridCol w:w="7080"/>
        <w:gridCol w:w="1061"/>
        <w:gridCol w:w="1080"/>
        <w:gridCol w:w="1024"/>
      </w:tblGrid>
      <w:tr w:rsidR="00AE2255" w14:paraId="6211AFF6" w14:textId="77777777">
        <w:trPr>
          <w:trHeight w:val="265"/>
        </w:trPr>
        <w:tc>
          <w:tcPr>
            <w:tcW w:w="7080" w:type="dxa"/>
            <w:tcBorders>
              <w:bottom w:val="single" w:sz="8" w:space="0" w:color="auto"/>
            </w:tcBorders>
          </w:tcPr>
          <w:p w14:paraId="5D19E9E9" w14:textId="77777777" w:rsidR="00AE2255" w:rsidRDefault="00AE2255">
            <w:pPr>
              <w:pStyle w:val="TableParagraph"/>
              <w:spacing w:before="0"/>
              <w:jc w:val="left"/>
              <w:rPr>
                <w:sz w:val="18"/>
              </w:rPr>
            </w:pPr>
          </w:p>
        </w:tc>
        <w:tc>
          <w:tcPr>
            <w:tcW w:w="1061" w:type="dxa"/>
            <w:tcBorders>
              <w:top w:val="single" w:sz="8" w:space="0" w:color="000000"/>
              <w:bottom w:val="single" w:sz="8" w:space="0" w:color="auto"/>
            </w:tcBorders>
          </w:tcPr>
          <w:p w14:paraId="462F82F6" w14:textId="77777777" w:rsidR="00AE2255" w:rsidRDefault="00000000">
            <w:pPr>
              <w:pStyle w:val="TableParagraph"/>
              <w:spacing w:before="15" w:line="230" w:lineRule="exact"/>
              <w:ind w:right="106"/>
              <w:rPr>
                <w:b/>
                <w:sz w:val="20"/>
              </w:rPr>
            </w:pPr>
            <w:r>
              <w:rPr>
                <w:b/>
                <w:spacing w:val="-4"/>
                <w:sz w:val="20"/>
              </w:rPr>
              <w:t>2022</w:t>
            </w:r>
          </w:p>
        </w:tc>
        <w:tc>
          <w:tcPr>
            <w:tcW w:w="1080" w:type="dxa"/>
            <w:tcBorders>
              <w:top w:val="single" w:sz="8" w:space="0" w:color="000000"/>
              <w:bottom w:val="single" w:sz="8" w:space="0" w:color="auto"/>
            </w:tcBorders>
          </w:tcPr>
          <w:p w14:paraId="27BFDFC0" w14:textId="77777777" w:rsidR="00AE2255" w:rsidRDefault="00000000">
            <w:pPr>
              <w:pStyle w:val="TableParagraph"/>
              <w:spacing w:before="15" w:line="230" w:lineRule="exact"/>
              <w:ind w:right="106"/>
              <w:rPr>
                <w:b/>
                <w:sz w:val="20"/>
              </w:rPr>
            </w:pPr>
            <w:r>
              <w:rPr>
                <w:b/>
                <w:spacing w:val="-4"/>
                <w:sz w:val="20"/>
              </w:rPr>
              <w:t>2021</w:t>
            </w:r>
          </w:p>
        </w:tc>
        <w:tc>
          <w:tcPr>
            <w:tcW w:w="1024" w:type="dxa"/>
            <w:tcBorders>
              <w:top w:val="single" w:sz="8" w:space="0" w:color="000000"/>
              <w:bottom w:val="single" w:sz="8" w:space="0" w:color="auto"/>
            </w:tcBorders>
          </w:tcPr>
          <w:p w14:paraId="06F78E10" w14:textId="77777777" w:rsidR="00AE2255" w:rsidRDefault="00000000">
            <w:pPr>
              <w:pStyle w:val="TableParagraph"/>
              <w:spacing w:before="15" w:line="230" w:lineRule="exact"/>
              <w:ind w:right="50"/>
              <w:rPr>
                <w:b/>
                <w:sz w:val="20"/>
              </w:rPr>
            </w:pPr>
            <w:r>
              <w:rPr>
                <w:b/>
                <w:spacing w:val="-4"/>
                <w:sz w:val="20"/>
              </w:rPr>
              <w:t>2020</w:t>
            </w:r>
          </w:p>
        </w:tc>
      </w:tr>
      <w:tr w:rsidR="00AE2255" w14:paraId="1E5CCE8B" w14:textId="77777777">
        <w:trPr>
          <w:trHeight w:val="275"/>
        </w:trPr>
        <w:tc>
          <w:tcPr>
            <w:tcW w:w="7080" w:type="dxa"/>
            <w:tcBorders>
              <w:top w:val="single" w:sz="8" w:space="0" w:color="CCEDFF"/>
            </w:tcBorders>
            <w:shd w:val="clear" w:color="auto" w:fill="CCEDFF"/>
          </w:tcPr>
          <w:p w14:paraId="5B985A64" w14:textId="77777777" w:rsidR="00AE2255" w:rsidRDefault="00000000">
            <w:pPr>
              <w:pStyle w:val="TableParagraph"/>
              <w:spacing w:before="13"/>
              <w:ind w:left="52"/>
              <w:jc w:val="left"/>
              <w:rPr>
                <w:b/>
                <w:sz w:val="20"/>
              </w:rPr>
            </w:pPr>
            <w:r>
              <w:rPr>
                <w:b/>
                <w:sz w:val="20"/>
              </w:rPr>
              <w:t>Net</w:t>
            </w:r>
            <w:r>
              <w:rPr>
                <w:b/>
                <w:spacing w:val="-4"/>
                <w:sz w:val="20"/>
              </w:rPr>
              <w:t xml:space="preserve"> </w:t>
            </w:r>
            <w:r>
              <w:rPr>
                <w:b/>
                <w:spacing w:val="-2"/>
                <w:sz w:val="20"/>
              </w:rPr>
              <w:t>sales</w:t>
            </w:r>
          </w:p>
        </w:tc>
        <w:tc>
          <w:tcPr>
            <w:tcW w:w="1061" w:type="dxa"/>
            <w:tcBorders>
              <w:top w:val="single" w:sz="8" w:space="0" w:color="CCEDFF"/>
            </w:tcBorders>
            <w:shd w:val="clear" w:color="auto" w:fill="CCEDFF"/>
          </w:tcPr>
          <w:p w14:paraId="7ED088FD" w14:textId="77777777" w:rsidR="00AE2255" w:rsidRDefault="00AE2255">
            <w:pPr>
              <w:pStyle w:val="TableParagraph"/>
              <w:spacing w:before="0"/>
              <w:jc w:val="left"/>
              <w:rPr>
                <w:sz w:val="20"/>
              </w:rPr>
            </w:pPr>
          </w:p>
        </w:tc>
        <w:tc>
          <w:tcPr>
            <w:tcW w:w="1080" w:type="dxa"/>
            <w:tcBorders>
              <w:top w:val="single" w:sz="8" w:space="0" w:color="CCEDFF"/>
            </w:tcBorders>
            <w:shd w:val="clear" w:color="auto" w:fill="CCEDFF"/>
          </w:tcPr>
          <w:p w14:paraId="212449DF"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0832C283" w14:textId="77777777" w:rsidR="00AE2255" w:rsidRDefault="00AE2255">
            <w:pPr>
              <w:pStyle w:val="TableParagraph"/>
              <w:spacing w:before="0"/>
              <w:jc w:val="left"/>
              <w:rPr>
                <w:sz w:val="20"/>
              </w:rPr>
            </w:pPr>
          </w:p>
        </w:tc>
      </w:tr>
      <w:tr w:rsidR="00AE2255" w14:paraId="351A5DC9" w14:textId="77777777">
        <w:trPr>
          <w:trHeight w:val="285"/>
        </w:trPr>
        <w:tc>
          <w:tcPr>
            <w:tcW w:w="7080" w:type="dxa"/>
          </w:tcPr>
          <w:p w14:paraId="696C71C0" w14:textId="77777777" w:rsidR="00AE2255" w:rsidRDefault="00000000">
            <w:pPr>
              <w:pStyle w:val="TableParagraph"/>
              <w:spacing w:before="27"/>
              <w:ind w:left="187"/>
              <w:jc w:val="left"/>
              <w:rPr>
                <w:sz w:val="20"/>
              </w:rPr>
            </w:pPr>
            <w:r>
              <w:rPr>
                <w:spacing w:val="-2"/>
                <w:sz w:val="20"/>
              </w:rPr>
              <w:t>Products</w:t>
            </w:r>
          </w:p>
        </w:tc>
        <w:tc>
          <w:tcPr>
            <w:tcW w:w="1061" w:type="dxa"/>
          </w:tcPr>
          <w:p w14:paraId="0054C8FE" w14:textId="77777777" w:rsidR="00AE2255" w:rsidRDefault="00000000">
            <w:pPr>
              <w:pStyle w:val="TableParagraph"/>
              <w:tabs>
                <w:tab w:val="left" w:pos="373"/>
              </w:tabs>
              <w:ind w:left="52"/>
              <w:jc w:val="left"/>
              <w:rPr>
                <w:b/>
                <w:sz w:val="20"/>
              </w:rPr>
            </w:pPr>
            <w:r>
              <w:rPr>
                <w:b/>
                <w:spacing w:val="-10"/>
                <w:sz w:val="20"/>
              </w:rPr>
              <w:t>$</w:t>
            </w:r>
            <w:r>
              <w:rPr>
                <w:b/>
                <w:sz w:val="20"/>
              </w:rPr>
              <w:tab/>
            </w:r>
            <w:r>
              <w:rPr>
                <w:b/>
                <w:spacing w:val="-2"/>
                <w:sz w:val="20"/>
              </w:rPr>
              <w:t>55,466</w:t>
            </w:r>
          </w:p>
        </w:tc>
        <w:tc>
          <w:tcPr>
            <w:tcW w:w="1080" w:type="dxa"/>
          </w:tcPr>
          <w:p w14:paraId="4FAF5D83" w14:textId="77777777" w:rsidR="00AE2255" w:rsidRDefault="00000000">
            <w:pPr>
              <w:pStyle w:val="TableParagraph"/>
              <w:tabs>
                <w:tab w:val="left" w:pos="320"/>
              </w:tabs>
              <w:ind w:right="135"/>
              <w:rPr>
                <w:sz w:val="20"/>
              </w:rPr>
            </w:pPr>
            <w:r>
              <w:rPr>
                <w:spacing w:val="-10"/>
                <w:sz w:val="20"/>
              </w:rPr>
              <w:t>$</w:t>
            </w:r>
            <w:r>
              <w:rPr>
                <w:sz w:val="20"/>
              </w:rPr>
              <w:tab/>
            </w:r>
            <w:r>
              <w:rPr>
                <w:spacing w:val="-2"/>
                <w:sz w:val="20"/>
              </w:rPr>
              <w:t>56,435</w:t>
            </w:r>
          </w:p>
        </w:tc>
        <w:tc>
          <w:tcPr>
            <w:tcW w:w="1024" w:type="dxa"/>
          </w:tcPr>
          <w:p w14:paraId="15A34F00" w14:textId="77777777" w:rsidR="00AE2255" w:rsidRDefault="00000000">
            <w:pPr>
              <w:pStyle w:val="TableParagraph"/>
              <w:tabs>
                <w:tab w:val="left" w:pos="392"/>
              </w:tabs>
              <w:ind w:left="71"/>
              <w:jc w:val="left"/>
              <w:rPr>
                <w:sz w:val="20"/>
              </w:rPr>
            </w:pPr>
            <w:r>
              <w:rPr>
                <w:spacing w:val="-10"/>
                <w:sz w:val="20"/>
              </w:rPr>
              <w:t>$</w:t>
            </w:r>
            <w:r>
              <w:rPr>
                <w:sz w:val="20"/>
              </w:rPr>
              <w:tab/>
            </w:r>
            <w:r>
              <w:rPr>
                <w:spacing w:val="-2"/>
                <w:sz w:val="20"/>
              </w:rPr>
              <w:t>54,928</w:t>
            </w:r>
          </w:p>
        </w:tc>
      </w:tr>
      <w:tr w:rsidR="00AE2255" w14:paraId="3CA41ACE" w14:textId="77777777">
        <w:trPr>
          <w:trHeight w:val="275"/>
        </w:trPr>
        <w:tc>
          <w:tcPr>
            <w:tcW w:w="7080" w:type="dxa"/>
            <w:tcBorders>
              <w:bottom w:val="single" w:sz="8" w:space="0" w:color="CCEDFF"/>
            </w:tcBorders>
            <w:shd w:val="clear" w:color="auto" w:fill="CCEDFF"/>
          </w:tcPr>
          <w:p w14:paraId="4F8CB6FE" w14:textId="77777777" w:rsidR="00AE2255" w:rsidRDefault="00000000">
            <w:pPr>
              <w:pStyle w:val="TableParagraph"/>
              <w:spacing w:before="27" w:line="228" w:lineRule="exact"/>
              <w:ind w:left="187"/>
              <w:jc w:val="left"/>
              <w:rPr>
                <w:sz w:val="20"/>
              </w:rPr>
            </w:pPr>
            <w:r>
              <w:rPr>
                <w:spacing w:val="-2"/>
                <w:sz w:val="20"/>
              </w:rPr>
              <w:t>Services</w:t>
            </w:r>
          </w:p>
        </w:tc>
        <w:tc>
          <w:tcPr>
            <w:tcW w:w="1061" w:type="dxa"/>
            <w:tcBorders>
              <w:bottom w:val="single" w:sz="8" w:space="0" w:color="CCEDFF"/>
            </w:tcBorders>
            <w:shd w:val="clear" w:color="auto" w:fill="CCEDFF"/>
          </w:tcPr>
          <w:p w14:paraId="64551958" w14:textId="77777777" w:rsidR="00AE2255" w:rsidRDefault="00000000">
            <w:pPr>
              <w:pStyle w:val="TableParagraph"/>
              <w:spacing w:line="230" w:lineRule="exact"/>
              <w:ind w:left="373"/>
              <w:jc w:val="left"/>
              <w:rPr>
                <w:b/>
                <w:sz w:val="20"/>
              </w:rPr>
            </w:pPr>
            <w:r>
              <w:rPr>
                <w:b/>
                <w:spacing w:val="-2"/>
                <w:sz w:val="20"/>
              </w:rPr>
              <w:t>10,518</w:t>
            </w:r>
          </w:p>
        </w:tc>
        <w:tc>
          <w:tcPr>
            <w:tcW w:w="1080" w:type="dxa"/>
            <w:tcBorders>
              <w:bottom w:val="single" w:sz="8" w:space="0" w:color="CCEDFF"/>
            </w:tcBorders>
            <w:shd w:val="clear" w:color="auto" w:fill="CCEDFF"/>
          </w:tcPr>
          <w:p w14:paraId="2FBA3477" w14:textId="77777777" w:rsidR="00AE2255" w:rsidRDefault="00000000">
            <w:pPr>
              <w:pStyle w:val="TableParagraph"/>
              <w:spacing w:line="230" w:lineRule="exact"/>
              <w:ind w:right="135"/>
              <w:rPr>
                <w:sz w:val="20"/>
              </w:rPr>
            </w:pPr>
            <w:r>
              <w:rPr>
                <w:spacing w:val="-2"/>
                <w:sz w:val="20"/>
              </w:rPr>
              <w:t>10,609</w:t>
            </w:r>
          </w:p>
        </w:tc>
        <w:tc>
          <w:tcPr>
            <w:tcW w:w="1024" w:type="dxa"/>
            <w:tcBorders>
              <w:bottom w:val="single" w:sz="8" w:space="0" w:color="CCEDFF"/>
            </w:tcBorders>
            <w:shd w:val="clear" w:color="auto" w:fill="CCEDFF"/>
          </w:tcPr>
          <w:p w14:paraId="157B7780" w14:textId="77777777" w:rsidR="00AE2255" w:rsidRDefault="00000000">
            <w:pPr>
              <w:pStyle w:val="TableParagraph"/>
              <w:spacing w:line="230" w:lineRule="exact"/>
              <w:ind w:right="79"/>
              <w:rPr>
                <w:sz w:val="20"/>
              </w:rPr>
            </w:pPr>
            <w:r>
              <w:rPr>
                <w:spacing w:val="-2"/>
                <w:sz w:val="20"/>
              </w:rPr>
              <w:t>10,470</w:t>
            </w:r>
          </w:p>
        </w:tc>
      </w:tr>
      <w:tr w:rsidR="00AE2255" w14:paraId="7EE8CC4F" w14:textId="77777777">
        <w:trPr>
          <w:trHeight w:val="265"/>
        </w:trPr>
        <w:tc>
          <w:tcPr>
            <w:tcW w:w="7080" w:type="dxa"/>
            <w:tcBorders>
              <w:top w:val="single" w:sz="8" w:space="0" w:color="auto"/>
              <w:bottom w:val="single" w:sz="8" w:space="0" w:color="auto"/>
            </w:tcBorders>
          </w:tcPr>
          <w:p w14:paraId="7EA5183D" w14:textId="77777777" w:rsidR="00AE2255" w:rsidRDefault="00000000">
            <w:pPr>
              <w:pStyle w:val="TableParagraph"/>
              <w:spacing w:before="17" w:line="228" w:lineRule="exact"/>
              <w:ind w:left="412"/>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061" w:type="dxa"/>
            <w:tcBorders>
              <w:top w:val="single" w:sz="8" w:space="0" w:color="auto"/>
              <w:bottom w:val="single" w:sz="8" w:space="0" w:color="auto"/>
            </w:tcBorders>
          </w:tcPr>
          <w:p w14:paraId="1E9FE056" w14:textId="77777777" w:rsidR="00AE2255" w:rsidRDefault="00000000">
            <w:pPr>
              <w:pStyle w:val="TableParagraph"/>
              <w:spacing w:before="15" w:line="230" w:lineRule="exact"/>
              <w:ind w:left="373"/>
              <w:jc w:val="left"/>
              <w:rPr>
                <w:b/>
                <w:sz w:val="20"/>
              </w:rPr>
            </w:pPr>
            <w:r>
              <w:rPr>
                <w:b/>
                <w:spacing w:val="-2"/>
                <w:sz w:val="20"/>
              </w:rPr>
              <w:t>65,984</w:t>
            </w:r>
          </w:p>
        </w:tc>
        <w:tc>
          <w:tcPr>
            <w:tcW w:w="1080" w:type="dxa"/>
            <w:tcBorders>
              <w:top w:val="single" w:sz="8" w:space="0" w:color="auto"/>
              <w:bottom w:val="single" w:sz="8" w:space="0" w:color="auto"/>
            </w:tcBorders>
          </w:tcPr>
          <w:p w14:paraId="766E069A" w14:textId="77777777" w:rsidR="00AE2255" w:rsidRDefault="00000000">
            <w:pPr>
              <w:pStyle w:val="TableParagraph"/>
              <w:spacing w:before="15" w:line="230" w:lineRule="exact"/>
              <w:ind w:right="135"/>
              <w:rPr>
                <w:sz w:val="20"/>
              </w:rPr>
            </w:pPr>
            <w:r>
              <w:rPr>
                <w:spacing w:val="-2"/>
                <w:sz w:val="20"/>
              </w:rPr>
              <w:t>67,044</w:t>
            </w:r>
          </w:p>
        </w:tc>
        <w:tc>
          <w:tcPr>
            <w:tcW w:w="1024" w:type="dxa"/>
            <w:tcBorders>
              <w:top w:val="single" w:sz="8" w:space="0" w:color="auto"/>
              <w:bottom w:val="single" w:sz="8" w:space="0" w:color="auto"/>
            </w:tcBorders>
          </w:tcPr>
          <w:p w14:paraId="76002718" w14:textId="77777777" w:rsidR="00AE2255" w:rsidRDefault="00000000">
            <w:pPr>
              <w:pStyle w:val="TableParagraph"/>
              <w:spacing w:before="15" w:line="230" w:lineRule="exact"/>
              <w:ind w:right="79"/>
              <w:rPr>
                <w:sz w:val="20"/>
              </w:rPr>
            </w:pPr>
            <w:r>
              <w:rPr>
                <w:spacing w:val="-2"/>
                <w:sz w:val="20"/>
              </w:rPr>
              <w:t>65,398</w:t>
            </w:r>
          </w:p>
        </w:tc>
      </w:tr>
      <w:tr w:rsidR="00AE2255" w14:paraId="17CD1396" w14:textId="77777777">
        <w:trPr>
          <w:trHeight w:val="275"/>
        </w:trPr>
        <w:tc>
          <w:tcPr>
            <w:tcW w:w="7080" w:type="dxa"/>
            <w:tcBorders>
              <w:top w:val="single" w:sz="8" w:space="0" w:color="CCEDFF"/>
            </w:tcBorders>
            <w:shd w:val="clear" w:color="auto" w:fill="CCEDFF"/>
          </w:tcPr>
          <w:p w14:paraId="43F2F7FF" w14:textId="77777777" w:rsidR="00AE2255" w:rsidRDefault="00000000">
            <w:pPr>
              <w:pStyle w:val="TableParagraph"/>
              <w:spacing w:before="13"/>
              <w:ind w:left="52"/>
              <w:jc w:val="left"/>
              <w:rPr>
                <w:b/>
                <w:sz w:val="20"/>
              </w:rPr>
            </w:pPr>
            <w:r>
              <w:rPr>
                <w:b/>
                <w:sz w:val="20"/>
              </w:rPr>
              <w:t>Cost</w:t>
            </w:r>
            <w:r>
              <w:rPr>
                <w:b/>
                <w:spacing w:val="-3"/>
                <w:sz w:val="20"/>
              </w:rPr>
              <w:t xml:space="preserve"> </w:t>
            </w:r>
            <w:r>
              <w:rPr>
                <w:b/>
                <w:sz w:val="20"/>
              </w:rPr>
              <w:t>of</w:t>
            </w:r>
            <w:r>
              <w:rPr>
                <w:b/>
                <w:spacing w:val="-1"/>
                <w:sz w:val="20"/>
              </w:rPr>
              <w:t xml:space="preserve"> </w:t>
            </w:r>
            <w:r>
              <w:rPr>
                <w:b/>
                <w:spacing w:val="-2"/>
                <w:sz w:val="20"/>
              </w:rPr>
              <w:t>sales</w:t>
            </w:r>
          </w:p>
        </w:tc>
        <w:tc>
          <w:tcPr>
            <w:tcW w:w="1061" w:type="dxa"/>
            <w:tcBorders>
              <w:top w:val="single" w:sz="8" w:space="0" w:color="CCEDFF"/>
            </w:tcBorders>
            <w:shd w:val="clear" w:color="auto" w:fill="CCEDFF"/>
          </w:tcPr>
          <w:p w14:paraId="5B20D0DF" w14:textId="77777777" w:rsidR="00AE2255" w:rsidRDefault="00AE2255">
            <w:pPr>
              <w:pStyle w:val="TableParagraph"/>
              <w:spacing w:before="0"/>
              <w:jc w:val="left"/>
              <w:rPr>
                <w:sz w:val="20"/>
              </w:rPr>
            </w:pPr>
          </w:p>
        </w:tc>
        <w:tc>
          <w:tcPr>
            <w:tcW w:w="1080" w:type="dxa"/>
            <w:tcBorders>
              <w:top w:val="single" w:sz="8" w:space="0" w:color="CCEDFF"/>
            </w:tcBorders>
            <w:shd w:val="clear" w:color="auto" w:fill="CCEDFF"/>
          </w:tcPr>
          <w:p w14:paraId="14F9CFAF"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4EA129CA" w14:textId="77777777" w:rsidR="00AE2255" w:rsidRDefault="00AE2255">
            <w:pPr>
              <w:pStyle w:val="TableParagraph"/>
              <w:spacing w:before="0"/>
              <w:jc w:val="left"/>
              <w:rPr>
                <w:sz w:val="20"/>
              </w:rPr>
            </w:pPr>
          </w:p>
        </w:tc>
      </w:tr>
      <w:tr w:rsidR="00AE2255" w14:paraId="46E72D77" w14:textId="77777777">
        <w:trPr>
          <w:trHeight w:val="285"/>
        </w:trPr>
        <w:tc>
          <w:tcPr>
            <w:tcW w:w="7080" w:type="dxa"/>
          </w:tcPr>
          <w:p w14:paraId="317515DE" w14:textId="77777777" w:rsidR="00AE2255" w:rsidRDefault="00000000">
            <w:pPr>
              <w:pStyle w:val="TableParagraph"/>
              <w:spacing w:before="27"/>
              <w:ind w:left="187"/>
              <w:jc w:val="left"/>
              <w:rPr>
                <w:sz w:val="20"/>
              </w:rPr>
            </w:pPr>
            <w:r>
              <w:rPr>
                <w:spacing w:val="-2"/>
                <w:sz w:val="20"/>
              </w:rPr>
              <w:t>Products</w:t>
            </w:r>
          </w:p>
        </w:tc>
        <w:tc>
          <w:tcPr>
            <w:tcW w:w="1061" w:type="dxa"/>
          </w:tcPr>
          <w:p w14:paraId="73D4BE36" w14:textId="77777777" w:rsidR="00AE2255" w:rsidRDefault="00000000">
            <w:pPr>
              <w:pStyle w:val="TableParagraph"/>
              <w:ind w:right="70"/>
              <w:rPr>
                <w:b/>
                <w:sz w:val="20"/>
              </w:rPr>
            </w:pPr>
            <w:r>
              <w:rPr>
                <w:b/>
                <w:spacing w:val="-2"/>
                <w:sz w:val="20"/>
              </w:rPr>
              <w:t>(49,577)</w:t>
            </w:r>
          </w:p>
        </w:tc>
        <w:tc>
          <w:tcPr>
            <w:tcW w:w="1080" w:type="dxa"/>
          </w:tcPr>
          <w:p w14:paraId="43921248" w14:textId="77777777" w:rsidR="00AE2255" w:rsidRDefault="00000000">
            <w:pPr>
              <w:pStyle w:val="TableParagraph"/>
              <w:ind w:right="70"/>
              <w:rPr>
                <w:sz w:val="20"/>
              </w:rPr>
            </w:pPr>
            <w:r>
              <w:rPr>
                <w:spacing w:val="-2"/>
                <w:sz w:val="20"/>
              </w:rPr>
              <w:t>(50,273)</w:t>
            </w:r>
          </w:p>
        </w:tc>
        <w:tc>
          <w:tcPr>
            <w:tcW w:w="1024" w:type="dxa"/>
          </w:tcPr>
          <w:p w14:paraId="55D426F3" w14:textId="77777777" w:rsidR="00AE2255" w:rsidRDefault="00000000">
            <w:pPr>
              <w:pStyle w:val="TableParagraph"/>
              <w:ind w:right="14"/>
              <w:rPr>
                <w:sz w:val="20"/>
              </w:rPr>
            </w:pPr>
            <w:r>
              <w:rPr>
                <w:spacing w:val="-2"/>
                <w:sz w:val="20"/>
              </w:rPr>
              <w:t>(48,996)</w:t>
            </w:r>
          </w:p>
        </w:tc>
      </w:tr>
      <w:tr w:rsidR="00AE2255" w14:paraId="5ACA0780" w14:textId="77777777">
        <w:trPr>
          <w:trHeight w:val="285"/>
        </w:trPr>
        <w:tc>
          <w:tcPr>
            <w:tcW w:w="7080" w:type="dxa"/>
            <w:shd w:val="clear" w:color="auto" w:fill="CCEDFF"/>
          </w:tcPr>
          <w:p w14:paraId="2DC80B5E" w14:textId="77777777" w:rsidR="00AE2255" w:rsidRDefault="00000000">
            <w:pPr>
              <w:pStyle w:val="TableParagraph"/>
              <w:spacing w:before="27"/>
              <w:ind w:left="187"/>
              <w:jc w:val="left"/>
              <w:rPr>
                <w:sz w:val="20"/>
              </w:rPr>
            </w:pPr>
            <w:r>
              <w:rPr>
                <w:spacing w:val="-2"/>
                <w:sz w:val="20"/>
              </w:rPr>
              <w:t>Services</w:t>
            </w:r>
          </w:p>
        </w:tc>
        <w:tc>
          <w:tcPr>
            <w:tcW w:w="1061" w:type="dxa"/>
            <w:shd w:val="clear" w:color="auto" w:fill="CCEDFF"/>
          </w:tcPr>
          <w:p w14:paraId="6E68E685" w14:textId="77777777" w:rsidR="00AE2255" w:rsidRDefault="00000000">
            <w:pPr>
              <w:pStyle w:val="TableParagraph"/>
              <w:ind w:right="70"/>
              <w:rPr>
                <w:b/>
                <w:sz w:val="20"/>
              </w:rPr>
            </w:pPr>
            <w:r>
              <w:rPr>
                <w:b/>
                <w:spacing w:val="-2"/>
                <w:sz w:val="20"/>
              </w:rPr>
              <w:t>(9,280)</w:t>
            </w:r>
          </w:p>
        </w:tc>
        <w:tc>
          <w:tcPr>
            <w:tcW w:w="1080" w:type="dxa"/>
            <w:shd w:val="clear" w:color="auto" w:fill="CCEDFF"/>
          </w:tcPr>
          <w:p w14:paraId="49606032" w14:textId="77777777" w:rsidR="00AE2255" w:rsidRDefault="00000000">
            <w:pPr>
              <w:pStyle w:val="TableParagraph"/>
              <w:ind w:right="70"/>
              <w:rPr>
                <w:sz w:val="20"/>
              </w:rPr>
            </w:pPr>
            <w:r>
              <w:rPr>
                <w:spacing w:val="-2"/>
                <w:sz w:val="20"/>
              </w:rPr>
              <w:t>(9,463)</w:t>
            </w:r>
          </w:p>
        </w:tc>
        <w:tc>
          <w:tcPr>
            <w:tcW w:w="1024" w:type="dxa"/>
            <w:shd w:val="clear" w:color="auto" w:fill="CCEDFF"/>
          </w:tcPr>
          <w:p w14:paraId="11573CF4" w14:textId="77777777" w:rsidR="00AE2255" w:rsidRDefault="00000000">
            <w:pPr>
              <w:pStyle w:val="TableParagraph"/>
              <w:ind w:right="14"/>
              <w:rPr>
                <w:sz w:val="20"/>
              </w:rPr>
            </w:pPr>
            <w:r>
              <w:rPr>
                <w:spacing w:val="-2"/>
                <w:sz w:val="20"/>
              </w:rPr>
              <w:t>(9,371)</w:t>
            </w:r>
          </w:p>
        </w:tc>
      </w:tr>
      <w:tr w:rsidR="00AE2255" w14:paraId="5AB6DA89" w14:textId="77777777">
        <w:trPr>
          <w:trHeight w:val="285"/>
        </w:trPr>
        <w:tc>
          <w:tcPr>
            <w:tcW w:w="7080" w:type="dxa"/>
          </w:tcPr>
          <w:p w14:paraId="138E8F72" w14:textId="77777777" w:rsidR="00AE2255" w:rsidRDefault="00000000">
            <w:pPr>
              <w:pStyle w:val="TableParagraph"/>
              <w:ind w:left="187"/>
              <w:jc w:val="left"/>
              <w:rPr>
                <w:sz w:val="20"/>
              </w:rPr>
            </w:pPr>
            <w:r>
              <w:rPr>
                <w:sz w:val="20"/>
              </w:rPr>
              <w:t>Severance</w:t>
            </w:r>
            <w:r>
              <w:rPr>
                <w:spacing w:val="-4"/>
                <w:sz w:val="20"/>
              </w:rPr>
              <w:t xml:space="preserve"> </w:t>
            </w:r>
            <w:r>
              <w:rPr>
                <w:sz w:val="20"/>
              </w:rPr>
              <w:t>and</w:t>
            </w:r>
            <w:r>
              <w:rPr>
                <w:spacing w:val="-3"/>
                <w:sz w:val="20"/>
              </w:rPr>
              <w:t xml:space="preserve"> </w:t>
            </w:r>
            <w:r>
              <w:rPr>
                <w:sz w:val="20"/>
              </w:rPr>
              <w:t>other</w:t>
            </w:r>
            <w:r>
              <w:rPr>
                <w:spacing w:val="-2"/>
                <w:sz w:val="20"/>
              </w:rPr>
              <w:t xml:space="preserve"> charges</w:t>
            </w:r>
          </w:p>
        </w:tc>
        <w:tc>
          <w:tcPr>
            <w:tcW w:w="1061" w:type="dxa"/>
          </w:tcPr>
          <w:p w14:paraId="5F21C900" w14:textId="77777777" w:rsidR="00AE2255" w:rsidRDefault="00000000">
            <w:pPr>
              <w:pStyle w:val="TableParagraph"/>
              <w:ind w:right="70"/>
              <w:rPr>
                <w:b/>
                <w:sz w:val="20"/>
              </w:rPr>
            </w:pPr>
            <w:r>
              <w:rPr>
                <w:b/>
                <w:spacing w:val="-2"/>
                <w:sz w:val="20"/>
              </w:rPr>
              <w:t>(100)</w:t>
            </w:r>
          </w:p>
        </w:tc>
        <w:tc>
          <w:tcPr>
            <w:tcW w:w="1080" w:type="dxa"/>
          </w:tcPr>
          <w:p w14:paraId="2E28F4DF" w14:textId="77777777" w:rsidR="00AE2255" w:rsidRDefault="00000000">
            <w:pPr>
              <w:pStyle w:val="TableParagraph"/>
              <w:ind w:right="70"/>
              <w:rPr>
                <w:sz w:val="20"/>
              </w:rPr>
            </w:pPr>
            <w:r>
              <w:rPr>
                <w:spacing w:val="-4"/>
                <w:sz w:val="20"/>
              </w:rPr>
              <w:t>(36)</w:t>
            </w:r>
          </w:p>
        </w:tc>
        <w:tc>
          <w:tcPr>
            <w:tcW w:w="1024" w:type="dxa"/>
          </w:tcPr>
          <w:p w14:paraId="7446C9C1" w14:textId="77777777" w:rsidR="00AE2255" w:rsidRDefault="00000000">
            <w:pPr>
              <w:pStyle w:val="TableParagraph"/>
              <w:ind w:right="14"/>
              <w:rPr>
                <w:sz w:val="20"/>
              </w:rPr>
            </w:pPr>
            <w:r>
              <w:rPr>
                <w:spacing w:val="-4"/>
                <w:sz w:val="20"/>
              </w:rPr>
              <w:t>(27)</w:t>
            </w:r>
          </w:p>
        </w:tc>
      </w:tr>
      <w:tr w:rsidR="00AE2255" w14:paraId="55303CCE" w14:textId="77777777">
        <w:trPr>
          <w:trHeight w:val="275"/>
        </w:trPr>
        <w:tc>
          <w:tcPr>
            <w:tcW w:w="7080" w:type="dxa"/>
            <w:tcBorders>
              <w:bottom w:val="single" w:sz="8" w:space="0" w:color="CCEDFF"/>
            </w:tcBorders>
            <w:shd w:val="clear" w:color="auto" w:fill="CCEDFF"/>
          </w:tcPr>
          <w:p w14:paraId="33EAA97D" w14:textId="77777777" w:rsidR="00AE2255" w:rsidRDefault="00000000">
            <w:pPr>
              <w:pStyle w:val="TableParagraph"/>
              <w:spacing w:before="27" w:line="228" w:lineRule="exact"/>
              <w:ind w:left="187"/>
              <w:jc w:val="left"/>
              <w:rPr>
                <w:sz w:val="20"/>
              </w:rPr>
            </w:pPr>
            <w:r>
              <w:rPr>
                <w:sz w:val="20"/>
              </w:rPr>
              <w:t>Other</w:t>
            </w:r>
            <w:r>
              <w:rPr>
                <w:spacing w:val="-5"/>
                <w:sz w:val="20"/>
              </w:rPr>
              <w:t xml:space="preserve"> </w:t>
            </w:r>
            <w:r>
              <w:rPr>
                <w:sz w:val="20"/>
              </w:rPr>
              <w:t>unallocated,</w:t>
            </w:r>
            <w:r>
              <w:rPr>
                <w:spacing w:val="-5"/>
                <w:sz w:val="20"/>
              </w:rPr>
              <w:t xml:space="preserve"> net</w:t>
            </w:r>
          </w:p>
        </w:tc>
        <w:tc>
          <w:tcPr>
            <w:tcW w:w="1061" w:type="dxa"/>
            <w:tcBorders>
              <w:bottom w:val="single" w:sz="8" w:space="0" w:color="CCEDFF"/>
            </w:tcBorders>
            <w:shd w:val="clear" w:color="auto" w:fill="CCEDFF"/>
          </w:tcPr>
          <w:p w14:paraId="4C74F395" w14:textId="77777777" w:rsidR="00AE2255" w:rsidRDefault="00000000">
            <w:pPr>
              <w:pStyle w:val="TableParagraph"/>
              <w:spacing w:line="230" w:lineRule="exact"/>
              <w:ind w:right="135"/>
              <w:rPr>
                <w:b/>
                <w:sz w:val="20"/>
              </w:rPr>
            </w:pPr>
            <w:r>
              <w:rPr>
                <w:b/>
                <w:spacing w:val="-2"/>
                <w:sz w:val="20"/>
              </w:rPr>
              <w:t>1,260</w:t>
            </w:r>
          </w:p>
        </w:tc>
        <w:tc>
          <w:tcPr>
            <w:tcW w:w="1080" w:type="dxa"/>
            <w:tcBorders>
              <w:bottom w:val="single" w:sz="8" w:space="0" w:color="CCEDFF"/>
            </w:tcBorders>
            <w:shd w:val="clear" w:color="auto" w:fill="CCEDFF"/>
          </w:tcPr>
          <w:p w14:paraId="3DB1666F" w14:textId="77777777" w:rsidR="00AE2255" w:rsidRDefault="00000000">
            <w:pPr>
              <w:pStyle w:val="TableParagraph"/>
              <w:spacing w:line="230" w:lineRule="exact"/>
              <w:ind w:right="135"/>
              <w:rPr>
                <w:sz w:val="20"/>
              </w:rPr>
            </w:pPr>
            <w:r>
              <w:rPr>
                <w:spacing w:val="-2"/>
                <w:sz w:val="20"/>
              </w:rPr>
              <w:t>1,789</w:t>
            </w:r>
          </w:p>
        </w:tc>
        <w:tc>
          <w:tcPr>
            <w:tcW w:w="1024" w:type="dxa"/>
            <w:tcBorders>
              <w:bottom w:val="single" w:sz="8" w:space="0" w:color="CCEDFF"/>
            </w:tcBorders>
            <w:shd w:val="clear" w:color="auto" w:fill="CCEDFF"/>
          </w:tcPr>
          <w:p w14:paraId="59B378DB" w14:textId="77777777" w:rsidR="00AE2255" w:rsidRDefault="00000000">
            <w:pPr>
              <w:pStyle w:val="TableParagraph"/>
              <w:spacing w:line="230" w:lineRule="exact"/>
              <w:ind w:right="79"/>
              <w:rPr>
                <w:sz w:val="20"/>
              </w:rPr>
            </w:pPr>
            <w:r>
              <w:rPr>
                <w:spacing w:val="-2"/>
                <w:sz w:val="20"/>
              </w:rPr>
              <w:t>1,650</w:t>
            </w:r>
          </w:p>
        </w:tc>
      </w:tr>
      <w:tr w:rsidR="00AE2255" w14:paraId="7EB642AA" w14:textId="77777777">
        <w:trPr>
          <w:trHeight w:val="265"/>
        </w:trPr>
        <w:tc>
          <w:tcPr>
            <w:tcW w:w="7080" w:type="dxa"/>
            <w:tcBorders>
              <w:top w:val="single" w:sz="8" w:space="0" w:color="auto"/>
              <w:bottom w:val="single" w:sz="8" w:space="0" w:color="auto"/>
            </w:tcBorders>
          </w:tcPr>
          <w:p w14:paraId="36997D1C" w14:textId="77777777" w:rsidR="00AE2255" w:rsidRDefault="00000000">
            <w:pPr>
              <w:pStyle w:val="TableParagraph"/>
              <w:spacing w:before="17" w:line="228" w:lineRule="exact"/>
              <w:ind w:left="412"/>
              <w:jc w:val="left"/>
              <w:rPr>
                <w:sz w:val="20"/>
              </w:rPr>
            </w:pPr>
            <w:r>
              <w:rPr>
                <w:sz w:val="20"/>
              </w:rPr>
              <w:t>Total</w:t>
            </w:r>
            <w:r>
              <w:rPr>
                <w:spacing w:val="-3"/>
                <w:sz w:val="20"/>
              </w:rPr>
              <w:t xml:space="preserve"> </w:t>
            </w:r>
            <w:r>
              <w:rPr>
                <w:sz w:val="20"/>
              </w:rPr>
              <w:t>cost</w:t>
            </w:r>
            <w:r>
              <w:rPr>
                <w:spacing w:val="-3"/>
                <w:sz w:val="20"/>
              </w:rPr>
              <w:t xml:space="preserve"> </w:t>
            </w:r>
            <w:r>
              <w:rPr>
                <w:sz w:val="20"/>
              </w:rPr>
              <w:t>of</w:t>
            </w:r>
            <w:r>
              <w:rPr>
                <w:spacing w:val="-1"/>
                <w:sz w:val="20"/>
              </w:rPr>
              <w:t xml:space="preserve"> </w:t>
            </w:r>
            <w:r>
              <w:rPr>
                <w:spacing w:val="-2"/>
                <w:sz w:val="20"/>
              </w:rPr>
              <w:t>sales</w:t>
            </w:r>
          </w:p>
        </w:tc>
        <w:tc>
          <w:tcPr>
            <w:tcW w:w="1061" w:type="dxa"/>
            <w:tcBorders>
              <w:top w:val="single" w:sz="8" w:space="0" w:color="auto"/>
              <w:bottom w:val="single" w:sz="8" w:space="0" w:color="auto"/>
            </w:tcBorders>
          </w:tcPr>
          <w:p w14:paraId="39615F95" w14:textId="77777777" w:rsidR="00AE2255" w:rsidRDefault="00000000">
            <w:pPr>
              <w:pStyle w:val="TableParagraph"/>
              <w:spacing w:before="15" w:line="230" w:lineRule="exact"/>
              <w:ind w:right="70"/>
              <w:rPr>
                <w:b/>
                <w:sz w:val="20"/>
              </w:rPr>
            </w:pPr>
            <w:r>
              <w:rPr>
                <w:b/>
                <w:spacing w:val="-2"/>
                <w:sz w:val="20"/>
              </w:rPr>
              <w:t>(57,697)</w:t>
            </w:r>
          </w:p>
        </w:tc>
        <w:tc>
          <w:tcPr>
            <w:tcW w:w="1080" w:type="dxa"/>
            <w:tcBorders>
              <w:top w:val="single" w:sz="8" w:space="0" w:color="auto"/>
              <w:bottom w:val="single" w:sz="8" w:space="0" w:color="auto"/>
            </w:tcBorders>
          </w:tcPr>
          <w:p w14:paraId="679CAABF" w14:textId="77777777" w:rsidR="00AE2255" w:rsidRDefault="00000000">
            <w:pPr>
              <w:pStyle w:val="TableParagraph"/>
              <w:spacing w:before="15" w:line="230" w:lineRule="exact"/>
              <w:ind w:right="70"/>
              <w:rPr>
                <w:sz w:val="20"/>
              </w:rPr>
            </w:pPr>
            <w:r>
              <w:rPr>
                <w:spacing w:val="-2"/>
                <w:sz w:val="20"/>
              </w:rPr>
              <w:t>(57,983)</w:t>
            </w:r>
          </w:p>
        </w:tc>
        <w:tc>
          <w:tcPr>
            <w:tcW w:w="1024" w:type="dxa"/>
            <w:tcBorders>
              <w:top w:val="single" w:sz="8" w:space="0" w:color="auto"/>
              <w:bottom w:val="single" w:sz="8" w:space="0" w:color="auto"/>
            </w:tcBorders>
          </w:tcPr>
          <w:p w14:paraId="004F5681" w14:textId="77777777" w:rsidR="00AE2255" w:rsidRDefault="00000000">
            <w:pPr>
              <w:pStyle w:val="TableParagraph"/>
              <w:spacing w:before="15" w:line="230" w:lineRule="exact"/>
              <w:ind w:right="14"/>
              <w:rPr>
                <w:sz w:val="20"/>
              </w:rPr>
            </w:pPr>
            <w:r>
              <w:rPr>
                <w:spacing w:val="-2"/>
                <w:sz w:val="20"/>
              </w:rPr>
              <w:t>(56,744)</w:t>
            </w:r>
          </w:p>
        </w:tc>
      </w:tr>
      <w:tr w:rsidR="00AE2255" w14:paraId="0EDAA045" w14:textId="77777777">
        <w:trPr>
          <w:trHeight w:val="275"/>
        </w:trPr>
        <w:tc>
          <w:tcPr>
            <w:tcW w:w="7080" w:type="dxa"/>
            <w:tcBorders>
              <w:top w:val="single" w:sz="8" w:space="0" w:color="CCEDFF"/>
            </w:tcBorders>
            <w:shd w:val="clear" w:color="auto" w:fill="CCEDFF"/>
          </w:tcPr>
          <w:p w14:paraId="31286F9E" w14:textId="77777777" w:rsidR="00AE2255" w:rsidRDefault="00000000">
            <w:pPr>
              <w:pStyle w:val="TableParagraph"/>
              <w:spacing w:before="17"/>
              <w:ind w:left="52"/>
              <w:jc w:val="left"/>
              <w:rPr>
                <w:sz w:val="20"/>
              </w:rPr>
            </w:pPr>
            <w:r>
              <w:rPr>
                <w:sz w:val="20"/>
              </w:rPr>
              <w:t>Gross</w:t>
            </w:r>
            <w:r>
              <w:rPr>
                <w:spacing w:val="-3"/>
                <w:sz w:val="20"/>
              </w:rPr>
              <w:t xml:space="preserve"> </w:t>
            </w:r>
            <w:r>
              <w:rPr>
                <w:spacing w:val="-2"/>
                <w:sz w:val="20"/>
              </w:rPr>
              <w:t>profit</w:t>
            </w:r>
          </w:p>
        </w:tc>
        <w:tc>
          <w:tcPr>
            <w:tcW w:w="1061" w:type="dxa"/>
            <w:tcBorders>
              <w:top w:val="single" w:sz="8" w:space="0" w:color="CCEDFF"/>
            </w:tcBorders>
            <w:shd w:val="clear" w:color="auto" w:fill="CCEDFF"/>
          </w:tcPr>
          <w:p w14:paraId="774ECBFF" w14:textId="77777777" w:rsidR="00AE2255" w:rsidRDefault="00000000">
            <w:pPr>
              <w:pStyle w:val="TableParagraph"/>
              <w:spacing w:before="15"/>
              <w:ind w:right="135"/>
              <w:rPr>
                <w:b/>
                <w:sz w:val="20"/>
              </w:rPr>
            </w:pPr>
            <w:r>
              <w:rPr>
                <w:b/>
                <w:spacing w:val="-2"/>
                <w:sz w:val="20"/>
              </w:rPr>
              <w:t>8,287</w:t>
            </w:r>
          </w:p>
        </w:tc>
        <w:tc>
          <w:tcPr>
            <w:tcW w:w="1080" w:type="dxa"/>
            <w:tcBorders>
              <w:top w:val="single" w:sz="8" w:space="0" w:color="CCEDFF"/>
            </w:tcBorders>
            <w:shd w:val="clear" w:color="auto" w:fill="CCEDFF"/>
          </w:tcPr>
          <w:p w14:paraId="24F50068" w14:textId="77777777" w:rsidR="00AE2255" w:rsidRDefault="00000000">
            <w:pPr>
              <w:pStyle w:val="TableParagraph"/>
              <w:spacing w:before="15"/>
              <w:ind w:right="135"/>
              <w:rPr>
                <w:sz w:val="20"/>
              </w:rPr>
            </w:pPr>
            <w:r>
              <w:rPr>
                <w:spacing w:val="-2"/>
                <w:sz w:val="20"/>
              </w:rPr>
              <w:t>9,061</w:t>
            </w:r>
          </w:p>
        </w:tc>
        <w:tc>
          <w:tcPr>
            <w:tcW w:w="1024" w:type="dxa"/>
            <w:tcBorders>
              <w:top w:val="single" w:sz="8" w:space="0" w:color="CCEDFF"/>
            </w:tcBorders>
            <w:shd w:val="clear" w:color="auto" w:fill="CCEDFF"/>
          </w:tcPr>
          <w:p w14:paraId="661D588A" w14:textId="77777777" w:rsidR="00AE2255" w:rsidRDefault="00000000">
            <w:pPr>
              <w:pStyle w:val="TableParagraph"/>
              <w:spacing w:before="15"/>
              <w:ind w:right="79"/>
              <w:rPr>
                <w:sz w:val="20"/>
              </w:rPr>
            </w:pPr>
            <w:r>
              <w:rPr>
                <w:spacing w:val="-2"/>
                <w:sz w:val="20"/>
              </w:rPr>
              <w:t>8,654</w:t>
            </w:r>
          </w:p>
        </w:tc>
      </w:tr>
      <w:tr w:rsidR="00AE2255" w14:paraId="2C07EF34" w14:textId="77777777">
        <w:trPr>
          <w:trHeight w:val="274"/>
        </w:trPr>
        <w:tc>
          <w:tcPr>
            <w:tcW w:w="7080" w:type="dxa"/>
            <w:tcBorders>
              <w:bottom w:val="single" w:sz="8" w:space="0" w:color="auto"/>
            </w:tcBorders>
          </w:tcPr>
          <w:p w14:paraId="74432D63" w14:textId="77777777" w:rsidR="00AE2255" w:rsidRDefault="00000000">
            <w:pPr>
              <w:pStyle w:val="TableParagraph"/>
              <w:spacing w:before="27" w:line="228" w:lineRule="exact"/>
              <w:ind w:left="52"/>
              <w:jc w:val="left"/>
              <w:rPr>
                <w:sz w:val="20"/>
              </w:rPr>
            </w:pPr>
            <w:r>
              <w:rPr>
                <w:sz w:val="20"/>
              </w:rPr>
              <w:t>Other</w:t>
            </w:r>
            <w:r>
              <w:rPr>
                <w:spacing w:val="-4"/>
                <w:sz w:val="20"/>
              </w:rPr>
              <w:t xml:space="preserve"> </w:t>
            </w:r>
            <w:r>
              <w:rPr>
                <w:sz w:val="20"/>
              </w:rPr>
              <w:t>income</w:t>
            </w:r>
            <w:r>
              <w:rPr>
                <w:spacing w:val="-4"/>
                <w:sz w:val="20"/>
              </w:rPr>
              <w:t xml:space="preserve"> </w:t>
            </w:r>
            <w:r>
              <w:rPr>
                <w:sz w:val="20"/>
              </w:rPr>
              <w:t>(expense),</w:t>
            </w:r>
            <w:r>
              <w:rPr>
                <w:spacing w:val="-3"/>
                <w:sz w:val="20"/>
              </w:rPr>
              <w:t xml:space="preserve"> </w:t>
            </w:r>
            <w:r>
              <w:rPr>
                <w:spacing w:val="-5"/>
                <w:sz w:val="20"/>
              </w:rPr>
              <w:t>net</w:t>
            </w:r>
          </w:p>
        </w:tc>
        <w:tc>
          <w:tcPr>
            <w:tcW w:w="1061" w:type="dxa"/>
            <w:tcBorders>
              <w:bottom w:val="single" w:sz="8" w:space="0" w:color="auto"/>
            </w:tcBorders>
          </w:tcPr>
          <w:p w14:paraId="50312341" w14:textId="77777777" w:rsidR="00AE2255" w:rsidRDefault="00000000">
            <w:pPr>
              <w:pStyle w:val="TableParagraph"/>
              <w:spacing w:line="230" w:lineRule="exact"/>
              <w:ind w:right="135"/>
              <w:rPr>
                <w:b/>
                <w:sz w:val="20"/>
              </w:rPr>
            </w:pPr>
            <w:r>
              <w:rPr>
                <w:b/>
                <w:spacing w:val="-5"/>
                <w:sz w:val="20"/>
              </w:rPr>
              <w:t>61</w:t>
            </w:r>
          </w:p>
        </w:tc>
        <w:tc>
          <w:tcPr>
            <w:tcW w:w="1080" w:type="dxa"/>
            <w:tcBorders>
              <w:bottom w:val="single" w:sz="8" w:space="0" w:color="auto"/>
            </w:tcBorders>
          </w:tcPr>
          <w:p w14:paraId="08224ADC" w14:textId="77777777" w:rsidR="00AE2255" w:rsidRDefault="00000000">
            <w:pPr>
              <w:pStyle w:val="TableParagraph"/>
              <w:spacing w:line="230" w:lineRule="exact"/>
              <w:ind w:right="135"/>
              <w:rPr>
                <w:sz w:val="20"/>
              </w:rPr>
            </w:pPr>
            <w:r>
              <w:rPr>
                <w:spacing w:val="-5"/>
                <w:sz w:val="20"/>
              </w:rPr>
              <w:t>62</w:t>
            </w:r>
          </w:p>
        </w:tc>
        <w:tc>
          <w:tcPr>
            <w:tcW w:w="1024" w:type="dxa"/>
            <w:tcBorders>
              <w:bottom w:val="single" w:sz="8" w:space="0" w:color="auto"/>
            </w:tcBorders>
          </w:tcPr>
          <w:p w14:paraId="269E9006" w14:textId="77777777" w:rsidR="00AE2255" w:rsidRDefault="00000000">
            <w:pPr>
              <w:pStyle w:val="TableParagraph"/>
              <w:spacing w:line="230" w:lineRule="exact"/>
              <w:ind w:right="14"/>
              <w:rPr>
                <w:sz w:val="20"/>
              </w:rPr>
            </w:pPr>
            <w:r>
              <w:rPr>
                <w:spacing w:val="-4"/>
                <w:sz w:val="20"/>
              </w:rPr>
              <w:t>(10)</w:t>
            </w:r>
          </w:p>
        </w:tc>
      </w:tr>
      <w:tr w:rsidR="00AE2255" w14:paraId="5605FC9D" w14:textId="77777777">
        <w:trPr>
          <w:trHeight w:val="275"/>
        </w:trPr>
        <w:tc>
          <w:tcPr>
            <w:tcW w:w="7080" w:type="dxa"/>
            <w:tcBorders>
              <w:top w:val="single" w:sz="8" w:space="0" w:color="CCEDFF"/>
            </w:tcBorders>
            <w:shd w:val="clear" w:color="auto" w:fill="CCEDFF"/>
          </w:tcPr>
          <w:p w14:paraId="47705A22" w14:textId="77777777" w:rsidR="00AE2255" w:rsidRDefault="00000000">
            <w:pPr>
              <w:pStyle w:val="TableParagraph"/>
              <w:spacing w:before="13"/>
              <w:ind w:left="52"/>
              <w:jc w:val="left"/>
              <w:rPr>
                <w:b/>
                <w:sz w:val="20"/>
              </w:rPr>
            </w:pPr>
            <w:r>
              <w:rPr>
                <w:b/>
                <w:sz w:val="20"/>
              </w:rPr>
              <w:t>Operating</w:t>
            </w:r>
            <w:r>
              <w:rPr>
                <w:b/>
                <w:spacing w:val="-6"/>
                <w:sz w:val="20"/>
              </w:rPr>
              <w:t xml:space="preserve"> </w:t>
            </w:r>
            <w:r>
              <w:rPr>
                <w:b/>
                <w:spacing w:val="-2"/>
                <w:sz w:val="20"/>
              </w:rPr>
              <w:t>profit</w:t>
            </w:r>
          </w:p>
        </w:tc>
        <w:tc>
          <w:tcPr>
            <w:tcW w:w="1061" w:type="dxa"/>
            <w:tcBorders>
              <w:top w:val="single" w:sz="8" w:space="0" w:color="CCEDFF"/>
            </w:tcBorders>
            <w:shd w:val="clear" w:color="auto" w:fill="CCEDFF"/>
          </w:tcPr>
          <w:p w14:paraId="3C3EA5B1" w14:textId="77777777" w:rsidR="00AE2255" w:rsidRDefault="00000000">
            <w:pPr>
              <w:pStyle w:val="TableParagraph"/>
              <w:spacing w:before="15"/>
              <w:ind w:right="135"/>
              <w:rPr>
                <w:b/>
                <w:sz w:val="20"/>
              </w:rPr>
            </w:pPr>
            <w:r>
              <w:rPr>
                <w:b/>
                <w:spacing w:val="-2"/>
                <w:sz w:val="20"/>
              </w:rPr>
              <w:t>8,348</w:t>
            </w:r>
          </w:p>
        </w:tc>
        <w:tc>
          <w:tcPr>
            <w:tcW w:w="1080" w:type="dxa"/>
            <w:tcBorders>
              <w:top w:val="single" w:sz="8" w:space="0" w:color="CCEDFF"/>
            </w:tcBorders>
            <w:shd w:val="clear" w:color="auto" w:fill="CCEDFF"/>
          </w:tcPr>
          <w:p w14:paraId="4A673AE3" w14:textId="77777777" w:rsidR="00AE2255" w:rsidRDefault="00000000">
            <w:pPr>
              <w:pStyle w:val="TableParagraph"/>
              <w:spacing w:before="15"/>
              <w:ind w:right="135"/>
              <w:rPr>
                <w:sz w:val="20"/>
              </w:rPr>
            </w:pPr>
            <w:r>
              <w:rPr>
                <w:spacing w:val="-2"/>
                <w:sz w:val="20"/>
              </w:rPr>
              <w:t>9,123</w:t>
            </w:r>
          </w:p>
        </w:tc>
        <w:tc>
          <w:tcPr>
            <w:tcW w:w="1024" w:type="dxa"/>
            <w:tcBorders>
              <w:top w:val="single" w:sz="8" w:space="0" w:color="CCEDFF"/>
            </w:tcBorders>
            <w:shd w:val="clear" w:color="auto" w:fill="CCEDFF"/>
          </w:tcPr>
          <w:p w14:paraId="754AEA28" w14:textId="77777777" w:rsidR="00AE2255" w:rsidRDefault="00000000">
            <w:pPr>
              <w:pStyle w:val="TableParagraph"/>
              <w:spacing w:before="15"/>
              <w:ind w:right="79"/>
              <w:rPr>
                <w:sz w:val="20"/>
              </w:rPr>
            </w:pPr>
            <w:r>
              <w:rPr>
                <w:spacing w:val="-2"/>
                <w:sz w:val="20"/>
              </w:rPr>
              <w:t>8,644</w:t>
            </w:r>
          </w:p>
        </w:tc>
      </w:tr>
      <w:tr w:rsidR="00AE2255" w14:paraId="17445333" w14:textId="77777777">
        <w:trPr>
          <w:trHeight w:val="285"/>
        </w:trPr>
        <w:tc>
          <w:tcPr>
            <w:tcW w:w="7080" w:type="dxa"/>
          </w:tcPr>
          <w:p w14:paraId="3EB8E515" w14:textId="77777777" w:rsidR="00AE2255" w:rsidRDefault="00000000">
            <w:pPr>
              <w:pStyle w:val="TableParagraph"/>
              <w:spacing w:before="27"/>
              <w:ind w:left="52"/>
              <w:jc w:val="left"/>
              <w:rPr>
                <w:sz w:val="20"/>
              </w:rPr>
            </w:pPr>
            <w:r>
              <w:rPr>
                <w:sz w:val="20"/>
              </w:rPr>
              <w:t>Interest</w:t>
            </w:r>
            <w:r>
              <w:rPr>
                <w:spacing w:val="-5"/>
                <w:sz w:val="20"/>
              </w:rPr>
              <w:t xml:space="preserve"> </w:t>
            </w:r>
            <w:r>
              <w:rPr>
                <w:spacing w:val="-2"/>
                <w:sz w:val="20"/>
              </w:rPr>
              <w:t>expense</w:t>
            </w:r>
          </w:p>
        </w:tc>
        <w:tc>
          <w:tcPr>
            <w:tcW w:w="1061" w:type="dxa"/>
          </w:tcPr>
          <w:p w14:paraId="56392C7F" w14:textId="77777777" w:rsidR="00AE2255" w:rsidRDefault="00000000">
            <w:pPr>
              <w:pStyle w:val="TableParagraph"/>
              <w:ind w:right="70"/>
              <w:rPr>
                <w:b/>
                <w:sz w:val="20"/>
              </w:rPr>
            </w:pPr>
            <w:r>
              <w:rPr>
                <w:b/>
                <w:spacing w:val="-2"/>
                <w:sz w:val="20"/>
              </w:rPr>
              <w:t>(623)</w:t>
            </w:r>
          </w:p>
        </w:tc>
        <w:tc>
          <w:tcPr>
            <w:tcW w:w="1080" w:type="dxa"/>
          </w:tcPr>
          <w:p w14:paraId="6A6CE41E" w14:textId="77777777" w:rsidR="00AE2255" w:rsidRDefault="00000000">
            <w:pPr>
              <w:pStyle w:val="TableParagraph"/>
              <w:ind w:right="70"/>
              <w:rPr>
                <w:sz w:val="20"/>
              </w:rPr>
            </w:pPr>
            <w:r>
              <w:rPr>
                <w:spacing w:val="-2"/>
                <w:sz w:val="20"/>
              </w:rPr>
              <w:t>(569)</w:t>
            </w:r>
          </w:p>
        </w:tc>
        <w:tc>
          <w:tcPr>
            <w:tcW w:w="1024" w:type="dxa"/>
          </w:tcPr>
          <w:p w14:paraId="6E7846E3" w14:textId="77777777" w:rsidR="00AE2255" w:rsidRDefault="00000000">
            <w:pPr>
              <w:pStyle w:val="TableParagraph"/>
              <w:ind w:right="14"/>
              <w:rPr>
                <w:sz w:val="20"/>
              </w:rPr>
            </w:pPr>
            <w:r>
              <w:rPr>
                <w:spacing w:val="-2"/>
                <w:sz w:val="20"/>
              </w:rPr>
              <w:t>(591)</w:t>
            </w:r>
          </w:p>
        </w:tc>
      </w:tr>
      <w:tr w:rsidR="00AE2255" w14:paraId="4604C3FA" w14:textId="77777777">
        <w:trPr>
          <w:trHeight w:val="285"/>
        </w:trPr>
        <w:tc>
          <w:tcPr>
            <w:tcW w:w="7080" w:type="dxa"/>
            <w:shd w:val="clear" w:color="auto" w:fill="CCEDFF"/>
          </w:tcPr>
          <w:p w14:paraId="33389230" w14:textId="77777777" w:rsidR="00AE2255" w:rsidRDefault="00000000">
            <w:pPr>
              <w:pStyle w:val="TableParagraph"/>
              <w:ind w:left="52"/>
              <w:jc w:val="left"/>
              <w:rPr>
                <w:sz w:val="20"/>
              </w:rPr>
            </w:pPr>
            <w:r>
              <w:rPr>
                <w:sz w:val="20"/>
              </w:rPr>
              <w:t>Non-service</w:t>
            </w:r>
            <w:r>
              <w:rPr>
                <w:spacing w:val="-5"/>
                <w:sz w:val="20"/>
              </w:rPr>
              <w:t xml:space="preserve"> </w:t>
            </w:r>
            <w:r>
              <w:rPr>
                <w:sz w:val="20"/>
              </w:rPr>
              <w:t>FAS</w:t>
            </w:r>
            <w:r>
              <w:rPr>
                <w:spacing w:val="-4"/>
                <w:sz w:val="20"/>
              </w:rPr>
              <w:t xml:space="preserve"> </w:t>
            </w:r>
            <w:r>
              <w:rPr>
                <w:sz w:val="20"/>
              </w:rPr>
              <w:t>pension</w:t>
            </w:r>
            <w:r>
              <w:rPr>
                <w:spacing w:val="-4"/>
                <w:sz w:val="20"/>
              </w:rPr>
              <w:t xml:space="preserve"> </w:t>
            </w:r>
            <w:r>
              <w:rPr>
                <w:sz w:val="20"/>
              </w:rPr>
              <w:t>(expense)</w:t>
            </w:r>
            <w:r>
              <w:rPr>
                <w:spacing w:val="-3"/>
                <w:sz w:val="20"/>
              </w:rPr>
              <w:t xml:space="preserve"> </w:t>
            </w:r>
            <w:r>
              <w:rPr>
                <w:spacing w:val="-2"/>
                <w:sz w:val="20"/>
              </w:rPr>
              <w:t>income</w:t>
            </w:r>
          </w:p>
        </w:tc>
        <w:tc>
          <w:tcPr>
            <w:tcW w:w="1061" w:type="dxa"/>
            <w:shd w:val="clear" w:color="auto" w:fill="CCEDFF"/>
          </w:tcPr>
          <w:p w14:paraId="1C4CF9EE" w14:textId="77777777" w:rsidR="00AE2255" w:rsidRDefault="00000000">
            <w:pPr>
              <w:pStyle w:val="TableParagraph"/>
              <w:ind w:right="70"/>
              <w:rPr>
                <w:b/>
                <w:sz w:val="20"/>
              </w:rPr>
            </w:pPr>
            <w:r>
              <w:rPr>
                <w:b/>
                <w:spacing w:val="-2"/>
                <w:sz w:val="20"/>
              </w:rPr>
              <w:t>(971)</w:t>
            </w:r>
          </w:p>
        </w:tc>
        <w:tc>
          <w:tcPr>
            <w:tcW w:w="1080" w:type="dxa"/>
            <w:shd w:val="clear" w:color="auto" w:fill="CCEDFF"/>
          </w:tcPr>
          <w:p w14:paraId="501CE5AB" w14:textId="77777777" w:rsidR="00AE2255" w:rsidRDefault="00000000">
            <w:pPr>
              <w:pStyle w:val="TableParagraph"/>
              <w:ind w:right="70"/>
              <w:rPr>
                <w:sz w:val="20"/>
              </w:rPr>
            </w:pPr>
            <w:r>
              <w:rPr>
                <w:spacing w:val="-2"/>
                <w:sz w:val="20"/>
              </w:rPr>
              <w:t>(1,292)</w:t>
            </w:r>
          </w:p>
        </w:tc>
        <w:tc>
          <w:tcPr>
            <w:tcW w:w="1024" w:type="dxa"/>
            <w:shd w:val="clear" w:color="auto" w:fill="CCEDFF"/>
          </w:tcPr>
          <w:p w14:paraId="7FA3B286" w14:textId="77777777" w:rsidR="00AE2255" w:rsidRDefault="00000000">
            <w:pPr>
              <w:pStyle w:val="TableParagraph"/>
              <w:ind w:right="79"/>
              <w:rPr>
                <w:sz w:val="20"/>
              </w:rPr>
            </w:pPr>
            <w:r>
              <w:rPr>
                <w:spacing w:val="-5"/>
                <w:sz w:val="20"/>
              </w:rPr>
              <w:t>219</w:t>
            </w:r>
          </w:p>
        </w:tc>
      </w:tr>
      <w:tr w:rsidR="00AE2255" w14:paraId="0D58211D" w14:textId="77777777">
        <w:trPr>
          <w:trHeight w:val="275"/>
        </w:trPr>
        <w:tc>
          <w:tcPr>
            <w:tcW w:w="7080" w:type="dxa"/>
            <w:tcBorders>
              <w:bottom w:val="single" w:sz="8" w:space="0" w:color="auto"/>
            </w:tcBorders>
          </w:tcPr>
          <w:p w14:paraId="3FDF2D0E" w14:textId="77777777" w:rsidR="00AE2255" w:rsidRDefault="00000000">
            <w:pPr>
              <w:pStyle w:val="TableParagraph"/>
              <w:spacing w:line="230" w:lineRule="exact"/>
              <w:ind w:left="52"/>
              <w:jc w:val="left"/>
              <w:rPr>
                <w:sz w:val="20"/>
              </w:rPr>
            </w:pPr>
            <w:r>
              <w:rPr>
                <w:sz w:val="20"/>
              </w:rPr>
              <w:t>Other</w:t>
            </w:r>
            <w:r>
              <w:rPr>
                <w:spacing w:val="-4"/>
                <w:sz w:val="20"/>
              </w:rPr>
              <w:t xml:space="preserve"> </w:t>
            </w:r>
            <w:r>
              <w:rPr>
                <w:sz w:val="20"/>
              </w:rPr>
              <w:t>non-operating</w:t>
            </w:r>
            <w:r>
              <w:rPr>
                <w:spacing w:val="-4"/>
                <w:sz w:val="20"/>
              </w:rPr>
              <w:t xml:space="preserve"> </w:t>
            </w:r>
            <w:r>
              <w:rPr>
                <w:sz w:val="20"/>
              </w:rPr>
              <w:t>(expense)</w:t>
            </w:r>
            <w:r>
              <w:rPr>
                <w:spacing w:val="-4"/>
                <w:sz w:val="20"/>
              </w:rPr>
              <w:t xml:space="preserve"> </w:t>
            </w:r>
            <w:r>
              <w:rPr>
                <w:sz w:val="20"/>
              </w:rPr>
              <w:t>income,</w:t>
            </w:r>
            <w:r>
              <w:rPr>
                <w:spacing w:val="-3"/>
                <w:sz w:val="20"/>
              </w:rPr>
              <w:t xml:space="preserve"> </w:t>
            </w:r>
            <w:r>
              <w:rPr>
                <w:spacing w:val="-5"/>
                <w:sz w:val="20"/>
              </w:rPr>
              <w:t>net</w:t>
            </w:r>
          </w:p>
        </w:tc>
        <w:tc>
          <w:tcPr>
            <w:tcW w:w="1061" w:type="dxa"/>
            <w:tcBorders>
              <w:bottom w:val="single" w:sz="8" w:space="0" w:color="auto"/>
            </w:tcBorders>
          </w:tcPr>
          <w:p w14:paraId="6FD046C1" w14:textId="77777777" w:rsidR="00AE2255" w:rsidRDefault="00000000">
            <w:pPr>
              <w:pStyle w:val="TableParagraph"/>
              <w:spacing w:line="230" w:lineRule="exact"/>
              <w:ind w:right="70"/>
              <w:rPr>
                <w:b/>
                <w:sz w:val="20"/>
              </w:rPr>
            </w:pPr>
            <w:r>
              <w:rPr>
                <w:b/>
                <w:spacing w:val="-4"/>
                <w:sz w:val="20"/>
              </w:rPr>
              <w:t>(74)</w:t>
            </w:r>
          </w:p>
        </w:tc>
        <w:tc>
          <w:tcPr>
            <w:tcW w:w="1080" w:type="dxa"/>
            <w:tcBorders>
              <w:bottom w:val="single" w:sz="8" w:space="0" w:color="auto"/>
            </w:tcBorders>
          </w:tcPr>
          <w:p w14:paraId="24373DB2" w14:textId="77777777" w:rsidR="00AE2255" w:rsidRDefault="00000000">
            <w:pPr>
              <w:pStyle w:val="TableParagraph"/>
              <w:spacing w:line="230" w:lineRule="exact"/>
              <w:ind w:right="135"/>
              <w:rPr>
                <w:sz w:val="20"/>
              </w:rPr>
            </w:pPr>
            <w:r>
              <w:rPr>
                <w:spacing w:val="-5"/>
                <w:sz w:val="20"/>
              </w:rPr>
              <w:t>288</w:t>
            </w:r>
          </w:p>
        </w:tc>
        <w:tc>
          <w:tcPr>
            <w:tcW w:w="1024" w:type="dxa"/>
            <w:tcBorders>
              <w:bottom w:val="single" w:sz="8" w:space="0" w:color="auto"/>
            </w:tcBorders>
          </w:tcPr>
          <w:p w14:paraId="76469892" w14:textId="77777777" w:rsidR="00AE2255" w:rsidRDefault="00000000">
            <w:pPr>
              <w:pStyle w:val="TableParagraph"/>
              <w:spacing w:line="230" w:lineRule="exact"/>
              <w:ind w:right="14"/>
              <w:rPr>
                <w:sz w:val="20"/>
              </w:rPr>
            </w:pPr>
            <w:r>
              <w:rPr>
                <w:spacing w:val="-4"/>
                <w:sz w:val="20"/>
              </w:rPr>
              <w:t>(37)</w:t>
            </w:r>
          </w:p>
        </w:tc>
      </w:tr>
      <w:tr w:rsidR="00AE2255" w14:paraId="028A4C95" w14:textId="77777777">
        <w:trPr>
          <w:trHeight w:val="275"/>
        </w:trPr>
        <w:tc>
          <w:tcPr>
            <w:tcW w:w="7080" w:type="dxa"/>
            <w:tcBorders>
              <w:top w:val="single" w:sz="8" w:space="0" w:color="CCEDFF"/>
            </w:tcBorders>
            <w:shd w:val="clear" w:color="auto" w:fill="CCEDFF"/>
          </w:tcPr>
          <w:p w14:paraId="08FB039F" w14:textId="77777777" w:rsidR="00AE2255" w:rsidRDefault="00000000">
            <w:pPr>
              <w:pStyle w:val="TableParagraph"/>
              <w:spacing w:before="17"/>
              <w:ind w:left="52"/>
              <w:jc w:val="left"/>
              <w:rPr>
                <w:sz w:val="20"/>
              </w:rPr>
            </w:pPr>
            <w:r>
              <w:rPr>
                <w:sz w:val="20"/>
              </w:rPr>
              <w:t>Earnings</w:t>
            </w:r>
            <w:r>
              <w:rPr>
                <w:spacing w:val="-6"/>
                <w:sz w:val="20"/>
              </w:rPr>
              <w:t xml:space="preserve"> </w:t>
            </w:r>
            <w:r>
              <w:rPr>
                <w:sz w:val="20"/>
              </w:rPr>
              <w:t>from</w:t>
            </w:r>
            <w:r>
              <w:rPr>
                <w:spacing w:val="-3"/>
                <w:sz w:val="20"/>
              </w:rPr>
              <w:t xml:space="preserve"> </w:t>
            </w:r>
            <w:r>
              <w:rPr>
                <w:sz w:val="20"/>
              </w:rPr>
              <w:t>continuing</w:t>
            </w:r>
            <w:r>
              <w:rPr>
                <w:spacing w:val="-3"/>
                <w:sz w:val="20"/>
              </w:rPr>
              <w:t xml:space="preserve"> </w:t>
            </w:r>
            <w:r>
              <w:rPr>
                <w:sz w:val="20"/>
              </w:rPr>
              <w:t>operations</w:t>
            </w:r>
            <w:r>
              <w:rPr>
                <w:spacing w:val="-4"/>
                <w:sz w:val="20"/>
              </w:rPr>
              <w:t xml:space="preserve"> </w:t>
            </w:r>
            <w:r>
              <w:rPr>
                <w:sz w:val="20"/>
              </w:rPr>
              <w:t>before</w:t>
            </w:r>
            <w:r>
              <w:rPr>
                <w:spacing w:val="-3"/>
                <w:sz w:val="20"/>
              </w:rPr>
              <w:t xml:space="preserve"> </w:t>
            </w:r>
            <w:r>
              <w:rPr>
                <w:sz w:val="20"/>
              </w:rPr>
              <w:t>income</w:t>
            </w:r>
            <w:r>
              <w:rPr>
                <w:spacing w:val="-3"/>
                <w:sz w:val="20"/>
              </w:rPr>
              <w:t xml:space="preserve"> </w:t>
            </w:r>
            <w:r>
              <w:rPr>
                <w:spacing w:val="-4"/>
                <w:sz w:val="20"/>
              </w:rPr>
              <w:t>taxes</w:t>
            </w:r>
          </w:p>
        </w:tc>
        <w:tc>
          <w:tcPr>
            <w:tcW w:w="1061" w:type="dxa"/>
            <w:tcBorders>
              <w:top w:val="single" w:sz="8" w:space="0" w:color="CCEDFF"/>
            </w:tcBorders>
            <w:shd w:val="clear" w:color="auto" w:fill="CCEDFF"/>
          </w:tcPr>
          <w:p w14:paraId="20C69313" w14:textId="77777777" w:rsidR="00AE2255" w:rsidRDefault="00000000">
            <w:pPr>
              <w:pStyle w:val="TableParagraph"/>
              <w:spacing w:before="15"/>
              <w:ind w:right="135"/>
              <w:rPr>
                <w:b/>
                <w:sz w:val="20"/>
              </w:rPr>
            </w:pPr>
            <w:r>
              <w:rPr>
                <w:b/>
                <w:spacing w:val="-2"/>
                <w:sz w:val="20"/>
              </w:rPr>
              <w:t>6,680</w:t>
            </w:r>
          </w:p>
        </w:tc>
        <w:tc>
          <w:tcPr>
            <w:tcW w:w="1080" w:type="dxa"/>
            <w:tcBorders>
              <w:top w:val="single" w:sz="8" w:space="0" w:color="CCEDFF"/>
            </w:tcBorders>
            <w:shd w:val="clear" w:color="auto" w:fill="CCEDFF"/>
          </w:tcPr>
          <w:p w14:paraId="7D050F19" w14:textId="77777777" w:rsidR="00AE2255" w:rsidRDefault="00000000">
            <w:pPr>
              <w:pStyle w:val="TableParagraph"/>
              <w:spacing w:before="15"/>
              <w:ind w:right="135"/>
              <w:rPr>
                <w:sz w:val="20"/>
              </w:rPr>
            </w:pPr>
            <w:r>
              <w:rPr>
                <w:spacing w:val="-2"/>
                <w:sz w:val="20"/>
              </w:rPr>
              <w:t>7,550</w:t>
            </w:r>
          </w:p>
        </w:tc>
        <w:tc>
          <w:tcPr>
            <w:tcW w:w="1024" w:type="dxa"/>
            <w:tcBorders>
              <w:top w:val="single" w:sz="8" w:space="0" w:color="CCEDFF"/>
            </w:tcBorders>
            <w:shd w:val="clear" w:color="auto" w:fill="CCEDFF"/>
          </w:tcPr>
          <w:p w14:paraId="4621320F" w14:textId="77777777" w:rsidR="00AE2255" w:rsidRDefault="00000000">
            <w:pPr>
              <w:pStyle w:val="TableParagraph"/>
              <w:spacing w:before="15"/>
              <w:ind w:right="79"/>
              <w:rPr>
                <w:sz w:val="20"/>
              </w:rPr>
            </w:pPr>
            <w:r>
              <w:rPr>
                <w:spacing w:val="-2"/>
                <w:sz w:val="20"/>
              </w:rPr>
              <w:t>8,235</w:t>
            </w:r>
          </w:p>
        </w:tc>
      </w:tr>
      <w:tr w:rsidR="00AE2255" w14:paraId="170EDD4B" w14:textId="77777777">
        <w:trPr>
          <w:trHeight w:val="275"/>
        </w:trPr>
        <w:tc>
          <w:tcPr>
            <w:tcW w:w="7080" w:type="dxa"/>
            <w:tcBorders>
              <w:bottom w:val="single" w:sz="8" w:space="0" w:color="auto"/>
            </w:tcBorders>
          </w:tcPr>
          <w:p w14:paraId="0EA8AF86" w14:textId="77777777" w:rsidR="00AE2255" w:rsidRDefault="00000000">
            <w:pPr>
              <w:pStyle w:val="TableParagraph"/>
              <w:spacing w:before="27" w:line="228" w:lineRule="exact"/>
              <w:ind w:left="52"/>
              <w:jc w:val="left"/>
              <w:rPr>
                <w:sz w:val="20"/>
              </w:rPr>
            </w:pPr>
            <w:r>
              <w:rPr>
                <w:sz w:val="20"/>
              </w:rPr>
              <w:t>Income</w:t>
            </w:r>
            <w:r>
              <w:rPr>
                <w:spacing w:val="-3"/>
                <w:sz w:val="20"/>
              </w:rPr>
              <w:t xml:space="preserve"> </w:t>
            </w:r>
            <w:r>
              <w:rPr>
                <w:sz w:val="20"/>
              </w:rPr>
              <w:t>tax</w:t>
            </w:r>
            <w:r>
              <w:rPr>
                <w:spacing w:val="-2"/>
                <w:sz w:val="20"/>
              </w:rPr>
              <w:t xml:space="preserve"> expense</w:t>
            </w:r>
          </w:p>
        </w:tc>
        <w:tc>
          <w:tcPr>
            <w:tcW w:w="1061" w:type="dxa"/>
            <w:tcBorders>
              <w:bottom w:val="single" w:sz="8" w:space="0" w:color="auto"/>
            </w:tcBorders>
          </w:tcPr>
          <w:p w14:paraId="78624E6B" w14:textId="77777777" w:rsidR="00AE2255" w:rsidRDefault="00000000">
            <w:pPr>
              <w:pStyle w:val="TableParagraph"/>
              <w:spacing w:line="230" w:lineRule="exact"/>
              <w:ind w:right="70"/>
              <w:rPr>
                <w:b/>
                <w:sz w:val="20"/>
              </w:rPr>
            </w:pPr>
            <w:r>
              <w:rPr>
                <w:b/>
                <w:spacing w:val="-2"/>
                <w:sz w:val="20"/>
              </w:rPr>
              <w:t>(948)</w:t>
            </w:r>
          </w:p>
        </w:tc>
        <w:tc>
          <w:tcPr>
            <w:tcW w:w="1080" w:type="dxa"/>
            <w:tcBorders>
              <w:bottom w:val="single" w:sz="8" w:space="0" w:color="auto"/>
            </w:tcBorders>
          </w:tcPr>
          <w:p w14:paraId="6E674C30" w14:textId="77777777" w:rsidR="00AE2255" w:rsidRDefault="00000000">
            <w:pPr>
              <w:pStyle w:val="TableParagraph"/>
              <w:spacing w:line="230" w:lineRule="exact"/>
              <w:ind w:right="70"/>
              <w:rPr>
                <w:sz w:val="20"/>
              </w:rPr>
            </w:pPr>
            <w:r>
              <w:rPr>
                <w:spacing w:val="-2"/>
                <w:sz w:val="20"/>
              </w:rPr>
              <w:t>(1,235)</w:t>
            </w:r>
          </w:p>
        </w:tc>
        <w:tc>
          <w:tcPr>
            <w:tcW w:w="1024" w:type="dxa"/>
            <w:tcBorders>
              <w:bottom w:val="single" w:sz="8" w:space="0" w:color="auto"/>
            </w:tcBorders>
          </w:tcPr>
          <w:p w14:paraId="0BE2CE3E" w14:textId="77777777" w:rsidR="00AE2255" w:rsidRDefault="00000000">
            <w:pPr>
              <w:pStyle w:val="TableParagraph"/>
              <w:spacing w:line="230" w:lineRule="exact"/>
              <w:ind w:right="14"/>
              <w:rPr>
                <w:sz w:val="20"/>
              </w:rPr>
            </w:pPr>
            <w:r>
              <w:rPr>
                <w:spacing w:val="-2"/>
                <w:sz w:val="20"/>
              </w:rPr>
              <w:t>(1,347)</w:t>
            </w:r>
          </w:p>
        </w:tc>
      </w:tr>
      <w:tr w:rsidR="00AE2255" w14:paraId="434EA167" w14:textId="77777777">
        <w:trPr>
          <w:trHeight w:val="275"/>
        </w:trPr>
        <w:tc>
          <w:tcPr>
            <w:tcW w:w="7080" w:type="dxa"/>
            <w:tcBorders>
              <w:top w:val="single" w:sz="8" w:space="0" w:color="CCEDFF"/>
            </w:tcBorders>
            <w:shd w:val="clear" w:color="auto" w:fill="CCEDFF"/>
          </w:tcPr>
          <w:p w14:paraId="304C45A3" w14:textId="77777777" w:rsidR="00AE2255" w:rsidRDefault="00000000">
            <w:pPr>
              <w:pStyle w:val="TableParagraph"/>
              <w:spacing w:before="17"/>
              <w:ind w:left="52"/>
              <w:jc w:val="left"/>
              <w:rPr>
                <w:sz w:val="20"/>
              </w:rPr>
            </w:pPr>
            <w:r>
              <w:rPr>
                <w:sz w:val="20"/>
              </w:rPr>
              <w:t>Net</w:t>
            </w:r>
            <w:r>
              <w:rPr>
                <w:spacing w:val="-6"/>
                <w:sz w:val="20"/>
              </w:rPr>
              <w:t xml:space="preserve"> </w:t>
            </w:r>
            <w:r>
              <w:rPr>
                <w:sz w:val="20"/>
              </w:rPr>
              <w:t>earnings</w:t>
            </w:r>
            <w:r>
              <w:rPr>
                <w:spacing w:val="-3"/>
                <w:sz w:val="20"/>
              </w:rPr>
              <w:t xml:space="preserve"> </w:t>
            </w:r>
            <w:r>
              <w:rPr>
                <w:sz w:val="20"/>
              </w:rPr>
              <w:t>from</w:t>
            </w:r>
            <w:r>
              <w:rPr>
                <w:spacing w:val="-3"/>
                <w:sz w:val="20"/>
              </w:rPr>
              <w:t xml:space="preserve"> </w:t>
            </w:r>
            <w:r>
              <w:rPr>
                <w:sz w:val="20"/>
              </w:rPr>
              <w:t>continuing</w:t>
            </w:r>
            <w:r>
              <w:rPr>
                <w:spacing w:val="-2"/>
                <w:sz w:val="20"/>
              </w:rPr>
              <w:t xml:space="preserve"> operations</w:t>
            </w:r>
          </w:p>
        </w:tc>
        <w:tc>
          <w:tcPr>
            <w:tcW w:w="1061" w:type="dxa"/>
            <w:tcBorders>
              <w:top w:val="single" w:sz="8" w:space="0" w:color="CCEDFF"/>
            </w:tcBorders>
            <w:shd w:val="clear" w:color="auto" w:fill="CCEDFF"/>
          </w:tcPr>
          <w:p w14:paraId="79184B50" w14:textId="77777777" w:rsidR="00AE2255" w:rsidRDefault="00000000">
            <w:pPr>
              <w:pStyle w:val="TableParagraph"/>
              <w:spacing w:before="15"/>
              <w:ind w:right="135"/>
              <w:rPr>
                <w:b/>
                <w:sz w:val="20"/>
              </w:rPr>
            </w:pPr>
            <w:r>
              <w:rPr>
                <w:b/>
                <w:spacing w:val="-2"/>
                <w:sz w:val="20"/>
              </w:rPr>
              <w:t>5,732</w:t>
            </w:r>
          </w:p>
        </w:tc>
        <w:tc>
          <w:tcPr>
            <w:tcW w:w="1080" w:type="dxa"/>
            <w:tcBorders>
              <w:top w:val="single" w:sz="8" w:space="0" w:color="CCEDFF"/>
            </w:tcBorders>
            <w:shd w:val="clear" w:color="auto" w:fill="CCEDFF"/>
          </w:tcPr>
          <w:p w14:paraId="340E38BF" w14:textId="77777777" w:rsidR="00AE2255" w:rsidRDefault="00000000">
            <w:pPr>
              <w:pStyle w:val="TableParagraph"/>
              <w:spacing w:before="15"/>
              <w:ind w:right="135"/>
              <w:rPr>
                <w:sz w:val="20"/>
              </w:rPr>
            </w:pPr>
            <w:r>
              <w:rPr>
                <w:spacing w:val="-2"/>
                <w:sz w:val="20"/>
              </w:rPr>
              <w:t>6,315</w:t>
            </w:r>
          </w:p>
        </w:tc>
        <w:tc>
          <w:tcPr>
            <w:tcW w:w="1024" w:type="dxa"/>
            <w:tcBorders>
              <w:top w:val="single" w:sz="8" w:space="0" w:color="CCEDFF"/>
            </w:tcBorders>
            <w:shd w:val="clear" w:color="auto" w:fill="CCEDFF"/>
          </w:tcPr>
          <w:p w14:paraId="20A3B475" w14:textId="77777777" w:rsidR="00AE2255" w:rsidRDefault="00000000">
            <w:pPr>
              <w:pStyle w:val="TableParagraph"/>
              <w:spacing w:before="15"/>
              <w:ind w:right="79"/>
              <w:rPr>
                <w:sz w:val="20"/>
              </w:rPr>
            </w:pPr>
            <w:r>
              <w:rPr>
                <w:spacing w:val="-2"/>
                <w:sz w:val="20"/>
              </w:rPr>
              <w:t>6,888</w:t>
            </w:r>
          </w:p>
        </w:tc>
      </w:tr>
      <w:tr w:rsidR="00AE2255" w14:paraId="41D35BC0" w14:textId="77777777">
        <w:trPr>
          <w:trHeight w:val="275"/>
        </w:trPr>
        <w:tc>
          <w:tcPr>
            <w:tcW w:w="7080" w:type="dxa"/>
            <w:tcBorders>
              <w:bottom w:val="single" w:sz="8" w:space="0" w:color="auto"/>
            </w:tcBorders>
          </w:tcPr>
          <w:p w14:paraId="3A92CF66" w14:textId="77777777" w:rsidR="00AE2255" w:rsidRDefault="00000000">
            <w:pPr>
              <w:pStyle w:val="TableParagraph"/>
              <w:spacing w:before="27" w:line="228" w:lineRule="exact"/>
              <w:ind w:left="52"/>
              <w:jc w:val="left"/>
              <w:rPr>
                <w:sz w:val="20"/>
              </w:rPr>
            </w:pPr>
            <w:r>
              <w:rPr>
                <w:sz w:val="20"/>
              </w:rPr>
              <w:t>Net</w:t>
            </w:r>
            <w:r>
              <w:rPr>
                <w:spacing w:val="-4"/>
                <w:sz w:val="20"/>
              </w:rPr>
              <w:t xml:space="preserve"> </w:t>
            </w:r>
            <w:r>
              <w:rPr>
                <w:sz w:val="20"/>
              </w:rPr>
              <w:t>loss</w:t>
            </w:r>
            <w:r>
              <w:rPr>
                <w:spacing w:val="-3"/>
                <w:sz w:val="20"/>
              </w:rPr>
              <w:t xml:space="preserve"> </w:t>
            </w:r>
            <w:r>
              <w:rPr>
                <w:sz w:val="20"/>
              </w:rPr>
              <w:t>from</w:t>
            </w:r>
            <w:r>
              <w:rPr>
                <w:spacing w:val="-4"/>
                <w:sz w:val="20"/>
              </w:rPr>
              <w:t xml:space="preserve"> </w:t>
            </w:r>
            <w:r>
              <w:rPr>
                <w:sz w:val="20"/>
              </w:rPr>
              <w:t>discontinued</w:t>
            </w:r>
            <w:r>
              <w:rPr>
                <w:spacing w:val="-2"/>
                <w:sz w:val="20"/>
              </w:rPr>
              <w:t xml:space="preserve"> operations</w:t>
            </w:r>
          </w:p>
        </w:tc>
        <w:tc>
          <w:tcPr>
            <w:tcW w:w="1061" w:type="dxa"/>
            <w:tcBorders>
              <w:bottom w:val="single" w:sz="8" w:space="0" w:color="auto"/>
            </w:tcBorders>
          </w:tcPr>
          <w:p w14:paraId="2D2B53DF" w14:textId="77777777" w:rsidR="00AE2255" w:rsidRDefault="00000000">
            <w:pPr>
              <w:pStyle w:val="TableParagraph"/>
              <w:spacing w:line="230" w:lineRule="exact"/>
              <w:ind w:right="135"/>
              <w:rPr>
                <w:b/>
                <w:sz w:val="20"/>
              </w:rPr>
            </w:pPr>
            <w:r>
              <w:rPr>
                <w:b/>
                <w:sz w:val="20"/>
              </w:rPr>
              <w:t>—</w:t>
            </w:r>
          </w:p>
        </w:tc>
        <w:tc>
          <w:tcPr>
            <w:tcW w:w="1080" w:type="dxa"/>
            <w:tcBorders>
              <w:bottom w:val="single" w:sz="8" w:space="0" w:color="auto"/>
            </w:tcBorders>
          </w:tcPr>
          <w:p w14:paraId="723D675A" w14:textId="77777777" w:rsidR="00AE2255" w:rsidRDefault="00000000">
            <w:pPr>
              <w:pStyle w:val="TableParagraph"/>
              <w:spacing w:line="230" w:lineRule="exact"/>
              <w:ind w:right="135"/>
              <w:rPr>
                <w:sz w:val="20"/>
              </w:rPr>
            </w:pPr>
            <w:r>
              <w:rPr>
                <w:sz w:val="20"/>
              </w:rPr>
              <w:t>—</w:t>
            </w:r>
          </w:p>
        </w:tc>
        <w:tc>
          <w:tcPr>
            <w:tcW w:w="1024" w:type="dxa"/>
            <w:tcBorders>
              <w:bottom w:val="single" w:sz="8" w:space="0" w:color="auto"/>
            </w:tcBorders>
          </w:tcPr>
          <w:p w14:paraId="38B2E3A1" w14:textId="77777777" w:rsidR="00AE2255" w:rsidRDefault="00000000">
            <w:pPr>
              <w:pStyle w:val="TableParagraph"/>
              <w:spacing w:line="230" w:lineRule="exact"/>
              <w:ind w:right="14"/>
              <w:rPr>
                <w:sz w:val="20"/>
              </w:rPr>
            </w:pPr>
            <w:r>
              <w:rPr>
                <w:spacing w:val="-4"/>
                <w:sz w:val="20"/>
              </w:rPr>
              <w:t>(55)</w:t>
            </w:r>
          </w:p>
        </w:tc>
      </w:tr>
      <w:tr w:rsidR="00AE2255" w14:paraId="7D624AC9" w14:textId="77777777">
        <w:trPr>
          <w:trHeight w:val="265"/>
        </w:trPr>
        <w:tc>
          <w:tcPr>
            <w:tcW w:w="7080" w:type="dxa"/>
            <w:tcBorders>
              <w:top w:val="single" w:sz="8" w:space="0" w:color="CCEDFF"/>
              <w:bottom w:val="single" w:sz="8" w:space="0" w:color="CCEDFF"/>
            </w:tcBorders>
            <w:shd w:val="clear" w:color="auto" w:fill="CCEDFF"/>
          </w:tcPr>
          <w:p w14:paraId="64739A6E" w14:textId="77777777" w:rsidR="00AE2255" w:rsidRDefault="00000000">
            <w:pPr>
              <w:pStyle w:val="TableParagraph"/>
              <w:spacing w:before="13"/>
              <w:ind w:left="52"/>
              <w:jc w:val="left"/>
              <w:rPr>
                <w:b/>
                <w:sz w:val="20"/>
              </w:rPr>
            </w:pPr>
            <w:r>
              <w:rPr>
                <w:b/>
                <w:sz w:val="20"/>
              </w:rPr>
              <w:t>Net</w:t>
            </w:r>
            <w:r>
              <w:rPr>
                <w:b/>
                <w:spacing w:val="-2"/>
                <w:sz w:val="20"/>
              </w:rPr>
              <w:t xml:space="preserve"> earnings</w:t>
            </w:r>
          </w:p>
        </w:tc>
        <w:tc>
          <w:tcPr>
            <w:tcW w:w="1061" w:type="dxa"/>
            <w:tcBorders>
              <w:top w:val="single" w:sz="8" w:space="0" w:color="CCEDFF"/>
              <w:bottom w:val="single" w:sz="8" w:space="0" w:color="CCEDFF"/>
            </w:tcBorders>
            <w:shd w:val="clear" w:color="auto" w:fill="CCEDFF"/>
          </w:tcPr>
          <w:p w14:paraId="41F86B51" w14:textId="77777777" w:rsidR="00AE2255" w:rsidRDefault="00000000">
            <w:pPr>
              <w:pStyle w:val="TableParagraph"/>
              <w:tabs>
                <w:tab w:val="left" w:pos="473"/>
              </w:tabs>
              <w:spacing w:before="15" w:line="230" w:lineRule="exact"/>
              <w:ind w:left="52"/>
              <w:jc w:val="left"/>
              <w:rPr>
                <w:b/>
                <w:sz w:val="20"/>
              </w:rPr>
            </w:pPr>
            <w:r>
              <w:rPr>
                <w:b/>
                <w:spacing w:val="-10"/>
                <w:sz w:val="20"/>
              </w:rPr>
              <w:t>$</w:t>
            </w:r>
            <w:r>
              <w:rPr>
                <w:b/>
                <w:sz w:val="20"/>
              </w:rPr>
              <w:tab/>
            </w:r>
            <w:r>
              <w:rPr>
                <w:b/>
                <w:spacing w:val="-2"/>
                <w:sz w:val="20"/>
              </w:rPr>
              <w:t>5,732</w:t>
            </w:r>
          </w:p>
        </w:tc>
        <w:tc>
          <w:tcPr>
            <w:tcW w:w="1080" w:type="dxa"/>
            <w:tcBorders>
              <w:top w:val="single" w:sz="8" w:space="0" w:color="CCEDFF"/>
              <w:bottom w:val="single" w:sz="8" w:space="0" w:color="CCEDFF"/>
            </w:tcBorders>
            <w:shd w:val="clear" w:color="auto" w:fill="CCEDFF"/>
          </w:tcPr>
          <w:p w14:paraId="7239D7D7" w14:textId="77777777" w:rsidR="00AE2255" w:rsidRDefault="00000000">
            <w:pPr>
              <w:pStyle w:val="TableParagraph"/>
              <w:tabs>
                <w:tab w:val="left" w:pos="420"/>
              </w:tabs>
              <w:spacing w:before="15" w:line="230" w:lineRule="exact"/>
              <w:ind w:right="135"/>
              <w:rPr>
                <w:sz w:val="20"/>
              </w:rPr>
            </w:pPr>
            <w:r>
              <w:rPr>
                <w:spacing w:val="-10"/>
                <w:sz w:val="20"/>
              </w:rPr>
              <w:t>$</w:t>
            </w:r>
            <w:r>
              <w:rPr>
                <w:sz w:val="20"/>
              </w:rPr>
              <w:tab/>
            </w:r>
            <w:r>
              <w:rPr>
                <w:spacing w:val="-2"/>
                <w:sz w:val="20"/>
              </w:rPr>
              <w:t>6,315</w:t>
            </w:r>
          </w:p>
        </w:tc>
        <w:tc>
          <w:tcPr>
            <w:tcW w:w="1024" w:type="dxa"/>
            <w:tcBorders>
              <w:top w:val="single" w:sz="8" w:space="0" w:color="CCEDFF"/>
              <w:bottom w:val="single" w:sz="8" w:space="0" w:color="CCEDFF"/>
            </w:tcBorders>
            <w:shd w:val="clear" w:color="auto" w:fill="CCEDFF"/>
          </w:tcPr>
          <w:p w14:paraId="301A5602" w14:textId="77777777" w:rsidR="00AE2255" w:rsidRDefault="00000000">
            <w:pPr>
              <w:pStyle w:val="TableParagraph"/>
              <w:tabs>
                <w:tab w:val="left" w:pos="492"/>
              </w:tabs>
              <w:spacing w:before="15" w:line="230" w:lineRule="exact"/>
              <w:ind w:left="71"/>
              <w:jc w:val="left"/>
              <w:rPr>
                <w:sz w:val="20"/>
              </w:rPr>
            </w:pPr>
            <w:r>
              <w:rPr>
                <w:spacing w:val="-10"/>
                <w:sz w:val="20"/>
              </w:rPr>
              <w:t>$</w:t>
            </w:r>
            <w:r>
              <w:rPr>
                <w:sz w:val="20"/>
              </w:rPr>
              <w:tab/>
            </w:r>
            <w:r>
              <w:rPr>
                <w:spacing w:val="-2"/>
                <w:sz w:val="20"/>
              </w:rPr>
              <w:t>6,833</w:t>
            </w:r>
          </w:p>
        </w:tc>
      </w:tr>
      <w:tr w:rsidR="00AE2255" w14:paraId="1C0A43D6" w14:textId="77777777">
        <w:trPr>
          <w:trHeight w:val="275"/>
        </w:trPr>
        <w:tc>
          <w:tcPr>
            <w:tcW w:w="7080" w:type="dxa"/>
            <w:tcBorders>
              <w:top w:val="single" w:sz="8" w:space="0" w:color="auto"/>
            </w:tcBorders>
          </w:tcPr>
          <w:p w14:paraId="3EDC0CD6" w14:textId="77777777" w:rsidR="00AE2255" w:rsidRDefault="00AE2255">
            <w:pPr>
              <w:pStyle w:val="TableParagraph"/>
              <w:spacing w:before="0"/>
              <w:jc w:val="left"/>
              <w:rPr>
                <w:sz w:val="20"/>
              </w:rPr>
            </w:pPr>
          </w:p>
        </w:tc>
        <w:tc>
          <w:tcPr>
            <w:tcW w:w="1061" w:type="dxa"/>
            <w:tcBorders>
              <w:top w:val="single" w:sz="8" w:space="0" w:color="auto"/>
            </w:tcBorders>
          </w:tcPr>
          <w:p w14:paraId="1AE5457C" w14:textId="77777777" w:rsidR="00AE2255" w:rsidRDefault="00AE2255">
            <w:pPr>
              <w:pStyle w:val="TableParagraph"/>
              <w:spacing w:before="0"/>
              <w:jc w:val="left"/>
              <w:rPr>
                <w:sz w:val="20"/>
              </w:rPr>
            </w:pPr>
          </w:p>
        </w:tc>
        <w:tc>
          <w:tcPr>
            <w:tcW w:w="1080" w:type="dxa"/>
            <w:tcBorders>
              <w:top w:val="single" w:sz="8" w:space="0" w:color="auto"/>
            </w:tcBorders>
          </w:tcPr>
          <w:p w14:paraId="68A7746B" w14:textId="77777777" w:rsidR="00AE2255" w:rsidRDefault="00AE2255">
            <w:pPr>
              <w:pStyle w:val="TableParagraph"/>
              <w:spacing w:before="0"/>
              <w:jc w:val="left"/>
              <w:rPr>
                <w:sz w:val="20"/>
              </w:rPr>
            </w:pPr>
          </w:p>
        </w:tc>
        <w:tc>
          <w:tcPr>
            <w:tcW w:w="1024" w:type="dxa"/>
            <w:tcBorders>
              <w:top w:val="single" w:sz="8" w:space="0" w:color="auto"/>
            </w:tcBorders>
          </w:tcPr>
          <w:p w14:paraId="7B2A2CEC" w14:textId="77777777" w:rsidR="00AE2255" w:rsidRDefault="00AE2255">
            <w:pPr>
              <w:pStyle w:val="TableParagraph"/>
              <w:spacing w:before="0"/>
              <w:jc w:val="left"/>
              <w:rPr>
                <w:sz w:val="20"/>
              </w:rPr>
            </w:pPr>
          </w:p>
        </w:tc>
      </w:tr>
      <w:tr w:rsidR="00AE2255" w14:paraId="10465ECC" w14:textId="77777777">
        <w:trPr>
          <w:trHeight w:val="285"/>
        </w:trPr>
        <w:tc>
          <w:tcPr>
            <w:tcW w:w="7080" w:type="dxa"/>
            <w:shd w:val="clear" w:color="auto" w:fill="CCEDFF"/>
          </w:tcPr>
          <w:p w14:paraId="50D92403" w14:textId="77777777" w:rsidR="00AE2255" w:rsidRDefault="00000000">
            <w:pPr>
              <w:pStyle w:val="TableParagraph"/>
              <w:spacing w:before="23"/>
              <w:ind w:left="52"/>
              <w:jc w:val="left"/>
              <w:rPr>
                <w:b/>
                <w:sz w:val="20"/>
              </w:rPr>
            </w:pPr>
            <w:r>
              <w:rPr>
                <w:b/>
                <w:sz w:val="20"/>
              </w:rPr>
              <w:t>Earnings</w:t>
            </w:r>
            <w:r>
              <w:rPr>
                <w:b/>
                <w:spacing w:val="-4"/>
                <w:sz w:val="20"/>
              </w:rPr>
              <w:t xml:space="preserve"> </w:t>
            </w:r>
            <w:r>
              <w:rPr>
                <w:b/>
                <w:sz w:val="20"/>
              </w:rPr>
              <w:t>(loss)</w:t>
            </w:r>
            <w:r>
              <w:rPr>
                <w:b/>
                <w:spacing w:val="-3"/>
                <w:sz w:val="20"/>
              </w:rPr>
              <w:t xml:space="preserve"> </w:t>
            </w:r>
            <w:r>
              <w:rPr>
                <w:b/>
                <w:sz w:val="20"/>
              </w:rPr>
              <w:t>per</w:t>
            </w:r>
            <w:r>
              <w:rPr>
                <w:b/>
                <w:spacing w:val="-4"/>
                <w:sz w:val="20"/>
              </w:rPr>
              <w:t xml:space="preserve"> </w:t>
            </w:r>
            <w:r>
              <w:rPr>
                <w:b/>
                <w:sz w:val="20"/>
              </w:rPr>
              <w:t>common</w:t>
            </w:r>
            <w:r>
              <w:rPr>
                <w:b/>
                <w:spacing w:val="-3"/>
                <w:sz w:val="20"/>
              </w:rPr>
              <w:t xml:space="preserve"> </w:t>
            </w:r>
            <w:r>
              <w:rPr>
                <w:b/>
                <w:spacing w:val="-4"/>
                <w:sz w:val="20"/>
              </w:rPr>
              <w:t>share</w:t>
            </w:r>
          </w:p>
        </w:tc>
        <w:tc>
          <w:tcPr>
            <w:tcW w:w="1061" w:type="dxa"/>
            <w:shd w:val="clear" w:color="auto" w:fill="CCEDFF"/>
          </w:tcPr>
          <w:p w14:paraId="35475491" w14:textId="77777777" w:rsidR="00AE2255" w:rsidRDefault="00AE2255">
            <w:pPr>
              <w:pStyle w:val="TableParagraph"/>
              <w:spacing w:before="0"/>
              <w:jc w:val="left"/>
              <w:rPr>
                <w:sz w:val="20"/>
              </w:rPr>
            </w:pPr>
          </w:p>
        </w:tc>
        <w:tc>
          <w:tcPr>
            <w:tcW w:w="1080" w:type="dxa"/>
            <w:shd w:val="clear" w:color="auto" w:fill="CCEDFF"/>
          </w:tcPr>
          <w:p w14:paraId="0C84117A" w14:textId="77777777" w:rsidR="00AE2255" w:rsidRDefault="00AE2255">
            <w:pPr>
              <w:pStyle w:val="TableParagraph"/>
              <w:spacing w:before="0"/>
              <w:jc w:val="left"/>
              <w:rPr>
                <w:sz w:val="20"/>
              </w:rPr>
            </w:pPr>
          </w:p>
        </w:tc>
        <w:tc>
          <w:tcPr>
            <w:tcW w:w="1024" w:type="dxa"/>
            <w:shd w:val="clear" w:color="auto" w:fill="CCEDFF"/>
          </w:tcPr>
          <w:p w14:paraId="419F1DC8" w14:textId="77777777" w:rsidR="00AE2255" w:rsidRDefault="00AE2255">
            <w:pPr>
              <w:pStyle w:val="TableParagraph"/>
              <w:spacing w:before="0"/>
              <w:jc w:val="left"/>
              <w:rPr>
                <w:sz w:val="20"/>
              </w:rPr>
            </w:pPr>
          </w:p>
        </w:tc>
      </w:tr>
      <w:tr w:rsidR="00AE2255" w14:paraId="68DBD75A" w14:textId="77777777">
        <w:trPr>
          <w:trHeight w:val="285"/>
        </w:trPr>
        <w:tc>
          <w:tcPr>
            <w:tcW w:w="7080" w:type="dxa"/>
          </w:tcPr>
          <w:p w14:paraId="76AF631D" w14:textId="77777777" w:rsidR="00AE2255" w:rsidRDefault="00000000">
            <w:pPr>
              <w:pStyle w:val="TableParagraph"/>
              <w:spacing w:before="27"/>
              <w:ind w:left="52"/>
              <w:jc w:val="left"/>
              <w:rPr>
                <w:sz w:val="20"/>
              </w:rPr>
            </w:pPr>
            <w:r>
              <w:rPr>
                <w:spacing w:val="-2"/>
                <w:sz w:val="20"/>
              </w:rPr>
              <w:t>Basic</w:t>
            </w:r>
          </w:p>
        </w:tc>
        <w:tc>
          <w:tcPr>
            <w:tcW w:w="1061" w:type="dxa"/>
          </w:tcPr>
          <w:p w14:paraId="417A59C7" w14:textId="77777777" w:rsidR="00AE2255" w:rsidRDefault="00AE2255">
            <w:pPr>
              <w:pStyle w:val="TableParagraph"/>
              <w:spacing w:before="0"/>
              <w:jc w:val="left"/>
              <w:rPr>
                <w:sz w:val="20"/>
              </w:rPr>
            </w:pPr>
          </w:p>
        </w:tc>
        <w:tc>
          <w:tcPr>
            <w:tcW w:w="1080" w:type="dxa"/>
          </w:tcPr>
          <w:p w14:paraId="0DD30615" w14:textId="77777777" w:rsidR="00AE2255" w:rsidRDefault="00AE2255">
            <w:pPr>
              <w:pStyle w:val="TableParagraph"/>
              <w:spacing w:before="0"/>
              <w:jc w:val="left"/>
              <w:rPr>
                <w:sz w:val="20"/>
              </w:rPr>
            </w:pPr>
          </w:p>
        </w:tc>
        <w:tc>
          <w:tcPr>
            <w:tcW w:w="1024" w:type="dxa"/>
          </w:tcPr>
          <w:p w14:paraId="739CFE7C" w14:textId="77777777" w:rsidR="00AE2255" w:rsidRDefault="00AE2255">
            <w:pPr>
              <w:pStyle w:val="TableParagraph"/>
              <w:spacing w:before="0"/>
              <w:jc w:val="left"/>
              <w:rPr>
                <w:sz w:val="20"/>
              </w:rPr>
            </w:pPr>
          </w:p>
        </w:tc>
      </w:tr>
      <w:tr w:rsidR="00AE2255" w14:paraId="7D442F7C" w14:textId="77777777">
        <w:trPr>
          <w:trHeight w:val="285"/>
        </w:trPr>
        <w:tc>
          <w:tcPr>
            <w:tcW w:w="7080" w:type="dxa"/>
            <w:shd w:val="clear" w:color="auto" w:fill="CCEDFF"/>
          </w:tcPr>
          <w:p w14:paraId="54E17EB9" w14:textId="77777777" w:rsidR="00AE2255" w:rsidRDefault="00000000">
            <w:pPr>
              <w:pStyle w:val="TableParagraph"/>
              <w:spacing w:before="27"/>
              <w:ind w:left="187"/>
              <w:jc w:val="left"/>
              <w:rPr>
                <w:sz w:val="20"/>
              </w:rPr>
            </w:pPr>
            <w:r>
              <w:rPr>
                <w:sz w:val="20"/>
              </w:rPr>
              <w:t>Continuing</w:t>
            </w:r>
            <w:r>
              <w:rPr>
                <w:spacing w:val="-4"/>
                <w:sz w:val="20"/>
              </w:rPr>
              <w:t xml:space="preserve"> </w:t>
            </w:r>
            <w:r>
              <w:rPr>
                <w:spacing w:val="-2"/>
                <w:sz w:val="20"/>
              </w:rPr>
              <w:t>operations</w:t>
            </w:r>
          </w:p>
        </w:tc>
        <w:tc>
          <w:tcPr>
            <w:tcW w:w="1061" w:type="dxa"/>
            <w:shd w:val="clear" w:color="auto" w:fill="CCEDFF"/>
          </w:tcPr>
          <w:p w14:paraId="69C74FAE" w14:textId="77777777" w:rsidR="00AE2255" w:rsidRDefault="00000000">
            <w:pPr>
              <w:pStyle w:val="TableParagraph"/>
              <w:tabs>
                <w:tab w:val="left" w:pos="473"/>
              </w:tabs>
              <w:ind w:left="52"/>
              <w:jc w:val="left"/>
              <w:rPr>
                <w:b/>
                <w:sz w:val="20"/>
              </w:rPr>
            </w:pPr>
            <w:r>
              <w:rPr>
                <w:b/>
                <w:spacing w:val="-10"/>
                <w:sz w:val="20"/>
              </w:rPr>
              <w:t>$</w:t>
            </w:r>
            <w:r>
              <w:rPr>
                <w:b/>
                <w:sz w:val="20"/>
              </w:rPr>
              <w:tab/>
            </w:r>
            <w:r>
              <w:rPr>
                <w:b/>
                <w:spacing w:val="-2"/>
                <w:sz w:val="20"/>
              </w:rPr>
              <w:t>21.74</w:t>
            </w:r>
          </w:p>
        </w:tc>
        <w:tc>
          <w:tcPr>
            <w:tcW w:w="1080" w:type="dxa"/>
            <w:shd w:val="clear" w:color="auto" w:fill="CCEDFF"/>
          </w:tcPr>
          <w:p w14:paraId="1E48A333"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22.85</w:t>
            </w:r>
          </w:p>
        </w:tc>
        <w:tc>
          <w:tcPr>
            <w:tcW w:w="1024" w:type="dxa"/>
            <w:shd w:val="clear" w:color="auto" w:fill="CCEDFF"/>
          </w:tcPr>
          <w:p w14:paraId="63A99EF6"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24.60</w:t>
            </w:r>
          </w:p>
        </w:tc>
      </w:tr>
      <w:tr w:rsidR="00AE2255" w14:paraId="31F450A6" w14:textId="77777777">
        <w:trPr>
          <w:trHeight w:val="275"/>
        </w:trPr>
        <w:tc>
          <w:tcPr>
            <w:tcW w:w="7080" w:type="dxa"/>
            <w:tcBorders>
              <w:bottom w:val="single" w:sz="8" w:space="0" w:color="auto"/>
            </w:tcBorders>
          </w:tcPr>
          <w:p w14:paraId="3BDEAC5F" w14:textId="77777777" w:rsidR="00AE2255" w:rsidRDefault="00000000">
            <w:pPr>
              <w:pStyle w:val="TableParagraph"/>
              <w:spacing w:before="27" w:line="228" w:lineRule="exact"/>
              <w:ind w:left="187"/>
              <w:jc w:val="left"/>
              <w:rPr>
                <w:sz w:val="20"/>
              </w:rPr>
            </w:pPr>
            <w:r>
              <w:rPr>
                <w:sz w:val="20"/>
              </w:rPr>
              <w:t>Discontinued</w:t>
            </w:r>
            <w:r>
              <w:rPr>
                <w:spacing w:val="-7"/>
                <w:sz w:val="20"/>
              </w:rPr>
              <w:t xml:space="preserve"> </w:t>
            </w:r>
            <w:r>
              <w:rPr>
                <w:spacing w:val="-2"/>
                <w:sz w:val="20"/>
              </w:rPr>
              <w:t>operations</w:t>
            </w:r>
          </w:p>
        </w:tc>
        <w:tc>
          <w:tcPr>
            <w:tcW w:w="1061" w:type="dxa"/>
            <w:tcBorders>
              <w:bottom w:val="single" w:sz="8" w:space="0" w:color="auto"/>
            </w:tcBorders>
          </w:tcPr>
          <w:p w14:paraId="688789F5" w14:textId="77777777" w:rsidR="00AE2255" w:rsidRDefault="00000000">
            <w:pPr>
              <w:pStyle w:val="TableParagraph"/>
              <w:spacing w:line="230" w:lineRule="exact"/>
              <w:ind w:right="135"/>
              <w:rPr>
                <w:b/>
                <w:sz w:val="20"/>
              </w:rPr>
            </w:pPr>
            <w:r>
              <w:rPr>
                <w:b/>
                <w:sz w:val="20"/>
              </w:rPr>
              <w:t>—</w:t>
            </w:r>
          </w:p>
        </w:tc>
        <w:tc>
          <w:tcPr>
            <w:tcW w:w="1080" w:type="dxa"/>
            <w:tcBorders>
              <w:bottom w:val="single" w:sz="8" w:space="0" w:color="auto"/>
            </w:tcBorders>
          </w:tcPr>
          <w:p w14:paraId="32C466DA" w14:textId="77777777" w:rsidR="00AE2255" w:rsidRDefault="00000000">
            <w:pPr>
              <w:pStyle w:val="TableParagraph"/>
              <w:spacing w:line="230" w:lineRule="exact"/>
              <w:ind w:right="135"/>
              <w:rPr>
                <w:sz w:val="20"/>
              </w:rPr>
            </w:pPr>
            <w:r>
              <w:rPr>
                <w:sz w:val="20"/>
              </w:rPr>
              <w:t>—</w:t>
            </w:r>
          </w:p>
        </w:tc>
        <w:tc>
          <w:tcPr>
            <w:tcW w:w="1024" w:type="dxa"/>
            <w:tcBorders>
              <w:bottom w:val="single" w:sz="8" w:space="0" w:color="auto"/>
            </w:tcBorders>
          </w:tcPr>
          <w:p w14:paraId="33AA93C9" w14:textId="77777777" w:rsidR="00AE2255" w:rsidRDefault="00000000">
            <w:pPr>
              <w:pStyle w:val="TableParagraph"/>
              <w:spacing w:line="230" w:lineRule="exact"/>
              <w:ind w:right="14"/>
              <w:rPr>
                <w:sz w:val="20"/>
              </w:rPr>
            </w:pPr>
            <w:r>
              <w:rPr>
                <w:spacing w:val="-2"/>
                <w:sz w:val="20"/>
              </w:rPr>
              <w:t>(0.20)</w:t>
            </w:r>
          </w:p>
        </w:tc>
      </w:tr>
      <w:tr w:rsidR="00AE2255" w14:paraId="2D6F35AC" w14:textId="77777777">
        <w:trPr>
          <w:trHeight w:val="265"/>
        </w:trPr>
        <w:tc>
          <w:tcPr>
            <w:tcW w:w="7080" w:type="dxa"/>
            <w:tcBorders>
              <w:top w:val="single" w:sz="8" w:space="0" w:color="CCEDFF"/>
              <w:bottom w:val="single" w:sz="8" w:space="0" w:color="CCEDFF"/>
            </w:tcBorders>
            <w:shd w:val="clear" w:color="auto" w:fill="CCEDFF"/>
          </w:tcPr>
          <w:p w14:paraId="04C6C6DA" w14:textId="77777777" w:rsidR="00AE2255" w:rsidRDefault="00000000">
            <w:pPr>
              <w:pStyle w:val="TableParagraph"/>
              <w:spacing w:before="17" w:line="228" w:lineRule="exact"/>
              <w:ind w:left="52"/>
              <w:jc w:val="left"/>
              <w:rPr>
                <w:sz w:val="20"/>
              </w:rPr>
            </w:pPr>
            <w:r>
              <w:rPr>
                <w:sz w:val="20"/>
              </w:rPr>
              <w:t>Basic</w:t>
            </w:r>
            <w:r>
              <w:rPr>
                <w:spacing w:val="-4"/>
                <w:sz w:val="20"/>
              </w:rPr>
              <w:t xml:space="preserve"> </w:t>
            </w:r>
            <w:r>
              <w:rPr>
                <w:sz w:val="20"/>
              </w:rPr>
              <w:t>earnings</w:t>
            </w:r>
            <w:r>
              <w:rPr>
                <w:spacing w:val="-4"/>
                <w:sz w:val="20"/>
              </w:rPr>
              <w:t xml:space="preserve"> </w:t>
            </w:r>
            <w:r>
              <w:rPr>
                <w:sz w:val="20"/>
              </w:rPr>
              <w:t>per</w:t>
            </w:r>
            <w:r>
              <w:rPr>
                <w:spacing w:val="-3"/>
                <w:sz w:val="20"/>
              </w:rPr>
              <w:t xml:space="preserve"> </w:t>
            </w:r>
            <w:r>
              <w:rPr>
                <w:sz w:val="20"/>
              </w:rPr>
              <w:t>common</w:t>
            </w:r>
            <w:r>
              <w:rPr>
                <w:spacing w:val="-2"/>
                <w:sz w:val="20"/>
              </w:rPr>
              <w:t xml:space="preserve"> </w:t>
            </w:r>
            <w:r>
              <w:rPr>
                <w:spacing w:val="-4"/>
                <w:sz w:val="20"/>
              </w:rPr>
              <w:t>share</w:t>
            </w:r>
          </w:p>
        </w:tc>
        <w:tc>
          <w:tcPr>
            <w:tcW w:w="1061" w:type="dxa"/>
            <w:tcBorders>
              <w:top w:val="single" w:sz="8" w:space="0" w:color="CCEDFF"/>
              <w:bottom w:val="single" w:sz="8" w:space="0" w:color="CCEDFF"/>
            </w:tcBorders>
            <w:shd w:val="clear" w:color="auto" w:fill="CCEDFF"/>
          </w:tcPr>
          <w:p w14:paraId="58C744CD" w14:textId="77777777" w:rsidR="00AE2255" w:rsidRDefault="00000000">
            <w:pPr>
              <w:pStyle w:val="TableParagraph"/>
              <w:tabs>
                <w:tab w:val="left" w:pos="473"/>
              </w:tabs>
              <w:spacing w:before="15" w:line="230" w:lineRule="exact"/>
              <w:ind w:left="52"/>
              <w:jc w:val="left"/>
              <w:rPr>
                <w:b/>
                <w:sz w:val="20"/>
              </w:rPr>
            </w:pPr>
            <w:r>
              <w:rPr>
                <w:b/>
                <w:spacing w:val="-10"/>
                <w:sz w:val="20"/>
              </w:rPr>
              <w:t>$</w:t>
            </w:r>
            <w:r>
              <w:rPr>
                <w:b/>
                <w:sz w:val="20"/>
              </w:rPr>
              <w:tab/>
            </w:r>
            <w:r>
              <w:rPr>
                <w:b/>
                <w:spacing w:val="-2"/>
                <w:sz w:val="20"/>
              </w:rPr>
              <w:t>21.74</w:t>
            </w:r>
          </w:p>
        </w:tc>
        <w:tc>
          <w:tcPr>
            <w:tcW w:w="1080" w:type="dxa"/>
            <w:tcBorders>
              <w:top w:val="single" w:sz="8" w:space="0" w:color="CCEDFF"/>
              <w:bottom w:val="single" w:sz="8" w:space="0" w:color="CCEDFF"/>
            </w:tcBorders>
            <w:shd w:val="clear" w:color="auto" w:fill="CCEDFF"/>
          </w:tcPr>
          <w:p w14:paraId="6FA761BC" w14:textId="77777777" w:rsidR="00AE2255" w:rsidRDefault="00000000">
            <w:pPr>
              <w:pStyle w:val="TableParagraph"/>
              <w:tabs>
                <w:tab w:val="left" w:pos="420"/>
              </w:tabs>
              <w:spacing w:before="15" w:line="230" w:lineRule="exact"/>
              <w:ind w:right="135"/>
              <w:rPr>
                <w:sz w:val="20"/>
              </w:rPr>
            </w:pPr>
            <w:r>
              <w:rPr>
                <w:spacing w:val="-10"/>
                <w:sz w:val="20"/>
              </w:rPr>
              <w:t>$</w:t>
            </w:r>
            <w:r>
              <w:rPr>
                <w:sz w:val="20"/>
              </w:rPr>
              <w:tab/>
            </w:r>
            <w:r>
              <w:rPr>
                <w:spacing w:val="-2"/>
                <w:sz w:val="20"/>
              </w:rPr>
              <w:t>22.85</w:t>
            </w:r>
          </w:p>
        </w:tc>
        <w:tc>
          <w:tcPr>
            <w:tcW w:w="1024" w:type="dxa"/>
            <w:tcBorders>
              <w:top w:val="single" w:sz="8" w:space="0" w:color="CCEDFF"/>
              <w:bottom w:val="single" w:sz="8" w:space="0" w:color="CCEDFF"/>
            </w:tcBorders>
            <w:shd w:val="clear" w:color="auto" w:fill="CCEDFF"/>
          </w:tcPr>
          <w:p w14:paraId="035D4D68" w14:textId="77777777" w:rsidR="00AE2255" w:rsidRDefault="00000000">
            <w:pPr>
              <w:pStyle w:val="TableParagraph"/>
              <w:tabs>
                <w:tab w:val="left" w:pos="492"/>
              </w:tabs>
              <w:spacing w:before="15" w:line="230" w:lineRule="exact"/>
              <w:ind w:left="71"/>
              <w:jc w:val="left"/>
              <w:rPr>
                <w:sz w:val="20"/>
              </w:rPr>
            </w:pPr>
            <w:r>
              <w:rPr>
                <w:spacing w:val="-10"/>
                <w:sz w:val="20"/>
              </w:rPr>
              <w:t>$</w:t>
            </w:r>
            <w:r>
              <w:rPr>
                <w:sz w:val="20"/>
              </w:rPr>
              <w:tab/>
            </w:r>
            <w:r>
              <w:rPr>
                <w:spacing w:val="-2"/>
                <w:sz w:val="20"/>
              </w:rPr>
              <w:t>24.40</w:t>
            </w:r>
          </w:p>
        </w:tc>
      </w:tr>
      <w:tr w:rsidR="00AE2255" w14:paraId="69C4E753" w14:textId="77777777">
        <w:trPr>
          <w:trHeight w:val="275"/>
        </w:trPr>
        <w:tc>
          <w:tcPr>
            <w:tcW w:w="7080" w:type="dxa"/>
            <w:tcBorders>
              <w:top w:val="single" w:sz="8" w:space="0" w:color="auto"/>
            </w:tcBorders>
          </w:tcPr>
          <w:p w14:paraId="1E6AC561" w14:textId="77777777" w:rsidR="00AE2255" w:rsidRDefault="00000000">
            <w:pPr>
              <w:pStyle w:val="TableParagraph"/>
              <w:spacing w:before="17"/>
              <w:ind w:left="52"/>
              <w:jc w:val="left"/>
              <w:rPr>
                <w:sz w:val="20"/>
              </w:rPr>
            </w:pPr>
            <w:r>
              <w:rPr>
                <w:spacing w:val="-2"/>
                <w:sz w:val="20"/>
              </w:rPr>
              <w:t>Diluted</w:t>
            </w:r>
          </w:p>
        </w:tc>
        <w:tc>
          <w:tcPr>
            <w:tcW w:w="1061" w:type="dxa"/>
            <w:tcBorders>
              <w:top w:val="single" w:sz="8" w:space="0" w:color="auto"/>
            </w:tcBorders>
          </w:tcPr>
          <w:p w14:paraId="0122CF11" w14:textId="77777777" w:rsidR="00AE2255" w:rsidRDefault="00AE2255">
            <w:pPr>
              <w:pStyle w:val="TableParagraph"/>
              <w:spacing w:before="0"/>
              <w:jc w:val="left"/>
              <w:rPr>
                <w:sz w:val="20"/>
              </w:rPr>
            </w:pPr>
          </w:p>
        </w:tc>
        <w:tc>
          <w:tcPr>
            <w:tcW w:w="1080" w:type="dxa"/>
            <w:tcBorders>
              <w:top w:val="single" w:sz="8" w:space="0" w:color="auto"/>
            </w:tcBorders>
          </w:tcPr>
          <w:p w14:paraId="2F6E74D3" w14:textId="77777777" w:rsidR="00AE2255" w:rsidRDefault="00AE2255">
            <w:pPr>
              <w:pStyle w:val="TableParagraph"/>
              <w:spacing w:before="0"/>
              <w:jc w:val="left"/>
              <w:rPr>
                <w:sz w:val="20"/>
              </w:rPr>
            </w:pPr>
          </w:p>
        </w:tc>
        <w:tc>
          <w:tcPr>
            <w:tcW w:w="1024" w:type="dxa"/>
            <w:tcBorders>
              <w:top w:val="single" w:sz="8" w:space="0" w:color="auto"/>
            </w:tcBorders>
          </w:tcPr>
          <w:p w14:paraId="3B849E97" w14:textId="77777777" w:rsidR="00AE2255" w:rsidRDefault="00AE2255">
            <w:pPr>
              <w:pStyle w:val="TableParagraph"/>
              <w:spacing w:before="0"/>
              <w:jc w:val="left"/>
              <w:rPr>
                <w:sz w:val="20"/>
              </w:rPr>
            </w:pPr>
          </w:p>
        </w:tc>
      </w:tr>
      <w:tr w:rsidR="00AE2255" w14:paraId="4CAE2725" w14:textId="77777777">
        <w:trPr>
          <w:trHeight w:val="285"/>
        </w:trPr>
        <w:tc>
          <w:tcPr>
            <w:tcW w:w="7080" w:type="dxa"/>
            <w:shd w:val="clear" w:color="auto" w:fill="CCEDFF"/>
          </w:tcPr>
          <w:p w14:paraId="41EB42DA" w14:textId="77777777" w:rsidR="00AE2255" w:rsidRDefault="00000000">
            <w:pPr>
              <w:pStyle w:val="TableParagraph"/>
              <w:spacing w:before="27"/>
              <w:ind w:left="187"/>
              <w:jc w:val="left"/>
              <w:rPr>
                <w:sz w:val="20"/>
              </w:rPr>
            </w:pPr>
            <w:r>
              <w:rPr>
                <w:sz w:val="20"/>
              </w:rPr>
              <w:t>Continuing</w:t>
            </w:r>
            <w:r>
              <w:rPr>
                <w:spacing w:val="-4"/>
                <w:sz w:val="20"/>
              </w:rPr>
              <w:t xml:space="preserve"> </w:t>
            </w:r>
            <w:r>
              <w:rPr>
                <w:spacing w:val="-2"/>
                <w:sz w:val="20"/>
              </w:rPr>
              <w:t>operations</w:t>
            </w:r>
          </w:p>
        </w:tc>
        <w:tc>
          <w:tcPr>
            <w:tcW w:w="1061" w:type="dxa"/>
            <w:shd w:val="clear" w:color="auto" w:fill="CCEDFF"/>
          </w:tcPr>
          <w:p w14:paraId="79708E04" w14:textId="77777777" w:rsidR="00AE2255" w:rsidRDefault="00000000">
            <w:pPr>
              <w:pStyle w:val="TableParagraph"/>
              <w:tabs>
                <w:tab w:val="left" w:pos="473"/>
              </w:tabs>
              <w:ind w:left="52"/>
              <w:jc w:val="left"/>
              <w:rPr>
                <w:b/>
                <w:sz w:val="20"/>
              </w:rPr>
            </w:pPr>
            <w:r>
              <w:rPr>
                <w:b/>
                <w:spacing w:val="-10"/>
                <w:sz w:val="20"/>
              </w:rPr>
              <w:t>$</w:t>
            </w:r>
            <w:r>
              <w:rPr>
                <w:b/>
                <w:sz w:val="20"/>
              </w:rPr>
              <w:tab/>
            </w:r>
            <w:r>
              <w:rPr>
                <w:b/>
                <w:spacing w:val="-2"/>
                <w:sz w:val="20"/>
              </w:rPr>
              <w:t>21.66</w:t>
            </w:r>
          </w:p>
        </w:tc>
        <w:tc>
          <w:tcPr>
            <w:tcW w:w="1080" w:type="dxa"/>
            <w:shd w:val="clear" w:color="auto" w:fill="CCEDFF"/>
          </w:tcPr>
          <w:p w14:paraId="6E053413"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22.76</w:t>
            </w:r>
          </w:p>
        </w:tc>
        <w:tc>
          <w:tcPr>
            <w:tcW w:w="1024" w:type="dxa"/>
            <w:shd w:val="clear" w:color="auto" w:fill="CCEDFF"/>
          </w:tcPr>
          <w:p w14:paraId="58ABAA39"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24.50</w:t>
            </w:r>
          </w:p>
        </w:tc>
      </w:tr>
      <w:tr w:rsidR="00AE2255" w14:paraId="413E8BDE" w14:textId="77777777">
        <w:trPr>
          <w:trHeight w:val="275"/>
        </w:trPr>
        <w:tc>
          <w:tcPr>
            <w:tcW w:w="7080" w:type="dxa"/>
            <w:tcBorders>
              <w:bottom w:val="single" w:sz="8" w:space="0" w:color="auto"/>
            </w:tcBorders>
          </w:tcPr>
          <w:p w14:paraId="5020997F" w14:textId="77777777" w:rsidR="00AE2255" w:rsidRDefault="00000000">
            <w:pPr>
              <w:pStyle w:val="TableParagraph"/>
              <w:spacing w:before="27" w:line="228" w:lineRule="exact"/>
              <w:ind w:left="187"/>
              <w:jc w:val="left"/>
              <w:rPr>
                <w:sz w:val="20"/>
              </w:rPr>
            </w:pPr>
            <w:r>
              <w:rPr>
                <w:sz w:val="20"/>
              </w:rPr>
              <w:t>Discontinued</w:t>
            </w:r>
            <w:r>
              <w:rPr>
                <w:spacing w:val="-7"/>
                <w:sz w:val="20"/>
              </w:rPr>
              <w:t xml:space="preserve"> </w:t>
            </w:r>
            <w:r>
              <w:rPr>
                <w:spacing w:val="-2"/>
                <w:sz w:val="20"/>
              </w:rPr>
              <w:t>operations</w:t>
            </w:r>
          </w:p>
        </w:tc>
        <w:tc>
          <w:tcPr>
            <w:tcW w:w="1061" w:type="dxa"/>
            <w:tcBorders>
              <w:bottom w:val="single" w:sz="8" w:space="0" w:color="auto"/>
            </w:tcBorders>
          </w:tcPr>
          <w:p w14:paraId="0DAD7BED" w14:textId="77777777" w:rsidR="00AE2255" w:rsidRDefault="00000000">
            <w:pPr>
              <w:pStyle w:val="TableParagraph"/>
              <w:spacing w:line="230" w:lineRule="exact"/>
              <w:ind w:right="135"/>
              <w:rPr>
                <w:b/>
                <w:sz w:val="20"/>
              </w:rPr>
            </w:pPr>
            <w:r>
              <w:rPr>
                <w:b/>
                <w:sz w:val="20"/>
              </w:rPr>
              <w:t>—</w:t>
            </w:r>
          </w:p>
        </w:tc>
        <w:tc>
          <w:tcPr>
            <w:tcW w:w="1080" w:type="dxa"/>
            <w:tcBorders>
              <w:bottom w:val="single" w:sz="8" w:space="0" w:color="auto"/>
            </w:tcBorders>
          </w:tcPr>
          <w:p w14:paraId="5377DDF5" w14:textId="77777777" w:rsidR="00AE2255" w:rsidRDefault="00000000">
            <w:pPr>
              <w:pStyle w:val="TableParagraph"/>
              <w:spacing w:line="230" w:lineRule="exact"/>
              <w:ind w:right="135"/>
              <w:rPr>
                <w:sz w:val="20"/>
              </w:rPr>
            </w:pPr>
            <w:r>
              <w:rPr>
                <w:sz w:val="20"/>
              </w:rPr>
              <w:t>—</w:t>
            </w:r>
          </w:p>
        </w:tc>
        <w:tc>
          <w:tcPr>
            <w:tcW w:w="1024" w:type="dxa"/>
            <w:tcBorders>
              <w:bottom w:val="single" w:sz="8" w:space="0" w:color="auto"/>
            </w:tcBorders>
          </w:tcPr>
          <w:p w14:paraId="388AD5F3" w14:textId="77777777" w:rsidR="00AE2255" w:rsidRDefault="00000000">
            <w:pPr>
              <w:pStyle w:val="TableParagraph"/>
              <w:spacing w:line="230" w:lineRule="exact"/>
              <w:ind w:right="14"/>
              <w:rPr>
                <w:sz w:val="20"/>
              </w:rPr>
            </w:pPr>
            <w:r>
              <w:rPr>
                <w:spacing w:val="-2"/>
                <w:sz w:val="20"/>
              </w:rPr>
              <w:t>(0.20)</w:t>
            </w:r>
          </w:p>
        </w:tc>
      </w:tr>
      <w:tr w:rsidR="00AE2255" w14:paraId="4F65A62D" w14:textId="77777777">
        <w:trPr>
          <w:trHeight w:val="252"/>
        </w:trPr>
        <w:tc>
          <w:tcPr>
            <w:tcW w:w="7080" w:type="dxa"/>
            <w:tcBorders>
              <w:top w:val="single" w:sz="8" w:space="0" w:color="CCEDFF"/>
              <w:bottom w:val="single" w:sz="18" w:space="0" w:color="CCEDFF"/>
            </w:tcBorders>
            <w:shd w:val="clear" w:color="auto" w:fill="CCEDFF"/>
          </w:tcPr>
          <w:p w14:paraId="17888D28" w14:textId="77777777" w:rsidR="00AE2255" w:rsidRDefault="00000000">
            <w:pPr>
              <w:pStyle w:val="TableParagraph"/>
              <w:spacing w:before="17" w:line="216" w:lineRule="exact"/>
              <w:ind w:left="52"/>
              <w:jc w:val="left"/>
              <w:rPr>
                <w:sz w:val="20"/>
              </w:rPr>
            </w:pPr>
            <w:r>
              <w:rPr>
                <w:sz w:val="20"/>
              </w:rPr>
              <w:t>Diluted</w:t>
            </w:r>
            <w:r>
              <w:rPr>
                <w:spacing w:val="-4"/>
                <w:sz w:val="20"/>
              </w:rPr>
              <w:t xml:space="preserve"> </w:t>
            </w:r>
            <w:r>
              <w:rPr>
                <w:sz w:val="20"/>
              </w:rPr>
              <w:t>earnings</w:t>
            </w:r>
            <w:r>
              <w:rPr>
                <w:spacing w:val="-3"/>
                <w:sz w:val="20"/>
              </w:rPr>
              <w:t xml:space="preserve"> </w:t>
            </w:r>
            <w:r>
              <w:rPr>
                <w:sz w:val="20"/>
              </w:rPr>
              <w:t>per</w:t>
            </w:r>
            <w:r>
              <w:rPr>
                <w:spacing w:val="-3"/>
                <w:sz w:val="20"/>
              </w:rPr>
              <w:t xml:space="preserve"> </w:t>
            </w:r>
            <w:r>
              <w:rPr>
                <w:sz w:val="20"/>
              </w:rPr>
              <w:t>common</w:t>
            </w:r>
            <w:r>
              <w:rPr>
                <w:spacing w:val="-3"/>
                <w:sz w:val="20"/>
              </w:rPr>
              <w:t xml:space="preserve"> </w:t>
            </w:r>
            <w:r>
              <w:rPr>
                <w:spacing w:val="-2"/>
                <w:sz w:val="20"/>
              </w:rPr>
              <w:t>share</w:t>
            </w:r>
          </w:p>
        </w:tc>
        <w:tc>
          <w:tcPr>
            <w:tcW w:w="1061" w:type="dxa"/>
            <w:tcBorders>
              <w:top w:val="single" w:sz="8" w:space="0" w:color="CCEDFF"/>
              <w:bottom w:val="single" w:sz="18" w:space="0" w:color="CCEDFF"/>
            </w:tcBorders>
            <w:shd w:val="clear" w:color="auto" w:fill="CCEDFF"/>
          </w:tcPr>
          <w:p w14:paraId="6C9BF246" w14:textId="77777777" w:rsidR="00AE2255" w:rsidRDefault="00000000">
            <w:pPr>
              <w:pStyle w:val="TableParagraph"/>
              <w:tabs>
                <w:tab w:val="left" w:pos="473"/>
              </w:tabs>
              <w:spacing w:before="15" w:line="217" w:lineRule="exact"/>
              <w:ind w:left="52"/>
              <w:jc w:val="left"/>
              <w:rPr>
                <w:b/>
                <w:sz w:val="20"/>
              </w:rPr>
            </w:pPr>
            <w:r>
              <w:rPr>
                <w:b/>
                <w:spacing w:val="-10"/>
                <w:sz w:val="20"/>
              </w:rPr>
              <w:t>$</w:t>
            </w:r>
            <w:r>
              <w:rPr>
                <w:b/>
                <w:sz w:val="20"/>
              </w:rPr>
              <w:tab/>
            </w:r>
            <w:r>
              <w:rPr>
                <w:b/>
                <w:spacing w:val="-2"/>
                <w:sz w:val="20"/>
              </w:rPr>
              <w:t>21.66</w:t>
            </w:r>
          </w:p>
        </w:tc>
        <w:tc>
          <w:tcPr>
            <w:tcW w:w="1080" w:type="dxa"/>
            <w:tcBorders>
              <w:top w:val="single" w:sz="8" w:space="0" w:color="CCEDFF"/>
              <w:bottom w:val="single" w:sz="18" w:space="0" w:color="CCEDFF"/>
            </w:tcBorders>
            <w:shd w:val="clear" w:color="auto" w:fill="CCEDFF"/>
          </w:tcPr>
          <w:p w14:paraId="35AA50DB" w14:textId="77777777" w:rsidR="00AE2255" w:rsidRDefault="00000000">
            <w:pPr>
              <w:pStyle w:val="TableParagraph"/>
              <w:tabs>
                <w:tab w:val="left" w:pos="420"/>
              </w:tabs>
              <w:spacing w:before="15" w:line="217" w:lineRule="exact"/>
              <w:ind w:right="135"/>
              <w:rPr>
                <w:sz w:val="20"/>
              </w:rPr>
            </w:pPr>
            <w:r>
              <w:rPr>
                <w:spacing w:val="-10"/>
                <w:sz w:val="20"/>
              </w:rPr>
              <w:t>$</w:t>
            </w:r>
            <w:r>
              <w:rPr>
                <w:sz w:val="20"/>
              </w:rPr>
              <w:tab/>
            </w:r>
            <w:r>
              <w:rPr>
                <w:spacing w:val="-2"/>
                <w:sz w:val="20"/>
              </w:rPr>
              <w:t>22.76</w:t>
            </w:r>
          </w:p>
        </w:tc>
        <w:tc>
          <w:tcPr>
            <w:tcW w:w="1024" w:type="dxa"/>
            <w:tcBorders>
              <w:top w:val="single" w:sz="8" w:space="0" w:color="CCEDFF"/>
              <w:bottom w:val="single" w:sz="18" w:space="0" w:color="CCEDFF"/>
            </w:tcBorders>
            <w:shd w:val="clear" w:color="auto" w:fill="CCEDFF"/>
          </w:tcPr>
          <w:p w14:paraId="61ECAAE9"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24.30</w:t>
            </w:r>
          </w:p>
        </w:tc>
      </w:tr>
      <w:tr w:rsidR="00AE2255" w14:paraId="77B76BC3" w14:textId="77777777">
        <w:trPr>
          <w:trHeight w:val="499"/>
        </w:trPr>
        <w:tc>
          <w:tcPr>
            <w:tcW w:w="7080" w:type="dxa"/>
            <w:tcBorders>
              <w:top w:val="single" w:sz="18" w:space="0" w:color="auto"/>
            </w:tcBorders>
          </w:tcPr>
          <w:p w14:paraId="09A4FE04" w14:textId="77777777" w:rsidR="00AE2255" w:rsidRDefault="00AE2255">
            <w:pPr>
              <w:pStyle w:val="TableParagraph"/>
              <w:spacing w:before="4"/>
              <w:jc w:val="left"/>
              <w:rPr>
                <w:b/>
                <w:sz w:val="23"/>
              </w:rPr>
            </w:pPr>
          </w:p>
          <w:p w14:paraId="19B1A7FD" w14:textId="77777777" w:rsidR="00AE2255" w:rsidRDefault="00000000">
            <w:pPr>
              <w:pStyle w:val="TableParagraph"/>
              <w:spacing w:before="1" w:line="210" w:lineRule="exact"/>
              <w:jc w:val="left"/>
              <w:rPr>
                <w:sz w:val="20"/>
              </w:rPr>
            </w:pPr>
            <w:r>
              <w:rPr>
                <w:sz w:val="20"/>
              </w:rPr>
              <w:t>The</w:t>
            </w:r>
            <w:r>
              <w:rPr>
                <w:spacing w:val="-6"/>
                <w:sz w:val="20"/>
              </w:rPr>
              <w:t xml:space="preserve"> </w:t>
            </w:r>
            <w:r>
              <w:rPr>
                <w:sz w:val="20"/>
              </w:rPr>
              <w:t>accompanying</w:t>
            </w:r>
            <w:r>
              <w:rPr>
                <w:spacing w:val="-3"/>
                <w:sz w:val="20"/>
              </w:rPr>
              <w:t xml:space="preserve"> </w:t>
            </w:r>
            <w:r>
              <w:rPr>
                <w:sz w:val="20"/>
              </w:rPr>
              <w:t>notes</w:t>
            </w:r>
            <w:r>
              <w:rPr>
                <w:spacing w:val="-4"/>
                <w:sz w:val="20"/>
              </w:rPr>
              <w:t xml:space="preserve"> </w:t>
            </w:r>
            <w:r>
              <w:rPr>
                <w:sz w:val="20"/>
              </w:rPr>
              <w:t>are</w:t>
            </w:r>
            <w:r>
              <w:rPr>
                <w:spacing w:val="-4"/>
                <w:sz w:val="20"/>
              </w:rPr>
              <w:t xml:space="preserve"> </w:t>
            </w:r>
            <w:r>
              <w:rPr>
                <w:sz w:val="20"/>
              </w:rPr>
              <w:t>an</w:t>
            </w:r>
            <w:r>
              <w:rPr>
                <w:spacing w:val="-3"/>
                <w:sz w:val="20"/>
              </w:rPr>
              <w:t xml:space="preserve"> </w:t>
            </w:r>
            <w:r>
              <w:rPr>
                <w:sz w:val="20"/>
              </w:rPr>
              <w:t>integral</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these</w:t>
            </w:r>
            <w:r>
              <w:rPr>
                <w:spacing w:val="-4"/>
                <w:sz w:val="20"/>
              </w:rPr>
              <w:t xml:space="preserve"> </w:t>
            </w:r>
            <w:r>
              <w:rPr>
                <w:sz w:val="20"/>
              </w:rPr>
              <w:t>consolidated</w:t>
            </w:r>
            <w:r>
              <w:rPr>
                <w:spacing w:val="-3"/>
                <w:sz w:val="20"/>
              </w:rPr>
              <w:t xml:space="preserve"> </w:t>
            </w:r>
            <w:r>
              <w:rPr>
                <w:sz w:val="20"/>
              </w:rPr>
              <w:t>financial</w:t>
            </w:r>
            <w:r>
              <w:rPr>
                <w:spacing w:val="-3"/>
                <w:sz w:val="20"/>
              </w:rPr>
              <w:t xml:space="preserve"> </w:t>
            </w:r>
            <w:r>
              <w:rPr>
                <w:spacing w:val="-2"/>
                <w:sz w:val="20"/>
              </w:rPr>
              <w:t>statements.</w:t>
            </w:r>
          </w:p>
        </w:tc>
        <w:tc>
          <w:tcPr>
            <w:tcW w:w="1061" w:type="dxa"/>
            <w:tcBorders>
              <w:top w:val="single" w:sz="18" w:space="0" w:color="auto"/>
            </w:tcBorders>
          </w:tcPr>
          <w:p w14:paraId="4F8641CB" w14:textId="77777777" w:rsidR="00AE2255" w:rsidRDefault="00AE2255">
            <w:pPr>
              <w:pStyle w:val="TableParagraph"/>
              <w:spacing w:before="0"/>
              <w:jc w:val="left"/>
              <w:rPr>
                <w:sz w:val="20"/>
              </w:rPr>
            </w:pPr>
          </w:p>
        </w:tc>
        <w:tc>
          <w:tcPr>
            <w:tcW w:w="1080" w:type="dxa"/>
            <w:tcBorders>
              <w:top w:val="single" w:sz="18" w:space="0" w:color="auto"/>
            </w:tcBorders>
          </w:tcPr>
          <w:p w14:paraId="6C96DB04" w14:textId="77777777" w:rsidR="00AE2255" w:rsidRDefault="00AE2255">
            <w:pPr>
              <w:pStyle w:val="TableParagraph"/>
              <w:spacing w:before="0"/>
              <w:jc w:val="left"/>
              <w:rPr>
                <w:sz w:val="20"/>
              </w:rPr>
            </w:pPr>
          </w:p>
        </w:tc>
        <w:tc>
          <w:tcPr>
            <w:tcW w:w="1024" w:type="dxa"/>
            <w:tcBorders>
              <w:top w:val="single" w:sz="18" w:space="0" w:color="auto"/>
            </w:tcBorders>
          </w:tcPr>
          <w:p w14:paraId="725D1339" w14:textId="77777777" w:rsidR="00AE2255" w:rsidRDefault="00AE2255">
            <w:pPr>
              <w:pStyle w:val="TableParagraph"/>
              <w:spacing w:before="0"/>
              <w:jc w:val="left"/>
              <w:rPr>
                <w:sz w:val="20"/>
              </w:rPr>
            </w:pPr>
          </w:p>
        </w:tc>
      </w:tr>
    </w:tbl>
    <w:p w14:paraId="52AE13FF" w14:textId="77777777" w:rsidR="00AE2255" w:rsidRDefault="00AE2255">
      <w:pPr>
        <w:rPr>
          <w:sz w:val="20"/>
        </w:rPr>
        <w:sectPr w:rsidR="00AE2255">
          <w:pgSz w:w="12240" w:h="15840"/>
          <w:pgMar w:top="440" w:right="560" w:bottom="720" w:left="380" w:header="230" w:footer="531" w:gutter="0"/>
          <w:cols w:space="720"/>
        </w:sectPr>
      </w:pPr>
    </w:p>
    <w:p w14:paraId="7B41F6B9" w14:textId="77777777" w:rsidR="00AE2255" w:rsidRDefault="00AE2255">
      <w:pPr>
        <w:pStyle w:val="BodyText"/>
        <w:spacing w:before="7"/>
        <w:rPr>
          <w:b/>
          <w:sz w:val="22"/>
        </w:rPr>
      </w:pPr>
    </w:p>
    <w:p w14:paraId="2CA31649" w14:textId="77777777" w:rsidR="00AE2255" w:rsidRDefault="00000000">
      <w:pPr>
        <w:spacing w:before="92" w:line="249" w:lineRule="auto"/>
        <w:ind w:left="3541" w:right="3291" w:firstLine="894"/>
        <w:rPr>
          <w:b/>
          <w:sz w:val="20"/>
        </w:rPr>
      </w:pPr>
      <w:bookmarkStart w:id="38" w:name="Consolidated_Statements_of_Comprehensive"/>
      <w:bookmarkStart w:id="39" w:name="_bookmark14"/>
      <w:bookmarkEnd w:id="38"/>
      <w:bookmarkEnd w:id="39"/>
      <w:r>
        <w:rPr>
          <w:b/>
          <w:sz w:val="20"/>
        </w:rPr>
        <w:t>Lockheed Martin Corporation Consolidated</w:t>
      </w:r>
      <w:r>
        <w:rPr>
          <w:b/>
          <w:spacing w:val="-11"/>
          <w:sz w:val="20"/>
        </w:rPr>
        <w:t xml:space="preserve"> </w:t>
      </w:r>
      <w:r>
        <w:rPr>
          <w:b/>
          <w:sz w:val="20"/>
        </w:rPr>
        <w:t>Statements</w:t>
      </w:r>
      <w:r>
        <w:rPr>
          <w:b/>
          <w:spacing w:val="-11"/>
          <w:sz w:val="20"/>
        </w:rPr>
        <w:t xml:space="preserve"> </w:t>
      </w:r>
      <w:r>
        <w:rPr>
          <w:b/>
          <w:sz w:val="20"/>
        </w:rPr>
        <w:t>of</w:t>
      </w:r>
      <w:r>
        <w:rPr>
          <w:b/>
          <w:spacing w:val="-10"/>
          <w:sz w:val="20"/>
        </w:rPr>
        <w:t xml:space="preserve"> </w:t>
      </w:r>
      <w:r>
        <w:rPr>
          <w:b/>
          <w:sz w:val="20"/>
        </w:rPr>
        <w:t>Comprehensive</w:t>
      </w:r>
      <w:r>
        <w:rPr>
          <w:b/>
          <w:spacing w:val="-11"/>
          <w:sz w:val="20"/>
        </w:rPr>
        <w:t xml:space="preserve"> </w:t>
      </w:r>
      <w:r>
        <w:rPr>
          <w:b/>
          <w:sz w:val="20"/>
        </w:rPr>
        <w:t>Income</w:t>
      </w:r>
    </w:p>
    <w:p w14:paraId="079ACAC3" w14:textId="77777777" w:rsidR="00AE2255" w:rsidRDefault="00000000">
      <w:pPr>
        <w:spacing w:before="1"/>
        <w:ind w:left="5226"/>
        <w:rPr>
          <w:b/>
          <w:sz w:val="20"/>
        </w:rPr>
      </w:pPr>
      <w:r>
        <w:rPr>
          <w:b/>
          <w:sz w:val="20"/>
        </w:rPr>
        <w:t>(</w:t>
      </w:r>
      <w:proofErr w:type="gramStart"/>
      <w:r>
        <w:rPr>
          <w:b/>
          <w:sz w:val="20"/>
        </w:rPr>
        <w:t>in</w:t>
      </w:r>
      <w:proofErr w:type="gramEnd"/>
      <w:r>
        <w:rPr>
          <w:b/>
          <w:spacing w:val="-2"/>
          <w:sz w:val="20"/>
        </w:rPr>
        <w:t xml:space="preserve"> millions)</w:t>
      </w:r>
    </w:p>
    <w:p w14:paraId="58613EF4" w14:textId="77777777" w:rsidR="00AE2255" w:rsidRDefault="00AE2255">
      <w:pPr>
        <w:pStyle w:val="BodyText"/>
        <w:spacing w:before="7"/>
        <w:rPr>
          <w:b/>
          <w:sz w:val="24"/>
        </w:rPr>
      </w:pPr>
    </w:p>
    <w:p w14:paraId="25B9059D" w14:textId="77777777" w:rsidR="00AE2255" w:rsidRDefault="00000000">
      <w:pPr>
        <w:spacing w:before="92" w:after="30"/>
        <w:ind w:right="865"/>
        <w:jc w:val="right"/>
        <w:rPr>
          <w:b/>
          <w:sz w:val="20"/>
        </w:rPr>
      </w:pPr>
      <w:r>
        <w:rPr>
          <w:b/>
          <w:sz w:val="20"/>
        </w:rPr>
        <w:t>Years</w:t>
      </w:r>
      <w:r>
        <w:rPr>
          <w:b/>
          <w:spacing w:val="-6"/>
          <w:sz w:val="20"/>
        </w:rPr>
        <w:t xml:space="preserve"> </w:t>
      </w:r>
      <w:r>
        <w:rPr>
          <w:b/>
          <w:sz w:val="20"/>
        </w:rPr>
        <w:t>Ended</w:t>
      </w:r>
      <w:r>
        <w:rPr>
          <w:b/>
          <w:spacing w:val="-5"/>
          <w:sz w:val="20"/>
        </w:rPr>
        <w:t xml:space="preserve"> </w:t>
      </w:r>
      <w:r>
        <w:rPr>
          <w:b/>
          <w:sz w:val="20"/>
        </w:rPr>
        <w:t>December</w:t>
      </w:r>
      <w:r>
        <w:rPr>
          <w:b/>
          <w:spacing w:val="-5"/>
          <w:sz w:val="20"/>
        </w:rPr>
        <w:t xml:space="preserve"> 31,</w:t>
      </w:r>
    </w:p>
    <w:tbl>
      <w:tblPr>
        <w:tblW w:w="0" w:type="auto"/>
        <w:tblInd w:w="617" w:type="dxa"/>
        <w:tblLayout w:type="fixed"/>
        <w:tblCellMar>
          <w:left w:w="0" w:type="dxa"/>
          <w:right w:w="0" w:type="dxa"/>
        </w:tblCellMar>
        <w:tblLook w:val="01E0" w:firstRow="1" w:lastRow="1" w:firstColumn="1" w:lastColumn="1" w:noHBand="0" w:noVBand="0"/>
      </w:tblPr>
      <w:tblGrid>
        <w:gridCol w:w="7080"/>
        <w:gridCol w:w="1061"/>
        <w:gridCol w:w="1080"/>
        <w:gridCol w:w="1024"/>
      </w:tblGrid>
      <w:tr w:rsidR="00AE2255" w14:paraId="096C9E7F" w14:textId="77777777">
        <w:trPr>
          <w:trHeight w:val="265"/>
        </w:trPr>
        <w:tc>
          <w:tcPr>
            <w:tcW w:w="7080" w:type="dxa"/>
            <w:tcBorders>
              <w:bottom w:val="single" w:sz="8" w:space="0" w:color="000000"/>
            </w:tcBorders>
          </w:tcPr>
          <w:p w14:paraId="46190BE3" w14:textId="77777777" w:rsidR="00AE2255" w:rsidRDefault="00AE2255">
            <w:pPr>
              <w:pStyle w:val="TableParagraph"/>
              <w:spacing w:before="0"/>
              <w:jc w:val="left"/>
              <w:rPr>
                <w:sz w:val="18"/>
              </w:rPr>
            </w:pPr>
          </w:p>
        </w:tc>
        <w:tc>
          <w:tcPr>
            <w:tcW w:w="1061" w:type="dxa"/>
            <w:tcBorders>
              <w:top w:val="single" w:sz="8" w:space="0" w:color="000000"/>
              <w:bottom w:val="single" w:sz="8" w:space="0" w:color="000000"/>
            </w:tcBorders>
          </w:tcPr>
          <w:p w14:paraId="49E9D19D" w14:textId="77777777" w:rsidR="00AE2255" w:rsidRDefault="00000000">
            <w:pPr>
              <w:pStyle w:val="TableParagraph"/>
              <w:spacing w:before="15" w:line="230" w:lineRule="exact"/>
              <w:ind w:right="106"/>
              <w:rPr>
                <w:b/>
                <w:sz w:val="20"/>
              </w:rPr>
            </w:pPr>
            <w:r>
              <w:rPr>
                <w:b/>
                <w:spacing w:val="-4"/>
                <w:sz w:val="20"/>
              </w:rPr>
              <w:t>2022</w:t>
            </w:r>
          </w:p>
        </w:tc>
        <w:tc>
          <w:tcPr>
            <w:tcW w:w="1080" w:type="dxa"/>
            <w:tcBorders>
              <w:top w:val="single" w:sz="8" w:space="0" w:color="000000"/>
              <w:bottom w:val="single" w:sz="8" w:space="0" w:color="000000"/>
            </w:tcBorders>
          </w:tcPr>
          <w:p w14:paraId="2A1B5F2F" w14:textId="77777777" w:rsidR="00AE2255" w:rsidRDefault="00000000">
            <w:pPr>
              <w:pStyle w:val="TableParagraph"/>
              <w:spacing w:before="15" w:line="230" w:lineRule="exact"/>
              <w:ind w:right="106"/>
              <w:rPr>
                <w:b/>
                <w:sz w:val="20"/>
              </w:rPr>
            </w:pPr>
            <w:r>
              <w:rPr>
                <w:b/>
                <w:spacing w:val="-4"/>
                <w:sz w:val="20"/>
              </w:rPr>
              <w:t>2021</w:t>
            </w:r>
          </w:p>
        </w:tc>
        <w:tc>
          <w:tcPr>
            <w:tcW w:w="1024" w:type="dxa"/>
            <w:tcBorders>
              <w:top w:val="single" w:sz="8" w:space="0" w:color="000000"/>
              <w:bottom w:val="single" w:sz="8" w:space="0" w:color="000000"/>
            </w:tcBorders>
          </w:tcPr>
          <w:p w14:paraId="771F5E2B" w14:textId="77777777" w:rsidR="00AE2255" w:rsidRDefault="00000000">
            <w:pPr>
              <w:pStyle w:val="TableParagraph"/>
              <w:spacing w:before="15" w:line="230" w:lineRule="exact"/>
              <w:ind w:right="50"/>
              <w:rPr>
                <w:b/>
                <w:sz w:val="20"/>
              </w:rPr>
            </w:pPr>
            <w:r>
              <w:rPr>
                <w:b/>
                <w:spacing w:val="-4"/>
                <w:sz w:val="20"/>
              </w:rPr>
              <w:t>2020</w:t>
            </w:r>
          </w:p>
        </w:tc>
      </w:tr>
      <w:tr w:rsidR="00AE2255" w14:paraId="465ABA05" w14:textId="77777777">
        <w:trPr>
          <w:trHeight w:val="275"/>
        </w:trPr>
        <w:tc>
          <w:tcPr>
            <w:tcW w:w="7080" w:type="dxa"/>
            <w:tcBorders>
              <w:top w:val="single" w:sz="8" w:space="0" w:color="000000"/>
            </w:tcBorders>
            <w:shd w:val="clear" w:color="auto" w:fill="CCEDFF"/>
          </w:tcPr>
          <w:p w14:paraId="27091FD1" w14:textId="77777777" w:rsidR="00AE2255" w:rsidRDefault="00000000">
            <w:pPr>
              <w:pStyle w:val="TableParagraph"/>
              <w:spacing w:before="17"/>
              <w:ind w:left="52"/>
              <w:jc w:val="left"/>
              <w:rPr>
                <w:sz w:val="20"/>
              </w:rPr>
            </w:pPr>
            <w:r>
              <w:rPr>
                <w:sz w:val="20"/>
              </w:rPr>
              <w:t>Net</w:t>
            </w:r>
            <w:r>
              <w:rPr>
                <w:spacing w:val="-3"/>
                <w:sz w:val="20"/>
              </w:rPr>
              <w:t xml:space="preserve"> </w:t>
            </w:r>
            <w:r>
              <w:rPr>
                <w:spacing w:val="-2"/>
                <w:sz w:val="20"/>
              </w:rPr>
              <w:t>earnings</w:t>
            </w:r>
          </w:p>
        </w:tc>
        <w:tc>
          <w:tcPr>
            <w:tcW w:w="1061" w:type="dxa"/>
            <w:tcBorders>
              <w:top w:val="single" w:sz="8" w:space="0" w:color="000000"/>
            </w:tcBorders>
            <w:shd w:val="clear" w:color="auto" w:fill="CCEDFF"/>
          </w:tcPr>
          <w:p w14:paraId="241658D0" w14:textId="77777777" w:rsidR="00AE2255" w:rsidRDefault="00000000">
            <w:pPr>
              <w:pStyle w:val="TableParagraph"/>
              <w:tabs>
                <w:tab w:val="left" w:pos="473"/>
              </w:tabs>
              <w:spacing w:before="15"/>
              <w:ind w:left="52"/>
              <w:jc w:val="left"/>
              <w:rPr>
                <w:b/>
                <w:sz w:val="20"/>
              </w:rPr>
            </w:pPr>
            <w:r>
              <w:rPr>
                <w:b/>
                <w:spacing w:val="-10"/>
                <w:sz w:val="20"/>
              </w:rPr>
              <w:t>$</w:t>
            </w:r>
            <w:r>
              <w:rPr>
                <w:b/>
                <w:sz w:val="20"/>
              </w:rPr>
              <w:tab/>
            </w:r>
            <w:r>
              <w:rPr>
                <w:b/>
                <w:spacing w:val="-2"/>
                <w:sz w:val="20"/>
              </w:rPr>
              <w:t>5,732</w:t>
            </w:r>
          </w:p>
        </w:tc>
        <w:tc>
          <w:tcPr>
            <w:tcW w:w="1080" w:type="dxa"/>
            <w:tcBorders>
              <w:top w:val="single" w:sz="8" w:space="0" w:color="000000"/>
            </w:tcBorders>
            <w:shd w:val="clear" w:color="auto" w:fill="CCEDFF"/>
          </w:tcPr>
          <w:p w14:paraId="0859ECC5" w14:textId="77777777" w:rsidR="00AE2255" w:rsidRDefault="00000000">
            <w:pPr>
              <w:pStyle w:val="TableParagraph"/>
              <w:tabs>
                <w:tab w:val="left" w:pos="420"/>
              </w:tabs>
              <w:spacing w:before="15"/>
              <w:ind w:right="135"/>
              <w:rPr>
                <w:sz w:val="20"/>
              </w:rPr>
            </w:pPr>
            <w:r>
              <w:rPr>
                <w:spacing w:val="-10"/>
                <w:sz w:val="20"/>
              </w:rPr>
              <w:t>$</w:t>
            </w:r>
            <w:r>
              <w:rPr>
                <w:sz w:val="20"/>
              </w:rPr>
              <w:tab/>
            </w:r>
            <w:r>
              <w:rPr>
                <w:spacing w:val="-2"/>
                <w:sz w:val="20"/>
              </w:rPr>
              <w:t>6,315</w:t>
            </w:r>
          </w:p>
        </w:tc>
        <w:tc>
          <w:tcPr>
            <w:tcW w:w="1024" w:type="dxa"/>
            <w:tcBorders>
              <w:top w:val="single" w:sz="8" w:space="0" w:color="000000"/>
            </w:tcBorders>
            <w:shd w:val="clear" w:color="auto" w:fill="CCEDFF"/>
          </w:tcPr>
          <w:p w14:paraId="7CDD06CC" w14:textId="77777777" w:rsidR="00AE2255" w:rsidRDefault="00000000">
            <w:pPr>
              <w:pStyle w:val="TableParagraph"/>
              <w:tabs>
                <w:tab w:val="left" w:pos="492"/>
              </w:tabs>
              <w:spacing w:before="15"/>
              <w:ind w:left="71"/>
              <w:jc w:val="left"/>
              <w:rPr>
                <w:sz w:val="20"/>
              </w:rPr>
            </w:pPr>
            <w:r>
              <w:rPr>
                <w:spacing w:val="-10"/>
                <w:sz w:val="20"/>
              </w:rPr>
              <w:t>$</w:t>
            </w:r>
            <w:r>
              <w:rPr>
                <w:sz w:val="20"/>
              </w:rPr>
              <w:tab/>
            </w:r>
            <w:r>
              <w:rPr>
                <w:spacing w:val="-2"/>
                <w:sz w:val="20"/>
              </w:rPr>
              <w:t>6,833</w:t>
            </w:r>
          </w:p>
        </w:tc>
      </w:tr>
      <w:tr w:rsidR="00AE2255" w14:paraId="7010822A" w14:textId="77777777">
        <w:trPr>
          <w:trHeight w:val="285"/>
        </w:trPr>
        <w:tc>
          <w:tcPr>
            <w:tcW w:w="7080" w:type="dxa"/>
          </w:tcPr>
          <w:p w14:paraId="219F19AD" w14:textId="77777777" w:rsidR="00AE2255" w:rsidRDefault="00000000">
            <w:pPr>
              <w:pStyle w:val="TableParagraph"/>
              <w:spacing w:before="27"/>
              <w:ind w:left="52"/>
              <w:jc w:val="left"/>
              <w:rPr>
                <w:sz w:val="20"/>
              </w:rPr>
            </w:pPr>
            <w:r>
              <w:rPr>
                <w:sz w:val="20"/>
              </w:rPr>
              <w:t>Other</w:t>
            </w:r>
            <w:r>
              <w:rPr>
                <w:spacing w:val="-3"/>
                <w:sz w:val="20"/>
              </w:rPr>
              <w:t xml:space="preserve"> </w:t>
            </w:r>
            <w:r>
              <w:rPr>
                <w:sz w:val="20"/>
              </w:rPr>
              <w:t>comprehensive</w:t>
            </w:r>
            <w:r>
              <w:rPr>
                <w:spacing w:val="-4"/>
                <w:sz w:val="20"/>
              </w:rPr>
              <w:t xml:space="preserve"> </w:t>
            </w:r>
            <w:r>
              <w:rPr>
                <w:sz w:val="20"/>
              </w:rPr>
              <w:t>income</w:t>
            </w:r>
            <w:r>
              <w:rPr>
                <w:spacing w:val="-3"/>
                <w:sz w:val="20"/>
              </w:rPr>
              <w:t xml:space="preserve"> </w:t>
            </w:r>
            <w:r>
              <w:rPr>
                <w:sz w:val="20"/>
              </w:rPr>
              <w:t>(loss),</w:t>
            </w:r>
            <w:r>
              <w:rPr>
                <w:spacing w:val="-3"/>
                <w:sz w:val="20"/>
              </w:rPr>
              <w:t xml:space="preserve"> </w:t>
            </w:r>
            <w:r>
              <w:rPr>
                <w:sz w:val="20"/>
              </w:rPr>
              <w:t>net</w:t>
            </w:r>
            <w:r>
              <w:rPr>
                <w:spacing w:val="-4"/>
                <w:sz w:val="20"/>
              </w:rPr>
              <w:t xml:space="preserve"> </w:t>
            </w:r>
            <w:r>
              <w:rPr>
                <w:sz w:val="20"/>
              </w:rPr>
              <w:t>of</w:t>
            </w:r>
            <w:r>
              <w:rPr>
                <w:spacing w:val="-2"/>
                <w:sz w:val="20"/>
              </w:rPr>
              <w:t xml:space="preserve"> </w:t>
            </w:r>
            <w:r>
              <w:rPr>
                <w:spacing w:val="-5"/>
                <w:sz w:val="20"/>
              </w:rPr>
              <w:t>tax</w:t>
            </w:r>
          </w:p>
        </w:tc>
        <w:tc>
          <w:tcPr>
            <w:tcW w:w="1061" w:type="dxa"/>
          </w:tcPr>
          <w:p w14:paraId="6FA8BCBD" w14:textId="77777777" w:rsidR="00AE2255" w:rsidRDefault="00AE2255">
            <w:pPr>
              <w:pStyle w:val="TableParagraph"/>
              <w:spacing w:before="0"/>
              <w:jc w:val="left"/>
              <w:rPr>
                <w:sz w:val="20"/>
              </w:rPr>
            </w:pPr>
          </w:p>
        </w:tc>
        <w:tc>
          <w:tcPr>
            <w:tcW w:w="1080" w:type="dxa"/>
          </w:tcPr>
          <w:p w14:paraId="375D9606" w14:textId="77777777" w:rsidR="00AE2255" w:rsidRDefault="00AE2255">
            <w:pPr>
              <w:pStyle w:val="TableParagraph"/>
              <w:spacing w:before="0"/>
              <w:jc w:val="left"/>
              <w:rPr>
                <w:sz w:val="20"/>
              </w:rPr>
            </w:pPr>
          </w:p>
        </w:tc>
        <w:tc>
          <w:tcPr>
            <w:tcW w:w="1024" w:type="dxa"/>
          </w:tcPr>
          <w:p w14:paraId="1C51254B" w14:textId="77777777" w:rsidR="00AE2255" w:rsidRDefault="00AE2255">
            <w:pPr>
              <w:pStyle w:val="TableParagraph"/>
              <w:spacing w:before="0"/>
              <w:jc w:val="left"/>
              <w:rPr>
                <w:sz w:val="20"/>
              </w:rPr>
            </w:pPr>
          </w:p>
        </w:tc>
      </w:tr>
      <w:tr w:rsidR="00AE2255" w14:paraId="015183B6" w14:textId="77777777">
        <w:trPr>
          <w:trHeight w:val="285"/>
        </w:trPr>
        <w:tc>
          <w:tcPr>
            <w:tcW w:w="7080" w:type="dxa"/>
            <w:shd w:val="clear" w:color="auto" w:fill="CCEDFF"/>
          </w:tcPr>
          <w:p w14:paraId="445E6FE1" w14:textId="77777777" w:rsidR="00AE2255" w:rsidRDefault="00000000">
            <w:pPr>
              <w:pStyle w:val="TableParagraph"/>
              <w:spacing w:before="27"/>
              <w:ind w:left="187"/>
              <w:jc w:val="left"/>
              <w:rPr>
                <w:sz w:val="20"/>
              </w:rPr>
            </w:pPr>
            <w:r>
              <w:rPr>
                <w:sz w:val="20"/>
              </w:rPr>
              <w:t>Postretirement</w:t>
            </w:r>
            <w:r>
              <w:rPr>
                <w:spacing w:val="-7"/>
                <w:sz w:val="20"/>
              </w:rPr>
              <w:t xml:space="preserve"> </w:t>
            </w:r>
            <w:r>
              <w:rPr>
                <w:sz w:val="20"/>
              </w:rPr>
              <w:t>benefit</w:t>
            </w:r>
            <w:r>
              <w:rPr>
                <w:spacing w:val="-7"/>
                <w:sz w:val="20"/>
              </w:rPr>
              <w:t xml:space="preserve"> </w:t>
            </w:r>
            <w:r>
              <w:rPr>
                <w:spacing w:val="-2"/>
                <w:sz w:val="20"/>
              </w:rPr>
              <w:t>plans</w:t>
            </w:r>
          </w:p>
        </w:tc>
        <w:tc>
          <w:tcPr>
            <w:tcW w:w="1061" w:type="dxa"/>
            <w:shd w:val="clear" w:color="auto" w:fill="CCEDFF"/>
          </w:tcPr>
          <w:p w14:paraId="75F6F6DB" w14:textId="77777777" w:rsidR="00AE2255" w:rsidRDefault="00AE2255">
            <w:pPr>
              <w:pStyle w:val="TableParagraph"/>
              <w:spacing w:before="0"/>
              <w:jc w:val="left"/>
              <w:rPr>
                <w:sz w:val="20"/>
              </w:rPr>
            </w:pPr>
          </w:p>
        </w:tc>
        <w:tc>
          <w:tcPr>
            <w:tcW w:w="1080" w:type="dxa"/>
            <w:shd w:val="clear" w:color="auto" w:fill="CCEDFF"/>
          </w:tcPr>
          <w:p w14:paraId="1E6933E2" w14:textId="77777777" w:rsidR="00AE2255" w:rsidRDefault="00AE2255">
            <w:pPr>
              <w:pStyle w:val="TableParagraph"/>
              <w:spacing w:before="0"/>
              <w:jc w:val="left"/>
              <w:rPr>
                <w:sz w:val="20"/>
              </w:rPr>
            </w:pPr>
          </w:p>
        </w:tc>
        <w:tc>
          <w:tcPr>
            <w:tcW w:w="1024" w:type="dxa"/>
            <w:shd w:val="clear" w:color="auto" w:fill="CCEDFF"/>
          </w:tcPr>
          <w:p w14:paraId="44F8368C" w14:textId="77777777" w:rsidR="00AE2255" w:rsidRDefault="00AE2255">
            <w:pPr>
              <w:pStyle w:val="TableParagraph"/>
              <w:spacing w:before="0"/>
              <w:jc w:val="left"/>
              <w:rPr>
                <w:sz w:val="20"/>
              </w:rPr>
            </w:pPr>
          </w:p>
        </w:tc>
      </w:tr>
      <w:tr w:rsidR="00AE2255" w14:paraId="208FDAA3" w14:textId="77777777">
        <w:trPr>
          <w:trHeight w:val="246"/>
        </w:trPr>
        <w:tc>
          <w:tcPr>
            <w:tcW w:w="7080" w:type="dxa"/>
          </w:tcPr>
          <w:p w14:paraId="2F369158" w14:textId="77777777" w:rsidR="00AE2255" w:rsidRDefault="00000000">
            <w:pPr>
              <w:pStyle w:val="TableParagraph"/>
              <w:spacing w:before="27" w:line="199" w:lineRule="exact"/>
              <w:ind w:left="277"/>
              <w:jc w:val="left"/>
              <w:rPr>
                <w:sz w:val="20"/>
              </w:rPr>
            </w:pPr>
            <w:r>
              <w:rPr>
                <w:sz w:val="20"/>
              </w:rPr>
              <w:t>Net</w:t>
            </w:r>
            <w:r>
              <w:rPr>
                <w:spacing w:val="-4"/>
                <w:sz w:val="20"/>
              </w:rPr>
              <w:t xml:space="preserve"> </w:t>
            </w:r>
            <w:r>
              <w:rPr>
                <w:sz w:val="20"/>
              </w:rPr>
              <w:t>actuarial</w:t>
            </w:r>
            <w:r>
              <w:rPr>
                <w:spacing w:val="-4"/>
                <w:sz w:val="20"/>
              </w:rPr>
              <w:t xml:space="preserve"> </w:t>
            </w:r>
            <w:r>
              <w:rPr>
                <w:sz w:val="20"/>
              </w:rPr>
              <w:t>gain</w:t>
            </w:r>
            <w:r>
              <w:rPr>
                <w:spacing w:val="-3"/>
                <w:sz w:val="20"/>
              </w:rPr>
              <w:t xml:space="preserve"> </w:t>
            </w:r>
            <w:r>
              <w:rPr>
                <w:sz w:val="20"/>
              </w:rPr>
              <w:t>(loss)</w:t>
            </w:r>
            <w:r>
              <w:rPr>
                <w:spacing w:val="-3"/>
                <w:sz w:val="20"/>
              </w:rPr>
              <w:t xml:space="preserve"> </w:t>
            </w:r>
            <w:r>
              <w:rPr>
                <w:sz w:val="20"/>
              </w:rPr>
              <w:t>recognized</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plan</w:t>
            </w:r>
            <w:r>
              <w:rPr>
                <w:spacing w:val="-3"/>
                <w:sz w:val="20"/>
              </w:rPr>
              <w:t xml:space="preserve"> </w:t>
            </w:r>
            <w:r>
              <w:rPr>
                <w:sz w:val="20"/>
              </w:rPr>
              <w:t>remeasurements,</w:t>
            </w:r>
            <w:r>
              <w:rPr>
                <w:spacing w:val="-3"/>
                <w:sz w:val="20"/>
              </w:rPr>
              <w:t xml:space="preserve"> </w:t>
            </w:r>
            <w:r>
              <w:rPr>
                <w:sz w:val="20"/>
              </w:rPr>
              <w:t>net</w:t>
            </w:r>
            <w:r>
              <w:rPr>
                <w:spacing w:val="-4"/>
                <w:sz w:val="20"/>
              </w:rPr>
              <w:t xml:space="preserve"> </w:t>
            </w:r>
            <w:r>
              <w:rPr>
                <w:sz w:val="20"/>
              </w:rPr>
              <w:t>of</w:t>
            </w:r>
            <w:r>
              <w:rPr>
                <w:spacing w:val="-3"/>
                <w:sz w:val="20"/>
              </w:rPr>
              <w:t xml:space="preserve"> </w:t>
            </w:r>
            <w:r>
              <w:rPr>
                <w:sz w:val="20"/>
              </w:rPr>
              <w:t>tax</w:t>
            </w:r>
            <w:r>
              <w:rPr>
                <w:spacing w:val="-2"/>
                <w:sz w:val="20"/>
              </w:rPr>
              <w:t xml:space="preserve"> </w:t>
            </w:r>
            <w:r>
              <w:rPr>
                <w:spacing w:val="-5"/>
                <w:sz w:val="20"/>
              </w:rPr>
              <w:t>of</w:t>
            </w:r>
          </w:p>
        </w:tc>
        <w:tc>
          <w:tcPr>
            <w:tcW w:w="1061" w:type="dxa"/>
          </w:tcPr>
          <w:p w14:paraId="5B72A799" w14:textId="77777777" w:rsidR="00AE2255" w:rsidRDefault="00AE2255">
            <w:pPr>
              <w:pStyle w:val="TableParagraph"/>
              <w:spacing w:before="0"/>
              <w:jc w:val="left"/>
              <w:rPr>
                <w:sz w:val="16"/>
              </w:rPr>
            </w:pPr>
          </w:p>
        </w:tc>
        <w:tc>
          <w:tcPr>
            <w:tcW w:w="1080" w:type="dxa"/>
          </w:tcPr>
          <w:p w14:paraId="58947AA0" w14:textId="77777777" w:rsidR="00AE2255" w:rsidRDefault="00AE2255">
            <w:pPr>
              <w:pStyle w:val="TableParagraph"/>
              <w:spacing w:before="0"/>
              <w:jc w:val="left"/>
              <w:rPr>
                <w:sz w:val="16"/>
              </w:rPr>
            </w:pPr>
          </w:p>
        </w:tc>
        <w:tc>
          <w:tcPr>
            <w:tcW w:w="1024" w:type="dxa"/>
          </w:tcPr>
          <w:p w14:paraId="53312CC8" w14:textId="77777777" w:rsidR="00AE2255" w:rsidRDefault="00AE2255">
            <w:pPr>
              <w:pStyle w:val="TableParagraph"/>
              <w:spacing w:before="0"/>
              <w:jc w:val="left"/>
              <w:rPr>
                <w:sz w:val="16"/>
              </w:rPr>
            </w:pPr>
          </w:p>
        </w:tc>
      </w:tr>
      <w:tr w:rsidR="00AE2255" w14:paraId="082BBB6D" w14:textId="77777777">
        <w:trPr>
          <w:trHeight w:val="248"/>
        </w:trPr>
        <w:tc>
          <w:tcPr>
            <w:tcW w:w="7080" w:type="dxa"/>
          </w:tcPr>
          <w:p w14:paraId="49C35ADC" w14:textId="77777777" w:rsidR="00AE2255" w:rsidRDefault="00000000">
            <w:pPr>
              <w:pStyle w:val="TableParagraph"/>
              <w:spacing w:before="0" w:line="211" w:lineRule="exact"/>
              <w:ind w:left="457"/>
              <w:jc w:val="left"/>
              <w:rPr>
                <w:sz w:val="20"/>
              </w:rPr>
            </w:pPr>
            <w:r>
              <w:rPr>
                <w:sz w:val="20"/>
              </w:rPr>
              <w:t>$518</w:t>
            </w:r>
            <w:r>
              <w:rPr>
                <w:spacing w:val="-4"/>
                <w:sz w:val="20"/>
              </w:rPr>
              <w:t xml:space="preserve"> </w:t>
            </w:r>
            <w:r>
              <w:rPr>
                <w:sz w:val="20"/>
              </w:rPr>
              <w:t>million</w:t>
            </w:r>
            <w:r>
              <w:rPr>
                <w:spacing w:val="-2"/>
                <w:sz w:val="20"/>
              </w:rPr>
              <w:t xml:space="preserve"> </w:t>
            </w:r>
            <w:r>
              <w:rPr>
                <w:sz w:val="20"/>
              </w:rPr>
              <w:t>in</w:t>
            </w:r>
            <w:r>
              <w:rPr>
                <w:spacing w:val="-1"/>
                <w:sz w:val="20"/>
              </w:rPr>
              <w:t xml:space="preserve"> </w:t>
            </w:r>
            <w:r>
              <w:rPr>
                <w:sz w:val="20"/>
              </w:rPr>
              <w:t>2022,</w:t>
            </w:r>
            <w:r>
              <w:rPr>
                <w:spacing w:val="-2"/>
                <w:sz w:val="20"/>
              </w:rPr>
              <w:t xml:space="preserve"> </w:t>
            </w:r>
            <w:r>
              <w:rPr>
                <w:sz w:val="20"/>
              </w:rPr>
              <w:t>$925</w:t>
            </w:r>
            <w:r>
              <w:rPr>
                <w:spacing w:val="-1"/>
                <w:sz w:val="20"/>
              </w:rPr>
              <w:t xml:space="preserve"> </w:t>
            </w:r>
            <w:r>
              <w:rPr>
                <w:sz w:val="20"/>
              </w:rPr>
              <w:t>million</w:t>
            </w:r>
            <w:r>
              <w:rPr>
                <w:spacing w:val="-2"/>
                <w:sz w:val="20"/>
              </w:rPr>
              <w:t xml:space="preserve"> </w:t>
            </w:r>
            <w:r>
              <w:rPr>
                <w:sz w:val="20"/>
              </w:rPr>
              <w:t>in</w:t>
            </w:r>
            <w:r>
              <w:rPr>
                <w:spacing w:val="-2"/>
                <w:sz w:val="20"/>
              </w:rPr>
              <w:t xml:space="preserve"> </w:t>
            </w:r>
            <w:r>
              <w:rPr>
                <w:sz w:val="20"/>
              </w:rPr>
              <w:t>2021</w:t>
            </w:r>
            <w:r>
              <w:rPr>
                <w:spacing w:val="-1"/>
                <w:sz w:val="20"/>
              </w:rPr>
              <w:t xml:space="preserve"> </w:t>
            </w:r>
            <w:r>
              <w:rPr>
                <w:sz w:val="20"/>
              </w:rPr>
              <w:t>and</w:t>
            </w:r>
            <w:r>
              <w:rPr>
                <w:spacing w:val="-2"/>
                <w:sz w:val="20"/>
              </w:rPr>
              <w:t xml:space="preserve"> </w:t>
            </w:r>
            <w:r>
              <w:rPr>
                <w:sz w:val="20"/>
              </w:rPr>
              <w:t>$292</w:t>
            </w:r>
            <w:r>
              <w:rPr>
                <w:spacing w:val="-1"/>
                <w:sz w:val="20"/>
              </w:rPr>
              <w:t xml:space="preserve"> </w:t>
            </w:r>
            <w:r>
              <w:rPr>
                <w:sz w:val="20"/>
              </w:rPr>
              <w:t>million</w:t>
            </w:r>
            <w:r>
              <w:rPr>
                <w:spacing w:val="-2"/>
                <w:sz w:val="20"/>
              </w:rPr>
              <w:t xml:space="preserve"> </w:t>
            </w:r>
            <w:r>
              <w:rPr>
                <w:sz w:val="20"/>
              </w:rPr>
              <w:t>in</w:t>
            </w:r>
            <w:r>
              <w:rPr>
                <w:spacing w:val="-1"/>
                <w:sz w:val="20"/>
              </w:rPr>
              <w:t xml:space="preserve"> </w:t>
            </w:r>
            <w:r>
              <w:rPr>
                <w:spacing w:val="-4"/>
                <w:sz w:val="20"/>
              </w:rPr>
              <w:t>2020</w:t>
            </w:r>
          </w:p>
        </w:tc>
        <w:tc>
          <w:tcPr>
            <w:tcW w:w="1061" w:type="dxa"/>
          </w:tcPr>
          <w:p w14:paraId="668173E0" w14:textId="77777777" w:rsidR="00AE2255" w:rsidRDefault="00000000">
            <w:pPr>
              <w:pStyle w:val="TableParagraph"/>
              <w:spacing w:before="0" w:line="219" w:lineRule="exact"/>
              <w:ind w:right="135"/>
              <w:rPr>
                <w:b/>
                <w:sz w:val="20"/>
              </w:rPr>
            </w:pPr>
            <w:r>
              <w:rPr>
                <w:b/>
                <w:spacing w:val="-2"/>
                <w:sz w:val="20"/>
              </w:rPr>
              <w:t>1,873</w:t>
            </w:r>
          </w:p>
        </w:tc>
        <w:tc>
          <w:tcPr>
            <w:tcW w:w="1080" w:type="dxa"/>
          </w:tcPr>
          <w:p w14:paraId="0F473CEF" w14:textId="77777777" w:rsidR="00AE2255" w:rsidRDefault="00000000">
            <w:pPr>
              <w:pStyle w:val="TableParagraph"/>
              <w:spacing w:before="0" w:line="219" w:lineRule="exact"/>
              <w:ind w:right="135"/>
              <w:rPr>
                <w:sz w:val="20"/>
              </w:rPr>
            </w:pPr>
            <w:r>
              <w:rPr>
                <w:spacing w:val="-2"/>
                <w:sz w:val="20"/>
              </w:rPr>
              <w:t>3,404</w:t>
            </w:r>
          </w:p>
        </w:tc>
        <w:tc>
          <w:tcPr>
            <w:tcW w:w="1024" w:type="dxa"/>
          </w:tcPr>
          <w:p w14:paraId="3AF94729" w14:textId="77777777" w:rsidR="00AE2255" w:rsidRDefault="00000000">
            <w:pPr>
              <w:pStyle w:val="TableParagraph"/>
              <w:spacing w:before="0" w:line="219" w:lineRule="exact"/>
              <w:ind w:right="14"/>
              <w:rPr>
                <w:sz w:val="20"/>
              </w:rPr>
            </w:pPr>
            <w:r>
              <w:rPr>
                <w:spacing w:val="-2"/>
                <w:sz w:val="20"/>
              </w:rPr>
              <w:t>(1,067)</w:t>
            </w:r>
          </w:p>
        </w:tc>
      </w:tr>
      <w:tr w:rsidR="00AE2255" w14:paraId="6B8ABCCA" w14:textId="77777777">
        <w:trPr>
          <w:trHeight w:val="246"/>
        </w:trPr>
        <w:tc>
          <w:tcPr>
            <w:tcW w:w="7080" w:type="dxa"/>
            <w:shd w:val="clear" w:color="auto" w:fill="CCEDFF"/>
          </w:tcPr>
          <w:p w14:paraId="10C1FBAC" w14:textId="77777777" w:rsidR="00AE2255" w:rsidRDefault="00000000">
            <w:pPr>
              <w:pStyle w:val="TableParagraph"/>
              <w:spacing w:before="27" w:line="199" w:lineRule="exact"/>
              <w:ind w:left="277"/>
              <w:jc w:val="left"/>
              <w:rPr>
                <w:sz w:val="20"/>
              </w:rPr>
            </w:pPr>
            <w:r>
              <w:rPr>
                <w:sz w:val="20"/>
              </w:rPr>
              <w:t>Amortization</w:t>
            </w:r>
            <w:r>
              <w:rPr>
                <w:spacing w:val="-5"/>
                <w:sz w:val="20"/>
              </w:rPr>
              <w:t xml:space="preserve"> </w:t>
            </w:r>
            <w:r>
              <w:rPr>
                <w:sz w:val="20"/>
              </w:rPr>
              <w:t>of</w:t>
            </w:r>
            <w:r>
              <w:rPr>
                <w:spacing w:val="-2"/>
                <w:sz w:val="20"/>
              </w:rPr>
              <w:t xml:space="preserve"> </w:t>
            </w:r>
            <w:r>
              <w:rPr>
                <w:sz w:val="20"/>
              </w:rPr>
              <w:t>actuarial</w:t>
            </w:r>
            <w:r>
              <w:rPr>
                <w:spacing w:val="-4"/>
                <w:sz w:val="20"/>
              </w:rPr>
              <w:t xml:space="preserve"> </w:t>
            </w:r>
            <w:r>
              <w:rPr>
                <w:sz w:val="20"/>
              </w:rPr>
              <w:t>losses</w:t>
            </w:r>
            <w:r>
              <w:rPr>
                <w:spacing w:val="-3"/>
                <w:sz w:val="20"/>
              </w:rPr>
              <w:t xml:space="preserve"> </w:t>
            </w:r>
            <w:r>
              <w:rPr>
                <w:sz w:val="20"/>
              </w:rPr>
              <w:t>and</w:t>
            </w:r>
            <w:r>
              <w:rPr>
                <w:spacing w:val="-3"/>
                <w:sz w:val="20"/>
              </w:rPr>
              <w:t xml:space="preserve"> </w:t>
            </w:r>
            <w:r>
              <w:rPr>
                <w:sz w:val="20"/>
              </w:rPr>
              <w:t>prior</w:t>
            </w:r>
            <w:r>
              <w:rPr>
                <w:spacing w:val="-2"/>
                <w:sz w:val="20"/>
              </w:rPr>
              <w:t xml:space="preserve"> </w:t>
            </w:r>
            <w:r>
              <w:rPr>
                <w:sz w:val="20"/>
              </w:rPr>
              <w:t>service</w:t>
            </w:r>
            <w:r>
              <w:rPr>
                <w:spacing w:val="-4"/>
                <w:sz w:val="20"/>
              </w:rPr>
              <w:t xml:space="preserve"> </w:t>
            </w:r>
            <w:r>
              <w:rPr>
                <w:sz w:val="20"/>
              </w:rPr>
              <w:t>credits,</w:t>
            </w:r>
            <w:r>
              <w:rPr>
                <w:spacing w:val="-2"/>
                <w:sz w:val="20"/>
              </w:rPr>
              <w:t xml:space="preserve"> </w:t>
            </w:r>
            <w:r>
              <w:rPr>
                <w:sz w:val="20"/>
              </w:rPr>
              <w:t>net</w:t>
            </w:r>
            <w:r>
              <w:rPr>
                <w:spacing w:val="-4"/>
                <w:sz w:val="20"/>
              </w:rPr>
              <w:t xml:space="preserve"> </w:t>
            </w:r>
            <w:r>
              <w:rPr>
                <w:sz w:val="20"/>
              </w:rPr>
              <w:t>of</w:t>
            </w:r>
            <w:r>
              <w:rPr>
                <w:spacing w:val="-2"/>
                <w:sz w:val="20"/>
              </w:rPr>
              <w:t xml:space="preserve"> </w:t>
            </w:r>
            <w:r>
              <w:rPr>
                <w:sz w:val="20"/>
              </w:rPr>
              <w:t>tax</w:t>
            </w:r>
            <w:r>
              <w:rPr>
                <w:spacing w:val="-3"/>
                <w:sz w:val="20"/>
              </w:rPr>
              <w:t xml:space="preserve"> </w:t>
            </w:r>
            <w:r>
              <w:rPr>
                <w:sz w:val="20"/>
              </w:rPr>
              <w:t>of</w:t>
            </w:r>
            <w:r>
              <w:rPr>
                <w:spacing w:val="-2"/>
                <w:sz w:val="20"/>
              </w:rPr>
              <w:t xml:space="preserve"> </w:t>
            </w:r>
            <w:r>
              <w:rPr>
                <w:sz w:val="20"/>
              </w:rPr>
              <w:t>$18</w:t>
            </w:r>
            <w:r>
              <w:rPr>
                <w:spacing w:val="-2"/>
                <w:sz w:val="20"/>
              </w:rPr>
              <w:t xml:space="preserve"> million</w:t>
            </w:r>
          </w:p>
        </w:tc>
        <w:tc>
          <w:tcPr>
            <w:tcW w:w="1061" w:type="dxa"/>
            <w:shd w:val="clear" w:color="auto" w:fill="CCEDFF"/>
          </w:tcPr>
          <w:p w14:paraId="7CE0BC5D" w14:textId="77777777" w:rsidR="00AE2255" w:rsidRDefault="00AE2255">
            <w:pPr>
              <w:pStyle w:val="TableParagraph"/>
              <w:spacing w:before="0"/>
              <w:jc w:val="left"/>
              <w:rPr>
                <w:sz w:val="16"/>
              </w:rPr>
            </w:pPr>
          </w:p>
        </w:tc>
        <w:tc>
          <w:tcPr>
            <w:tcW w:w="1080" w:type="dxa"/>
            <w:shd w:val="clear" w:color="auto" w:fill="CCEDFF"/>
          </w:tcPr>
          <w:p w14:paraId="54A7358B" w14:textId="77777777" w:rsidR="00AE2255" w:rsidRDefault="00AE2255">
            <w:pPr>
              <w:pStyle w:val="TableParagraph"/>
              <w:spacing w:before="0"/>
              <w:jc w:val="left"/>
              <w:rPr>
                <w:sz w:val="16"/>
              </w:rPr>
            </w:pPr>
          </w:p>
        </w:tc>
        <w:tc>
          <w:tcPr>
            <w:tcW w:w="1024" w:type="dxa"/>
            <w:shd w:val="clear" w:color="auto" w:fill="CCEDFF"/>
          </w:tcPr>
          <w:p w14:paraId="2DBDF5C8" w14:textId="77777777" w:rsidR="00AE2255" w:rsidRDefault="00AE2255">
            <w:pPr>
              <w:pStyle w:val="TableParagraph"/>
              <w:spacing w:before="0"/>
              <w:jc w:val="left"/>
              <w:rPr>
                <w:sz w:val="16"/>
              </w:rPr>
            </w:pPr>
          </w:p>
        </w:tc>
      </w:tr>
      <w:tr w:rsidR="00AE2255" w14:paraId="31C82522" w14:textId="77777777">
        <w:trPr>
          <w:trHeight w:val="248"/>
        </w:trPr>
        <w:tc>
          <w:tcPr>
            <w:tcW w:w="7080" w:type="dxa"/>
            <w:shd w:val="clear" w:color="auto" w:fill="CCEDFF"/>
          </w:tcPr>
          <w:p w14:paraId="447987FF" w14:textId="77777777" w:rsidR="00AE2255" w:rsidRDefault="00000000">
            <w:pPr>
              <w:pStyle w:val="TableParagraph"/>
              <w:spacing w:before="0" w:line="211" w:lineRule="exact"/>
              <w:ind w:left="457"/>
              <w:jc w:val="left"/>
              <w:rPr>
                <w:sz w:val="20"/>
              </w:rPr>
            </w:pPr>
            <w:r>
              <w:rPr>
                <w:sz w:val="20"/>
              </w:rPr>
              <w:t>in</w:t>
            </w:r>
            <w:r>
              <w:rPr>
                <w:spacing w:val="-2"/>
                <w:sz w:val="20"/>
              </w:rPr>
              <w:t xml:space="preserve"> </w:t>
            </w:r>
            <w:r>
              <w:rPr>
                <w:sz w:val="20"/>
              </w:rPr>
              <w:t>2022,</w:t>
            </w:r>
            <w:r>
              <w:rPr>
                <w:spacing w:val="-1"/>
                <w:sz w:val="20"/>
              </w:rPr>
              <w:t xml:space="preserve"> </w:t>
            </w:r>
            <w:r>
              <w:rPr>
                <w:sz w:val="20"/>
              </w:rPr>
              <w:t>$130</w:t>
            </w:r>
            <w:r>
              <w:rPr>
                <w:spacing w:val="-2"/>
                <w:sz w:val="20"/>
              </w:rPr>
              <w:t xml:space="preserve"> </w:t>
            </w:r>
            <w:r>
              <w:rPr>
                <w:sz w:val="20"/>
              </w:rPr>
              <w:t>million</w:t>
            </w:r>
            <w:r>
              <w:rPr>
                <w:spacing w:val="-1"/>
                <w:sz w:val="20"/>
              </w:rPr>
              <w:t xml:space="preserve"> </w:t>
            </w:r>
            <w:r>
              <w:rPr>
                <w:sz w:val="20"/>
              </w:rPr>
              <w:t>in</w:t>
            </w:r>
            <w:r>
              <w:rPr>
                <w:spacing w:val="-1"/>
                <w:sz w:val="20"/>
              </w:rPr>
              <w:t xml:space="preserve"> </w:t>
            </w:r>
            <w:r>
              <w:rPr>
                <w:sz w:val="20"/>
              </w:rPr>
              <w:t>2021</w:t>
            </w:r>
            <w:r>
              <w:rPr>
                <w:spacing w:val="-2"/>
                <w:sz w:val="20"/>
              </w:rPr>
              <w:t xml:space="preserve"> </w:t>
            </w:r>
            <w:r>
              <w:rPr>
                <w:sz w:val="20"/>
              </w:rPr>
              <w:t>and</w:t>
            </w:r>
            <w:r>
              <w:rPr>
                <w:spacing w:val="-1"/>
                <w:sz w:val="20"/>
              </w:rPr>
              <w:t xml:space="preserve"> </w:t>
            </w:r>
            <w:r>
              <w:rPr>
                <w:sz w:val="20"/>
              </w:rPr>
              <w:t>$119</w:t>
            </w:r>
            <w:r>
              <w:rPr>
                <w:spacing w:val="-2"/>
                <w:sz w:val="20"/>
              </w:rPr>
              <w:t xml:space="preserve"> </w:t>
            </w:r>
            <w:r>
              <w:rPr>
                <w:sz w:val="20"/>
              </w:rPr>
              <w:t>million</w:t>
            </w:r>
            <w:r>
              <w:rPr>
                <w:spacing w:val="-1"/>
                <w:sz w:val="20"/>
              </w:rPr>
              <w:t xml:space="preserve"> </w:t>
            </w:r>
            <w:r>
              <w:rPr>
                <w:sz w:val="20"/>
              </w:rPr>
              <w:t>in</w:t>
            </w:r>
            <w:r>
              <w:rPr>
                <w:spacing w:val="-1"/>
                <w:sz w:val="20"/>
              </w:rPr>
              <w:t xml:space="preserve"> </w:t>
            </w:r>
            <w:r>
              <w:rPr>
                <w:spacing w:val="-4"/>
                <w:sz w:val="20"/>
              </w:rPr>
              <w:t>2020</w:t>
            </w:r>
          </w:p>
        </w:tc>
        <w:tc>
          <w:tcPr>
            <w:tcW w:w="1061" w:type="dxa"/>
            <w:shd w:val="clear" w:color="auto" w:fill="CCEDFF"/>
          </w:tcPr>
          <w:p w14:paraId="056309CC" w14:textId="77777777" w:rsidR="00AE2255" w:rsidRDefault="00000000">
            <w:pPr>
              <w:pStyle w:val="TableParagraph"/>
              <w:spacing w:before="0" w:line="219" w:lineRule="exact"/>
              <w:ind w:right="135"/>
              <w:rPr>
                <w:b/>
                <w:sz w:val="20"/>
              </w:rPr>
            </w:pPr>
            <w:r>
              <w:rPr>
                <w:b/>
                <w:spacing w:val="-5"/>
                <w:sz w:val="20"/>
              </w:rPr>
              <w:t>69</w:t>
            </w:r>
          </w:p>
        </w:tc>
        <w:tc>
          <w:tcPr>
            <w:tcW w:w="1080" w:type="dxa"/>
            <w:shd w:val="clear" w:color="auto" w:fill="CCEDFF"/>
          </w:tcPr>
          <w:p w14:paraId="437B8783" w14:textId="77777777" w:rsidR="00AE2255" w:rsidRDefault="00000000">
            <w:pPr>
              <w:pStyle w:val="TableParagraph"/>
              <w:spacing w:before="0" w:line="219" w:lineRule="exact"/>
              <w:ind w:right="135"/>
              <w:rPr>
                <w:sz w:val="20"/>
              </w:rPr>
            </w:pPr>
            <w:r>
              <w:rPr>
                <w:spacing w:val="-5"/>
                <w:sz w:val="20"/>
              </w:rPr>
              <w:t>477</w:t>
            </w:r>
          </w:p>
        </w:tc>
        <w:tc>
          <w:tcPr>
            <w:tcW w:w="1024" w:type="dxa"/>
            <w:shd w:val="clear" w:color="auto" w:fill="CCEDFF"/>
          </w:tcPr>
          <w:p w14:paraId="750A9377" w14:textId="77777777" w:rsidR="00AE2255" w:rsidRDefault="00000000">
            <w:pPr>
              <w:pStyle w:val="TableParagraph"/>
              <w:spacing w:before="0" w:line="219" w:lineRule="exact"/>
              <w:ind w:right="79"/>
              <w:rPr>
                <w:sz w:val="20"/>
              </w:rPr>
            </w:pPr>
            <w:r>
              <w:rPr>
                <w:spacing w:val="-5"/>
                <w:sz w:val="20"/>
              </w:rPr>
              <w:t>440</w:t>
            </w:r>
          </w:p>
        </w:tc>
      </w:tr>
      <w:tr w:rsidR="00AE2255" w14:paraId="78F8ACFF" w14:textId="77777777">
        <w:trPr>
          <w:trHeight w:val="495"/>
        </w:trPr>
        <w:tc>
          <w:tcPr>
            <w:tcW w:w="7080" w:type="dxa"/>
          </w:tcPr>
          <w:p w14:paraId="66454837" w14:textId="77777777" w:rsidR="00AE2255" w:rsidRDefault="00000000">
            <w:pPr>
              <w:pStyle w:val="TableParagraph"/>
              <w:spacing w:before="51" w:line="208" w:lineRule="auto"/>
              <w:ind w:left="457" w:hanging="180"/>
              <w:jc w:val="left"/>
              <w:rPr>
                <w:sz w:val="20"/>
              </w:rPr>
            </w:pPr>
            <w:r>
              <w:rPr>
                <w:sz w:val="20"/>
              </w:rPr>
              <w:t>Pension</w:t>
            </w:r>
            <w:r>
              <w:rPr>
                <w:spacing w:val="-3"/>
                <w:sz w:val="20"/>
              </w:rPr>
              <w:t xml:space="preserve"> </w:t>
            </w:r>
            <w:r>
              <w:rPr>
                <w:sz w:val="20"/>
              </w:rPr>
              <w:t>settlement</w:t>
            </w:r>
            <w:r>
              <w:rPr>
                <w:spacing w:val="-4"/>
                <w:sz w:val="20"/>
              </w:rPr>
              <w:t xml:space="preserve"> </w:t>
            </w:r>
            <w:r>
              <w:rPr>
                <w:sz w:val="20"/>
              </w:rPr>
              <w:t>charge,</w:t>
            </w:r>
            <w:r>
              <w:rPr>
                <w:spacing w:val="-3"/>
                <w:sz w:val="20"/>
              </w:rPr>
              <w:t xml:space="preserve"> </w:t>
            </w:r>
            <w:r>
              <w:rPr>
                <w:sz w:val="20"/>
              </w:rPr>
              <w:t>net</w:t>
            </w:r>
            <w:r>
              <w:rPr>
                <w:spacing w:val="-4"/>
                <w:sz w:val="20"/>
              </w:rPr>
              <w:t xml:space="preserve"> </w:t>
            </w:r>
            <w:r>
              <w:rPr>
                <w:sz w:val="20"/>
              </w:rPr>
              <w:t>of</w:t>
            </w:r>
            <w:r>
              <w:rPr>
                <w:spacing w:val="-3"/>
                <w:sz w:val="20"/>
              </w:rPr>
              <w:t xml:space="preserve"> </w:t>
            </w:r>
            <w:r>
              <w:rPr>
                <w:sz w:val="20"/>
              </w:rPr>
              <w:t>tax</w:t>
            </w:r>
            <w:r>
              <w:rPr>
                <w:spacing w:val="-3"/>
                <w:sz w:val="20"/>
              </w:rPr>
              <w:t xml:space="preserve"> </w:t>
            </w:r>
            <w:r>
              <w:rPr>
                <w:sz w:val="20"/>
              </w:rPr>
              <w:t>of</w:t>
            </w:r>
            <w:r>
              <w:rPr>
                <w:spacing w:val="-3"/>
                <w:sz w:val="20"/>
              </w:rPr>
              <w:t xml:space="preserve"> </w:t>
            </w:r>
            <w:r>
              <w:rPr>
                <w:sz w:val="20"/>
              </w:rPr>
              <w:t>$314</w:t>
            </w:r>
            <w:r>
              <w:rPr>
                <w:spacing w:val="-3"/>
                <w:sz w:val="20"/>
              </w:rPr>
              <w:t xml:space="preserve"> </w:t>
            </w:r>
            <w:r>
              <w:rPr>
                <w:sz w:val="20"/>
              </w:rPr>
              <w:t>million</w:t>
            </w:r>
            <w:r>
              <w:rPr>
                <w:spacing w:val="-3"/>
                <w:sz w:val="20"/>
              </w:rPr>
              <w:t xml:space="preserve"> </w:t>
            </w:r>
            <w:r>
              <w:rPr>
                <w:sz w:val="20"/>
              </w:rPr>
              <w:t>in</w:t>
            </w:r>
            <w:r>
              <w:rPr>
                <w:spacing w:val="-3"/>
                <w:sz w:val="20"/>
              </w:rPr>
              <w:t xml:space="preserve"> </w:t>
            </w:r>
            <w:r>
              <w:rPr>
                <w:sz w:val="20"/>
              </w:rPr>
              <w:t>2022</w:t>
            </w:r>
            <w:r>
              <w:rPr>
                <w:spacing w:val="-3"/>
                <w:sz w:val="20"/>
              </w:rPr>
              <w:t xml:space="preserve"> </w:t>
            </w:r>
            <w:r>
              <w:rPr>
                <w:sz w:val="20"/>
              </w:rPr>
              <w:t>and</w:t>
            </w:r>
            <w:r>
              <w:rPr>
                <w:spacing w:val="-3"/>
                <w:sz w:val="20"/>
              </w:rPr>
              <w:t xml:space="preserve"> </w:t>
            </w:r>
            <w:r>
              <w:rPr>
                <w:sz w:val="20"/>
              </w:rPr>
              <w:t>$355</w:t>
            </w:r>
            <w:r>
              <w:rPr>
                <w:spacing w:val="-3"/>
                <w:sz w:val="20"/>
              </w:rPr>
              <w:t xml:space="preserve"> </w:t>
            </w:r>
            <w:r>
              <w:rPr>
                <w:sz w:val="20"/>
              </w:rPr>
              <w:t>million</w:t>
            </w:r>
            <w:r>
              <w:rPr>
                <w:spacing w:val="-3"/>
                <w:sz w:val="20"/>
              </w:rPr>
              <w:t xml:space="preserve"> </w:t>
            </w:r>
            <w:r>
              <w:rPr>
                <w:sz w:val="20"/>
              </w:rPr>
              <w:t xml:space="preserve">in </w:t>
            </w:r>
            <w:r>
              <w:rPr>
                <w:spacing w:val="-4"/>
                <w:sz w:val="20"/>
              </w:rPr>
              <w:t>2021</w:t>
            </w:r>
          </w:p>
        </w:tc>
        <w:tc>
          <w:tcPr>
            <w:tcW w:w="1061" w:type="dxa"/>
          </w:tcPr>
          <w:p w14:paraId="0AF04F09" w14:textId="77777777" w:rsidR="00AE2255" w:rsidRDefault="00AE2255">
            <w:pPr>
              <w:pStyle w:val="TableParagraph"/>
              <w:spacing w:before="5"/>
              <w:jc w:val="left"/>
              <w:rPr>
                <w:b/>
                <w:sz w:val="20"/>
              </w:rPr>
            </w:pPr>
          </w:p>
          <w:p w14:paraId="4014B2B5" w14:textId="77777777" w:rsidR="00AE2255" w:rsidRDefault="00000000">
            <w:pPr>
              <w:pStyle w:val="TableParagraph"/>
              <w:spacing w:before="0"/>
              <w:ind w:right="135"/>
              <w:rPr>
                <w:b/>
                <w:sz w:val="20"/>
              </w:rPr>
            </w:pPr>
            <w:r>
              <w:rPr>
                <w:b/>
                <w:spacing w:val="-2"/>
                <w:sz w:val="20"/>
              </w:rPr>
              <w:t>1,156</w:t>
            </w:r>
          </w:p>
        </w:tc>
        <w:tc>
          <w:tcPr>
            <w:tcW w:w="1080" w:type="dxa"/>
          </w:tcPr>
          <w:p w14:paraId="7518AA8F" w14:textId="77777777" w:rsidR="00AE2255" w:rsidRDefault="00AE2255">
            <w:pPr>
              <w:pStyle w:val="TableParagraph"/>
              <w:spacing w:before="5"/>
              <w:jc w:val="left"/>
              <w:rPr>
                <w:b/>
                <w:sz w:val="20"/>
              </w:rPr>
            </w:pPr>
          </w:p>
          <w:p w14:paraId="4E5423DD" w14:textId="77777777" w:rsidR="00AE2255" w:rsidRDefault="00000000">
            <w:pPr>
              <w:pStyle w:val="TableParagraph"/>
              <w:spacing w:before="0"/>
              <w:ind w:right="135"/>
              <w:rPr>
                <w:sz w:val="20"/>
              </w:rPr>
            </w:pPr>
            <w:r>
              <w:rPr>
                <w:spacing w:val="-2"/>
                <w:sz w:val="20"/>
              </w:rPr>
              <w:t>1,310</w:t>
            </w:r>
          </w:p>
        </w:tc>
        <w:tc>
          <w:tcPr>
            <w:tcW w:w="1024" w:type="dxa"/>
          </w:tcPr>
          <w:p w14:paraId="0CF0AF21" w14:textId="77777777" w:rsidR="00AE2255" w:rsidRDefault="00AE2255">
            <w:pPr>
              <w:pStyle w:val="TableParagraph"/>
              <w:spacing w:before="5"/>
              <w:jc w:val="left"/>
              <w:rPr>
                <w:b/>
                <w:sz w:val="20"/>
              </w:rPr>
            </w:pPr>
          </w:p>
          <w:p w14:paraId="087B304D" w14:textId="77777777" w:rsidR="00AE2255" w:rsidRDefault="00000000">
            <w:pPr>
              <w:pStyle w:val="TableParagraph"/>
              <w:spacing w:before="0"/>
              <w:ind w:right="79"/>
              <w:rPr>
                <w:sz w:val="20"/>
              </w:rPr>
            </w:pPr>
            <w:r>
              <w:rPr>
                <w:sz w:val="20"/>
              </w:rPr>
              <w:t>—</w:t>
            </w:r>
          </w:p>
        </w:tc>
      </w:tr>
      <w:tr w:rsidR="00AE2255" w14:paraId="4E02B4CB" w14:textId="77777777">
        <w:trPr>
          <w:trHeight w:val="246"/>
        </w:trPr>
        <w:tc>
          <w:tcPr>
            <w:tcW w:w="7080" w:type="dxa"/>
            <w:shd w:val="clear" w:color="auto" w:fill="CCEDFF"/>
          </w:tcPr>
          <w:p w14:paraId="7711A739" w14:textId="77777777" w:rsidR="00AE2255" w:rsidRDefault="00000000">
            <w:pPr>
              <w:pStyle w:val="TableParagraph"/>
              <w:spacing w:before="27" w:line="199" w:lineRule="exact"/>
              <w:ind w:left="187"/>
              <w:jc w:val="left"/>
              <w:rPr>
                <w:sz w:val="20"/>
              </w:rPr>
            </w:pPr>
            <w:r>
              <w:rPr>
                <w:sz w:val="20"/>
              </w:rPr>
              <w:t>Other,</w:t>
            </w:r>
            <w:r>
              <w:rPr>
                <w:spacing w:val="-2"/>
                <w:sz w:val="20"/>
              </w:rPr>
              <w:t xml:space="preserve"> </w:t>
            </w:r>
            <w:r>
              <w:rPr>
                <w:sz w:val="20"/>
              </w:rPr>
              <w:t>net,</w:t>
            </w:r>
            <w:r>
              <w:rPr>
                <w:spacing w:val="-2"/>
                <w:sz w:val="20"/>
              </w:rPr>
              <w:t xml:space="preserve"> </w:t>
            </w:r>
            <w:r>
              <w:rPr>
                <w:sz w:val="20"/>
              </w:rPr>
              <w:t>net</w:t>
            </w:r>
            <w:r>
              <w:rPr>
                <w:spacing w:val="-2"/>
                <w:sz w:val="20"/>
              </w:rPr>
              <w:t xml:space="preserve"> </w:t>
            </w:r>
            <w:r>
              <w:rPr>
                <w:sz w:val="20"/>
              </w:rPr>
              <w:t>of</w:t>
            </w:r>
            <w:r>
              <w:rPr>
                <w:spacing w:val="-2"/>
                <w:sz w:val="20"/>
              </w:rPr>
              <w:t xml:space="preserve"> </w:t>
            </w:r>
            <w:r>
              <w:rPr>
                <w:sz w:val="20"/>
              </w:rPr>
              <w:t>tax</w:t>
            </w:r>
            <w:r>
              <w:rPr>
                <w:spacing w:val="-1"/>
                <w:sz w:val="20"/>
              </w:rPr>
              <w:t xml:space="preserve"> </w:t>
            </w:r>
            <w:r>
              <w:rPr>
                <w:sz w:val="20"/>
              </w:rPr>
              <w:t>of</w:t>
            </w:r>
            <w:r>
              <w:rPr>
                <w:spacing w:val="-2"/>
                <w:sz w:val="20"/>
              </w:rPr>
              <w:t xml:space="preserve"> </w:t>
            </w:r>
            <w:r>
              <w:rPr>
                <w:sz w:val="20"/>
              </w:rPr>
              <w:t>$2</w:t>
            </w:r>
            <w:r>
              <w:rPr>
                <w:spacing w:val="-1"/>
                <w:sz w:val="20"/>
              </w:rPr>
              <w:t xml:space="preserve"> </w:t>
            </w:r>
            <w:r>
              <w:rPr>
                <w:sz w:val="20"/>
              </w:rPr>
              <w:t>million</w:t>
            </w:r>
            <w:r>
              <w:rPr>
                <w:spacing w:val="-2"/>
                <w:sz w:val="20"/>
              </w:rPr>
              <w:t xml:space="preserve"> </w:t>
            </w:r>
            <w:r>
              <w:rPr>
                <w:sz w:val="20"/>
              </w:rPr>
              <w:t>in</w:t>
            </w:r>
            <w:r>
              <w:rPr>
                <w:spacing w:val="-1"/>
                <w:sz w:val="20"/>
              </w:rPr>
              <w:t xml:space="preserve"> </w:t>
            </w:r>
            <w:r>
              <w:rPr>
                <w:sz w:val="20"/>
              </w:rPr>
              <w:t>2022,</w:t>
            </w:r>
            <w:r>
              <w:rPr>
                <w:spacing w:val="-2"/>
                <w:sz w:val="20"/>
              </w:rPr>
              <w:t xml:space="preserve"> </w:t>
            </w:r>
            <w:r>
              <w:rPr>
                <w:sz w:val="20"/>
              </w:rPr>
              <w:t>$11</w:t>
            </w:r>
            <w:r>
              <w:rPr>
                <w:spacing w:val="-1"/>
                <w:sz w:val="20"/>
              </w:rPr>
              <w:t xml:space="preserve"> </w:t>
            </w:r>
            <w:r>
              <w:rPr>
                <w:sz w:val="20"/>
              </w:rPr>
              <w:t>million</w:t>
            </w:r>
            <w:r>
              <w:rPr>
                <w:spacing w:val="-2"/>
                <w:sz w:val="20"/>
              </w:rPr>
              <w:t xml:space="preserve"> </w:t>
            </w:r>
            <w:r>
              <w:rPr>
                <w:sz w:val="20"/>
              </w:rPr>
              <w:t>in</w:t>
            </w:r>
            <w:r>
              <w:rPr>
                <w:spacing w:val="-1"/>
                <w:sz w:val="20"/>
              </w:rPr>
              <w:t xml:space="preserve"> </w:t>
            </w:r>
            <w:r>
              <w:rPr>
                <w:sz w:val="20"/>
              </w:rPr>
              <w:t>2021</w:t>
            </w:r>
            <w:r>
              <w:rPr>
                <w:spacing w:val="-2"/>
                <w:sz w:val="20"/>
              </w:rPr>
              <w:t xml:space="preserve"> </w:t>
            </w:r>
            <w:r>
              <w:rPr>
                <w:sz w:val="20"/>
              </w:rPr>
              <w:t>and</w:t>
            </w:r>
            <w:r>
              <w:rPr>
                <w:spacing w:val="-1"/>
                <w:sz w:val="20"/>
              </w:rPr>
              <w:t xml:space="preserve"> </w:t>
            </w:r>
            <w:r>
              <w:rPr>
                <w:sz w:val="20"/>
              </w:rPr>
              <w:t>$5</w:t>
            </w:r>
            <w:r>
              <w:rPr>
                <w:spacing w:val="-2"/>
                <w:sz w:val="20"/>
              </w:rPr>
              <w:t xml:space="preserve"> </w:t>
            </w:r>
            <w:r>
              <w:rPr>
                <w:sz w:val="20"/>
              </w:rPr>
              <w:t>million</w:t>
            </w:r>
            <w:r>
              <w:rPr>
                <w:spacing w:val="-1"/>
                <w:sz w:val="20"/>
              </w:rPr>
              <w:t xml:space="preserve"> </w:t>
            </w:r>
            <w:r>
              <w:rPr>
                <w:spacing w:val="-5"/>
                <w:sz w:val="20"/>
              </w:rPr>
              <w:t>in</w:t>
            </w:r>
          </w:p>
        </w:tc>
        <w:tc>
          <w:tcPr>
            <w:tcW w:w="1061" w:type="dxa"/>
            <w:shd w:val="clear" w:color="auto" w:fill="CCEDFF"/>
          </w:tcPr>
          <w:p w14:paraId="7B4927D2" w14:textId="77777777" w:rsidR="00AE2255" w:rsidRDefault="00AE2255">
            <w:pPr>
              <w:pStyle w:val="TableParagraph"/>
              <w:spacing w:before="0"/>
              <w:jc w:val="left"/>
              <w:rPr>
                <w:sz w:val="16"/>
              </w:rPr>
            </w:pPr>
          </w:p>
        </w:tc>
        <w:tc>
          <w:tcPr>
            <w:tcW w:w="1080" w:type="dxa"/>
            <w:shd w:val="clear" w:color="auto" w:fill="CCEDFF"/>
          </w:tcPr>
          <w:p w14:paraId="408995B4" w14:textId="77777777" w:rsidR="00AE2255" w:rsidRDefault="00AE2255">
            <w:pPr>
              <w:pStyle w:val="TableParagraph"/>
              <w:spacing w:before="0"/>
              <w:jc w:val="left"/>
              <w:rPr>
                <w:sz w:val="16"/>
              </w:rPr>
            </w:pPr>
          </w:p>
        </w:tc>
        <w:tc>
          <w:tcPr>
            <w:tcW w:w="1024" w:type="dxa"/>
            <w:shd w:val="clear" w:color="auto" w:fill="CCEDFF"/>
          </w:tcPr>
          <w:p w14:paraId="79410250" w14:textId="77777777" w:rsidR="00AE2255" w:rsidRDefault="00AE2255">
            <w:pPr>
              <w:pStyle w:val="TableParagraph"/>
              <w:spacing w:before="0"/>
              <w:jc w:val="left"/>
              <w:rPr>
                <w:sz w:val="16"/>
              </w:rPr>
            </w:pPr>
          </w:p>
        </w:tc>
      </w:tr>
      <w:tr w:rsidR="00AE2255" w14:paraId="20C37DA8" w14:textId="77777777">
        <w:trPr>
          <w:trHeight w:val="238"/>
        </w:trPr>
        <w:tc>
          <w:tcPr>
            <w:tcW w:w="7080" w:type="dxa"/>
            <w:tcBorders>
              <w:bottom w:val="single" w:sz="8" w:space="0" w:color="CCEDFF"/>
            </w:tcBorders>
            <w:shd w:val="clear" w:color="auto" w:fill="CCEDFF"/>
          </w:tcPr>
          <w:p w14:paraId="58DEA1CB" w14:textId="77777777" w:rsidR="00AE2255" w:rsidRDefault="00000000">
            <w:pPr>
              <w:pStyle w:val="TableParagraph"/>
              <w:spacing w:before="0" w:line="211" w:lineRule="exact"/>
              <w:ind w:left="187"/>
              <w:jc w:val="left"/>
              <w:rPr>
                <w:sz w:val="20"/>
              </w:rPr>
            </w:pPr>
            <w:r>
              <w:rPr>
                <w:spacing w:val="-4"/>
                <w:sz w:val="20"/>
              </w:rPr>
              <w:t>2020</w:t>
            </w:r>
          </w:p>
        </w:tc>
        <w:tc>
          <w:tcPr>
            <w:tcW w:w="1061" w:type="dxa"/>
            <w:tcBorders>
              <w:bottom w:val="single" w:sz="8" w:space="0" w:color="CCEDFF"/>
            </w:tcBorders>
            <w:shd w:val="clear" w:color="auto" w:fill="CCEDFF"/>
          </w:tcPr>
          <w:p w14:paraId="6FF1BE9C" w14:textId="77777777" w:rsidR="00AE2255" w:rsidRDefault="00000000">
            <w:pPr>
              <w:pStyle w:val="TableParagraph"/>
              <w:spacing w:before="0" w:line="219" w:lineRule="exact"/>
              <w:ind w:right="70"/>
              <w:rPr>
                <w:b/>
                <w:sz w:val="20"/>
              </w:rPr>
            </w:pPr>
            <w:r>
              <w:rPr>
                <w:b/>
                <w:spacing w:val="-2"/>
                <w:sz w:val="20"/>
              </w:rPr>
              <w:t>(115)</w:t>
            </w:r>
          </w:p>
        </w:tc>
        <w:tc>
          <w:tcPr>
            <w:tcW w:w="1080" w:type="dxa"/>
            <w:tcBorders>
              <w:bottom w:val="single" w:sz="8" w:space="0" w:color="CCEDFF"/>
            </w:tcBorders>
            <w:shd w:val="clear" w:color="auto" w:fill="CCEDFF"/>
          </w:tcPr>
          <w:p w14:paraId="282A6D05" w14:textId="77777777" w:rsidR="00AE2255" w:rsidRDefault="00000000">
            <w:pPr>
              <w:pStyle w:val="TableParagraph"/>
              <w:spacing w:before="0" w:line="219" w:lineRule="exact"/>
              <w:ind w:right="70"/>
              <w:rPr>
                <w:sz w:val="20"/>
              </w:rPr>
            </w:pPr>
            <w:r>
              <w:rPr>
                <w:spacing w:val="-4"/>
                <w:sz w:val="20"/>
              </w:rPr>
              <w:t>(76)</w:t>
            </w:r>
          </w:p>
        </w:tc>
        <w:tc>
          <w:tcPr>
            <w:tcW w:w="1024" w:type="dxa"/>
            <w:tcBorders>
              <w:bottom w:val="single" w:sz="8" w:space="0" w:color="CCEDFF"/>
            </w:tcBorders>
            <w:shd w:val="clear" w:color="auto" w:fill="CCEDFF"/>
          </w:tcPr>
          <w:p w14:paraId="7EA52683" w14:textId="77777777" w:rsidR="00AE2255" w:rsidRDefault="00000000">
            <w:pPr>
              <w:pStyle w:val="TableParagraph"/>
              <w:spacing w:before="0" w:line="219" w:lineRule="exact"/>
              <w:ind w:right="79"/>
              <w:rPr>
                <w:sz w:val="20"/>
              </w:rPr>
            </w:pPr>
            <w:r>
              <w:rPr>
                <w:spacing w:val="-5"/>
                <w:sz w:val="20"/>
              </w:rPr>
              <w:t>60</w:t>
            </w:r>
          </w:p>
        </w:tc>
      </w:tr>
      <w:tr w:rsidR="00AE2255" w14:paraId="1143E1A2" w14:textId="77777777">
        <w:trPr>
          <w:trHeight w:val="265"/>
        </w:trPr>
        <w:tc>
          <w:tcPr>
            <w:tcW w:w="7080" w:type="dxa"/>
            <w:tcBorders>
              <w:top w:val="single" w:sz="8" w:space="0" w:color="auto"/>
              <w:bottom w:val="single" w:sz="8" w:space="0" w:color="000000"/>
            </w:tcBorders>
          </w:tcPr>
          <w:p w14:paraId="06B8587F" w14:textId="77777777" w:rsidR="00AE2255" w:rsidRDefault="00000000">
            <w:pPr>
              <w:pStyle w:val="TableParagraph"/>
              <w:spacing w:before="17" w:line="228" w:lineRule="exact"/>
              <w:ind w:left="547"/>
              <w:jc w:val="left"/>
              <w:rPr>
                <w:sz w:val="20"/>
              </w:rPr>
            </w:pPr>
            <w:r>
              <w:rPr>
                <w:sz w:val="20"/>
              </w:rPr>
              <w:t>Other</w:t>
            </w:r>
            <w:r>
              <w:rPr>
                <w:spacing w:val="-3"/>
                <w:sz w:val="20"/>
              </w:rPr>
              <w:t xml:space="preserve"> </w:t>
            </w:r>
            <w:r>
              <w:rPr>
                <w:sz w:val="20"/>
              </w:rPr>
              <w:t>comprehensive</w:t>
            </w:r>
            <w:r>
              <w:rPr>
                <w:spacing w:val="-4"/>
                <w:sz w:val="20"/>
              </w:rPr>
              <w:t xml:space="preserve"> </w:t>
            </w:r>
            <w:r>
              <w:rPr>
                <w:sz w:val="20"/>
              </w:rPr>
              <w:t>income</w:t>
            </w:r>
            <w:r>
              <w:rPr>
                <w:spacing w:val="-3"/>
                <w:sz w:val="20"/>
              </w:rPr>
              <w:t xml:space="preserve"> </w:t>
            </w:r>
            <w:r>
              <w:rPr>
                <w:sz w:val="20"/>
              </w:rPr>
              <w:t>(loss),</w:t>
            </w:r>
            <w:r>
              <w:rPr>
                <w:spacing w:val="-3"/>
                <w:sz w:val="20"/>
              </w:rPr>
              <w:t xml:space="preserve"> </w:t>
            </w:r>
            <w:r>
              <w:rPr>
                <w:sz w:val="20"/>
              </w:rPr>
              <w:t>net</w:t>
            </w:r>
            <w:r>
              <w:rPr>
                <w:spacing w:val="-4"/>
                <w:sz w:val="20"/>
              </w:rPr>
              <w:t xml:space="preserve"> </w:t>
            </w:r>
            <w:r>
              <w:rPr>
                <w:sz w:val="20"/>
              </w:rPr>
              <w:t>of</w:t>
            </w:r>
            <w:r>
              <w:rPr>
                <w:spacing w:val="-2"/>
                <w:sz w:val="20"/>
              </w:rPr>
              <w:t xml:space="preserve"> </w:t>
            </w:r>
            <w:r>
              <w:rPr>
                <w:spacing w:val="-5"/>
                <w:sz w:val="20"/>
              </w:rPr>
              <w:t>tax</w:t>
            </w:r>
          </w:p>
        </w:tc>
        <w:tc>
          <w:tcPr>
            <w:tcW w:w="1061" w:type="dxa"/>
            <w:tcBorders>
              <w:top w:val="single" w:sz="8" w:space="0" w:color="auto"/>
              <w:bottom w:val="single" w:sz="8" w:space="0" w:color="000000"/>
            </w:tcBorders>
          </w:tcPr>
          <w:p w14:paraId="6927B808" w14:textId="77777777" w:rsidR="00AE2255" w:rsidRDefault="00000000">
            <w:pPr>
              <w:pStyle w:val="TableParagraph"/>
              <w:spacing w:before="15" w:line="230" w:lineRule="exact"/>
              <w:ind w:right="135"/>
              <w:rPr>
                <w:b/>
                <w:sz w:val="20"/>
              </w:rPr>
            </w:pPr>
            <w:r>
              <w:rPr>
                <w:b/>
                <w:spacing w:val="-2"/>
                <w:sz w:val="20"/>
              </w:rPr>
              <w:t>2,983</w:t>
            </w:r>
          </w:p>
        </w:tc>
        <w:tc>
          <w:tcPr>
            <w:tcW w:w="1080" w:type="dxa"/>
            <w:tcBorders>
              <w:top w:val="single" w:sz="8" w:space="0" w:color="auto"/>
              <w:bottom w:val="single" w:sz="8" w:space="0" w:color="000000"/>
            </w:tcBorders>
          </w:tcPr>
          <w:p w14:paraId="33CBF814" w14:textId="77777777" w:rsidR="00AE2255" w:rsidRDefault="00000000">
            <w:pPr>
              <w:pStyle w:val="TableParagraph"/>
              <w:spacing w:before="15" w:line="230" w:lineRule="exact"/>
              <w:ind w:right="135"/>
              <w:rPr>
                <w:sz w:val="20"/>
              </w:rPr>
            </w:pPr>
            <w:r>
              <w:rPr>
                <w:spacing w:val="-2"/>
                <w:sz w:val="20"/>
              </w:rPr>
              <w:t>5,115</w:t>
            </w:r>
          </w:p>
        </w:tc>
        <w:tc>
          <w:tcPr>
            <w:tcW w:w="1024" w:type="dxa"/>
            <w:tcBorders>
              <w:top w:val="single" w:sz="8" w:space="0" w:color="auto"/>
              <w:bottom w:val="single" w:sz="8" w:space="0" w:color="000000"/>
            </w:tcBorders>
          </w:tcPr>
          <w:p w14:paraId="32F8E3B2" w14:textId="77777777" w:rsidR="00AE2255" w:rsidRDefault="00000000">
            <w:pPr>
              <w:pStyle w:val="TableParagraph"/>
              <w:spacing w:before="15" w:line="230" w:lineRule="exact"/>
              <w:ind w:right="14"/>
              <w:rPr>
                <w:sz w:val="20"/>
              </w:rPr>
            </w:pPr>
            <w:r>
              <w:rPr>
                <w:spacing w:val="-2"/>
                <w:sz w:val="20"/>
              </w:rPr>
              <w:t>(567)</w:t>
            </w:r>
          </w:p>
        </w:tc>
      </w:tr>
      <w:tr w:rsidR="00AE2255" w14:paraId="0FD3A084" w14:textId="77777777">
        <w:trPr>
          <w:trHeight w:val="252"/>
        </w:trPr>
        <w:tc>
          <w:tcPr>
            <w:tcW w:w="7080" w:type="dxa"/>
            <w:tcBorders>
              <w:top w:val="single" w:sz="8" w:space="0" w:color="000000"/>
              <w:bottom w:val="single" w:sz="18" w:space="0" w:color="000000"/>
            </w:tcBorders>
            <w:shd w:val="clear" w:color="auto" w:fill="CCEDFF"/>
          </w:tcPr>
          <w:p w14:paraId="7433BFA4" w14:textId="77777777" w:rsidR="00AE2255" w:rsidRDefault="00000000">
            <w:pPr>
              <w:pStyle w:val="TableParagraph"/>
              <w:spacing w:before="17" w:line="216" w:lineRule="exact"/>
              <w:ind w:left="52"/>
              <w:jc w:val="left"/>
              <w:rPr>
                <w:sz w:val="20"/>
              </w:rPr>
            </w:pPr>
            <w:r>
              <w:rPr>
                <w:sz w:val="20"/>
              </w:rPr>
              <w:t>Comprehensive</w:t>
            </w:r>
            <w:r>
              <w:rPr>
                <w:spacing w:val="-7"/>
                <w:sz w:val="20"/>
              </w:rPr>
              <w:t xml:space="preserve"> </w:t>
            </w:r>
            <w:r>
              <w:rPr>
                <w:spacing w:val="-2"/>
                <w:sz w:val="20"/>
              </w:rPr>
              <w:t>income</w:t>
            </w:r>
          </w:p>
        </w:tc>
        <w:tc>
          <w:tcPr>
            <w:tcW w:w="1061" w:type="dxa"/>
            <w:tcBorders>
              <w:top w:val="single" w:sz="8" w:space="0" w:color="000000"/>
              <w:bottom w:val="single" w:sz="18" w:space="0" w:color="000000"/>
            </w:tcBorders>
            <w:shd w:val="clear" w:color="auto" w:fill="CCEDFF"/>
          </w:tcPr>
          <w:p w14:paraId="004BF4D6" w14:textId="77777777" w:rsidR="00AE2255" w:rsidRDefault="00000000">
            <w:pPr>
              <w:pStyle w:val="TableParagraph"/>
              <w:tabs>
                <w:tab w:val="left" w:pos="473"/>
              </w:tabs>
              <w:spacing w:before="15" w:line="217" w:lineRule="exact"/>
              <w:ind w:left="52"/>
              <w:jc w:val="left"/>
              <w:rPr>
                <w:b/>
                <w:sz w:val="20"/>
              </w:rPr>
            </w:pPr>
            <w:r>
              <w:rPr>
                <w:b/>
                <w:spacing w:val="-10"/>
                <w:sz w:val="20"/>
              </w:rPr>
              <w:t>$</w:t>
            </w:r>
            <w:r>
              <w:rPr>
                <w:b/>
                <w:sz w:val="20"/>
              </w:rPr>
              <w:tab/>
            </w:r>
            <w:r>
              <w:rPr>
                <w:b/>
                <w:spacing w:val="-2"/>
                <w:sz w:val="20"/>
              </w:rPr>
              <w:t>8,715</w:t>
            </w:r>
          </w:p>
        </w:tc>
        <w:tc>
          <w:tcPr>
            <w:tcW w:w="1080" w:type="dxa"/>
            <w:tcBorders>
              <w:top w:val="single" w:sz="8" w:space="0" w:color="000000"/>
              <w:bottom w:val="single" w:sz="18" w:space="0" w:color="000000"/>
            </w:tcBorders>
            <w:shd w:val="clear" w:color="auto" w:fill="CCEDFF"/>
          </w:tcPr>
          <w:p w14:paraId="7CFC6BC3" w14:textId="77777777" w:rsidR="00AE2255" w:rsidRDefault="00000000">
            <w:pPr>
              <w:pStyle w:val="TableParagraph"/>
              <w:tabs>
                <w:tab w:val="left" w:pos="320"/>
              </w:tabs>
              <w:spacing w:before="15" w:line="217" w:lineRule="exact"/>
              <w:ind w:right="135"/>
              <w:rPr>
                <w:sz w:val="20"/>
              </w:rPr>
            </w:pPr>
            <w:r>
              <w:rPr>
                <w:spacing w:val="-10"/>
                <w:sz w:val="20"/>
              </w:rPr>
              <w:t>$</w:t>
            </w:r>
            <w:r>
              <w:rPr>
                <w:sz w:val="20"/>
              </w:rPr>
              <w:tab/>
            </w:r>
            <w:r>
              <w:rPr>
                <w:spacing w:val="-2"/>
                <w:sz w:val="20"/>
              </w:rPr>
              <w:t>11,430</w:t>
            </w:r>
          </w:p>
        </w:tc>
        <w:tc>
          <w:tcPr>
            <w:tcW w:w="1024" w:type="dxa"/>
            <w:tcBorders>
              <w:top w:val="single" w:sz="8" w:space="0" w:color="000000"/>
              <w:bottom w:val="single" w:sz="18" w:space="0" w:color="000000"/>
            </w:tcBorders>
            <w:shd w:val="clear" w:color="auto" w:fill="CCEDFF"/>
          </w:tcPr>
          <w:p w14:paraId="7ABF169E"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6,266</w:t>
            </w:r>
          </w:p>
        </w:tc>
      </w:tr>
      <w:tr w:rsidR="00AE2255" w14:paraId="32551655" w14:textId="77777777">
        <w:trPr>
          <w:trHeight w:val="439"/>
        </w:trPr>
        <w:tc>
          <w:tcPr>
            <w:tcW w:w="7080" w:type="dxa"/>
            <w:tcBorders>
              <w:top w:val="single" w:sz="18" w:space="0" w:color="000000"/>
            </w:tcBorders>
          </w:tcPr>
          <w:p w14:paraId="44C197D5" w14:textId="77777777" w:rsidR="00AE2255" w:rsidRDefault="00AE2255">
            <w:pPr>
              <w:pStyle w:val="TableParagraph"/>
              <w:spacing w:before="2"/>
              <w:jc w:val="left"/>
              <w:rPr>
                <w:b/>
                <w:sz w:val="18"/>
              </w:rPr>
            </w:pPr>
          </w:p>
          <w:p w14:paraId="51EAA2D7" w14:textId="77777777" w:rsidR="00AE2255" w:rsidRDefault="00000000">
            <w:pPr>
              <w:pStyle w:val="TableParagraph"/>
              <w:spacing w:before="0" w:line="210" w:lineRule="exact"/>
              <w:jc w:val="left"/>
              <w:rPr>
                <w:sz w:val="20"/>
              </w:rPr>
            </w:pPr>
            <w:r>
              <w:rPr>
                <w:sz w:val="20"/>
              </w:rPr>
              <w:t>The</w:t>
            </w:r>
            <w:r>
              <w:rPr>
                <w:spacing w:val="-6"/>
                <w:sz w:val="20"/>
              </w:rPr>
              <w:t xml:space="preserve"> </w:t>
            </w:r>
            <w:r>
              <w:rPr>
                <w:sz w:val="20"/>
              </w:rPr>
              <w:t>accompanying</w:t>
            </w:r>
            <w:r>
              <w:rPr>
                <w:spacing w:val="-3"/>
                <w:sz w:val="20"/>
              </w:rPr>
              <w:t xml:space="preserve"> </w:t>
            </w:r>
            <w:r>
              <w:rPr>
                <w:sz w:val="20"/>
              </w:rPr>
              <w:t>notes</w:t>
            </w:r>
            <w:r>
              <w:rPr>
                <w:spacing w:val="-4"/>
                <w:sz w:val="20"/>
              </w:rPr>
              <w:t xml:space="preserve"> </w:t>
            </w:r>
            <w:r>
              <w:rPr>
                <w:sz w:val="20"/>
              </w:rPr>
              <w:t>are</w:t>
            </w:r>
            <w:r>
              <w:rPr>
                <w:spacing w:val="-4"/>
                <w:sz w:val="20"/>
              </w:rPr>
              <w:t xml:space="preserve"> </w:t>
            </w:r>
            <w:r>
              <w:rPr>
                <w:sz w:val="20"/>
              </w:rPr>
              <w:t>an</w:t>
            </w:r>
            <w:r>
              <w:rPr>
                <w:spacing w:val="-3"/>
                <w:sz w:val="20"/>
              </w:rPr>
              <w:t xml:space="preserve"> </w:t>
            </w:r>
            <w:r>
              <w:rPr>
                <w:sz w:val="20"/>
              </w:rPr>
              <w:t>integral</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these</w:t>
            </w:r>
            <w:r>
              <w:rPr>
                <w:spacing w:val="-4"/>
                <w:sz w:val="20"/>
              </w:rPr>
              <w:t xml:space="preserve"> </w:t>
            </w:r>
            <w:r>
              <w:rPr>
                <w:sz w:val="20"/>
              </w:rPr>
              <w:t>consolidated</w:t>
            </w:r>
            <w:r>
              <w:rPr>
                <w:spacing w:val="-3"/>
                <w:sz w:val="20"/>
              </w:rPr>
              <w:t xml:space="preserve"> </w:t>
            </w:r>
            <w:r>
              <w:rPr>
                <w:sz w:val="20"/>
              </w:rPr>
              <w:t>financial</w:t>
            </w:r>
            <w:r>
              <w:rPr>
                <w:spacing w:val="-3"/>
                <w:sz w:val="20"/>
              </w:rPr>
              <w:t xml:space="preserve"> </w:t>
            </w:r>
            <w:r>
              <w:rPr>
                <w:spacing w:val="-2"/>
                <w:sz w:val="20"/>
              </w:rPr>
              <w:t>statements.</w:t>
            </w:r>
          </w:p>
        </w:tc>
        <w:tc>
          <w:tcPr>
            <w:tcW w:w="1061" w:type="dxa"/>
            <w:tcBorders>
              <w:top w:val="single" w:sz="18" w:space="0" w:color="000000"/>
            </w:tcBorders>
          </w:tcPr>
          <w:p w14:paraId="3175F17E" w14:textId="77777777" w:rsidR="00AE2255" w:rsidRDefault="00AE2255">
            <w:pPr>
              <w:pStyle w:val="TableParagraph"/>
              <w:spacing w:before="0"/>
              <w:jc w:val="left"/>
              <w:rPr>
                <w:sz w:val="20"/>
              </w:rPr>
            </w:pPr>
          </w:p>
        </w:tc>
        <w:tc>
          <w:tcPr>
            <w:tcW w:w="1080" w:type="dxa"/>
            <w:tcBorders>
              <w:top w:val="single" w:sz="18" w:space="0" w:color="000000"/>
            </w:tcBorders>
          </w:tcPr>
          <w:p w14:paraId="14BE2B05" w14:textId="77777777" w:rsidR="00AE2255" w:rsidRDefault="00AE2255">
            <w:pPr>
              <w:pStyle w:val="TableParagraph"/>
              <w:spacing w:before="0"/>
              <w:jc w:val="left"/>
              <w:rPr>
                <w:sz w:val="20"/>
              </w:rPr>
            </w:pPr>
          </w:p>
        </w:tc>
        <w:tc>
          <w:tcPr>
            <w:tcW w:w="1024" w:type="dxa"/>
            <w:tcBorders>
              <w:top w:val="single" w:sz="18" w:space="0" w:color="000000"/>
            </w:tcBorders>
          </w:tcPr>
          <w:p w14:paraId="5E8513CA" w14:textId="77777777" w:rsidR="00AE2255" w:rsidRDefault="00AE2255">
            <w:pPr>
              <w:pStyle w:val="TableParagraph"/>
              <w:spacing w:before="0"/>
              <w:jc w:val="left"/>
              <w:rPr>
                <w:sz w:val="20"/>
              </w:rPr>
            </w:pPr>
          </w:p>
        </w:tc>
      </w:tr>
    </w:tbl>
    <w:p w14:paraId="05468E94" w14:textId="77777777" w:rsidR="00AE2255" w:rsidRDefault="00AE2255">
      <w:pPr>
        <w:rPr>
          <w:sz w:val="20"/>
        </w:rPr>
        <w:sectPr w:rsidR="00AE2255">
          <w:pgSz w:w="12240" w:h="15840"/>
          <w:pgMar w:top="440" w:right="560" w:bottom="720" w:left="380" w:header="230" w:footer="531" w:gutter="0"/>
          <w:cols w:space="720"/>
        </w:sectPr>
      </w:pPr>
    </w:p>
    <w:p w14:paraId="7ED8731E" w14:textId="77777777" w:rsidR="00AE2255" w:rsidRDefault="00AE2255">
      <w:pPr>
        <w:pStyle w:val="BodyText"/>
        <w:spacing w:before="7"/>
        <w:rPr>
          <w:b/>
          <w:sz w:val="22"/>
        </w:rPr>
      </w:pPr>
    </w:p>
    <w:p w14:paraId="50C53E4F" w14:textId="77777777" w:rsidR="00AE2255" w:rsidRDefault="00000000">
      <w:pPr>
        <w:spacing w:before="92" w:line="249" w:lineRule="auto"/>
        <w:ind w:left="4435" w:right="4253"/>
        <w:jc w:val="center"/>
        <w:rPr>
          <w:b/>
          <w:sz w:val="20"/>
        </w:rPr>
      </w:pPr>
      <w:bookmarkStart w:id="40" w:name="Consolidated_Balance_Sheets"/>
      <w:bookmarkStart w:id="41" w:name="_bookmark15"/>
      <w:bookmarkEnd w:id="40"/>
      <w:bookmarkEnd w:id="41"/>
      <w:r>
        <w:rPr>
          <w:b/>
          <w:sz w:val="20"/>
        </w:rPr>
        <w:t>Lockheed</w:t>
      </w:r>
      <w:r>
        <w:rPr>
          <w:b/>
          <w:spacing w:val="-13"/>
          <w:sz w:val="20"/>
        </w:rPr>
        <w:t xml:space="preserve"> </w:t>
      </w:r>
      <w:r>
        <w:rPr>
          <w:b/>
          <w:sz w:val="20"/>
        </w:rPr>
        <w:t>Martin</w:t>
      </w:r>
      <w:r>
        <w:rPr>
          <w:b/>
          <w:spacing w:val="-12"/>
          <w:sz w:val="20"/>
        </w:rPr>
        <w:t xml:space="preserve"> </w:t>
      </w:r>
      <w:r>
        <w:rPr>
          <w:b/>
          <w:sz w:val="20"/>
        </w:rPr>
        <w:t>Corporation Consolidated Balance Sheets (in millions, except par value)</w:t>
      </w:r>
    </w:p>
    <w:p w14:paraId="39F432A5" w14:textId="77777777" w:rsidR="00AE2255" w:rsidRDefault="00AE2255">
      <w:pPr>
        <w:pStyle w:val="BodyText"/>
        <w:rPr>
          <w:b/>
        </w:rPr>
      </w:pPr>
    </w:p>
    <w:p w14:paraId="6847A487" w14:textId="77777777" w:rsidR="00AE2255" w:rsidRDefault="00000000">
      <w:pPr>
        <w:pStyle w:val="BodyText"/>
        <w:spacing w:before="6"/>
        <w:rPr>
          <w:b/>
          <w:sz w:val="10"/>
        </w:rPr>
      </w:pPr>
      <w:r>
        <w:pict w14:anchorId="7F2C8D0E">
          <v:group id="docshapegroup32" o:spid="_x0000_s2186" style="position:absolute;margin-left:49.5pt;margin-top:7.25pt;width:512.25pt;height:41.1pt;z-index:-15712768;mso-wrap-distance-left:0;mso-wrap-distance-right:0;mso-position-horizontal-relative:page" coordorigin="990,145" coordsize="10245,822">
            <v:rect id="docshape33" o:spid="_x0000_s2193" style="position:absolute;left:990;top:681;width:10245;height:285" fillcolor="#ccedff" stroked="f"/>
            <v:shape id="docshape34" o:spid="_x0000_s2192" style="position:absolute;left:9150;top:396;width:2085;height:2" coordorigin="9150,397" coordsize="2085,0" path="m11235,397r-2085,e" fillcolor="black" stroked="f">
              <v:fill opacity="0"/>
              <v:path arrowok="t"/>
            </v:shape>
            <v:line id="_x0000_s2191" style="position:absolute" from="9150,397" to="11235,397" strokeweight="1pt"/>
            <v:shape id="docshape35" o:spid="_x0000_s2190" style="position:absolute;left:990;top:681;width:10245;height:2" coordorigin="990,682" coordsize="10245,0" path="m11235,682l990,682e" fillcolor="black" stroked="f">
              <v:fill opacity="0"/>
              <v:path arrowok="t"/>
            </v:shape>
            <v:rect id="docshape36" o:spid="_x0000_s2189" style="position:absolute;left:990;top:671;width:10245;height:20" fillcolor="black" stroked="f">
              <v:fill opacity="0"/>
            </v:rect>
            <v:shape id="docshape37" o:spid="_x0000_s2188" type="#_x0000_t202" style="position:absolute;left:990;top:145;width:10245;height:822" filled="f" stroked="f">
              <v:textbox inset="0,0,0,0">
                <w:txbxContent>
                  <w:p w14:paraId="29D012C1" w14:textId="77777777" w:rsidR="00AE2255" w:rsidRDefault="00000000">
                    <w:pPr>
                      <w:spacing w:line="221" w:lineRule="exact"/>
                      <w:ind w:left="8619"/>
                      <w:rPr>
                        <w:b/>
                        <w:sz w:val="20"/>
                      </w:rPr>
                    </w:pPr>
                    <w:r>
                      <w:rPr>
                        <w:b/>
                        <w:sz w:val="20"/>
                      </w:rPr>
                      <w:t>December</w:t>
                    </w:r>
                    <w:r>
                      <w:rPr>
                        <w:b/>
                        <w:spacing w:val="-7"/>
                        <w:sz w:val="20"/>
                      </w:rPr>
                      <w:t xml:space="preserve"> </w:t>
                    </w:r>
                    <w:r>
                      <w:rPr>
                        <w:b/>
                        <w:spacing w:val="-5"/>
                        <w:sz w:val="20"/>
                      </w:rPr>
                      <w:t>31,</w:t>
                    </w:r>
                  </w:p>
                  <w:p w14:paraId="2E6C3847" w14:textId="77777777" w:rsidR="00AE2255" w:rsidRDefault="00000000">
                    <w:pPr>
                      <w:tabs>
                        <w:tab w:val="left" w:pos="9792"/>
                      </w:tabs>
                      <w:spacing w:before="55"/>
                      <w:ind w:left="8712"/>
                      <w:rPr>
                        <w:b/>
                        <w:sz w:val="20"/>
                      </w:rPr>
                    </w:pPr>
                    <w:r>
                      <w:rPr>
                        <w:b/>
                        <w:spacing w:val="-4"/>
                        <w:sz w:val="20"/>
                      </w:rPr>
                      <w:t>2022</w:t>
                    </w:r>
                    <w:r>
                      <w:rPr>
                        <w:b/>
                        <w:sz w:val="20"/>
                      </w:rPr>
                      <w:tab/>
                    </w:r>
                    <w:r>
                      <w:rPr>
                        <w:b/>
                        <w:spacing w:val="-4"/>
                        <w:sz w:val="20"/>
                      </w:rPr>
                      <w:t>2021</w:t>
                    </w:r>
                  </w:p>
                </w:txbxContent>
              </v:textbox>
            </v:shape>
            <v:shape id="docshape38" o:spid="_x0000_s2187" type="#_x0000_t202" style="position:absolute;left:990;top:691;width:10245;height:275" filled="f" stroked="f">
              <v:textbox inset="0,0,0,0">
                <w:txbxContent>
                  <w:p w14:paraId="0C07C202" w14:textId="77777777" w:rsidR="00AE2255" w:rsidRDefault="00000000">
                    <w:pPr>
                      <w:spacing w:before="13"/>
                      <w:ind w:left="52"/>
                      <w:rPr>
                        <w:b/>
                        <w:sz w:val="20"/>
                      </w:rPr>
                    </w:pPr>
                    <w:r>
                      <w:rPr>
                        <w:b/>
                        <w:spacing w:val="-2"/>
                        <w:sz w:val="20"/>
                      </w:rPr>
                      <w:t>Assets</w:t>
                    </w:r>
                  </w:p>
                </w:txbxContent>
              </v:textbox>
            </v:shape>
            <w10:wrap type="topAndBottom" anchorx="page"/>
          </v:group>
        </w:pict>
      </w:r>
    </w:p>
    <w:p w14:paraId="1F7FBEEA" w14:textId="77777777" w:rsidR="00AE2255" w:rsidRDefault="00000000">
      <w:pPr>
        <w:pStyle w:val="BodyText"/>
        <w:spacing w:before="27" w:after="28"/>
        <w:ind w:left="662"/>
      </w:pPr>
      <w:r>
        <w:t>Current</w:t>
      </w:r>
      <w:r>
        <w:rPr>
          <w:spacing w:val="-3"/>
        </w:rPr>
        <w:t xml:space="preserve"> </w:t>
      </w:r>
      <w:r>
        <w:rPr>
          <w:spacing w:val="-2"/>
        </w:rPr>
        <w:t>assets</w:t>
      </w:r>
    </w:p>
    <w:tbl>
      <w:tblPr>
        <w:tblW w:w="0" w:type="auto"/>
        <w:tblInd w:w="617" w:type="dxa"/>
        <w:tblLayout w:type="fixed"/>
        <w:tblCellMar>
          <w:left w:w="0" w:type="dxa"/>
          <w:right w:w="0" w:type="dxa"/>
        </w:tblCellMar>
        <w:tblLook w:val="01E0" w:firstRow="1" w:lastRow="1" w:firstColumn="1" w:lastColumn="1" w:noHBand="0" w:noVBand="0"/>
      </w:tblPr>
      <w:tblGrid>
        <w:gridCol w:w="5773"/>
        <w:gridCol w:w="3448"/>
        <w:gridCol w:w="1024"/>
      </w:tblGrid>
      <w:tr w:rsidR="00AE2255" w14:paraId="0E778AB2" w14:textId="77777777">
        <w:trPr>
          <w:trHeight w:val="285"/>
        </w:trPr>
        <w:tc>
          <w:tcPr>
            <w:tcW w:w="5773" w:type="dxa"/>
            <w:shd w:val="clear" w:color="auto" w:fill="CCEDFF"/>
          </w:tcPr>
          <w:p w14:paraId="02CBD1C1" w14:textId="77777777" w:rsidR="00AE2255" w:rsidRDefault="00000000">
            <w:pPr>
              <w:pStyle w:val="TableParagraph"/>
              <w:spacing w:before="27"/>
              <w:ind w:left="187"/>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2"/>
                <w:sz w:val="20"/>
              </w:rPr>
              <w:t xml:space="preserve"> equivalents</w:t>
            </w:r>
          </w:p>
        </w:tc>
        <w:tc>
          <w:tcPr>
            <w:tcW w:w="3448" w:type="dxa"/>
            <w:shd w:val="clear" w:color="auto" w:fill="CCEDFF"/>
          </w:tcPr>
          <w:p w14:paraId="603A9C2C" w14:textId="77777777" w:rsidR="00AE2255" w:rsidRDefault="00000000">
            <w:pPr>
              <w:pStyle w:val="TableParagraph"/>
              <w:tabs>
                <w:tab w:val="left" w:pos="420"/>
              </w:tabs>
              <w:ind w:right="135"/>
              <w:rPr>
                <w:b/>
                <w:sz w:val="20"/>
              </w:rPr>
            </w:pPr>
            <w:r>
              <w:rPr>
                <w:b/>
                <w:spacing w:val="-10"/>
                <w:sz w:val="20"/>
              </w:rPr>
              <w:t>$</w:t>
            </w:r>
            <w:r>
              <w:rPr>
                <w:b/>
                <w:sz w:val="20"/>
              </w:rPr>
              <w:tab/>
            </w:r>
            <w:r>
              <w:rPr>
                <w:b/>
                <w:spacing w:val="-2"/>
                <w:sz w:val="20"/>
              </w:rPr>
              <w:t>2,547</w:t>
            </w:r>
          </w:p>
        </w:tc>
        <w:tc>
          <w:tcPr>
            <w:tcW w:w="1024" w:type="dxa"/>
            <w:shd w:val="clear" w:color="auto" w:fill="CCEDFF"/>
          </w:tcPr>
          <w:p w14:paraId="438633A1"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3,604</w:t>
            </w:r>
          </w:p>
        </w:tc>
      </w:tr>
      <w:tr w:rsidR="00AE2255" w14:paraId="75F6D966" w14:textId="77777777">
        <w:trPr>
          <w:trHeight w:val="285"/>
        </w:trPr>
        <w:tc>
          <w:tcPr>
            <w:tcW w:w="5773" w:type="dxa"/>
          </w:tcPr>
          <w:p w14:paraId="1B109506" w14:textId="77777777" w:rsidR="00AE2255" w:rsidRDefault="00000000">
            <w:pPr>
              <w:pStyle w:val="TableParagraph"/>
              <w:spacing w:before="27"/>
              <w:ind w:left="187"/>
              <w:jc w:val="left"/>
              <w:rPr>
                <w:sz w:val="20"/>
              </w:rPr>
            </w:pPr>
            <w:r>
              <w:rPr>
                <w:sz w:val="20"/>
              </w:rPr>
              <w:t>Receivables,</w:t>
            </w:r>
            <w:r>
              <w:rPr>
                <w:spacing w:val="-9"/>
                <w:sz w:val="20"/>
              </w:rPr>
              <w:t xml:space="preserve"> </w:t>
            </w:r>
            <w:r>
              <w:rPr>
                <w:spacing w:val="-5"/>
                <w:sz w:val="20"/>
              </w:rPr>
              <w:t>net</w:t>
            </w:r>
          </w:p>
        </w:tc>
        <w:tc>
          <w:tcPr>
            <w:tcW w:w="3448" w:type="dxa"/>
          </w:tcPr>
          <w:p w14:paraId="6631D028" w14:textId="77777777" w:rsidR="00AE2255" w:rsidRDefault="00000000">
            <w:pPr>
              <w:pStyle w:val="TableParagraph"/>
              <w:ind w:right="135"/>
              <w:rPr>
                <w:b/>
                <w:sz w:val="20"/>
              </w:rPr>
            </w:pPr>
            <w:r>
              <w:rPr>
                <w:b/>
                <w:spacing w:val="-2"/>
                <w:sz w:val="20"/>
              </w:rPr>
              <w:t>2,505</w:t>
            </w:r>
          </w:p>
        </w:tc>
        <w:tc>
          <w:tcPr>
            <w:tcW w:w="1024" w:type="dxa"/>
          </w:tcPr>
          <w:p w14:paraId="200B8B97" w14:textId="77777777" w:rsidR="00AE2255" w:rsidRDefault="00000000">
            <w:pPr>
              <w:pStyle w:val="TableParagraph"/>
              <w:ind w:right="79"/>
              <w:rPr>
                <w:sz w:val="20"/>
              </w:rPr>
            </w:pPr>
            <w:r>
              <w:rPr>
                <w:spacing w:val="-2"/>
                <w:sz w:val="20"/>
              </w:rPr>
              <w:t>1,963</w:t>
            </w:r>
          </w:p>
        </w:tc>
      </w:tr>
      <w:tr w:rsidR="00AE2255" w14:paraId="522898DF" w14:textId="77777777">
        <w:trPr>
          <w:trHeight w:val="285"/>
        </w:trPr>
        <w:tc>
          <w:tcPr>
            <w:tcW w:w="5773" w:type="dxa"/>
            <w:shd w:val="clear" w:color="auto" w:fill="CCEDFF"/>
          </w:tcPr>
          <w:p w14:paraId="19FF0B14" w14:textId="77777777" w:rsidR="00AE2255" w:rsidRDefault="00000000">
            <w:pPr>
              <w:pStyle w:val="TableParagraph"/>
              <w:spacing w:before="27"/>
              <w:ind w:left="187"/>
              <w:jc w:val="left"/>
              <w:rPr>
                <w:sz w:val="20"/>
              </w:rPr>
            </w:pPr>
            <w:r>
              <w:rPr>
                <w:sz w:val="20"/>
              </w:rPr>
              <w:t>Contract</w:t>
            </w:r>
            <w:r>
              <w:rPr>
                <w:spacing w:val="-5"/>
                <w:sz w:val="20"/>
              </w:rPr>
              <w:t xml:space="preserve"> </w:t>
            </w:r>
            <w:r>
              <w:rPr>
                <w:spacing w:val="-2"/>
                <w:sz w:val="20"/>
              </w:rPr>
              <w:t>assets</w:t>
            </w:r>
          </w:p>
        </w:tc>
        <w:tc>
          <w:tcPr>
            <w:tcW w:w="3448" w:type="dxa"/>
            <w:shd w:val="clear" w:color="auto" w:fill="CCEDFF"/>
          </w:tcPr>
          <w:p w14:paraId="6858BCD4" w14:textId="77777777" w:rsidR="00AE2255" w:rsidRDefault="00000000">
            <w:pPr>
              <w:pStyle w:val="TableParagraph"/>
              <w:ind w:right="135"/>
              <w:rPr>
                <w:b/>
                <w:sz w:val="20"/>
              </w:rPr>
            </w:pPr>
            <w:r>
              <w:rPr>
                <w:b/>
                <w:spacing w:val="-2"/>
                <w:sz w:val="20"/>
              </w:rPr>
              <w:t>12,318</w:t>
            </w:r>
          </w:p>
        </w:tc>
        <w:tc>
          <w:tcPr>
            <w:tcW w:w="1024" w:type="dxa"/>
            <w:shd w:val="clear" w:color="auto" w:fill="CCEDFF"/>
          </w:tcPr>
          <w:p w14:paraId="2F51048E" w14:textId="77777777" w:rsidR="00AE2255" w:rsidRDefault="00000000">
            <w:pPr>
              <w:pStyle w:val="TableParagraph"/>
              <w:ind w:right="79"/>
              <w:rPr>
                <w:sz w:val="20"/>
              </w:rPr>
            </w:pPr>
            <w:r>
              <w:rPr>
                <w:spacing w:val="-2"/>
                <w:sz w:val="20"/>
              </w:rPr>
              <w:t>10,579</w:t>
            </w:r>
          </w:p>
        </w:tc>
      </w:tr>
      <w:tr w:rsidR="00AE2255" w14:paraId="549EBA88" w14:textId="77777777">
        <w:trPr>
          <w:trHeight w:val="285"/>
        </w:trPr>
        <w:tc>
          <w:tcPr>
            <w:tcW w:w="5773" w:type="dxa"/>
          </w:tcPr>
          <w:p w14:paraId="7A7D8251" w14:textId="77777777" w:rsidR="00AE2255" w:rsidRDefault="00000000">
            <w:pPr>
              <w:pStyle w:val="TableParagraph"/>
              <w:spacing w:before="27"/>
              <w:ind w:left="187"/>
              <w:jc w:val="left"/>
              <w:rPr>
                <w:sz w:val="20"/>
              </w:rPr>
            </w:pPr>
            <w:r>
              <w:rPr>
                <w:spacing w:val="-2"/>
                <w:sz w:val="20"/>
              </w:rPr>
              <w:t>Inventories</w:t>
            </w:r>
          </w:p>
        </w:tc>
        <w:tc>
          <w:tcPr>
            <w:tcW w:w="3448" w:type="dxa"/>
          </w:tcPr>
          <w:p w14:paraId="3BFD5F6D" w14:textId="77777777" w:rsidR="00AE2255" w:rsidRDefault="00000000">
            <w:pPr>
              <w:pStyle w:val="TableParagraph"/>
              <w:ind w:right="135"/>
              <w:rPr>
                <w:b/>
                <w:sz w:val="20"/>
              </w:rPr>
            </w:pPr>
            <w:r>
              <w:rPr>
                <w:b/>
                <w:spacing w:val="-2"/>
                <w:sz w:val="20"/>
              </w:rPr>
              <w:t>3,088</w:t>
            </w:r>
          </w:p>
        </w:tc>
        <w:tc>
          <w:tcPr>
            <w:tcW w:w="1024" w:type="dxa"/>
          </w:tcPr>
          <w:p w14:paraId="0242B823" w14:textId="77777777" w:rsidR="00AE2255" w:rsidRDefault="00000000">
            <w:pPr>
              <w:pStyle w:val="TableParagraph"/>
              <w:ind w:right="79"/>
              <w:rPr>
                <w:sz w:val="20"/>
              </w:rPr>
            </w:pPr>
            <w:r>
              <w:rPr>
                <w:spacing w:val="-2"/>
                <w:sz w:val="20"/>
              </w:rPr>
              <w:t>2,981</w:t>
            </w:r>
          </w:p>
        </w:tc>
      </w:tr>
      <w:tr w:rsidR="00AE2255" w14:paraId="65124003" w14:textId="77777777">
        <w:trPr>
          <w:trHeight w:val="275"/>
        </w:trPr>
        <w:tc>
          <w:tcPr>
            <w:tcW w:w="5773" w:type="dxa"/>
            <w:tcBorders>
              <w:bottom w:val="single" w:sz="8" w:space="0" w:color="CCEDFF"/>
            </w:tcBorders>
            <w:shd w:val="clear" w:color="auto" w:fill="CCEDFF"/>
          </w:tcPr>
          <w:p w14:paraId="6866C680"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z w:val="20"/>
              </w:rPr>
              <w:t>current</w:t>
            </w:r>
            <w:r>
              <w:rPr>
                <w:spacing w:val="-3"/>
                <w:sz w:val="20"/>
              </w:rPr>
              <w:t xml:space="preserve"> </w:t>
            </w:r>
            <w:r>
              <w:rPr>
                <w:spacing w:val="-2"/>
                <w:sz w:val="20"/>
              </w:rPr>
              <w:t>assets</w:t>
            </w:r>
          </w:p>
        </w:tc>
        <w:tc>
          <w:tcPr>
            <w:tcW w:w="3448" w:type="dxa"/>
            <w:tcBorders>
              <w:bottom w:val="single" w:sz="8" w:space="0" w:color="CCEDFF"/>
            </w:tcBorders>
            <w:shd w:val="clear" w:color="auto" w:fill="CCEDFF"/>
          </w:tcPr>
          <w:p w14:paraId="49DA1E33" w14:textId="77777777" w:rsidR="00AE2255" w:rsidRDefault="00000000">
            <w:pPr>
              <w:pStyle w:val="TableParagraph"/>
              <w:spacing w:before="23"/>
              <w:ind w:right="135"/>
              <w:rPr>
                <w:b/>
                <w:sz w:val="20"/>
              </w:rPr>
            </w:pPr>
            <w:r>
              <w:rPr>
                <w:b/>
                <w:spacing w:val="-5"/>
                <w:sz w:val="20"/>
              </w:rPr>
              <w:t>533</w:t>
            </w:r>
          </w:p>
        </w:tc>
        <w:tc>
          <w:tcPr>
            <w:tcW w:w="1024" w:type="dxa"/>
            <w:tcBorders>
              <w:bottom w:val="single" w:sz="8" w:space="0" w:color="CCEDFF"/>
            </w:tcBorders>
            <w:shd w:val="clear" w:color="auto" w:fill="CCEDFF"/>
          </w:tcPr>
          <w:p w14:paraId="4FC5747A" w14:textId="77777777" w:rsidR="00AE2255" w:rsidRDefault="00000000">
            <w:pPr>
              <w:pStyle w:val="TableParagraph"/>
              <w:spacing w:line="230" w:lineRule="exact"/>
              <w:ind w:right="79"/>
              <w:rPr>
                <w:sz w:val="20"/>
              </w:rPr>
            </w:pPr>
            <w:r>
              <w:rPr>
                <w:spacing w:val="-5"/>
                <w:sz w:val="20"/>
              </w:rPr>
              <w:t>688</w:t>
            </w:r>
          </w:p>
        </w:tc>
      </w:tr>
      <w:tr w:rsidR="00AE2255" w14:paraId="109518EB" w14:textId="77777777">
        <w:trPr>
          <w:trHeight w:val="275"/>
        </w:trPr>
        <w:tc>
          <w:tcPr>
            <w:tcW w:w="5773" w:type="dxa"/>
            <w:tcBorders>
              <w:top w:val="single" w:sz="8" w:space="0" w:color="auto"/>
            </w:tcBorders>
          </w:tcPr>
          <w:p w14:paraId="082EAF2D" w14:textId="77777777" w:rsidR="00AE2255" w:rsidRDefault="00000000">
            <w:pPr>
              <w:pStyle w:val="TableParagraph"/>
              <w:spacing w:before="17"/>
              <w:ind w:left="412"/>
              <w:jc w:val="left"/>
              <w:rPr>
                <w:sz w:val="20"/>
              </w:rPr>
            </w:pPr>
            <w:r>
              <w:rPr>
                <w:sz w:val="20"/>
              </w:rPr>
              <w:t>Total</w:t>
            </w:r>
            <w:r>
              <w:rPr>
                <w:spacing w:val="-4"/>
                <w:sz w:val="20"/>
              </w:rPr>
              <w:t xml:space="preserve"> </w:t>
            </w:r>
            <w:r>
              <w:rPr>
                <w:sz w:val="20"/>
              </w:rPr>
              <w:t>current</w:t>
            </w:r>
            <w:r>
              <w:rPr>
                <w:spacing w:val="-3"/>
                <w:sz w:val="20"/>
              </w:rPr>
              <w:t xml:space="preserve"> </w:t>
            </w:r>
            <w:r>
              <w:rPr>
                <w:spacing w:val="-2"/>
                <w:sz w:val="20"/>
              </w:rPr>
              <w:t>assets</w:t>
            </w:r>
          </w:p>
        </w:tc>
        <w:tc>
          <w:tcPr>
            <w:tcW w:w="3448" w:type="dxa"/>
            <w:tcBorders>
              <w:top w:val="single" w:sz="8" w:space="0" w:color="auto"/>
            </w:tcBorders>
          </w:tcPr>
          <w:p w14:paraId="0202FD09" w14:textId="77777777" w:rsidR="00AE2255" w:rsidRDefault="00000000">
            <w:pPr>
              <w:pStyle w:val="TableParagraph"/>
              <w:spacing w:before="15"/>
              <w:ind w:right="135"/>
              <w:rPr>
                <w:b/>
                <w:sz w:val="20"/>
              </w:rPr>
            </w:pPr>
            <w:r>
              <w:rPr>
                <w:b/>
                <w:spacing w:val="-2"/>
                <w:sz w:val="20"/>
              </w:rPr>
              <w:t>20,991</w:t>
            </w:r>
          </w:p>
        </w:tc>
        <w:tc>
          <w:tcPr>
            <w:tcW w:w="1024" w:type="dxa"/>
            <w:tcBorders>
              <w:top w:val="single" w:sz="8" w:space="0" w:color="auto"/>
            </w:tcBorders>
          </w:tcPr>
          <w:p w14:paraId="47B1F1C6" w14:textId="77777777" w:rsidR="00AE2255" w:rsidRDefault="00000000">
            <w:pPr>
              <w:pStyle w:val="TableParagraph"/>
              <w:spacing w:before="15"/>
              <w:ind w:right="79"/>
              <w:rPr>
                <w:sz w:val="20"/>
              </w:rPr>
            </w:pPr>
            <w:r>
              <w:rPr>
                <w:spacing w:val="-2"/>
                <w:sz w:val="20"/>
              </w:rPr>
              <w:t>19,815</w:t>
            </w:r>
          </w:p>
        </w:tc>
      </w:tr>
      <w:tr w:rsidR="00AE2255" w14:paraId="6BBF0F09" w14:textId="77777777">
        <w:trPr>
          <w:trHeight w:val="285"/>
        </w:trPr>
        <w:tc>
          <w:tcPr>
            <w:tcW w:w="5773" w:type="dxa"/>
            <w:shd w:val="clear" w:color="auto" w:fill="CCEDFF"/>
          </w:tcPr>
          <w:p w14:paraId="42E9ADA3" w14:textId="77777777" w:rsidR="00AE2255" w:rsidRDefault="00000000">
            <w:pPr>
              <w:pStyle w:val="TableParagraph"/>
              <w:spacing w:before="27"/>
              <w:ind w:left="52"/>
              <w:jc w:val="left"/>
              <w:rPr>
                <w:sz w:val="20"/>
              </w:rPr>
            </w:pPr>
            <w:r>
              <w:rPr>
                <w:sz w:val="20"/>
              </w:rPr>
              <w:t>Property,</w:t>
            </w:r>
            <w:r>
              <w:rPr>
                <w:spacing w:val="-3"/>
                <w:sz w:val="20"/>
              </w:rPr>
              <w:t xml:space="preserve"> </w:t>
            </w:r>
            <w:r>
              <w:rPr>
                <w:sz w:val="20"/>
              </w:rPr>
              <w:t>plant</w:t>
            </w:r>
            <w:r>
              <w:rPr>
                <w:spacing w:val="-4"/>
                <w:sz w:val="20"/>
              </w:rPr>
              <w:t xml:space="preserve"> </w:t>
            </w:r>
            <w:r>
              <w:rPr>
                <w:sz w:val="20"/>
              </w:rPr>
              <w:t>and</w:t>
            </w:r>
            <w:r>
              <w:rPr>
                <w:spacing w:val="-3"/>
                <w:sz w:val="20"/>
              </w:rPr>
              <w:t xml:space="preserve"> </w:t>
            </w:r>
            <w:r>
              <w:rPr>
                <w:sz w:val="20"/>
              </w:rPr>
              <w:t>equipment,</w:t>
            </w:r>
            <w:r>
              <w:rPr>
                <w:spacing w:val="-2"/>
                <w:sz w:val="20"/>
              </w:rPr>
              <w:t xml:space="preserve"> </w:t>
            </w:r>
            <w:r>
              <w:rPr>
                <w:spacing w:val="-5"/>
                <w:sz w:val="20"/>
              </w:rPr>
              <w:t>net</w:t>
            </w:r>
          </w:p>
        </w:tc>
        <w:tc>
          <w:tcPr>
            <w:tcW w:w="3448" w:type="dxa"/>
            <w:shd w:val="clear" w:color="auto" w:fill="CCEDFF"/>
          </w:tcPr>
          <w:p w14:paraId="19B71DE2" w14:textId="77777777" w:rsidR="00AE2255" w:rsidRDefault="00000000">
            <w:pPr>
              <w:pStyle w:val="TableParagraph"/>
              <w:ind w:right="135"/>
              <w:rPr>
                <w:b/>
                <w:sz w:val="20"/>
              </w:rPr>
            </w:pPr>
            <w:r>
              <w:rPr>
                <w:b/>
                <w:spacing w:val="-2"/>
                <w:sz w:val="20"/>
              </w:rPr>
              <w:t>7,975</w:t>
            </w:r>
          </w:p>
        </w:tc>
        <w:tc>
          <w:tcPr>
            <w:tcW w:w="1024" w:type="dxa"/>
            <w:shd w:val="clear" w:color="auto" w:fill="CCEDFF"/>
          </w:tcPr>
          <w:p w14:paraId="21022E83" w14:textId="77777777" w:rsidR="00AE2255" w:rsidRDefault="00000000">
            <w:pPr>
              <w:pStyle w:val="TableParagraph"/>
              <w:ind w:right="79"/>
              <w:rPr>
                <w:sz w:val="20"/>
              </w:rPr>
            </w:pPr>
            <w:r>
              <w:rPr>
                <w:spacing w:val="-2"/>
                <w:sz w:val="20"/>
              </w:rPr>
              <w:t>7,597</w:t>
            </w:r>
          </w:p>
        </w:tc>
      </w:tr>
      <w:tr w:rsidR="00AE2255" w14:paraId="44F32F06" w14:textId="77777777">
        <w:trPr>
          <w:trHeight w:val="285"/>
        </w:trPr>
        <w:tc>
          <w:tcPr>
            <w:tcW w:w="5773" w:type="dxa"/>
          </w:tcPr>
          <w:p w14:paraId="1BB0B5FF" w14:textId="77777777" w:rsidR="00AE2255" w:rsidRDefault="00000000">
            <w:pPr>
              <w:pStyle w:val="TableParagraph"/>
              <w:spacing w:before="27"/>
              <w:ind w:left="52"/>
              <w:jc w:val="left"/>
              <w:rPr>
                <w:sz w:val="20"/>
              </w:rPr>
            </w:pPr>
            <w:r>
              <w:rPr>
                <w:spacing w:val="-2"/>
                <w:sz w:val="20"/>
              </w:rPr>
              <w:t>Goodwill</w:t>
            </w:r>
          </w:p>
        </w:tc>
        <w:tc>
          <w:tcPr>
            <w:tcW w:w="3448" w:type="dxa"/>
          </w:tcPr>
          <w:p w14:paraId="6542B680" w14:textId="77777777" w:rsidR="00AE2255" w:rsidRDefault="00000000">
            <w:pPr>
              <w:pStyle w:val="TableParagraph"/>
              <w:ind w:right="135"/>
              <w:rPr>
                <w:b/>
                <w:sz w:val="20"/>
              </w:rPr>
            </w:pPr>
            <w:r>
              <w:rPr>
                <w:b/>
                <w:spacing w:val="-2"/>
                <w:sz w:val="20"/>
              </w:rPr>
              <w:t>10,780</w:t>
            </w:r>
          </w:p>
        </w:tc>
        <w:tc>
          <w:tcPr>
            <w:tcW w:w="1024" w:type="dxa"/>
          </w:tcPr>
          <w:p w14:paraId="4B60358D" w14:textId="77777777" w:rsidR="00AE2255" w:rsidRDefault="00000000">
            <w:pPr>
              <w:pStyle w:val="TableParagraph"/>
              <w:ind w:right="79"/>
              <w:rPr>
                <w:sz w:val="20"/>
              </w:rPr>
            </w:pPr>
            <w:r>
              <w:rPr>
                <w:spacing w:val="-2"/>
                <w:sz w:val="20"/>
              </w:rPr>
              <w:t>10,813</w:t>
            </w:r>
          </w:p>
        </w:tc>
      </w:tr>
      <w:tr w:rsidR="00AE2255" w14:paraId="50C0658E" w14:textId="77777777">
        <w:trPr>
          <w:trHeight w:val="285"/>
        </w:trPr>
        <w:tc>
          <w:tcPr>
            <w:tcW w:w="5773" w:type="dxa"/>
            <w:shd w:val="clear" w:color="auto" w:fill="CCEDFF"/>
          </w:tcPr>
          <w:p w14:paraId="405FD9FD" w14:textId="77777777" w:rsidR="00AE2255" w:rsidRDefault="00000000">
            <w:pPr>
              <w:pStyle w:val="TableParagraph"/>
              <w:spacing w:before="27"/>
              <w:ind w:left="52"/>
              <w:jc w:val="left"/>
              <w:rPr>
                <w:sz w:val="20"/>
              </w:rPr>
            </w:pPr>
            <w:r>
              <w:rPr>
                <w:sz w:val="20"/>
              </w:rPr>
              <w:t>Intangible</w:t>
            </w:r>
            <w:r>
              <w:rPr>
                <w:spacing w:val="-6"/>
                <w:sz w:val="20"/>
              </w:rPr>
              <w:t xml:space="preserve"> </w:t>
            </w:r>
            <w:r>
              <w:rPr>
                <w:sz w:val="20"/>
              </w:rPr>
              <w:t>assets,</w:t>
            </w:r>
            <w:r>
              <w:rPr>
                <w:spacing w:val="-5"/>
                <w:sz w:val="20"/>
              </w:rPr>
              <w:t xml:space="preserve"> net</w:t>
            </w:r>
          </w:p>
        </w:tc>
        <w:tc>
          <w:tcPr>
            <w:tcW w:w="3448" w:type="dxa"/>
            <w:shd w:val="clear" w:color="auto" w:fill="CCEDFF"/>
          </w:tcPr>
          <w:p w14:paraId="383A8C76" w14:textId="77777777" w:rsidR="00AE2255" w:rsidRDefault="00000000">
            <w:pPr>
              <w:pStyle w:val="TableParagraph"/>
              <w:ind w:right="135"/>
              <w:rPr>
                <w:b/>
                <w:sz w:val="20"/>
              </w:rPr>
            </w:pPr>
            <w:r>
              <w:rPr>
                <w:b/>
                <w:spacing w:val="-2"/>
                <w:sz w:val="20"/>
              </w:rPr>
              <w:t>2,459</w:t>
            </w:r>
          </w:p>
        </w:tc>
        <w:tc>
          <w:tcPr>
            <w:tcW w:w="1024" w:type="dxa"/>
            <w:shd w:val="clear" w:color="auto" w:fill="CCEDFF"/>
          </w:tcPr>
          <w:p w14:paraId="392B64A2" w14:textId="77777777" w:rsidR="00AE2255" w:rsidRDefault="00000000">
            <w:pPr>
              <w:pStyle w:val="TableParagraph"/>
              <w:ind w:right="79"/>
              <w:rPr>
                <w:sz w:val="20"/>
              </w:rPr>
            </w:pPr>
            <w:r>
              <w:rPr>
                <w:spacing w:val="-2"/>
                <w:sz w:val="20"/>
              </w:rPr>
              <w:t>2,706</w:t>
            </w:r>
          </w:p>
        </w:tc>
      </w:tr>
      <w:tr w:rsidR="00AE2255" w14:paraId="481CE787" w14:textId="77777777">
        <w:trPr>
          <w:trHeight w:val="284"/>
        </w:trPr>
        <w:tc>
          <w:tcPr>
            <w:tcW w:w="5773" w:type="dxa"/>
          </w:tcPr>
          <w:p w14:paraId="0004D61A" w14:textId="77777777" w:rsidR="00AE2255" w:rsidRDefault="00000000">
            <w:pPr>
              <w:pStyle w:val="TableParagraph"/>
              <w:spacing w:before="27"/>
              <w:ind w:left="52"/>
              <w:jc w:val="left"/>
              <w:rPr>
                <w:sz w:val="20"/>
              </w:rPr>
            </w:pPr>
            <w:r>
              <w:rPr>
                <w:sz w:val="20"/>
              </w:rPr>
              <w:t>Deferred</w:t>
            </w:r>
            <w:r>
              <w:rPr>
                <w:spacing w:val="-4"/>
                <w:sz w:val="20"/>
              </w:rPr>
              <w:t xml:space="preserve"> </w:t>
            </w:r>
            <w:r>
              <w:rPr>
                <w:sz w:val="20"/>
              </w:rPr>
              <w:t>income</w:t>
            </w:r>
            <w:r>
              <w:rPr>
                <w:spacing w:val="-4"/>
                <w:sz w:val="20"/>
              </w:rPr>
              <w:t xml:space="preserve"> taxes</w:t>
            </w:r>
          </w:p>
        </w:tc>
        <w:tc>
          <w:tcPr>
            <w:tcW w:w="3448" w:type="dxa"/>
          </w:tcPr>
          <w:p w14:paraId="54964AEE" w14:textId="77777777" w:rsidR="00AE2255" w:rsidRDefault="00000000">
            <w:pPr>
              <w:pStyle w:val="TableParagraph"/>
              <w:ind w:right="135"/>
              <w:rPr>
                <w:b/>
                <w:sz w:val="20"/>
              </w:rPr>
            </w:pPr>
            <w:r>
              <w:rPr>
                <w:b/>
                <w:spacing w:val="-2"/>
                <w:sz w:val="20"/>
              </w:rPr>
              <w:t>3,744</w:t>
            </w:r>
          </w:p>
        </w:tc>
        <w:tc>
          <w:tcPr>
            <w:tcW w:w="1024" w:type="dxa"/>
          </w:tcPr>
          <w:p w14:paraId="24C5821A" w14:textId="77777777" w:rsidR="00AE2255" w:rsidRDefault="00000000">
            <w:pPr>
              <w:pStyle w:val="TableParagraph"/>
              <w:ind w:right="79"/>
              <w:rPr>
                <w:sz w:val="20"/>
              </w:rPr>
            </w:pPr>
            <w:r>
              <w:rPr>
                <w:spacing w:val="-2"/>
                <w:sz w:val="20"/>
              </w:rPr>
              <w:t>2,290</w:t>
            </w:r>
          </w:p>
        </w:tc>
      </w:tr>
      <w:tr w:rsidR="00AE2255" w14:paraId="2B00CFD8" w14:textId="77777777">
        <w:trPr>
          <w:trHeight w:val="275"/>
        </w:trPr>
        <w:tc>
          <w:tcPr>
            <w:tcW w:w="5773" w:type="dxa"/>
            <w:tcBorders>
              <w:bottom w:val="single" w:sz="8" w:space="0" w:color="CCEDFF"/>
            </w:tcBorders>
            <w:shd w:val="clear" w:color="auto" w:fill="CCEDFF"/>
          </w:tcPr>
          <w:p w14:paraId="17EAF5D8" w14:textId="77777777" w:rsidR="00AE2255" w:rsidRDefault="00000000">
            <w:pPr>
              <w:pStyle w:val="TableParagraph"/>
              <w:spacing w:before="27" w:line="228" w:lineRule="exact"/>
              <w:ind w:left="52"/>
              <w:jc w:val="left"/>
              <w:rPr>
                <w:sz w:val="20"/>
              </w:rPr>
            </w:pPr>
            <w:r>
              <w:rPr>
                <w:sz w:val="20"/>
              </w:rPr>
              <w:t>Other</w:t>
            </w:r>
            <w:r>
              <w:rPr>
                <w:spacing w:val="-3"/>
                <w:sz w:val="20"/>
              </w:rPr>
              <w:t xml:space="preserve"> </w:t>
            </w:r>
            <w:r>
              <w:rPr>
                <w:sz w:val="20"/>
              </w:rPr>
              <w:t>noncurrent</w:t>
            </w:r>
            <w:r>
              <w:rPr>
                <w:spacing w:val="-3"/>
                <w:sz w:val="20"/>
              </w:rPr>
              <w:t xml:space="preserve"> </w:t>
            </w:r>
            <w:r>
              <w:rPr>
                <w:spacing w:val="-2"/>
                <w:sz w:val="20"/>
              </w:rPr>
              <w:t>assets</w:t>
            </w:r>
          </w:p>
        </w:tc>
        <w:tc>
          <w:tcPr>
            <w:tcW w:w="3448" w:type="dxa"/>
            <w:tcBorders>
              <w:bottom w:val="single" w:sz="8" w:space="0" w:color="CCEDFF"/>
            </w:tcBorders>
            <w:shd w:val="clear" w:color="auto" w:fill="CCEDFF"/>
          </w:tcPr>
          <w:p w14:paraId="2BE6241B" w14:textId="77777777" w:rsidR="00AE2255" w:rsidRDefault="00000000">
            <w:pPr>
              <w:pStyle w:val="TableParagraph"/>
              <w:spacing w:line="230" w:lineRule="exact"/>
              <w:ind w:right="135"/>
              <w:rPr>
                <w:b/>
                <w:sz w:val="20"/>
              </w:rPr>
            </w:pPr>
            <w:r>
              <w:rPr>
                <w:b/>
                <w:spacing w:val="-2"/>
                <w:sz w:val="20"/>
              </w:rPr>
              <w:t>6,931</w:t>
            </w:r>
          </w:p>
        </w:tc>
        <w:tc>
          <w:tcPr>
            <w:tcW w:w="1024" w:type="dxa"/>
            <w:tcBorders>
              <w:bottom w:val="single" w:sz="8" w:space="0" w:color="CCEDFF"/>
            </w:tcBorders>
            <w:shd w:val="clear" w:color="auto" w:fill="CCEDFF"/>
          </w:tcPr>
          <w:p w14:paraId="3703E1F9" w14:textId="77777777" w:rsidR="00AE2255" w:rsidRDefault="00000000">
            <w:pPr>
              <w:pStyle w:val="TableParagraph"/>
              <w:spacing w:line="230" w:lineRule="exact"/>
              <w:ind w:right="79"/>
              <w:rPr>
                <w:sz w:val="20"/>
              </w:rPr>
            </w:pPr>
            <w:r>
              <w:rPr>
                <w:spacing w:val="-2"/>
                <w:sz w:val="20"/>
              </w:rPr>
              <w:t>7,652</w:t>
            </w:r>
          </w:p>
        </w:tc>
      </w:tr>
      <w:tr w:rsidR="00AE2255" w14:paraId="2DF96553" w14:textId="77777777">
        <w:trPr>
          <w:trHeight w:val="265"/>
        </w:trPr>
        <w:tc>
          <w:tcPr>
            <w:tcW w:w="5773" w:type="dxa"/>
            <w:tcBorders>
              <w:top w:val="single" w:sz="8" w:space="0" w:color="auto"/>
              <w:bottom w:val="single" w:sz="8" w:space="0" w:color="auto"/>
            </w:tcBorders>
          </w:tcPr>
          <w:p w14:paraId="593268C2" w14:textId="77777777" w:rsidR="00AE2255" w:rsidRDefault="00000000">
            <w:pPr>
              <w:pStyle w:val="TableParagraph"/>
              <w:spacing w:before="17" w:line="228" w:lineRule="exact"/>
              <w:ind w:left="412"/>
              <w:jc w:val="left"/>
              <w:rPr>
                <w:sz w:val="20"/>
              </w:rPr>
            </w:pPr>
            <w:r>
              <w:rPr>
                <w:sz w:val="20"/>
              </w:rPr>
              <w:t>Total</w:t>
            </w:r>
            <w:r>
              <w:rPr>
                <w:spacing w:val="-4"/>
                <w:sz w:val="20"/>
              </w:rPr>
              <w:t xml:space="preserve"> </w:t>
            </w:r>
            <w:r>
              <w:rPr>
                <w:spacing w:val="-2"/>
                <w:sz w:val="20"/>
              </w:rPr>
              <w:t>assets</w:t>
            </w:r>
          </w:p>
        </w:tc>
        <w:tc>
          <w:tcPr>
            <w:tcW w:w="3448" w:type="dxa"/>
            <w:tcBorders>
              <w:top w:val="single" w:sz="8" w:space="0" w:color="auto"/>
              <w:bottom w:val="single" w:sz="8" w:space="0" w:color="auto"/>
            </w:tcBorders>
          </w:tcPr>
          <w:p w14:paraId="7DE9CBC4" w14:textId="77777777" w:rsidR="00AE2255" w:rsidRDefault="00000000">
            <w:pPr>
              <w:pStyle w:val="TableParagraph"/>
              <w:tabs>
                <w:tab w:val="left" w:pos="320"/>
              </w:tabs>
              <w:spacing w:before="15" w:line="230" w:lineRule="exact"/>
              <w:ind w:right="135"/>
              <w:rPr>
                <w:b/>
                <w:sz w:val="20"/>
              </w:rPr>
            </w:pPr>
            <w:r>
              <w:rPr>
                <w:b/>
                <w:spacing w:val="-10"/>
                <w:sz w:val="20"/>
              </w:rPr>
              <w:t>$</w:t>
            </w:r>
            <w:r>
              <w:rPr>
                <w:b/>
                <w:sz w:val="20"/>
              </w:rPr>
              <w:tab/>
            </w:r>
            <w:r>
              <w:rPr>
                <w:b/>
                <w:spacing w:val="-2"/>
                <w:sz w:val="20"/>
              </w:rPr>
              <w:t>52,880</w:t>
            </w:r>
          </w:p>
        </w:tc>
        <w:tc>
          <w:tcPr>
            <w:tcW w:w="1024" w:type="dxa"/>
            <w:tcBorders>
              <w:top w:val="single" w:sz="8" w:space="0" w:color="auto"/>
              <w:bottom w:val="single" w:sz="8" w:space="0" w:color="auto"/>
            </w:tcBorders>
          </w:tcPr>
          <w:p w14:paraId="0D3B109F" w14:textId="77777777" w:rsidR="00AE2255" w:rsidRDefault="00000000">
            <w:pPr>
              <w:pStyle w:val="TableParagraph"/>
              <w:tabs>
                <w:tab w:val="left" w:pos="392"/>
              </w:tabs>
              <w:spacing w:before="15" w:line="230" w:lineRule="exact"/>
              <w:ind w:left="71"/>
              <w:jc w:val="left"/>
              <w:rPr>
                <w:sz w:val="20"/>
              </w:rPr>
            </w:pPr>
            <w:r>
              <w:rPr>
                <w:spacing w:val="-10"/>
                <w:sz w:val="20"/>
              </w:rPr>
              <w:t>$</w:t>
            </w:r>
            <w:r>
              <w:rPr>
                <w:sz w:val="20"/>
              </w:rPr>
              <w:tab/>
            </w:r>
            <w:r>
              <w:rPr>
                <w:spacing w:val="-2"/>
                <w:sz w:val="20"/>
              </w:rPr>
              <w:t>50,873</w:t>
            </w:r>
          </w:p>
        </w:tc>
      </w:tr>
      <w:tr w:rsidR="00AE2255" w14:paraId="173C3BDF" w14:textId="77777777">
        <w:trPr>
          <w:trHeight w:val="275"/>
        </w:trPr>
        <w:tc>
          <w:tcPr>
            <w:tcW w:w="5773" w:type="dxa"/>
            <w:tcBorders>
              <w:top w:val="single" w:sz="8" w:space="0" w:color="CCEDFF"/>
            </w:tcBorders>
            <w:shd w:val="clear" w:color="auto" w:fill="CCEDFF"/>
          </w:tcPr>
          <w:p w14:paraId="53B0F885" w14:textId="77777777" w:rsidR="00AE2255" w:rsidRDefault="00000000">
            <w:pPr>
              <w:pStyle w:val="TableParagraph"/>
              <w:spacing w:before="13"/>
              <w:ind w:left="52"/>
              <w:jc w:val="left"/>
              <w:rPr>
                <w:b/>
                <w:sz w:val="20"/>
              </w:rPr>
            </w:pPr>
            <w:r>
              <w:rPr>
                <w:b/>
                <w:sz w:val="20"/>
              </w:rPr>
              <w:t>Liabilities</w:t>
            </w:r>
            <w:r>
              <w:rPr>
                <w:b/>
                <w:spacing w:val="-8"/>
                <w:sz w:val="20"/>
              </w:rPr>
              <w:t xml:space="preserve"> </w:t>
            </w:r>
            <w:r>
              <w:rPr>
                <w:b/>
                <w:sz w:val="20"/>
              </w:rPr>
              <w:t>and</w:t>
            </w:r>
            <w:r>
              <w:rPr>
                <w:b/>
                <w:spacing w:val="-5"/>
                <w:sz w:val="20"/>
              </w:rPr>
              <w:t xml:space="preserve"> </w:t>
            </w:r>
            <w:r>
              <w:rPr>
                <w:b/>
                <w:spacing w:val="-2"/>
                <w:sz w:val="20"/>
              </w:rPr>
              <w:t>equity</w:t>
            </w:r>
          </w:p>
        </w:tc>
        <w:tc>
          <w:tcPr>
            <w:tcW w:w="3448" w:type="dxa"/>
            <w:tcBorders>
              <w:top w:val="single" w:sz="8" w:space="0" w:color="CCEDFF"/>
            </w:tcBorders>
            <w:shd w:val="clear" w:color="auto" w:fill="CCEDFF"/>
          </w:tcPr>
          <w:p w14:paraId="473AD837"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37857DEA" w14:textId="77777777" w:rsidR="00AE2255" w:rsidRDefault="00AE2255">
            <w:pPr>
              <w:pStyle w:val="TableParagraph"/>
              <w:spacing w:before="0"/>
              <w:jc w:val="left"/>
              <w:rPr>
                <w:sz w:val="20"/>
              </w:rPr>
            </w:pPr>
          </w:p>
        </w:tc>
      </w:tr>
      <w:tr w:rsidR="00AE2255" w14:paraId="54E6BBA6" w14:textId="77777777">
        <w:trPr>
          <w:trHeight w:val="285"/>
        </w:trPr>
        <w:tc>
          <w:tcPr>
            <w:tcW w:w="5773" w:type="dxa"/>
          </w:tcPr>
          <w:p w14:paraId="7CD1A6E2" w14:textId="77777777" w:rsidR="00AE2255" w:rsidRDefault="00000000">
            <w:pPr>
              <w:pStyle w:val="TableParagraph"/>
              <w:spacing w:before="27"/>
              <w:ind w:left="52"/>
              <w:jc w:val="left"/>
              <w:rPr>
                <w:sz w:val="20"/>
              </w:rPr>
            </w:pPr>
            <w:r>
              <w:rPr>
                <w:sz w:val="20"/>
              </w:rPr>
              <w:t>Current</w:t>
            </w:r>
            <w:r>
              <w:rPr>
                <w:spacing w:val="-3"/>
                <w:sz w:val="20"/>
              </w:rPr>
              <w:t xml:space="preserve"> </w:t>
            </w:r>
            <w:r>
              <w:rPr>
                <w:spacing w:val="-2"/>
                <w:sz w:val="20"/>
              </w:rPr>
              <w:t>liabilities</w:t>
            </w:r>
          </w:p>
        </w:tc>
        <w:tc>
          <w:tcPr>
            <w:tcW w:w="3448" w:type="dxa"/>
          </w:tcPr>
          <w:p w14:paraId="11FC3A3E" w14:textId="77777777" w:rsidR="00AE2255" w:rsidRDefault="00AE2255">
            <w:pPr>
              <w:pStyle w:val="TableParagraph"/>
              <w:spacing w:before="0"/>
              <w:jc w:val="left"/>
              <w:rPr>
                <w:sz w:val="20"/>
              </w:rPr>
            </w:pPr>
          </w:p>
        </w:tc>
        <w:tc>
          <w:tcPr>
            <w:tcW w:w="1024" w:type="dxa"/>
          </w:tcPr>
          <w:p w14:paraId="14532608" w14:textId="77777777" w:rsidR="00AE2255" w:rsidRDefault="00AE2255">
            <w:pPr>
              <w:pStyle w:val="TableParagraph"/>
              <w:spacing w:before="0"/>
              <w:jc w:val="left"/>
              <w:rPr>
                <w:sz w:val="20"/>
              </w:rPr>
            </w:pPr>
          </w:p>
        </w:tc>
      </w:tr>
      <w:tr w:rsidR="00AE2255" w14:paraId="33729B80" w14:textId="77777777">
        <w:trPr>
          <w:trHeight w:val="285"/>
        </w:trPr>
        <w:tc>
          <w:tcPr>
            <w:tcW w:w="5773" w:type="dxa"/>
            <w:shd w:val="clear" w:color="auto" w:fill="CCEDFF"/>
          </w:tcPr>
          <w:p w14:paraId="32B9B8BB" w14:textId="77777777" w:rsidR="00AE2255" w:rsidRDefault="00000000">
            <w:pPr>
              <w:pStyle w:val="TableParagraph"/>
              <w:spacing w:before="27"/>
              <w:ind w:left="187"/>
              <w:jc w:val="left"/>
              <w:rPr>
                <w:sz w:val="20"/>
              </w:rPr>
            </w:pPr>
            <w:r>
              <w:rPr>
                <w:sz w:val="20"/>
              </w:rPr>
              <w:t>Accounts</w:t>
            </w:r>
            <w:r>
              <w:rPr>
                <w:spacing w:val="-5"/>
                <w:sz w:val="20"/>
              </w:rPr>
              <w:t xml:space="preserve"> </w:t>
            </w:r>
            <w:r>
              <w:rPr>
                <w:spacing w:val="-2"/>
                <w:sz w:val="20"/>
              </w:rPr>
              <w:t>payable</w:t>
            </w:r>
          </w:p>
        </w:tc>
        <w:tc>
          <w:tcPr>
            <w:tcW w:w="3448" w:type="dxa"/>
            <w:shd w:val="clear" w:color="auto" w:fill="CCEDFF"/>
          </w:tcPr>
          <w:p w14:paraId="19F0A737" w14:textId="77777777" w:rsidR="00AE2255" w:rsidRDefault="00000000">
            <w:pPr>
              <w:pStyle w:val="TableParagraph"/>
              <w:tabs>
                <w:tab w:val="left" w:pos="420"/>
              </w:tabs>
              <w:ind w:right="135"/>
              <w:rPr>
                <w:b/>
                <w:sz w:val="20"/>
              </w:rPr>
            </w:pPr>
            <w:r>
              <w:rPr>
                <w:b/>
                <w:spacing w:val="-10"/>
                <w:sz w:val="20"/>
              </w:rPr>
              <w:t>$</w:t>
            </w:r>
            <w:r>
              <w:rPr>
                <w:b/>
                <w:sz w:val="20"/>
              </w:rPr>
              <w:tab/>
            </w:r>
            <w:r>
              <w:rPr>
                <w:b/>
                <w:spacing w:val="-2"/>
                <w:sz w:val="20"/>
              </w:rPr>
              <w:t>2,117</w:t>
            </w:r>
          </w:p>
        </w:tc>
        <w:tc>
          <w:tcPr>
            <w:tcW w:w="1024" w:type="dxa"/>
            <w:shd w:val="clear" w:color="auto" w:fill="CCEDFF"/>
          </w:tcPr>
          <w:p w14:paraId="404BB52F" w14:textId="77777777" w:rsidR="00AE2255" w:rsidRDefault="00000000">
            <w:pPr>
              <w:pStyle w:val="TableParagraph"/>
              <w:tabs>
                <w:tab w:val="left" w:pos="642"/>
              </w:tabs>
              <w:ind w:left="71"/>
              <w:jc w:val="left"/>
              <w:rPr>
                <w:sz w:val="20"/>
              </w:rPr>
            </w:pPr>
            <w:r>
              <w:rPr>
                <w:spacing w:val="-10"/>
                <w:sz w:val="20"/>
              </w:rPr>
              <w:t>$</w:t>
            </w:r>
            <w:r>
              <w:rPr>
                <w:sz w:val="20"/>
              </w:rPr>
              <w:tab/>
            </w:r>
            <w:r>
              <w:rPr>
                <w:spacing w:val="-5"/>
                <w:sz w:val="20"/>
              </w:rPr>
              <w:t>780</w:t>
            </w:r>
          </w:p>
        </w:tc>
      </w:tr>
      <w:tr w:rsidR="00AE2255" w14:paraId="4A99F872" w14:textId="77777777">
        <w:trPr>
          <w:trHeight w:val="285"/>
        </w:trPr>
        <w:tc>
          <w:tcPr>
            <w:tcW w:w="5773" w:type="dxa"/>
          </w:tcPr>
          <w:p w14:paraId="4EC445A8" w14:textId="77777777" w:rsidR="00AE2255" w:rsidRDefault="00000000">
            <w:pPr>
              <w:pStyle w:val="TableParagraph"/>
              <w:spacing w:before="27"/>
              <w:ind w:left="187"/>
              <w:jc w:val="left"/>
              <w:rPr>
                <w:sz w:val="20"/>
              </w:rPr>
            </w:pPr>
            <w:r>
              <w:rPr>
                <w:sz w:val="20"/>
              </w:rPr>
              <w:t>Salaries,</w:t>
            </w:r>
            <w:r>
              <w:rPr>
                <w:spacing w:val="-4"/>
                <w:sz w:val="20"/>
              </w:rPr>
              <w:t xml:space="preserve"> </w:t>
            </w:r>
            <w:proofErr w:type="gramStart"/>
            <w:r>
              <w:rPr>
                <w:sz w:val="20"/>
              </w:rPr>
              <w:t>benefits</w:t>
            </w:r>
            <w:proofErr w:type="gramEnd"/>
            <w:r>
              <w:rPr>
                <w:spacing w:val="-4"/>
                <w:sz w:val="20"/>
              </w:rPr>
              <w:t xml:space="preserve"> </w:t>
            </w:r>
            <w:r>
              <w:rPr>
                <w:sz w:val="20"/>
              </w:rPr>
              <w:t>and</w:t>
            </w:r>
            <w:r>
              <w:rPr>
                <w:spacing w:val="-4"/>
                <w:sz w:val="20"/>
              </w:rPr>
              <w:t xml:space="preserve"> </w:t>
            </w:r>
            <w:r>
              <w:rPr>
                <w:sz w:val="20"/>
              </w:rPr>
              <w:t>payroll</w:t>
            </w:r>
            <w:r>
              <w:rPr>
                <w:spacing w:val="-4"/>
                <w:sz w:val="20"/>
              </w:rPr>
              <w:t xml:space="preserve"> </w:t>
            </w:r>
            <w:r>
              <w:rPr>
                <w:spacing w:val="-2"/>
                <w:sz w:val="20"/>
              </w:rPr>
              <w:t>taxes</w:t>
            </w:r>
          </w:p>
        </w:tc>
        <w:tc>
          <w:tcPr>
            <w:tcW w:w="3448" w:type="dxa"/>
          </w:tcPr>
          <w:p w14:paraId="5AB114CC" w14:textId="77777777" w:rsidR="00AE2255" w:rsidRDefault="00000000">
            <w:pPr>
              <w:pStyle w:val="TableParagraph"/>
              <w:ind w:right="135"/>
              <w:rPr>
                <w:b/>
                <w:sz w:val="20"/>
              </w:rPr>
            </w:pPr>
            <w:r>
              <w:rPr>
                <w:b/>
                <w:spacing w:val="-2"/>
                <w:sz w:val="20"/>
              </w:rPr>
              <w:t>3,075</w:t>
            </w:r>
          </w:p>
        </w:tc>
        <w:tc>
          <w:tcPr>
            <w:tcW w:w="1024" w:type="dxa"/>
          </w:tcPr>
          <w:p w14:paraId="5677BCFC" w14:textId="77777777" w:rsidR="00AE2255" w:rsidRDefault="00000000">
            <w:pPr>
              <w:pStyle w:val="TableParagraph"/>
              <w:ind w:right="79"/>
              <w:rPr>
                <w:sz w:val="20"/>
              </w:rPr>
            </w:pPr>
            <w:r>
              <w:rPr>
                <w:spacing w:val="-2"/>
                <w:sz w:val="20"/>
              </w:rPr>
              <w:t>3,108</w:t>
            </w:r>
          </w:p>
        </w:tc>
      </w:tr>
      <w:tr w:rsidR="00AE2255" w14:paraId="4F0BC6B1" w14:textId="77777777">
        <w:trPr>
          <w:trHeight w:val="285"/>
        </w:trPr>
        <w:tc>
          <w:tcPr>
            <w:tcW w:w="5773" w:type="dxa"/>
            <w:shd w:val="clear" w:color="auto" w:fill="CCEDFF"/>
          </w:tcPr>
          <w:p w14:paraId="0FDD12A5" w14:textId="77777777" w:rsidR="00AE2255" w:rsidRDefault="00000000">
            <w:pPr>
              <w:pStyle w:val="TableParagraph"/>
              <w:spacing w:before="27"/>
              <w:ind w:left="187"/>
              <w:jc w:val="left"/>
              <w:rPr>
                <w:sz w:val="20"/>
              </w:rPr>
            </w:pPr>
            <w:r>
              <w:rPr>
                <w:sz w:val="20"/>
              </w:rPr>
              <w:t>Contract</w:t>
            </w:r>
            <w:r>
              <w:rPr>
                <w:spacing w:val="-5"/>
                <w:sz w:val="20"/>
              </w:rPr>
              <w:t xml:space="preserve"> </w:t>
            </w:r>
            <w:r>
              <w:rPr>
                <w:spacing w:val="-2"/>
                <w:sz w:val="20"/>
              </w:rPr>
              <w:t>liabilities</w:t>
            </w:r>
          </w:p>
        </w:tc>
        <w:tc>
          <w:tcPr>
            <w:tcW w:w="3448" w:type="dxa"/>
            <w:shd w:val="clear" w:color="auto" w:fill="CCEDFF"/>
          </w:tcPr>
          <w:p w14:paraId="2F2106A1" w14:textId="77777777" w:rsidR="00AE2255" w:rsidRDefault="00000000">
            <w:pPr>
              <w:pStyle w:val="TableParagraph"/>
              <w:ind w:right="135"/>
              <w:rPr>
                <w:b/>
                <w:sz w:val="20"/>
              </w:rPr>
            </w:pPr>
            <w:r>
              <w:rPr>
                <w:b/>
                <w:spacing w:val="-2"/>
                <w:sz w:val="20"/>
              </w:rPr>
              <w:t>8,488</w:t>
            </w:r>
          </w:p>
        </w:tc>
        <w:tc>
          <w:tcPr>
            <w:tcW w:w="1024" w:type="dxa"/>
            <w:shd w:val="clear" w:color="auto" w:fill="CCEDFF"/>
          </w:tcPr>
          <w:p w14:paraId="21081B4B" w14:textId="77777777" w:rsidR="00AE2255" w:rsidRDefault="00000000">
            <w:pPr>
              <w:pStyle w:val="TableParagraph"/>
              <w:ind w:right="79"/>
              <w:rPr>
                <w:sz w:val="20"/>
              </w:rPr>
            </w:pPr>
            <w:r>
              <w:rPr>
                <w:spacing w:val="-2"/>
                <w:sz w:val="20"/>
              </w:rPr>
              <w:t>8,107</w:t>
            </w:r>
          </w:p>
        </w:tc>
      </w:tr>
      <w:tr w:rsidR="00AE2255" w14:paraId="771D810C" w14:textId="77777777">
        <w:trPr>
          <w:trHeight w:val="275"/>
        </w:trPr>
        <w:tc>
          <w:tcPr>
            <w:tcW w:w="5773" w:type="dxa"/>
            <w:tcBorders>
              <w:bottom w:val="single" w:sz="8" w:space="0" w:color="auto"/>
            </w:tcBorders>
          </w:tcPr>
          <w:p w14:paraId="11D241DB"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z w:val="20"/>
              </w:rPr>
              <w:t>current</w:t>
            </w:r>
            <w:r>
              <w:rPr>
                <w:spacing w:val="-3"/>
                <w:sz w:val="20"/>
              </w:rPr>
              <w:t xml:space="preserve"> </w:t>
            </w:r>
            <w:r>
              <w:rPr>
                <w:spacing w:val="-2"/>
                <w:sz w:val="20"/>
              </w:rPr>
              <w:t>liabilities</w:t>
            </w:r>
          </w:p>
        </w:tc>
        <w:tc>
          <w:tcPr>
            <w:tcW w:w="3448" w:type="dxa"/>
            <w:tcBorders>
              <w:bottom w:val="single" w:sz="8" w:space="0" w:color="auto"/>
            </w:tcBorders>
          </w:tcPr>
          <w:p w14:paraId="4A3521F6" w14:textId="77777777" w:rsidR="00AE2255" w:rsidRDefault="00000000">
            <w:pPr>
              <w:pStyle w:val="TableParagraph"/>
              <w:spacing w:line="230" w:lineRule="exact"/>
              <w:ind w:right="135"/>
              <w:rPr>
                <w:b/>
                <w:sz w:val="20"/>
              </w:rPr>
            </w:pPr>
            <w:r>
              <w:rPr>
                <w:b/>
                <w:spacing w:val="-2"/>
                <w:sz w:val="20"/>
              </w:rPr>
              <w:t>2,207</w:t>
            </w:r>
          </w:p>
        </w:tc>
        <w:tc>
          <w:tcPr>
            <w:tcW w:w="1024" w:type="dxa"/>
            <w:tcBorders>
              <w:bottom w:val="single" w:sz="8" w:space="0" w:color="auto"/>
            </w:tcBorders>
          </w:tcPr>
          <w:p w14:paraId="7364A511" w14:textId="77777777" w:rsidR="00AE2255" w:rsidRDefault="00000000">
            <w:pPr>
              <w:pStyle w:val="TableParagraph"/>
              <w:spacing w:line="230" w:lineRule="exact"/>
              <w:ind w:right="79"/>
              <w:rPr>
                <w:sz w:val="20"/>
              </w:rPr>
            </w:pPr>
            <w:r>
              <w:rPr>
                <w:spacing w:val="-2"/>
                <w:sz w:val="20"/>
              </w:rPr>
              <w:t>2,002</w:t>
            </w:r>
          </w:p>
        </w:tc>
      </w:tr>
      <w:tr w:rsidR="00AE2255" w14:paraId="648954DC" w14:textId="77777777">
        <w:trPr>
          <w:trHeight w:val="275"/>
        </w:trPr>
        <w:tc>
          <w:tcPr>
            <w:tcW w:w="5773" w:type="dxa"/>
            <w:tcBorders>
              <w:top w:val="single" w:sz="8" w:space="0" w:color="CCEDFF"/>
            </w:tcBorders>
            <w:shd w:val="clear" w:color="auto" w:fill="CCEDFF"/>
          </w:tcPr>
          <w:p w14:paraId="41EC9D93" w14:textId="77777777" w:rsidR="00AE2255" w:rsidRDefault="00000000">
            <w:pPr>
              <w:pStyle w:val="TableParagraph"/>
              <w:spacing w:before="17"/>
              <w:ind w:left="412"/>
              <w:jc w:val="left"/>
              <w:rPr>
                <w:sz w:val="20"/>
              </w:rPr>
            </w:pPr>
            <w:r>
              <w:rPr>
                <w:sz w:val="20"/>
              </w:rPr>
              <w:t>Total</w:t>
            </w:r>
            <w:r>
              <w:rPr>
                <w:spacing w:val="-4"/>
                <w:sz w:val="20"/>
              </w:rPr>
              <w:t xml:space="preserve"> </w:t>
            </w:r>
            <w:r>
              <w:rPr>
                <w:sz w:val="20"/>
              </w:rPr>
              <w:t>current</w:t>
            </w:r>
            <w:r>
              <w:rPr>
                <w:spacing w:val="-3"/>
                <w:sz w:val="20"/>
              </w:rPr>
              <w:t xml:space="preserve"> </w:t>
            </w:r>
            <w:r>
              <w:rPr>
                <w:spacing w:val="-2"/>
                <w:sz w:val="20"/>
              </w:rPr>
              <w:t>liabilities</w:t>
            </w:r>
          </w:p>
        </w:tc>
        <w:tc>
          <w:tcPr>
            <w:tcW w:w="3448" w:type="dxa"/>
            <w:tcBorders>
              <w:top w:val="single" w:sz="8" w:space="0" w:color="CCEDFF"/>
            </w:tcBorders>
            <w:shd w:val="clear" w:color="auto" w:fill="CCEDFF"/>
          </w:tcPr>
          <w:p w14:paraId="2D65DFC1" w14:textId="77777777" w:rsidR="00AE2255" w:rsidRDefault="00000000">
            <w:pPr>
              <w:pStyle w:val="TableParagraph"/>
              <w:spacing w:before="15"/>
              <w:ind w:right="135"/>
              <w:rPr>
                <w:b/>
                <w:sz w:val="20"/>
              </w:rPr>
            </w:pPr>
            <w:r>
              <w:rPr>
                <w:b/>
                <w:spacing w:val="-2"/>
                <w:sz w:val="20"/>
              </w:rPr>
              <w:t>15,887</w:t>
            </w:r>
          </w:p>
        </w:tc>
        <w:tc>
          <w:tcPr>
            <w:tcW w:w="1024" w:type="dxa"/>
            <w:tcBorders>
              <w:top w:val="single" w:sz="8" w:space="0" w:color="CCEDFF"/>
            </w:tcBorders>
            <w:shd w:val="clear" w:color="auto" w:fill="CCEDFF"/>
          </w:tcPr>
          <w:p w14:paraId="3845B04D" w14:textId="77777777" w:rsidR="00AE2255" w:rsidRDefault="00000000">
            <w:pPr>
              <w:pStyle w:val="TableParagraph"/>
              <w:spacing w:before="15"/>
              <w:ind w:right="79"/>
              <w:rPr>
                <w:sz w:val="20"/>
              </w:rPr>
            </w:pPr>
            <w:r>
              <w:rPr>
                <w:spacing w:val="-2"/>
                <w:sz w:val="20"/>
              </w:rPr>
              <w:t>13,997</w:t>
            </w:r>
          </w:p>
        </w:tc>
      </w:tr>
      <w:tr w:rsidR="00AE2255" w14:paraId="33F632AD" w14:textId="77777777">
        <w:trPr>
          <w:trHeight w:val="285"/>
        </w:trPr>
        <w:tc>
          <w:tcPr>
            <w:tcW w:w="5773" w:type="dxa"/>
          </w:tcPr>
          <w:p w14:paraId="0389626E" w14:textId="77777777" w:rsidR="00AE2255" w:rsidRDefault="00000000">
            <w:pPr>
              <w:pStyle w:val="TableParagraph"/>
              <w:spacing w:before="27"/>
              <w:ind w:left="52"/>
              <w:jc w:val="left"/>
              <w:rPr>
                <w:sz w:val="20"/>
              </w:rPr>
            </w:pPr>
            <w:r>
              <w:rPr>
                <w:sz w:val="20"/>
              </w:rPr>
              <w:t>Long-term</w:t>
            </w:r>
            <w:r>
              <w:rPr>
                <w:spacing w:val="-4"/>
                <w:sz w:val="20"/>
              </w:rPr>
              <w:t xml:space="preserve"> </w:t>
            </w:r>
            <w:r>
              <w:rPr>
                <w:sz w:val="20"/>
              </w:rPr>
              <w:t>debt,</w:t>
            </w:r>
            <w:r>
              <w:rPr>
                <w:spacing w:val="-2"/>
                <w:sz w:val="20"/>
              </w:rPr>
              <w:t xml:space="preserve"> </w:t>
            </w:r>
            <w:r>
              <w:rPr>
                <w:spacing w:val="-5"/>
                <w:sz w:val="20"/>
              </w:rPr>
              <w:t>net</w:t>
            </w:r>
          </w:p>
        </w:tc>
        <w:tc>
          <w:tcPr>
            <w:tcW w:w="3448" w:type="dxa"/>
          </w:tcPr>
          <w:p w14:paraId="4891B5A8" w14:textId="77777777" w:rsidR="00AE2255" w:rsidRDefault="00000000">
            <w:pPr>
              <w:pStyle w:val="TableParagraph"/>
              <w:ind w:right="135"/>
              <w:rPr>
                <w:b/>
                <w:sz w:val="20"/>
              </w:rPr>
            </w:pPr>
            <w:r>
              <w:rPr>
                <w:b/>
                <w:spacing w:val="-2"/>
                <w:sz w:val="20"/>
              </w:rPr>
              <w:t>15,429</w:t>
            </w:r>
          </w:p>
        </w:tc>
        <w:tc>
          <w:tcPr>
            <w:tcW w:w="1024" w:type="dxa"/>
          </w:tcPr>
          <w:p w14:paraId="18F2C181" w14:textId="77777777" w:rsidR="00AE2255" w:rsidRDefault="00000000">
            <w:pPr>
              <w:pStyle w:val="TableParagraph"/>
              <w:ind w:right="79"/>
              <w:rPr>
                <w:sz w:val="20"/>
              </w:rPr>
            </w:pPr>
            <w:r>
              <w:rPr>
                <w:spacing w:val="-2"/>
                <w:sz w:val="20"/>
              </w:rPr>
              <w:t>11,670</w:t>
            </w:r>
          </w:p>
        </w:tc>
      </w:tr>
      <w:tr w:rsidR="00AE2255" w14:paraId="2F848B68" w14:textId="77777777">
        <w:trPr>
          <w:trHeight w:val="285"/>
        </w:trPr>
        <w:tc>
          <w:tcPr>
            <w:tcW w:w="5773" w:type="dxa"/>
            <w:shd w:val="clear" w:color="auto" w:fill="CCEDFF"/>
          </w:tcPr>
          <w:p w14:paraId="0702F543" w14:textId="77777777" w:rsidR="00AE2255" w:rsidRDefault="00000000">
            <w:pPr>
              <w:pStyle w:val="TableParagraph"/>
              <w:spacing w:before="27"/>
              <w:ind w:left="52"/>
              <w:jc w:val="left"/>
              <w:rPr>
                <w:sz w:val="20"/>
              </w:rPr>
            </w:pPr>
            <w:r>
              <w:rPr>
                <w:sz w:val="20"/>
              </w:rPr>
              <w:t>Accrued</w:t>
            </w:r>
            <w:r>
              <w:rPr>
                <w:spacing w:val="-4"/>
                <w:sz w:val="20"/>
              </w:rPr>
              <w:t xml:space="preserve"> </w:t>
            </w:r>
            <w:r>
              <w:rPr>
                <w:sz w:val="20"/>
              </w:rPr>
              <w:t>pension</w:t>
            </w:r>
            <w:r>
              <w:rPr>
                <w:spacing w:val="-3"/>
                <w:sz w:val="20"/>
              </w:rPr>
              <w:t xml:space="preserve"> </w:t>
            </w:r>
            <w:r>
              <w:rPr>
                <w:spacing w:val="-2"/>
                <w:sz w:val="20"/>
              </w:rPr>
              <w:t>liabilities</w:t>
            </w:r>
          </w:p>
        </w:tc>
        <w:tc>
          <w:tcPr>
            <w:tcW w:w="3448" w:type="dxa"/>
            <w:shd w:val="clear" w:color="auto" w:fill="CCEDFF"/>
          </w:tcPr>
          <w:p w14:paraId="1787B9B9" w14:textId="77777777" w:rsidR="00AE2255" w:rsidRDefault="00000000">
            <w:pPr>
              <w:pStyle w:val="TableParagraph"/>
              <w:ind w:right="135"/>
              <w:rPr>
                <w:b/>
                <w:sz w:val="20"/>
              </w:rPr>
            </w:pPr>
            <w:r>
              <w:rPr>
                <w:b/>
                <w:spacing w:val="-2"/>
                <w:sz w:val="20"/>
              </w:rPr>
              <w:t>5,472</w:t>
            </w:r>
          </w:p>
        </w:tc>
        <w:tc>
          <w:tcPr>
            <w:tcW w:w="1024" w:type="dxa"/>
            <w:shd w:val="clear" w:color="auto" w:fill="CCEDFF"/>
          </w:tcPr>
          <w:p w14:paraId="4CECB264" w14:textId="77777777" w:rsidR="00AE2255" w:rsidRDefault="00000000">
            <w:pPr>
              <w:pStyle w:val="TableParagraph"/>
              <w:ind w:right="79"/>
              <w:rPr>
                <w:sz w:val="20"/>
              </w:rPr>
            </w:pPr>
            <w:r>
              <w:rPr>
                <w:spacing w:val="-2"/>
                <w:sz w:val="20"/>
              </w:rPr>
              <w:t>8,319</w:t>
            </w:r>
          </w:p>
        </w:tc>
      </w:tr>
      <w:tr w:rsidR="00AE2255" w14:paraId="40307027" w14:textId="77777777">
        <w:trPr>
          <w:trHeight w:val="275"/>
        </w:trPr>
        <w:tc>
          <w:tcPr>
            <w:tcW w:w="5773" w:type="dxa"/>
            <w:tcBorders>
              <w:bottom w:val="single" w:sz="8" w:space="0" w:color="auto"/>
            </w:tcBorders>
          </w:tcPr>
          <w:p w14:paraId="0AE4EFE6" w14:textId="77777777" w:rsidR="00AE2255" w:rsidRDefault="00000000">
            <w:pPr>
              <w:pStyle w:val="TableParagraph"/>
              <w:spacing w:before="27" w:line="228" w:lineRule="exact"/>
              <w:ind w:left="52"/>
              <w:jc w:val="left"/>
              <w:rPr>
                <w:sz w:val="20"/>
              </w:rPr>
            </w:pPr>
            <w:r>
              <w:rPr>
                <w:sz w:val="20"/>
              </w:rPr>
              <w:t>Other</w:t>
            </w:r>
            <w:r>
              <w:rPr>
                <w:spacing w:val="-3"/>
                <w:sz w:val="20"/>
              </w:rPr>
              <w:t xml:space="preserve"> </w:t>
            </w:r>
            <w:r>
              <w:rPr>
                <w:sz w:val="20"/>
              </w:rPr>
              <w:t>noncurrent</w:t>
            </w:r>
            <w:r>
              <w:rPr>
                <w:spacing w:val="-3"/>
                <w:sz w:val="20"/>
              </w:rPr>
              <w:t xml:space="preserve"> </w:t>
            </w:r>
            <w:r>
              <w:rPr>
                <w:spacing w:val="-2"/>
                <w:sz w:val="20"/>
              </w:rPr>
              <w:t>liabilities</w:t>
            </w:r>
          </w:p>
        </w:tc>
        <w:tc>
          <w:tcPr>
            <w:tcW w:w="3448" w:type="dxa"/>
            <w:tcBorders>
              <w:bottom w:val="single" w:sz="8" w:space="0" w:color="auto"/>
            </w:tcBorders>
          </w:tcPr>
          <w:p w14:paraId="0BD3F93D" w14:textId="77777777" w:rsidR="00AE2255" w:rsidRDefault="00000000">
            <w:pPr>
              <w:pStyle w:val="TableParagraph"/>
              <w:spacing w:line="230" w:lineRule="exact"/>
              <w:ind w:right="135"/>
              <w:rPr>
                <w:b/>
                <w:sz w:val="20"/>
              </w:rPr>
            </w:pPr>
            <w:r>
              <w:rPr>
                <w:b/>
                <w:spacing w:val="-2"/>
                <w:sz w:val="20"/>
              </w:rPr>
              <w:t>6,826</w:t>
            </w:r>
          </w:p>
        </w:tc>
        <w:tc>
          <w:tcPr>
            <w:tcW w:w="1024" w:type="dxa"/>
            <w:tcBorders>
              <w:bottom w:val="single" w:sz="8" w:space="0" w:color="auto"/>
            </w:tcBorders>
          </w:tcPr>
          <w:p w14:paraId="5E0D52DA" w14:textId="77777777" w:rsidR="00AE2255" w:rsidRDefault="00000000">
            <w:pPr>
              <w:pStyle w:val="TableParagraph"/>
              <w:spacing w:line="230" w:lineRule="exact"/>
              <w:ind w:right="79"/>
              <w:rPr>
                <w:sz w:val="20"/>
              </w:rPr>
            </w:pPr>
            <w:r>
              <w:rPr>
                <w:spacing w:val="-2"/>
                <w:sz w:val="20"/>
              </w:rPr>
              <w:t>5,928</w:t>
            </w:r>
          </w:p>
        </w:tc>
      </w:tr>
      <w:tr w:rsidR="00AE2255" w14:paraId="26E54D4B" w14:textId="77777777">
        <w:trPr>
          <w:trHeight w:val="275"/>
        </w:trPr>
        <w:tc>
          <w:tcPr>
            <w:tcW w:w="5773" w:type="dxa"/>
            <w:tcBorders>
              <w:top w:val="single" w:sz="8" w:space="0" w:color="CCEDFF"/>
            </w:tcBorders>
            <w:shd w:val="clear" w:color="auto" w:fill="CCEDFF"/>
          </w:tcPr>
          <w:p w14:paraId="1D4B64C8" w14:textId="77777777" w:rsidR="00AE2255" w:rsidRDefault="00000000">
            <w:pPr>
              <w:pStyle w:val="TableParagraph"/>
              <w:spacing w:before="17"/>
              <w:ind w:left="412"/>
              <w:jc w:val="left"/>
              <w:rPr>
                <w:sz w:val="20"/>
              </w:rPr>
            </w:pPr>
            <w:r>
              <w:rPr>
                <w:sz w:val="20"/>
              </w:rPr>
              <w:t>Total</w:t>
            </w:r>
            <w:r>
              <w:rPr>
                <w:spacing w:val="-4"/>
                <w:sz w:val="20"/>
              </w:rPr>
              <w:t xml:space="preserve"> </w:t>
            </w:r>
            <w:r>
              <w:rPr>
                <w:spacing w:val="-2"/>
                <w:sz w:val="20"/>
              </w:rPr>
              <w:t>liabilities</w:t>
            </w:r>
          </w:p>
        </w:tc>
        <w:tc>
          <w:tcPr>
            <w:tcW w:w="3448" w:type="dxa"/>
            <w:tcBorders>
              <w:top w:val="single" w:sz="8" w:space="0" w:color="CCEDFF"/>
            </w:tcBorders>
            <w:shd w:val="clear" w:color="auto" w:fill="CCEDFF"/>
          </w:tcPr>
          <w:p w14:paraId="7066139C" w14:textId="77777777" w:rsidR="00AE2255" w:rsidRDefault="00000000">
            <w:pPr>
              <w:pStyle w:val="TableParagraph"/>
              <w:spacing w:before="15"/>
              <w:ind w:right="135"/>
              <w:rPr>
                <w:b/>
                <w:sz w:val="20"/>
              </w:rPr>
            </w:pPr>
            <w:r>
              <w:rPr>
                <w:b/>
                <w:spacing w:val="-2"/>
                <w:sz w:val="20"/>
              </w:rPr>
              <w:t>43,614</w:t>
            </w:r>
          </w:p>
        </w:tc>
        <w:tc>
          <w:tcPr>
            <w:tcW w:w="1024" w:type="dxa"/>
            <w:tcBorders>
              <w:top w:val="single" w:sz="8" w:space="0" w:color="CCEDFF"/>
            </w:tcBorders>
            <w:shd w:val="clear" w:color="auto" w:fill="CCEDFF"/>
          </w:tcPr>
          <w:p w14:paraId="170B4867" w14:textId="77777777" w:rsidR="00AE2255" w:rsidRDefault="00000000">
            <w:pPr>
              <w:pStyle w:val="TableParagraph"/>
              <w:spacing w:before="15"/>
              <w:ind w:right="79"/>
              <w:rPr>
                <w:sz w:val="20"/>
              </w:rPr>
            </w:pPr>
            <w:r>
              <w:rPr>
                <w:spacing w:val="-2"/>
                <w:sz w:val="20"/>
              </w:rPr>
              <w:t>39,914</w:t>
            </w:r>
          </w:p>
        </w:tc>
      </w:tr>
      <w:tr w:rsidR="00AE2255" w14:paraId="3DE38277" w14:textId="77777777">
        <w:trPr>
          <w:trHeight w:val="285"/>
        </w:trPr>
        <w:tc>
          <w:tcPr>
            <w:tcW w:w="5773" w:type="dxa"/>
          </w:tcPr>
          <w:p w14:paraId="45D300BA" w14:textId="77777777" w:rsidR="00AE2255" w:rsidRDefault="00000000">
            <w:pPr>
              <w:pStyle w:val="TableParagraph"/>
              <w:spacing w:before="27"/>
              <w:ind w:left="52"/>
              <w:jc w:val="left"/>
              <w:rPr>
                <w:sz w:val="20"/>
              </w:rPr>
            </w:pPr>
            <w:r>
              <w:rPr>
                <w:sz w:val="20"/>
              </w:rPr>
              <w:t>Stockholders’</w:t>
            </w:r>
            <w:r>
              <w:rPr>
                <w:spacing w:val="-6"/>
                <w:sz w:val="20"/>
              </w:rPr>
              <w:t xml:space="preserve"> </w:t>
            </w:r>
            <w:r>
              <w:rPr>
                <w:spacing w:val="-2"/>
                <w:sz w:val="20"/>
              </w:rPr>
              <w:t>equity</w:t>
            </w:r>
          </w:p>
        </w:tc>
        <w:tc>
          <w:tcPr>
            <w:tcW w:w="3448" w:type="dxa"/>
          </w:tcPr>
          <w:p w14:paraId="4ACFA82D" w14:textId="77777777" w:rsidR="00AE2255" w:rsidRDefault="00AE2255">
            <w:pPr>
              <w:pStyle w:val="TableParagraph"/>
              <w:spacing w:before="0"/>
              <w:jc w:val="left"/>
              <w:rPr>
                <w:sz w:val="20"/>
              </w:rPr>
            </w:pPr>
          </w:p>
        </w:tc>
        <w:tc>
          <w:tcPr>
            <w:tcW w:w="1024" w:type="dxa"/>
          </w:tcPr>
          <w:p w14:paraId="1B73A090" w14:textId="77777777" w:rsidR="00AE2255" w:rsidRDefault="00AE2255">
            <w:pPr>
              <w:pStyle w:val="TableParagraph"/>
              <w:spacing w:before="0"/>
              <w:jc w:val="left"/>
              <w:rPr>
                <w:sz w:val="20"/>
              </w:rPr>
            </w:pPr>
          </w:p>
        </w:tc>
      </w:tr>
      <w:tr w:rsidR="00AE2255" w14:paraId="2BA9CFFA" w14:textId="77777777">
        <w:trPr>
          <w:trHeight w:val="285"/>
        </w:trPr>
        <w:tc>
          <w:tcPr>
            <w:tcW w:w="5773" w:type="dxa"/>
            <w:shd w:val="clear" w:color="auto" w:fill="CCEDFF"/>
          </w:tcPr>
          <w:p w14:paraId="5C10D403" w14:textId="77777777" w:rsidR="00AE2255" w:rsidRDefault="00000000">
            <w:pPr>
              <w:pStyle w:val="TableParagraph"/>
              <w:spacing w:before="27"/>
              <w:ind w:left="187"/>
              <w:jc w:val="left"/>
              <w:rPr>
                <w:sz w:val="20"/>
              </w:rPr>
            </w:pPr>
            <w:r>
              <w:rPr>
                <w:sz w:val="20"/>
              </w:rPr>
              <w:t>Common</w:t>
            </w:r>
            <w:r>
              <w:rPr>
                <w:spacing w:val="-2"/>
                <w:sz w:val="20"/>
              </w:rPr>
              <w:t xml:space="preserve"> </w:t>
            </w:r>
            <w:r>
              <w:rPr>
                <w:sz w:val="20"/>
              </w:rPr>
              <w:t>stock,</w:t>
            </w:r>
            <w:r>
              <w:rPr>
                <w:spacing w:val="-2"/>
                <w:sz w:val="20"/>
              </w:rPr>
              <w:t xml:space="preserve"> </w:t>
            </w:r>
            <w:r>
              <w:rPr>
                <w:sz w:val="20"/>
              </w:rPr>
              <w:t>$1</w:t>
            </w:r>
            <w:r>
              <w:rPr>
                <w:spacing w:val="-2"/>
                <w:sz w:val="20"/>
              </w:rPr>
              <w:t xml:space="preserve"> </w:t>
            </w:r>
            <w:r>
              <w:rPr>
                <w:sz w:val="20"/>
              </w:rPr>
              <w:t>par</w:t>
            </w:r>
            <w:r>
              <w:rPr>
                <w:spacing w:val="-1"/>
                <w:sz w:val="20"/>
              </w:rPr>
              <w:t xml:space="preserve"> </w:t>
            </w:r>
            <w:r>
              <w:rPr>
                <w:sz w:val="20"/>
              </w:rPr>
              <w:t>value</w:t>
            </w:r>
            <w:r>
              <w:rPr>
                <w:spacing w:val="-3"/>
                <w:sz w:val="20"/>
              </w:rPr>
              <w:t xml:space="preserve"> </w:t>
            </w:r>
            <w:r>
              <w:rPr>
                <w:sz w:val="20"/>
              </w:rPr>
              <w:t>per</w:t>
            </w:r>
            <w:r>
              <w:rPr>
                <w:spacing w:val="-1"/>
                <w:sz w:val="20"/>
              </w:rPr>
              <w:t xml:space="preserve"> </w:t>
            </w:r>
            <w:r>
              <w:rPr>
                <w:spacing w:val="-4"/>
                <w:sz w:val="20"/>
              </w:rPr>
              <w:t>share</w:t>
            </w:r>
          </w:p>
        </w:tc>
        <w:tc>
          <w:tcPr>
            <w:tcW w:w="3448" w:type="dxa"/>
            <w:shd w:val="clear" w:color="auto" w:fill="CCEDFF"/>
          </w:tcPr>
          <w:p w14:paraId="0CA26D8E" w14:textId="77777777" w:rsidR="00AE2255" w:rsidRDefault="00000000">
            <w:pPr>
              <w:pStyle w:val="TableParagraph"/>
              <w:ind w:right="135"/>
              <w:rPr>
                <w:b/>
                <w:sz w:val="20"/>
              </w:rPr>
            </w:pPr>
            <w:r>
              <w:rPr>
                <w:b/>
                <w:spacing w:val="-5"/>
                <w:sz w:val="20"/>
              </w:rPr>
              <w:t>254</w:t>
            </w:r>
          </w:p>
        </w:tc>
        <w:tc>
          <w:tcPr>
            <w:tcW w:w="1024" w:type="dxa"/>
            <w:shd w:val="clear" w:color="auto" w:fill="CCEDFF"/>
          </w:tcPr>
          <w:p w14:paraId="4E519ABB" w14:textId="77777777" w:rsidR="00AE2255" w:rsidRDefault="00000000">
            <w:pPr>
              <w:pStyle w:val="TableParagraph"/>
              <w:ind w:right="79"/>
              <w:rPr>
                <w:sz w:val="20"/>
              </w:rPr>
            </w:pPr>
            <w:r>
              <w:rPr>
                <w:spacing w:val="-5"/>
                <w:sz w:val="20"/>
              </w:rPr>
              <w:t>271</w:t>
            </w:r>
          </w:p>
        </w:tc>
      </w:tr>
      <w:tr w:rsidR="00AE2255" w14:paraId="260B0A7E" w14:textId="77777777">
        <w:trPr>
          <w:trHeight w:val="285"/>
        </w:trPr>
        <w:tc>
          <w:tcPr>
            <w:tcW w:w="5773" w:type="dxa"/>
          </w:tcPr>
          <w:p w14:paraId="2C9C6DB5" w14:textId="77777777" w:rsidR="00AE2255" w:rsidRDefault="00000000">
            <w:pPr>
              <w:pStyle w:val="TableParagraph"/>
              <w:spacing w:before="27"/>
              <w:ind w:left="187"/>
              <w:jc w:val="left"/>
              <w:rPr>
                <w:sz w:val="20"/>
              </w:rPr>
            </w:pPr>
            <w:r>
              <w:rPr>
                <w:sz w:val="20"/>
              </w:rPr>
              <w:t>Additional</w:t>
            </w:r>
            <w:r>
              <w:rPr>
                <w:spacing w:val="-5"/>
                <w:sz w:val="20"/>
              </w:rPr>
              <w:t xml:space="preserve"> </w:t>
            </w:r>
            <w:r>
              <w:rPr>
                <w:sz w:val="20"/>
              </w:rPr>
              <w:t>paid-in</w:t>
            </w:r>
            <w:r>
              <w:rPr>
                <w:spacing w:val="-4"/>
                <w:sz w:val="20"/>
              </w:rPr>
              <w:t xml:space="preserve"> </w:t>
            </w:r>
            <w:r>
              <w:rPr>
                <w:spacing w:val="-2"/>
                <w:sz w:val="20"/>
              </w:rPr>
              <w:t>capital</w:t>
            </w:r>
          </w:p>
        </w:tc>
        <w:tc>
          <w:tcPr>
            <w:tcW w:w="3448" w:type="dxa"/>
          </w:tcPr>
          <w:p w14:paraId="082981F6" w14:textId="77777777" w:rsidR="00AE2255" w:rsidRDefault="00000000">
            <w:pPr>
              <w:pStyle w:val="TableParagraph"/>
              <w:ind w:right="135"/>
              <w:rPr>
                <w:b/>
                <w:sz w:val="20"/>
              </w:rPr>
            </w:pPr>
            <w:r>
              <w:rPr>
                <w:b/>
                <w:spacing w:val="-5"/>
                <w:sz w:val="20"/>
              </w:rPr>
              <w:t>92</w:t>
            </w:r>
          </w:p>
        </w:tc>
        <w:tc>
          <w:tcPr>
            <w:tcW w:w="1024" w:type="dxa"/>
          </w:tcPr>
          <w:p w14:paraId="3B6B7F9A" w14:textId="77777777" w:rsidR="00AE2255" w:rsidRDefault="00000000">
            <w:pPr>
              <w:pStyle w:val="TableParagraph"/>
              <w:ind w:right="79"/>
              <w:rPr>
                <w:sz w:val="20"/>
              </w:rPr>
            </w:pPr>
            <w:r>
              <w:rPr>
                <w:spacing w:val="-5"/>
                <w:sz w:val="20"/>
              </w:rPr>
              <w:t>94</w:t>
            </w:r>
          </w:p>
        </w:tc>
      </w:tr>
      <w:tr w:rsidR="00AE2255" w14:paraId="4BF736CD" w14:textId="77777777">
        <w:trPr>
          <w:trHeight w:val="285"/>
        </w:trPr>
        <w:tc>
          <w:tcPr>
            <w:tcW w:w="5773" w:type="dxa"/>
            <w:shd w:val="clear" w:color="auto" w:fill="CCEDFF"/>
          </w:tcPr>
          <w:p w14:paraId="109E4B8F" w14:textId="77777777" w:rsidR="00AE2255" w:rsidRDefault="00000000">
            <w:pPr>
              <w:pStyle w:val="TableParagraph"/>
              <w:spacing w:before="27"/>
              <w:ind w:left="187"/>
              <w:jc w:val="left"/>
              <w:rPr>
                <w:sz w:val="20"/>
              </w:rPr>
            </w:pPr>
            <w:r>
              <w:rPr>
                <w:sz w:val="20"/>
              </w:rPr>
              <w:t>Retained</w:t>
            </w:r>
            <w:r>
              <w:rPr>
                <w:spacing w:val="-8"/>
                <w:sz w:val="20"/>
              </w:rPr>
              <w:t xml:space="preserve"> </w:t>
            </w:r>
            <w:r>
              <w:rPr>
                <w:spacing w:val="-2"/>
                <w:sz w:val="20"/>
              </w:rPr>
              <w:t>earnings</w:t>
            </w:r>
          </w:p>
        </w:tc>
        <w:tc>
          <w:tcPr>
            <w:tcW w:w="3448" w:type="dxa"/>
            <w:shd w:val="clear" w:color="auto" w:fill="CCEDFF"/>
          </w:tcPr>
          <w:p w14:paraId="23C560E0" w14:textId="77777777" w:rsidR="00AE2255" w:rsidRDefault="00000000">
            <w:pPr>
              <w:pStyle w:val="TableParagraph"/>
              <w:ind w:right="135"/>
              <w:rPr>
                <w:b/>
                <w:sz w:val="20"/>
              </w:rPr>
            </w:pPr>
            <w:r>
              <w:rPr>
                <w:b/>
                <w:spacing w:val="-2"/>
                <w:sz w:val="20"/>
              </w:rPr>
              <w:t>16,943</w:t>
            </w:r>
          </w:p>
        </w:tc>
        <w:tc>
          <w:tcPr>
            <w:tcW w:w="1024" w:type="dxa"/>
            <w:shd w:val="clear" w:color="auto" w:fill="CCEDFF"/>
          </w:tcPr>
          <w:p w14:paraId="6622467E" w14:textId="77777777" w:rsidR="00AE2255" w:rsidRDefault="00000000">
            <w:pPr>
              <w:pStyle w:val="TableParagraph"/>
              <w:ind w:right="79"/>
              <w:rPr>
                <w:sz w:val="20"/>
              </w:rPr>
            </w:pPr>
            <w:r>
              <w:rPr>
                <w:spacing w:val="-2"/>
                <w:sz w:val="20"/>
              </w:rPr>
              <w:t>21,600</w:t>
            </w:r>
          </w:p>
        </w:tc>
      </w:tr>
      <w:tr w:rsidR="00AE2255" w14:paraId="5F8F83D1" w14:textId="77777777">
        <w:trPr>
          <w:trHeight w:val="275"/>
        </w:trPr>
        <w:tc>
          <w:tcPr>
            <w:tcW w:w="5773" w:type="dxa"/>
            <w:tcBorders>
              <w:bottom w:val="single" w:sz="8" w:space="0" w:color="auto"/>
            </w:tcBorders>
          </w:tcPr>
          <w:p w14:paraId="65FE26F2" w14:textId="77777777" w:rsidR="00AE2255" w:rsidRDefault="00000000">
            <w:pPr>
              <w:pStyle w:val="TableParagraph"/>
              <w:spacing w:before="27" w:line="228" w:lineRule="exact"/>
              <w:ind w:left="187"/>
              <w:jc w:val="left"/>
              <w:rPr>
                <w:sz w:val="20"/>
              </w:rPr>
            </w:pPr>
            <w:r>
              <w:rPr>
                <w:sz w:val="20"/>
              </w:rPr>
              <w:t>Accumulated</w:t>
            </w:r>
            <w:r>
              <w:rPr>
                <w:spacing w:val="-6"/>
                <w:sz w:val="20"/>
              </w:rPr>
              <w:t xml:space="preserve"> </w:t>
            </w:r>
            <w:r>
              <w:rPr>
                <w:sz w:val="20"/>
              </w:rPr>
              <w:t>other</w:t>
            </w:r>
            <w:r>
              <w:rPr>
                <w:spacing w:val="-5"/>
                <w:sz w:val="20"/>
              </w:rPr>
              <w:t xml:space="preserve"> </w:t>
            </w:r>
            <w:r>
              <w:rPr>
                <w:sz w:val="20"/>
              </w:rPr>
              <w:t>comprehensive</w:t>
            </w:r>
            <w:r>
              <w:rPr>
                <w:spacing w:val="-6"/>
                <w:sz w:val="20"/>
              </w:rPr>
              <w:t xml:space="preserve"> </w:t>
            </w:r>
            <w:r>
              <w:rPr>
                <w:spacing w:val="-4"/>
                <w:sz w:val="20"/>
              </w:rPr>
              <w:t>loss</w:t>
            </w:r>
          </w:p>
        </w:tc>
        <w:tc>
          <w:tcPr>
            <w:tcW w:w="3448" w:type="dxa"/>
            <w:tcBorders>
              <w:bottom w:val="single" w:sz="8" w:space="0" w:color="auto"/>
            </w:tcBorders>
          </w:tcPr>
          <w:p w14:paraId="6228EEE6" w14:textId="77777777" w:rsidR="00AE2255" w:rsidRDefault="00000000">
            <w:pPr>
              <w:pStyle w:val="TableParagraph"/>
              <w:spacing w:line="230" w:lineRule="exact"/>
              <w:ind w:right="70"/>
              <w:rPr>
                <w:b/>
                <w:sz w:val="20"/>
              </w:rPr>
            </w:pPr>
            <w:r>
              <w:rPr>
                <w:b/>
                <w:spacing w:val="-2"/>
                <w:sz w:val="20"/>
              </w:rPr>
              <w:t>(8,023)</w:t>
            </w:r>
          </w:p>
        </w:tc>
        <w:tc>
          <w:tcPr>
            <w:tcW w:w="1024" w:type="dxa"/>
            <w:tcBorders>
              <w:bottom w:val="single" w:sz="8" w:space="0" w:color="auto"/>
            </w:tcBorders>
          </w:tcPr>
          <w:p w14:paraId="5761D75A" w14:textId="77777777" w:rsidR="00AE2255" w:rsidRDefault="00000000">
            <w:pPr>
              <w:pStyle w:val="TableParagraph"/>
              <w:spacing w:line="230" w:lineRule="exact"/>
              <w:ind w:right="14"/>
              <w:rPr>
                <w:sz w:val="20"/>
              </w:rPr>
            </w:pPr>
            <w:r>
              <w:rPr>
                <w:spacing w:val="-2"/>
                <w:sz w:val="20"/>
              </w:rPr>
              <w:t>(11,006)</w:t>
            </w:r>
          </w:p>
        </w:tc>
      </w:tr>
      <w:tr w:rsidR="00AE2255" w14:paraId="7A0B6494" w14:textId="77777777">
        <w:trPr>
          <w:trHeight w:val="265"/>
        </w:trPr>
        <w:tc>
          <w:tcPr>
            <w:tcW w:w="5773" w:type="dxa"/>
            <w:tcBorders>
              <w:top w:val="single" w:sz="8" w:space="0" w:color="CCEDFF"/>
              <w:bottom w:val="single" w:sz="8" w:space="0" w:color="CCEDFF"/>
            </w:tcBorders>
            <w:shd w:val="clear" w:color="auto" w:fill="CCEDFF"/>
          </w:tcPr>
          <w:p w14:paraId="1FC0C6E3" w14:textId="77777777" w:rsidR="00AE2255" w:rsidRDefault="00000000">
            <w:pPr>
              <w:pStyle w:val="TableParagraph"/>
              <w:spacing w:before="17" w:line="228" w:lineRule="exact"/>
              <w:ind w:left="412"/>
              <w:jc w:val="left"/>
              <w:rPr>
                <w:sz w:val="20"/>
              </w:rPr>
            </w:pPr>
            <w:r>
              <w:rPr>
                <w:sz w:val="20"/>
              </w:rPr>
              <w:t>Total</w:t>
            </w:r>
            <w:r>
              <w:rPr>
                <w:spacing w:val="-6"/>
                <w:sz w:val="20"/>
              </w:rPr>
              <w:t xml:space="preserve"> </w:t>
            </w:r>
            <w:r>
              <w:rPr>
                <w:sz w:val="20"/>
              </w:rPr>
              <w:t>stockholders’</w:t>
            </w:r>
            <w:r>
              <w:rPr>
                <w:spacing w:val="-4"/>
                <w:sz w:val="20"/>
              </w:rPr>
              <w:t xml:space="preserve"> </w:t>
            </w:r>
            <w:r>
              <w:rPr>
                <w:spacing w:val="-2"/>
                <w:sz w:val="20"/>
              </w:rPr>
              <w:t>equity</w:t>
            </w:r>
          </w:p>
        </w:tc>
        <w:tc>
          <w:tcPr>
            <w:tcW w:w="3448" w:type="dxa"/>
            <w:tcBorders>
              <w:top w:val="single" w:sz="8" w:space="0" w:color="CCEDFF"/>
              <w:bottom w:val="single" w:sz="8" w:space="0" w:color="CCEDFF"/>
            </w:tcBorders>
            <w:shd w:val="clear" w:color="auto" w:fill="CCEDFF"/>
          </w:tcPr>
          <w:p w14:paraId="419AC3C3" w14:textId="77777777" w:rsidR="00AE2255" w:rsidRDefault="00000000">
            <w:pPr>
              <w:pStyle w:val="TableParagraph"/>
              <w:spacing w:before="15" w:line="230" w:lineRule="exact"/>
              <w:ind w:right="135"/>
              <w:rPr>
                <w:b/>
                <w:sz w:val="20"/>
              </w:rPr>
            </w:pPr>
            <w:r>
              <w:rPr>
                <w:b/>
                <w:spacing w:val="-2"/>
                <w:sz w:val="20"/>
              </w:rPr>
              <w:t>9,266</w:t>
            </w:r>
          </w:p>
        </w:tc>
        <w:tc>
          <w:tcPr>
            <w:tcW w:w="1024" w:type="dxa"/>
            <w:tcBorders>
              <w:top w:val="single" w:sz="8" w:space="0" w:color="CCEDFF"/>
              <w:bottom w:val="single" w:sz="8" w:space="0" w:color="CCEDFF"/>
            </w:tcBorders>
            <w:shd w:val="clear" w:color="auto" w:fill="CCEDFF"/>
          </w:tcPr>
          <w:p w14:paraId="6954ECC0" w14:textId="77777777" w:rsidR="00AE2255" w:rsidRDefault="00000000">
            <w:pPr>
              <w:pStyle w:val="TableParagraph"/>
              <w:spacing w:before="15" w:line="230" w:lineRule="exact"/>
              <w:ind w:right="79"/>
              <w:rPr>
                <w:sz w:val="20"/>
              </w:rPr>
            </w:pPr>
            <w:r>
              <w:rPr>
                <w:spacing w:val="-2"/>
                <w:sz w:val="20"/>
              </w:rPr>
              <w:t>10,959</w:t>
            </w:r>
          </w:p>
        </w:tc>
      </w:tr>
      <w:tr w:rsidR="00AE2255" w14:paraId="33C59E09" w14:textId="77777777">
        <w:trPr>
          <w:trHeight w:val="252"/>
        </w:trPr>
        <w:tc>
          <w:tcPr>
            <w:tcW w:w="5773" w:type="dxa"/>
            <w:tcBorders>
              <w:top w:val="single" w:sz="8" w:space="0" w:color="auto"/>
              <w:bottom w:val="single" w:sz="18" w:space="0" w:color="000000"/>
            </w:tcBorders>
          </w:tcPr>
          <w:p w14:paraId="221E7203" w14:textId="77777777" w:rsidR="00AE2255" w:rsidRDefault="00000000">
            <w:pPr>
              <w:pStyle w:val="TableParagraph"/>
              <w:spacing w:before="17" w:line="216" w:lineRule="exact"/>
              <w:ind w:left="412"/>
              <w:jc w:val="left"/>
              <w:rPr>
                <w:sz w:val="20"/>
              </w:rPr>
            </w:pPr>
            <w:r>
              <w:rPr>
                <w:sz w:val="20"/>
              </w:rPr>
              <w:t>Total</w:t>
            </w:r>
            <w:r>
              <w:rPr>
                <w:spacing w:val="-6"/>
                <w:sz w:val="20"/>
              </w:rPr>
              <w:t xml:space="preserve"> </w:t>
            </w:r>
            <w:r>
              <w:rPr>
                <w:sz w:val="20"/>
              </w:rPr>
              <w:t>liabilities</w:t>
            </w:r>
            <w:r>
              <w:rPr>
                <w:spacing w:val="-5"/>
                <w:sz w:val="20"/>
              </w:rPr>
              <w:t xml:space="preserve"> </w:t>
            </w:r>
            <w:r>
              <w:rPr>
                <w:sz w:val="20"/>
              </w:rPr>
              <w:t>and</w:t>
            </w:r>
            <w:r>
              <w:rPr>
                <w:spacing w:val="-4"/>
                <w:sz w:val="20"/>
              </w:rPr>
              <w:t xml:space="preserve"> </w:t>
            </w:r>
            <w:r>
              <w:rPr>
                <w:spacing w:val="-2"/>
                <w:sz w:val="20"/>
              </w:rPr>
              <w:t>equity</w:t>
            </w:r>
          </w:p>
        </w:tc>
        <w:tc>
          <w:tcPr>
            <w:tcW w:w="3448" w:type="dxa"/>
            <w:tcBorders>
              <w:top w:val="single" w:sz="8" w:space="0" w:color="auto"/>
              <w:bottom w:val="single" w:sz="18" w:space="0" w:color="000000"/>
            </w:tcBorders>
          </w:tcPr>
          <w:p w14:paraId="05089477" w14:textId="77777777" w:rsidR="00AE2255" w:rsidRDefault="00000000">
            <w:pPr>
              <w:pStyle w:val="TableParagraph"/>
              <w:tabs>
                <w:tab w:val="left" w:pos="320"/>
              </w:tabs>
              <w:spacing w:before="15" w:line="217" w:lineRule="exact"/>
              <w:ind w:right="135"/>
              <w:rPr>
                <w:b/>
                <w:sz w:val="20"/>
              </w:rPr>
            </w:pPr>
            <w:r>
              <w:rPr>
                <w:b/>
                <w:spacing w:val="-10"/>
                <w:sz w:val="20"/>
              </w:rPr>
              <w:t>$</w:t>
            </w:r>
            <w:r>
              <w:rPr>
                <w:b/>
                <w:sz w:val="20"/>
              </w:rPr>
              <w:tab/>
            </w:r>
            <w:r>
              <w:rPr>
                <w:b/>
                <w:spacing w:val="-2"/>
                <w:sz w:val="20"/>
              </w:rPr>
              <w:t>52,880</w:t>
            </w:r>
          </w:p>
        </w:tc>
        <w:tc>
          <w:tcPr>
            <w:tcW w:w="1024" w:type="dxa"/>
            <w:tcBorders>
              <w:top w:val="single" w:sz="8" w:space="0" w:color="auto"/>
              <w:bottom w:val="single" w:sz="18" w:space="0" w:color="000000"/>
            </w:tcBorders>
          </w:tcPr>
          <w:p w14:paraId="353455A0" w14:textId="77777777" w:rsidR="00AE2255" w:rsidRDefault="00000000">
            <w:pPr>
              <w:pStyle w:val="TableParagraph"/>
              <w:tabs>
                <w:tab w:val="left" w:pos="392"/>
              </w:tabs>
              <w:spacing w:before="15" w:line="217" w:lineRule="exact"/>
              <w:ind w:left="71"/>
              <w:jc w:val="left"/>
              <w:rPr>
                <w:sz w:val="20"/>
              </w:rPr>
            </w:pPr>
            <w:r>
              <w:rPr>
                <w:spacing w:val="-10"/>
                <w:sz w:val="20"/>
              </w:rPr>
              <w:t>$</w:t>
            </w:r>
            <w:r>
              <w:rPr>
                <w:sz w:val="20"/>
              </w:rPr>
              <w:tab/>
            </w:r>
            <w:r>
              <w:rPr>
                <w:spacing w:val="-2"/>
                <w:sz w:val="20"/>
              </w:rPr>
              <w:t>50,873</w:t>
            </w:r>
          </w:p>
        </w:tc>
      </w:tr>
    </w:tbl>
    <w:p w14:paraId="3F4CA0FA" w14:textId="77777777" w:rsidR="00AE2255" w:rsidRDefault="00AE2255">
      <w:pPr>
        <w:pStyle w:val="BodyText"/>
        <w:spacing w:before="3"/>
        <w:rPr>
          <w:sz w:val="18"/>
        </w:rPr>
      </w:pPr>
    </w:p>
    <w:p w14:paraId="79C86B43" w14:textId="77777777" w:rsidR="00AE2255" w:rsidRDefault="00000000">
      <w:pPr>
        <w:pStyle w:val="BodyText"/>
        <w:spacing w:before="1"/>
        <w:ind w:left="610"/>
      </w:pPr>
      <w:r>
        <w:t>The</w:t>
      </w:r>
      <w:r>
        <w:rPr>
          <w:spacing w:val="-6"/>
        </w:rPr>
        <w:t xml:space="preserve"> </w:t>
      </w:r>
      <w:r>
        <w:t>accompanying</w:t>
      </w:r>
      <w:r>
        <w:rPr>
          <w:spacing w:val="-3"/>
        </w:rPr>
        <w:t xml:space="preserve"> </w:t>
      </w:r>
      <w:r>
        <w:t>notes</w:t>
      </w:r>
      <w:r>
        <w:rPr>
          <w:spacing w:val="-4"/>
        </w:rPr>
        <w:t xml:space="preserve"> </w:t>
      </w:r>
      <w:r>
        <w:t>are</w:t>
      </w:r>
      <w:r>
        <w:rPr>
          <w:spacing w:val="-4"/>
        </w:rPr>
        <w:t xml:space="preserve"> </w:t>
      </w:r>
      <w:r>
        <w:t>an</w:t>
      </w:r>
      <w:r>
        <w:rPr>
          <w:spacing w:val="-3"/>
        </w:rPr>
        <w:t xml:space="preserve"> </w:t>
      </w:r>
      <w:r>
        <w:t>integral</w:t>
      </w:r>
      <w:r>
        <w:rPr>
          <w:spacing w:val="-3"/>
        </w:rPr>
        <w:t xml:space="preserve"> </w:t>
      </w:r>
      <w:r>
        <w:t>part</w:t>
      </w:r>
      <w:r>
        <w:rPr>
          <w:spacing w:val="-4"/>
        </w:rPr>
        <w:t xml:space="preserve"> </w:t>
      </w:r>
      <w:r>
        <w:t>of</w:t>
      </w:r>
      <w:r>
        <w:rPr>
          <w:spacing w:val="-3"/>
        </w:rPr>
        <w:t xml:space="preserve"> </w:t>
      </w:r>
      <w:r>
        <w:t>these</w:t>
      </w:r>
      <w:r>
        <w:rPr>
          <w:spacing w:val="-4"/>
        </w:rPr>
        <w:t xml:space="preserve"> </w:t>
      </w:r>
      <w:r>
        <w:t>consolidated</w:t>
      </w:r>
      <w:r>
        <w:rPr>
          <w:spacing w:val="-3"/>
        </w:rPr>
        <w:t xml:space="preserve"> </w:t>
      </w:r>
      <w:r>
        <w:t>financial</w:t>
      </w:r>
      <w:r>
        <w:rPr>
          <w:spacing w:val="-3"/>
        </w:rPr>
        <w:t xml:space="preserve"> </w:t>
      </w:r>
      <w:r>
        <w:rPr>
          <w:spacing w:val="-2"/>
        </w:rPr>
        <w:t>statements.</w:t>
      </w:r>
    </w:p>
    <w:p w14:paraId="18C7DE61" w14:textId="77777777" w:rsidR="00AE2255" w:rsidRDefault="00AE2255">
      <w:pPr>
        <w:sectPr w:rsidR="00AE2255">
          <w:pgSz w:w="12240" w:h="15840"/>
          <w:pgMar w:top="440" w:right="560" w:bottom="720" w:left="380" w:header="230" w:footer="531" w:gutter="0"/>
          <w:cols w:space="720"/>
        </w:sectPr>
      </w:pPr>
    </w:p>
    <w:p w14:paraId="46AAFE96" w14:textId="77777777" w:rsidR="00AE2255" w:rsidRDefault="00AE2255">
      <w:pPr>
        <w:pStyle w:val="BodyText"/>
        <w:spacing w:before="7"/>
        <w:rPr>
          <w:sz w:val="22"/>
        </w:rPr>
      </w:pPr>
    </w:p>
    <w:p w14:paraId="28F5A80B" w14:textId="77777777" w:rsidR="00AE2255" w:rsidRDefault="00000000">
      <w:pPr>
        <w:spacing w:before="92" w:line="249" w:lineRule="auto"/>
        <w:ind w:left="4057" w:right="3875" w:hanging="1"/>
        <w:jc w:val="center"/>
        <w:rPr>
          <w:b/>
          <w:sz w:val="20"/>
        </w:rPr>
      </w:pPr>
      <w:bookmarkStart w:id="42" w:name="Consolidated_Statements_of_Cash_Flows"/>
      <w:bookmarkStart w:id="43" w:name="_bookmark16"/>
      <w:bookmarkEnd w:id="42"/>
      <w:bookmarkEnd w:id="43"/>
      <w:r>
        <w:rPr>
          <w:b/>
          <w:sz w:val="20"/>
        </w:rPr>
        <w:t>Lockheed Martin Corporation Consolidated</w:t>
      </w:r>
      <w:r>
        <w:rPr>
          <w:b/>
          <w:spacing w:val="-10"/>
          <w:sz w:val="20"/>
        </w:rPr>
        <w:t xml:space="preserve"> </w:t>
      </w:r>
      <w:r>
        <w:rPr>
          <w:b/>
          <w:sz w:val="20"/>
        </w:rPr>
        <w:t>Statements</w:t>
      </w:r>
      <w:r>
        <w:rPr>
          <w:b/>
          <w:spacing w:val="-10"/>
          <w:sz w:val="20"/>
        </w:rPr>
        <w:t xml:space="preserve"> </w:t>
      </w:r>
      <w:r>
        <w:rPr>
          <w:b/>
          <w:sz w:val="20"/>
        </w:rPr>
        <w:t>of</w:t>
      </w:r>
      <w:r>
        <w:rPr>
          <w:b/>
          <w:spacing w:val="-10"/>
          <w:sz w:val="20"/>
        </w:rPr>
        <w:t xml:space="preserve"> </w:t>
      </w:r>
      <w:r>
        <w:rPr>
          <w:b/>
          <w:sz w:val="20"/>
        </w:rPr>
        <w:t>Cash</w:t>
      </w:r>
      <w:r>
        <w:rPr>
          <w:b/>
          <w:spacing w:val="-10"/>
          <w:sz w:val="20"/>
        </w:rPr>
        <w:t xml:space="preserve"> </w:t>
      </w:r>
      <w:r>
        <w:rPr>
          <w:b/>
          <w:sz w:val="20"/>
        </w:rPr>
        <w:t>Flows (in millions)</w:t>
      </w:r>
    </w:p>
    <w:p w14:paraId="733C88E2" w14:textId="77777777" w:rsidR="00AE2255" w:rsidRDefault="00AE2255">
      <w:pPr>
        <w:pStyle w:val="BodyText"/>
        <w:spacing w:before="10"/>
        <w:rPr>
          <w:b/>
          <w:sz w:val="23"/>
        </w:rPr>
      </w:pPr>
    </w:p>
    <w:p w14:paraId="745C2C9A" w14:textId="77777777" w:rsidR="00AE2255" w:rsidRDefault="00000000">
      <w:pPr>
        <w:spacing w:before="92" w:after="30"/>
        <w:ind w:right="865"/>
        <w:jc w:val="right"/>
        <w:rPr>
          <w:b/>
          <w:sz w:val="20"/>
        </w:rPr>
      </w:pPr>
      <w:r>
        <w:rPr>
          <w:b/>
          <w:sz w:val="20"/>
        </w:rPr>
        <w:t>Years</w:t>
      </w:r>
      <w:r>
        <w:rPr>
          <w:b/>
          <w:spacing w:val="-6"/>
          <w:sz w:val="20"/>
        </w:rPr>
        <w:t xml:space="preserve"> </w:t>
      </w:r>
      <w:r>
        <w:rPr>
          <w:b/>
          <w:sz w:val="20"/>
        </w:rPr>
        <w:t>Ended</w:t>
      </w:r>
      <w:r>
        <w:rPr>
          <w:b/>
          <w:spacing w:val="-5"/>
          <w:sz w:val="20"/>
        </w:rPr>
        <w:t xml:space="preserve"> </w:t>
      </w:r>
      <w:r>
        <w:rPr>
          <w:b/>
          <w:sz w:val="20"/>
        </w:rPr>
        <w:t>December</w:t>
      </w:r>
      <w:r>
        <w:rPr>
          <w:b/>
          <w:spacing w:val="-5"/>
          <w:sz w:val="20"/>
        </w:rPr>
        <w:t xml:space="preserve"> 31,</w:t>
      </w:r>
    </w:p>
    <w:tbl>
      <w:tblPr>
        <w:tblW w:w="0" w:type="auto"/>
        <w:tblInd w:w="617" w:type="dxa"/>
        <w:tblLayout w:type="fixed"/>
        <w:tblCellMar>
          <w:left w:w="0" w:type="dxa"/>
          <w:right w:w="0" w:type="dxa"/>
        </w:tblCellMar>
        <w:tblLook w:val="01E0" w:firstRow="1" w:lastRow="1" w:firstColumn="1" w:lastColumn="1" w:noHBand="0" w:noVBand="0"/>
      </w:tblPr>
      <w:tblGrid>
        <w:gridCol w:w="7080"/>
        <w:gridCol w:w="1061"/>
        <w:gridCol w:w="1080"/>
        <w:gridCol w:w="1024"/>
      </w:tblGrid>
      <w:tr w:rsidR="00AE2255" w14:paraId="73B6FE82" w14:textId="77777777">
        <w:trPr>
          <w:trHeight w:val="265"/>
        </w:trPr>
        <w:tc>
          <w:tcPr>
            <w:tcW w:w="7080" w:type="dxa"/>
            <w:tcBorders>
              <w:bottom w:val="single" w:sz="8" w:space="0" w:color="auto"/>
            </w:tcBorders>
          </w:tcPr>
          <w:p w14:paraId="0F27FC5F" w14:textId="77777777" w:rsidR="00AE2255" w:rsidRDefault="00AE2255">
            <w:pPr>
              <w:pStyle w:val="TableParagraph"/>
              <w:spacing w:before="0"/>
              <w:jc w:val="left"/>
              <w:rPr>
                <w:sz w:val="18"/>
              </w:rPr>
            </w:pPr>
          </w:p>
        </w:tc>
        <w:tc>
          <w:tcPr>
            <w:tcW w:w="1061" w:type="dxa"/>
            <w:tcBorders>
              <w:top w:val="single" w:sz="8" w:space="0" w:color="000000"/>
              <w:bottom w:val="single" w:sz="8" w:space="0" w:color="auto"/>
            </w:tcBorders>
          </w:tcPr>
          <w:p w14:paraId="0C0975B2" w14:textId="77777777" w:rsidR="00AE2255" w:rsidRDefault="00000000">
            <w:pPr>
              <w:pStyle w:val="TableParagraph"/>
              <w:spacing w:before="15" w:line="230" w:lineRule="exact"/>
              <w:ind w:right="106"/>
              <w:rPr>
                <w:b/>
                <w:sz w:val="20"/>
              </w:rPr>
            </w:pPr>
            <w:r>
              <w:rPr>
                <w:b/>
                <w:spacing w:val="-4"/>
                <w:sz w:val="20"/>
              </w:rPr>
              <w:t>2022</w:t>
            </w:r>
          </w:p>
        </w:tc>
        <w:tc>
          <w:tcPr>
            <w:tcW w:w="1080" w:type="dxa"/>
            <w:tcBorders>
              <w:top w:val="single" w:sz="8" w:space="0" w:color="000000"/>
              <w:bottom w:val="single" w:sz="8" w:space="0" w:color="auto"/>
            </w:tcBorders>
          </w:tcPr>
          <w:p w14:paraId="61F4F572" w14:textId="77777777" w:rsidR="00AE2255" w:rsidRDefault="00000000">
            <w:pPr>
              <w:pStyle w:val="TableParagraph"/>
              <w:spacing w:before="15" w:line="230" w:lineRule="exact"/>
              <w:ind w:right="106"/>
              <w:rPr>
                <w:b/>
                <w:sz w:val="20"/>
              </w:rPr>
            </w:pPr>
            <w:r>
              <w:rPr>
                <w:b/>
                <w:spacing w:val="-4"/>
                <w:sz w:val="20"/>
              </w:rPr>
              <w:t>2021</w:t>
            </w:r>
          </w:p>
        </w:tc>
        <w:tc>
          <w:tcPr>
            <w:tcW w:w="1024" w:type="dxa"/>
            <w:tcBorders>
              <w:top w:val="single" w:sz="8" w:space="0" w:color="000000"/>
              <w:bottom w:val="single" w:sz="8" w:space="0" w:color="auto"/>
            </w:tcBorders>
          </w:tcPr>
          <w:p w14:paraId="0D78F0B5" w14:textId="77777777" w:rsidR="00AE2255" w:rsidRDefault="00000000">
            <w:pPr>
              <w:pStyle w:val="TableParagraph"/>
              <w:spacing w:before="15" w:line="230" w:lineRule="exact"/>
              <w:ind w:right="50"/>
              <w:rPr>
                <w:b/>
                <w:sz w:val="20"/>
              </w:rPr>
            </w:pPr>
            <w:r>
              <w:rPr>
                <w:b/>
                <w:spacing w:val="-4"/>
                <w:sz w:val="20"/>
              </w:rPr>
              <w:t>2020</w:t>
            </w:r>
          </w:p>
        </w:tc>
      </w:tr>
      <w:tr w:rsidR="00AE2255" w14:paraId="43651FB9" w14:textId="77777777">
        <w:trPr>
          <w:trHeight w:val="275"/>
        </w:trPr>
        <w:tc>
          <w:tcPr>
            <w:tcW w:w="7080" w:type="dxa"/>
            <w:tcBorders>
              <w:top w:val="single" w:sz="8" w:space="0" w:color="CCEDFF"/>
            </w:tcBorders>
            <w:shd w:val="clear" w:color="auto" w:fill="CCEDFF"/>
          </w:tcPr>
          <w:p w14:paraId="4E4EA841" w14:textId="77777777" w:rsidR="00AE2255" w:rsidRDefault="00000000">
            <w:pPr>
              <w:pStyle w:val="TableParagraph"/>
              <w:spacing w:before="13"/>
              <w:ind w:left="52"/>
              <w:jc w:val="left"/>
              <w:rPr>
                <w:b/>
                <w:sz w:val="20"/>
              </w:rPr>
            </w:pPr>
            <w:r>
              <w:rPr>
                <w:b/>
                <w:sz w:val="20"/>
              </w:rPr>
              <w:t>Operating</w:t>
            </w:r>
            <w:r>
              <w:rPr>
                <w:b/>
                <w:spacing w:val="-6"/>
                <w:sz w:val="20"/>
              </w:rPr>
              <w:t xml:space="preserve"> </w:t>
            </w:r>
            <w:r>
              <w:rPr>
                <w:b/>
                <w:spacing w:val="-2"/>
                <w:sz w:val="20"/>
              </w:rPr>
              <w:t>activities</w:t>
            </w:r>
          </w:p>
        </w:tc>
        <w:tc>
          <w:tcPr>
            <w:tcW w:w="1061" w:type="dxa"/>
            <w:tcBorders>
              <w:top w:val="single" w:sz="8" w:space="0" w:color="CCEDFF"/>
            </w:tcBorders>
            <w:shd w:val="clear" w:color="auto" w:fill="CCEDFF"/>
          </w:tcPr>
          <w:p w14:paraId="3A999629" w14:textId="77777777" w:rsidR="00AE2255" w:rsidRDefault="00AE2255">
            <w:pPr>
              <w:pStyle w:val="TableParagraph"/>
              <w:spacing w:before="0"/>
              <w:jc w:val="left"/>
              <w:rPr>
                <w:sz w:val="20"/>
              </w:rPr>
            </w:pPr>
          </w:p>
        </w:tc>
        <w:tc>
          <w:tcPr>
            <w:tcW w:w="1080" w:type="dxa"/>
            <w:tcBorders>
              <w:top w:val="single" w:sz="8" w:space="0" w:color="CCEDFF"/>
            </w:tcBorders>
            <w:shd w:val="clear" w:color="auto" w:fill="CCEDFF"/>
          </w:tcPr>
          <w:p w14:paraId="312286DA"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149C1883" w14:textId="77777777" w:rsidR="00AE2255" w:rsidRDefault="00AE2255">
            <w:pPr>
              <w:pStyle w:val="TableParagraph"/>
              <w:spacing w:before="0"/>
              <w:jc w:val="left"/>
              <w:rPr>
                <w:sz w:val="20"/>
              </w:rPr>
            </w:pPr>
          </w:p>
        </w:tc>
      </w:tr>
      <w:tr w:rsidR="00AE2255" w14:paraId="15869D73" w14:textId="77777777">
        <w:trPr>
          <w:trHeight w:val="285"/>
        </w:trPr>
        <w:tc>
          <w:tcPr>
            <w:tcW w:w="7080" w:type="dxa"/>
          </w:tcPr>
          <w:p w14:paraId="197ED6A6" w14:textId="77777777" w:rsidR="00AE2255" w:rsidRDefault="00000000">
            <w:pPr>
              <w:pStyle w:val="TableParagraph"/>
              <w:ind w:left="52"/>
              <w:jc w:val="left"/>
              <w:rPr>
                <w:sz w:val="20"/>
              </w:rPr>
            </w:pPr>
            <w:r>
              <w:rPr>
                <w:sz w:val="20"/>
              </w:rPr>
              <w:t>Net</w:t>
            </w:r>
            <w:r>
              <w:rPr>
                <w:spacing w:val="-3"/>
                <w:sz w:val="20"/>
              </w:rPr>
              <w:t xml:space="preserve"> </w:t>
            </w:r>
            <w:r>
              <w:rPr>
                <w:spacing w:val="-2"/>
                <w:sz w:val="20"/>
              </w:rPr>
              <w:t>earnings</w:t>
            </w:r>
          </w:p>
        </w:tc>
        <w:tc>
          <w:tcPr>
            <w:tcW w:w="1061" w:type="dxa"/>
          </w:tcPr>
          <w:p w14:paraId="31FD5AFF" w14:textId="77777777" w:rsidR="00AE2255" w:rsidRDefault="00000000">
            <w:pPr>
              <w:pStyle w:val="TableParagraph"/>
              <w:tabs>
                <w:tab w:val="left" w:pos="473"/>
              </w:tabs>
              <w:ind w:left="52"/>
              <w:jc w:val="left"/>
              <w:rPr>
                <w:b/>
                <w:sz w:val="20"/>
              </w:rPr>
            </w:pPr>
            <w:r>
              <w:rPr>
                <w:b/>
                <w:spacing w:val="-10"/>
                <w:sz w:val="20"/>
              </w:rPr>
              <w:t>$</w:t>
            </w:r>
            <w:r>
              <w:rPr>
                <w:b/>
                <w:sz w:val="20"/>
              </w:rPr>
              <w:tab/>
            </w:r>
            <w:r>
              <w:rPr>
                <w:b/>
                <w:spacing w:val="-2"/>
                <w:sz w:val="20"/>
              </w:rPr>
              <w:t>5,732</w:t>
            </w:r>
          </w:p>
        </w:tc>
        <w:tc>
          <w:tcPr>
            <w:tcW w:w="1080" w:type="dxa"/>
          </w:tcPr>
          <w:p w14:paraId="5F98C76B" w14:textId="77777777" w:rsidR="00AE2255" w:rsidRDefault="00000000">
            <w:pPr>
              <w:pStyle w:val="TableParagraph"/>
              <w:tabs>
                <w:tab w:val="left" w:pos="420"/>
              </w:tabs>
              <w:ind w:right="135"/>
              <w:rPr>
                <w:sz w:val="20"/>
              </w:rPr>
            </w:pPr>
            <w:r>
              <w:rPr>
                <w:spacing w:val="-10"/>
                <w:sz w:val="20"/>
              </w:rPr>
              <w:t>$</w:t>
            </w:r>
            <w:r>
              <w:rPr>
                <w:sz w:val="20"/>
              </w:rPr>
              <w:tab/>
            </w:r>
            <w:r>
              <w:rPr>
                <w:spacing w:val="-2"/>
                <w:sz w:val="20"/>
              </w:rPr>
              <w:t>6,315</w:t>
            </w:r>
          </w:p>
        </w:tc>
        <w:tc>
          <w:tcPr>
            <w:tcW w:w="1024" w:type="dxa"/>
          </w:tcPr>
          <w:p w14:paraId="03274B76" w14:textId="77777777" w:rsidR="00AE2255" w:rsidRDefault="00000000">
            <w:pPr>
              <w:pStyle w:val="TableParagraph"/>
              <w:tabs>
                <w:tab w:val="left" w:pos="492"/>
              </w:tabs>
              <w:ind w:left="71"/>
              <w:jc w:val="left"/>
              <w:rPr>
                <w:sz w:val="20"/>
              </w:rPr>
            </w:pPr>
            <w:r>
              <w:rPr>
                <w:spacing w:val="-10"/>
                <w:sz w:val="20"/>
              </w:rPr>
              <w:t>$</w:t>
            </w:r>
            <w:r>
              <w:rPr>
                <w:sz w:val="20"/>
              </w:rPr>
              <w:tab/>
            </w:r>
            <w:r>
              <w:rPr>
                <w:spacing w:val="-2"/>
                <w:sz w:val="20"/>
              </w:rPr>
              <w:t>6,833</w:t>
            </w:r>
          </w:p>
        </w:tc>
      </w:tr>
      <w:tr w:rsidR="00AE2255" w14:paraId="6B0A8A96" w14:textId="77777777">
        <w:trPr>
          <w:trHeight w:val="285"/>
        </w:trPr>
        <w:tc>
          <w:tcPr>
            <w:tcW w:w="7080" w:type="dxa"/>
            <w:shd w:val="clear" w:color="auto" w:fill="CCEDFF"/>
          </w:tcPr>
          <w:p w14:paraId="6853055E" w14:textId="77777777" w:rsidR="00AE2255" w:rsidRDefault="00000000">
            <w:pPr>
              <w:pStyle w:val="TableParagraph"/>
              <w:spacing w:before="27"/>
              <w:ind w:left="52"/>
              <w:jc w:val="left"/>
              <w:rPr>
                <w:sz w:val="20"/>
              </w:rPr>
            </w:pPr>
            <w:r>
              <w:rPr>
                <w:sz w:val="20"/>
              </w:rPr>
              <w:t>Adjustments</w:t>
            </w:r>
            <w:r>
              <w:rPr>
                <w:spacing w:val="-4"/>
                <w:sz w:val="20"/>
              </w:rPr>
              <w:t xml:space="preserve"> </w:t>
            </w:r>
            <w:r>
              <w:rPr>
                <w:sz w:val="20"/>
              </w:rPr>
              <w:t>to</w:t>
            </w:r>
            <w:r>
              <w:rPr>
                <w:spacing w:val="-3"/>
                <w:sz w:val="20"/>
              </w:rPr>
              <w:t xml:space="preserve"> </w:t>
            </w:r>
            <w:r>
              <w:rPr>
                <w:sz w:val="20"/>
              </w:rPr>
              <w:t>reconcile</w:t>
            </w:r>
            <w:r>
              <w:rPr>
                <w:spacing w:val="-3"/>
                <w:sz w:val="20"/>
              </w:rPr>
              <w:t xml:space="preserve"> </w:t>
            </w:r>
            <w:r>
              <w:rPr>
                <w:sz w:val="20"/>
              </w:rPr>
              <w:t>net</w:t>
            </w:r>
            <w:r>
              <w:rPr>
                <w:spacing w:val="-4"/>
                <w:sz w:val="20"/>
              </w:rPr>
              <w:t xml:space="preserve"> </w:t>
            </w:r>
            <w:r>
              <w:rPr>
                <w:sz w:val="20"/>
              </w:rPr>
              <w:t>earnings</w:t>
            </w:r>
            <w:r>
              <w:rPr>
                <w:spacing w:val="-3"/>
                <w:sz w:val="20"/>
              </w:rPr>
              <w:t xml:space="preserve"> </w:t>
            </w:r>
            <w:r>
              <w:rPr>
                <w:sz w:val="20"/>
              </w:rPr>
              <w:t>to</w:t>
            </w:r>
            <w:r>
              <w:rPr>
                <w:spacing w:val="-3"/>
                <w:sz w:val="20"/>
              </w:rPr>
              <w:t xml:space="preserve"> </w:t>
            </w:r>
            <w:r>
              <w:rPr>
                <w:sz w:val="20"/>
              </w:rPr>
              <w:t>net</w:t>
            </w:r>
            <w:r>
              <w:rPr>
                <w:spacing w:val="-3"/>
                <w:sz w:val="20"/>
              </w:rPr>
              <w:t xml:space="preserve"> </w:t>
            </w:r>
            <w:r>
              <w:rPr>
                <w:sz w:val="20"/>
              </w:rPr>
              <w:t>cash</w:t>
            </w:r>
            <w:r>
              <w:rPr>
                <w:spacing w:val="-3"/>
                <w:sz w:val="20"/>
              </w:rPr>
              <w:t xml:space="preserve"> </w:t>
            </w:r>
            <w:r>
              <w:rPr>
                <w:sz w:val="20"/>
              </w:rPr>
              <w:t>provided</w:t>
            </w:r>
            <w:r>
              <w:rPr>
                <w:spacing w:val="-2"/>
                <w:sz w:val="20"/>
              </w:rPr>
              <w:t xml:space="preserve"> </w:t>
            </w:r>
            <w:r>
              <w:rPr>
                <w:sz w:val="20"/>
              </w:rPr>
              <w:t>by</w:t>
            </w:r>
            <w:r>
              <w:rPr>
                <w:spacing w:val="-3"/>
                <w:sz w:val="20"/>
              </w:rPr>
              <w:t xml:space="preserve"> </w:t>
            </w:r>
            <w:r>
              <w:rPr>
                <w:sz w:val="20"/>
              </w:rPr>
              <w:t>operating</w:t>
            </w:r>
            <w:r>
              <w:rPr>
                <w:spacing w:val="-2"/>
                <w:sz w:val="20"/>
              </w:rPr>
              <w:t xml:space="preserve"> activities</w:t>
            </w:r>
          </w:p>
        </w:tc>
        <w:tc>
          <w:tcPr>
            <w:tcW w:w="1061" w:type="dxa"/>
            <w:shd w:val="clear" w:color="auto" w:fill="CCEDFF"/>
          </w:tcPr>
          <w:p w14:paraId="5401C7A8" w14:textId="77777777" w:rsidR="00AE2255" w:rsidRDefault="00AE2255">
            <w:pPr>
              <w:pStyle w:val="TableParagraph"/>
              <w:spacing w:before="0"/>
              <w:jc w:val="left"/>
              <w:rPr>
                <w:sz w:val="20"/>
              </w:rPr>
            </w:pPr>
          </w:p>
        </w:tc>
        <w:tc>
          <w:tcPr>
            <w:tcW w:w="1080" w:type="dxa"/>
            <w:shd w:val="clear" w:color="auto" w:fill="CCEDFF"/>
          </w:tcPr>
          <w:p w14:paraId="63555012" w14:textId="77777777" w:rsidR="00AE2255" w:rsidRDefault="00AE2255">
            <w:pPr>
              <w:pStyle w:val="TableParagraph"/>
              <w:spacing w:before="0"/>
              <w:jc w:val="left"/>
              <w:rPr>
                <w:sz w:val="20"/>
              </w:rPr>
            </w:pPr>
          </w:p>
        </w:tc>
        <w:tc>
          <w:tcPr>
            <w:tcW w:w="1024" w:type="dxa"/>
            <w:shd w:val="clear" w:color="auto" w:fill="CCEDFF"/>
          </w:tcPr>
          <w:p w14:paraId="5AEDACC9" w14:textId="77777777" w:rsidR="00AE2255" w:rsidRDefault="00AE2255">
            <w:pPr>
              <w:pStyle w:val="TableParagraph"/>
              <w:spacing w:before="0"/>
              <w:jc w:val="left"/>
              <w:rPr>
                <w:sz w:val="20"/>
              </w:rPr>
            </w:pPr>
          </w:p>
        </w:tc>
      </w:tr>
      <w:tr w:rsidR="00AE2255" w14:paraId="713B8B28" w14:textId="77777777">
        <w:trPr>
          <w:trHeight w:val="285"/>
        </w:trPr>
        <w:tc>
          <w:tcPr>
            <w:tcW w:w="7080" w:type="dxa"/>
          </w:tcPr>
          <w:p w14:paraId="0E738818" w14:textId="77777777" w:rsidR="00AE2255" w:rsidRDefault="00000000">
            <w:pPr>
              <w:pStyle w:val="TableParagraph"/>
              <w:spacing w:before="27"/>
              <w:ind w:left="187"/>
              <w:jc w:val="left"/>
              <w:rPr>
                <w:sz w:val="20"/>
              </w:rPr>
            </w:pPr>
            <w:r>
              <w:rPr>
                <w:sz w:val="20"/>
              </w:rPr>
              <w:t>Depreciation</w:t>
            </w:r>
            <w:r>
              <w:rPr>
                <w:spacing w:val="-5"/>
                <w:sz w:val="20"/>
              </w:rPr>
              <w:t xml:space="preserve"> </w:t>
            </w:r>
            <w:r>
              <w:rPr>
                <w:sz w:val="20"/>
              </w:rPr>
              <w:t>and</w:t>
            </w:r>
            <w:r>
              <w:rPr>
                <w:spacing w:val="-4"/>
                <w:sz w:val="20"/>
              </w:rPr>
              <w:t xml:space="preserve"> </w:t>
            </w:r>
            <w:r>
              <w:rPr>
                <w:spacing w:val="-2"/>
                <w:sz w:val="20"/>
              </w:rPr>
              <w:t>amortization</w:t>
            </w:r>
          </w:p>
        </w:tc>
        <w:tc>
          <w:tcPr>
            <w:tcW w:w="1061" w:type="dxa"/>
          </w:tcPr>
          <w:p w14:paraId="0138ADE8" w14:textId="77777777" w:rsidR="00AE2255" w:rsidRDefault="00000000">
            <w:pPr>
              <w:pStyle w:val="TableParagraph"/>
              <w:ind w:right="135"/>
              <w:rPr>
                <w:b/>
                <w:sz w:val="20"/>
              </w:rPr>
            </w:pPr>
            <w:r>
              <w:rPr>
                <w:b/>
                <w:spacing w:val="-2"/>
                <w:sz w:val="20"/>
              </w:rPr>
              <w:t>1,404</w:t>
            </w:r>
          </w:p>
        </w:tc>
        <w:tc>
          <w:tcPr>
            <w:tcW w:w="1080" w:type="dxa"/>
          </w:tcPr>
          <w:p w14:paraId="76743EB2" w14:textId="77777777" w:rsidR="00AE2255" w:rsidRDefault="00000000">
            <w:pPr>
              <w:pStyle w:val="TableParagraph"/>
              <w:ind w:right="135"/>
              <w:rPr>
                <w:sz w:val="20"/>
              </w:rPr>
            </w:pPr>
            <w:r>
              <w:rPr>
                <w:spacing w:val="-2"/>
                <w:sz w:val="20"/>
              </w:rPr>
              <w:t>1,364</w:t>
            </w:r>
          </w:p>
        </w:tc>
        <w:tc>
          <w:tcPr>
            <w:tcW w:w="1024" w:type="dxa"/>
          </w:tcPr>
          <w:p w14:paraId="64963351" w14:textId="77777777" w:rsidR="00AE2255" w:rsidRDefault="00000000">
            <w:pPr>
              <w:pStyle w:val="TableParagraph"/>
              <w:ind w:right="79"/>
              <w:rPr>
                <w:sz w:val="20"/>
              </w:rPr>
            </w:pPr>
            <w:r>
              <w:rPr>
                <w:spacing w:val="-2"/>
                <w:sz w:val="20"/>
              </w:rPr>
              <w:t>1,290</w:t>
            </w:r>
          </w:p>
        </w:tc>
      </w:tr>
      <w:tr w:rsidR="00AE2255" w14:paraId="1C2803D5" w14:textId="77777777">
        <w:trPr>
          <w:trHeight w:val="285"/>
        </w:trPr>
        <w:tc>
          <w:tcPr>
            <w:tcW w:w="7080" w:type="dxa"/>
            <w:shd w:val="clear" w:color="auto" w:fill="CCEDFF"/>
          </w:tcPr>
          <w:p w14:paraId="14566A7B" w14:textId="77777777" w:rsidR="00AE2255" w:rsidRDefault="00000000">
            <w:pPr>
              <w:pStyle w:val="TableParagraph"/>
              <w:spacing w:before="27"/>
              <w:ind w:left="187"/>
              <w:jc w:val="left"/>
              <w:rPr>
                <w:sz w:val="20"/>
              </w:rPr>
            </w:pPr>
            <w:r>
              <w:rPr>
                <w:sz w:val="20"/>
              </w:rPr>
              <w:t>Stock-based</w:t>
            </w:r>
            <w:r>
              <w:rPr>
                <w:spacing w:val="-6"/>
                <w:sz w:val="20"/>
              </w:rPr>
              <w:t xml:space="preserve"> </w:t>
            </w:r>
            <w:r>
              <w:rPr>
                <w:spacing w:val="-2"/>
                <w:sz w:val="20"/>
              </w:rPr>
              <w:t>compensation</w:t>
            </w:r>
          </w:p>
        </w:tc>
        <w:tc>
          <w:tcPr>
            <w:tcW w:w="1061" w:type="dxa"/>
            <w:shd w:val="clear" w:color="auto" w:fill="CCEDFF"/>
          </w:tcPr>
          <w:p w14:paraId="523FA85B" w14:textId="77777777" w:rsidR="00AE2255" w:rsidRDefault="00000000">
            <w:pPr>
              <w:pStyle w:val="TableParagraph"/>
              <w:ind w:right="135"/>
              <w:rPr>
                <w:b/>
                <w:sz w:val="20"/>
              </w:rPr>
            </w:pPr>
            <w:r>
              <w:rPr>
                <w:b/>
                <w:spacing w:val="-5"/>
                <w:sz w:val="20"/>
              </w:rPr>
              <w:t>238</w:t>
            </w:r>
          </w:p>
        </w:tc>
        <w:tc>
          <w:tcPr>
            <w:tcW w:w="1080" w:type="dxa"/>
            <w:shd w:val="clear" w:color="auto" w:fill="CCEDFF"/>
          </w:tcPr>
          <w:p w14:paraId="6F2A8352" w14:textId="77777777" w:rsidR="00AE2255" w:rsidRDefault="00000000">
            <w:pPr>
              <w:pStyle w:val="TableParagraph"/>
              <w:ind w:right="135"/>
              <w:rPr>
                <w:sz w:val="20"/>
              </w:rPr>
            </w:pPr>
            <w:r>
              <w:rPr>
                <w:spacing w:val="-5"/>
                <w:sz w:val="20"/>
              </w:rPr>
              <w:t>227</w:t>
            </w:r>
          </w:p>
        </w:tc>
        <w:tc>
          <w:tcPr>
            <w:tcW w:w="1024" w:type="dxa"/>
            <w:shd w:val="clear" w:color="auto" w:fill="CCEDFF"/>
          </w:tcPr>
          <w:p w14:paraId="4CFCDFF1" w14:textId="77777777" w:rsidR="00AE2255" w:rsidRDefault="00000000">
            <w:pPr>
              <w:pStyle w:val="TableParagraph"/>
              <w:ind w:right="79"/>
              <w:rPr>
                <w:sz w:val="20"/>
              </w:rPr>
            </w:pPr>
            <w:r>
              <w:rPr>
                <w:spacing w:val="-5"/>
                <w:sz w:val="20"/>
              </w:rPr>
              <w:t>221</w:t>
            </w:r>
          </w:p>
        </w:tc>
      </w:tr>
      <w:tr w:rsidR="00AE2255" w14:paraId="008D302F" w14:textId="77777777">
        <w:trPr>
          <w:trHeight w:val="300"/>
        </w:trPr>
        <w:tc>
          <w:tcPr>
            <w:tcW w:w="7080" w:type="dxa"/>
          </w:tcPr>
          <w:p w14:paraId="4627CFB4" w14:textId="77777777" w:rsidR="00AE2255" w:rsidRDefault="00000000">
            <w:pPr>
              <w:pStyle w:val="TableParagraph"/>
              <w:spacing w:before="27"/>
              <w:ind w:left="187"/>
              <w:jc w:val="left"/>
              <w:rPr>
                <w:sz w:val="20"/>
              </w:rPr>
            </w:pPr>
            <w:r>
              <w:rPr>
                <w:sz w:val="20"/>
              </w:rPr>
              <w:t>Equity</w:t>
            </w:r>
            <w:r>
              <w:rPr>
                <w:spacing w:val="-5"/>
                <w:sz w:val="20"/>
              </w:rPr>
              <w:t xml:space="preserve"> </w:t>
            </w:r>
            <w:r>
              <w:rPr>
                <w:sz w:val="20"/>
              </w:rPr>
              <w:t>method</w:t>
            </w:r>
            <w:r>
              <w:rPr>
                <w:spacing w:val="-4"/>
                <w:sz w:val="20"/>
              </w:rPr>
              <w:t xml:space="preserve"> </w:t>
            </w:r>
            <w:r>
              <w:rPr>
                <w:sz w:val="20"/>
              </w:rPr>
              <w:t>investment</w:t>
            </w:r>
            <w:r>
              <w:rPr>
                <w:spacing w:val="-4"/>
                <w:sz w:val="20"/>
              </w:rPr>
              <w:t xml:space="preserve"> </w:t>
            </w:r>
            <w:r>
              <w:rPr>
                <w:spacing w:val="-2"/>
                <w:sz w:val="20"/>
              </w:rPr>
              <w:t>impairment</w:t>
            </w:r>
          </w:p>
        </w:tc>
        <w:tc>
          <w:tcPr>
            <w:tcW w:w="1061" w:type="dxa"/>
          </w:tcPr>
          <w:p w14:paraId="0058179E" w14:textId="77777777" w:rsidR="00AE2255" w:rsidRDefault="00000000">
            <w:pPr>
              <w:pStyle w:val="TableParagraph"/>
              <w:spacing w:before="40"/>
              <w:ind w:right="135"/>
              <w:rPr>
                <w:b/>
                <w:sz w:val="20"/>
              </w:rPr>
            </w:pPr>
            <w:r>
              <w:rPr>
                <w:b/>
                <w:sz w:val="20"/>
              </w:rPr>
              <w:t>—</w:t>
            </w:r>
          </w:p>
        </w:tc>
        <w:tc>
          <w:tcPr>
            <w:tcW w:w="1080" w:type="dxa"/>
          </w:tcPr>
          <w:p w14:paraId="4E8EB91A" w14:textId="77777777" w:rsidR="00AE2255" w:rsidRDefault="00000000">
            <w:pPr>
              <w:pStyle w:val="TableParagraph"/>
              <w:spacing w:before="40"/>
              <w:ind w:right="135"/>
              <w:rPr>
                <w:sz w:val="20"/>
              </w:rPr>
            </w:pPr>
            <w:r>
              <w:rPr>
                <w:sz w:val="20"/>
              </w:rPr>
              <w:t>—</w:t>
            </w:r>
          </w:p>
        </w:tc>
        <w:tc>
          <w:tcPr>
            <w:tcW w:w="1024" w:type="dxa"/>
          </w:tcPr>
          <w:p w14:paraId="545FF6D5" w14:textId="77777777" w:rsidR="00AE2255" w:rsidRDefault="00000000">
            <w:pPr>
              <w:pStyle w:val="TableParagraph"/>
              <w:spacing w:before="40"/>
              <w:ind w:right="79"/>
              <w:rPr>
                <w:sz w:val="20"/>
              </w:rPr>
            </w:pPr>
            <w:r>
              <w:rPr>
                <w:spacing w:val="-5"/>
                <w:sz w:val="20"/>
              </w:rPr>
              <w:t>128</w:t>
            </w:r>
          </w:p>
        </w:tc>
      </w:tr>
      <w:tr w:rsidR="00AE2255" w14:paraId="03233003" w14:textId="77777777">
        <w:trPr>
          <w:trHeight w:val="300"/>
        </w:trPr>
        <w:tc>
          <w:tcPr>
            <w:tcW w:w="7080" w:type="dxa"/>
            <w:shd w:val="clear" w:color="auto" w:fill="CCEDFF"/>
          </w:tcPr>
          <w:p w14:paraId="437E36A4" w14:textId="77777777" w:rsidR="00AE2255" w:rsidRDefault="00000000">
            <w:pPr>
              <w:pStyle w:val="TableParagraph"/>
              <w:spacing w:before="27"/>
              <w:ind w:left="187"/>
              <w:jc w:val="left"/>
              <w:rPr>
                <w:sz w:val="20"/>
              </w:rPr>
            </w:pPr>
            <w:r>
              <w:rPr>
                <w:sz w:val="20"/>
              </w:rPr>
              <w:t>Tax</w:t>
            </w:r>
            <w:r>
              <w:rPr>
                <w:spacing w:val="-4"/>
                <w:sz w:val="20"/>
              </w:rPr>
              <w:t xml:space="preserve"> </w:t>
            </w:r>
            <w:r>
              <w:rPr>
                <w:sz w:val="20"/>
              </w:rPr>
              <w:t>resolution</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former</w:t>
            </w:r>
            <w:r>
              <w:rPr>
                <w:spacing w:val="-3"/>
                <w:sz w:val="20"/>
              </w:rPr>
              <w:t xml:space="preserve"> </w:t>
            </w:r>
            <w:r>
              <w:rPr>
                <w:sz w:val="20"/>
              </w:rPr>
              <w:t>IS&amp;GS</w:t>
            </w:r>
            <w:r>
              <w:rPr>
                <w:spacing w:val="-3"/>
                <w:sz w:val="20"/>
              </w:rPr>
              <w:t xml:space="preserve"> </w:t>
            </w:r>
            <w:r>
              <w:rPr>
                <w:spacing w:val="-2"/>
                <w:sz w:val="20"/>
              </w:rPr>
              <w:t>business</w:t>
            </w:r>
          </w:p>
        </w:tc>
        <w:tc>
          <w:tcPr>
            <w:tcW w:w="1061" w:type="dxa"/>
            <w:shd w:val="clear" w:color="auto" w:fill="CCEDFF"/>
          </w:tcPr>
          <w:p w14:paraId="5C031AED" w14:textId="77777777" w:rsidR="00AE2255" w:rsidRDefault="00000000">
            <w:pPr>
              <w:pStyle w:val="TableParagraph"/>
              <w:spacing w:before="40"/>
              <w:ind w:right="135"/>
              <w:rPr>
                <w:b/>
                <w:sz w:val="20"/>
              </w:rPr>
            </w:pPr>
            <w:r>
              <w:rPr>
                <w:b/>
                <w:sz w:val="20"/>
              </w:rPr>
              <w:t>—</w:t>
            </w:r>
          </w:p>
        </w:tc>
        <w:tc>
          <w:tcPr>
            <w:tcW w:w="1080" w:type="dxa"/>
            <w:shd w:val="clear" w:color="auto" w:fill="CCEDFF"/>
          </w:tcPr>
          <w:p w14:paraId="7E2CEA3C" w14:textId="77777777" w:rsidR="00AE2255" w:rsidRDefault="00000000">
            <w:pPr>
              <w:pStyle w:val="TableParagraph"/>
              <w:spacing w:before="40"/>
              <w:ind w:right="135"/>
              <w:rPr>
                <w:sz w:val="20"/>
              </w:rPr>
            </w:pPr>
            <w:r>
              <w:rPr>
                <w:sz w:val="20"/>
              </w:rPr>
              <w:t>—</w:t>
            </w:r>
          </w:p>
        </w:tc>
        <w:tc>
          <w:tcPr>
            <w:tcW w:w="1024" w:type="dxa"/>
            <w:shd w:val="clear" w:color="auto" w:fill="CCEDFF"/>
          </w:tcPr>
          <w:p w14:paraId="1C22EE78" w14:textId="77777777" w:rsidR="00AE2255" w:rsidRDefault="00000000">
            <w:pPr>
              <w:pStyle w:val="TableParagraph"/>
              <w:spacing w:before="40"/>
              <w:ind w:right="79"/>
              <w:rPr>
                <w:sz w:val="20"/>
              </w:rPr>
            </w:pPr>
            <w:r>
              <w:rPr>
                <w:spacing w:val="-5"/>
                <w:sz w:val="20"/>
              </w:rPr>
              <w:t>55</w:t>
            </w:r>
          </w:p>
        </w:tc>
      </w:tr>
      <w:tr w:rsidR="00AE2255" w14:paraId="611DA371" w14:textId="77777777">
        <w:trPr>
          <w:trHeight w:val="300"/>
        </w:trPr>
        <w:tc>
          <w:tcPr>
            <w:tcW w:w="7080" w:type="dxa"/>
          </w:tcPr>
          <w:p w14:paraId="77F5A254" w14:textId="77777777" w:rsidR="00AE2255" w:rsidRDefault="00000000">
            <w:pPr>
              <w:pStyle w:val="TableParagraph"/>
              <w:spacing w:before="27"/>
              <w:ind w:left="187"/>
              <w:jc w:val="left"/>
              <w:rPr>
                <w:sz w:val="20"/>
              </w:rPr>
            </w:pPr>
            <w:r>
              <w:rPr>
                <w:sz w:val="20"/>
              </w:rPr>
              <w:t>Deferred</w:t>
            </w:r>
            <w:r>
              <w:rPr>
                <w:spacing w:val="-4"/>
                <w:sz w:val="20"/>
              </w:rPr>
              <w:t xml:space="preserve"> </w:t>
            </w:r>
            <w:r>
              <w:rPr>
                <w:sz w:val="20"/>
              </w:rPr>
              <w:t>income</w:t>
            </w:r>
            <w:r>
              <w:rPr>
                <w:spacing w:val="-4"/>
                <w:sz w:val="20"/>
              </w:rPr>
              <w:t xml:space="preserve"> taxes</w:t>
            </w:r>
          </w:p>
        </w:tc>
        <w:tc>
          <w:tcPr>
            <w:tcW w:w="1061" w:type="dxa"/>
          </w:tcPr>
          <w:p w14:paraId="2561560C" w14:textId="77777777" w:rsidR="00AE2255" w:rsidRDefault="00000000">
            <w:pPr>
              <w:pStyle w:val="TableParagraph"/>
              <w:spacing w:before="40"/>
              <w:ind w:right="70"/>
              <w:rPr>
                <w:b/>
                <w:sz w:val="20"/>
              </w:rPr>
            </w:pPr>
            <w:r>
              <w:rPr>
                <w:b/>
                <w:spacing w:val="-2"/>
                <w:sz w:val="20"/>
              </w:rPr>
              <w:t>(757)</w:t>
            </w:r>
          </w:p>
        </w:tc>
        <w:tc>
          <w:tcPr>
            <w:tcW w:w="1080" w:type="dxa"/>
          </w:tcPr>
          <w:p w14:paraId="222ED990" w14:textId="77777777" w:rsidR="00AE2255" w:rsidRDefault="00000000">
            <w:pPr>
              <w:pStyle w:val="TableParagraph"/>
              <w:spacing w:before="40"/>
              <w:ind w:right="70"/>
              <w:rPr>
                <w:sz w:val="20"/>
              </w:rPr>
            </w:pPr>
            <w:r>
              <w:rPr>
                <w:spacing w:val="-2"/>
                <w:sz w:val="20"/>
              </w:rPr>
              <w:t>(183)</w:t>
            </w:r>
          </w:p>
        </w:tc>
        <w:tc>
          <w:tcPr>
            <w:tcW w:w="1024" w:type="dxa"/>
          </w:tcPr>
          <w:p w14:paraId="7A5D1C8F" w14:textId="77777777" w:rsidR="00AE2255" w:rsidRDefault="00000000">
            <w:pPr>
              <w:pStyle w:val="TableParagraph"/>
              <w:spacing w:before="40"/>
              <w:ind w:right="79"/>
              <w:rPr>
                <w:sz w:val="20"/>
              </w:rPr>
            </w:pPr>
            <w:r>
              <w:rPr>
                <w:sz w:val="20"/>
              </w:rPr>
              <w:t>5</w:t>
            </w:r>
          </w:p>
        </w:tc>
      </w:tr>
      <w:tr w:rsidR="00AE2255" w14:paraId="48A38EE1" w14:textId="77777777">
        <w:trPr>
          <w:trHeight w:val="285"/>
        </w:trPr>
        <w:tc>
          <w:tcPr>
            <w:tcW w:w="7080" w:type="dxa"/>
            <w:shd w:val="clear" w:color="auto" w:fill="CCEDFF"/>
          </w:tcPr>
          <w:p w14:paraId="49140BE1" w14:textId="77777777" w:rsidR="00AE2255" w:rsidRDefault="00000000">
            <w:pPr>
              <w:pStyle w:val="TableParagraph"/>
              <w:spacing w:before="27"/>
              <w:ind w:left="187"/>
              <w:jc w:val="left"/>
              <w:rPr>
                <w:sz w:val="20"/>
              </w:rPr>
            </w:pPr>
            <w:r>
              <w:rPr>
                <w:sz w:val="20"/>
              </w:rPr>
              <w:t>Pension</w:t>
            </w:r>
            <w:r>
              <w:rPr>
                <w:spacing w:val="-7"/>
                <w:sz w:val="20"/>
              </w:rPr>
              <w:t xml:space="preserve"> </w:t>
            </w:r>
            <w:r>
              <w:rPr>
                <w:sz w:val="20"/>
              </w:rPr>
              <w:t>settlement</w:t>
            </w:r>
            <w:r>
              <w:rPr>
                <w:spacing w:val="-6"/>
                <w:sz w:val="20"/>
              </w:rPr>
              <w:t xml:space="preserve"> </w:t>
            </w:r>
            <w:r>
              <w:rPr>
                <w:spacing w:val="-2"/>
                <w:sz w:val="20"/>
              </w:rPr>
              <w:t>charge</w:t>
            </w:r>
          </w:p>
        </w:tc>
        <w:tc>
          <w:tcPr>
            <w:tcW w:w="1061" w:type="dxa"/>
            <w:shd w:val="clear" w:color="auto" w:fill="CCEDFF"/>
          </w:tcPr>
          <w:p w14:paraId="21188ACF" w14:textId="77777777" w:rsidR="00AE2255" w:rsidRDefault="00000000">
            <w:pPr>
              <w:pStyle w:val="TableParagraph"/>
              <w:ind w:right="135"/>
              <w:rPr>
                <w:b/>
                <w:sz w:val="20"/>
              </w:rPr>
            </w:pPr>
            <w:r>
              <w:rPr>
                <w:b/>
                <w:spacing w:val="-2"/>
                <w:sz w:val="20"/>
              </w:rPr>
              <w:t>1,470</w:t>
            </w:r>
          </w:p>
        </w:tc>
        <w:tc>
          <w:tcPr>
            <w:tcW w:w="1080" w:type="dxa"/>
            <w:shd w:val="clear" w:color="auto" w:fill="CCEDFF"/>
          </w:tcPr>
          <w:p w14:paraId="4591F965" w14:textId="77777777" w:rsidR="00AE2255" w:rsidRDefault="00000000">
            <w:pPr>
              <w:pStyle w:val="TableParagraph"/>
              <w:ind w:right="135"/>
              <w:rPr>
                <w:sz w:val="20"/>
              </w:rPr>
            </w:pPr>
            <w:r>
              <w:rPr>
                <w:spacing w:val="-2"/>
                <w:sz w:val="20"/>
              </w:rPr>
              <w:t>1,665</w:t>
            </w:r>
          </w:p>
        </w:tc>
        <w:tc>
          <w:tcPr>
            <w:tcW w:w="1024" w:type="dxa"/>
            <w:shd w:val="clear" w:color="auto" w:fill="CCEDFF"/>
          </w:tcPr>
          <w:p w14:paraId="0C197B80" w14:textId="77777777" w:rsidR="00AE2255" w:rsidRDefault="00000000">
            <w:pPr>
              <w:pStyle w:val="TableParagraph"/>
              <w:ind w:right="79"/>
              <w:rPr>
                <w:sz w:val="20"/>
              </w:rPr>
            </w:pPr>
            <w:r>
              <w:rPr>
                <w:sz w:val="20"/>
              </w:rPr>
              <w:t>—</w:t>
            </w:r>
          </w:p>
        </w:tc>
      </w:tr>
      <w:tr w:rsidR="00AE2255" w14:paraId="53FD7312" w14:textId="77777777">
        <w:trPr>
          <w:trHeight w:val="285"/>
        </w:trPr>
        <w:tc>
          <w:tcPr>
            <w:tcW w:w="7080" w:type="dxa"/>
          </w:tcPr>
          <w:p w14:paraId="45AD1C1D" w14:textId="77777777" w:rsidR="00AE2255" w:rsidRDefault="00000000">
            <w:pPr>
              <w:pStyle w:val="TableParagraph"/>
              <w:spacing w:before="27"/>
              <w:ind w:left="187"/>
              <w:jc w:val="left"/>
              <w:rPr>
                <w:sz w:val="20"/>
              </w:rPr>
            </w:pPr>
            <w:r>
              <w:rPr>
                <w:sz w:val="20"/>
              </w:rPr>
              <w:t>Severance</w:t>
            </w:r>
            <w:r>
              <w:rPr>
                <w:spacing w:val="-4"/>
                <w:sz w:val="20"/>
              </w:rPr>
              <w:t xml:space="preserve"> </w:t>
            </w:r>
            <w:r>
              <w:rPr>
                <w:sz w:val="20"/>
              </w:rPr>
              <w:t>and</w:t>
            </w:r>
            <w:r>
              <w:rPr>
                <w:spacing w:val="-3"/>
                <w:sz w:val="20"/>
              </w:rPr>
              <w:t xml:space="preserve"> </w:t>
            </w:r>
            <w:r>
              <w:rPr>
                <w:sz w:val="20"/>
              </w:rPr>
              <w:t>other</w:t>
            </w:r>
            <w:r>
              <w:rPr>
                <w:spacing w:val="-2"/>
                <w:sz w:val="20"/>
              </w:rPr>
              <w:t xml:space="preserve"> charges</w:t>
            </w:r>
          </w:p>
        </w:tc>
        <w:tc>
          <w:tcPr>
            <w:tcW w:w="1061" w:type="dxa"/>
          </w:tcPr>
          <w:p w14:paraId="1D1C5E3A" w14:textId="77777777" w:rsidR="00AE2255" w:rsidRDefault="00000000">
            <w:pPr>
              <w:pStyle w:val="TableParagraph"/>
              <w:ind w:right="135"/>
              <w:rPr>
                <w:b/>
                <w:sz w:val="20"/>
              </w:rPr>
            </w:pPr>
            <w:r>
              <w:rPr>
                <w:b/>
                <w:spacing w:val="-5"/>
                <w:sz w:val="20"/>
              </w:rPr>
              <w:t>100</w:t>
            </w:r>
          </w:p>
        </w:tc>
        <w:tc>
          <w:tcPr>
            <w:tcW w:w="1080" w:type="dxa"/>
          </w:tcPr>
          <w:p w14:paraId="64579ACE" w14:textId="77777777" w:rsidR="00AE2255" w:rsidRDefault="00000000">
            <w:pPr>
              <w:pStyle w:val="TableParagraph"/>
              <w:ind w:right="135"/>
              <w:rPr>
                <w:sz w:val="20"/>
              </w:rPr>
            </w:pPr>
            <w:r>
              <w:rPr>
                <w:spacing w:val="-5"/>
                <w:sz w:val="20"/>
              </w:rPr>
              <w:t>36</w:t>
            </w:r>
          </w:p>
        </w:tc>
        <w:tc>
          <w:tcPr>
            <w:tcW w:w="1024" w:type="dxa"/>
          </w:tcPr>
          <w:p w14:paraId="0FDAB279" w14:textId="77777777" w:rsidR="00AE2255" w:rsidRDefault="00000000">
            <w:pPr>
              <w:pStyle w:val="TableParagraph"/>
              <w:ind w:right="79"/>
              <w:rPr>
                <w:sz w:val="20"/>
              </w:rPr>
            </w:pPr>
            <w:r>
              <w:rPr>
                <w:spacing w:val="-5"/>
                <w:sz w:val="20"/>
              </w:rPr>
              <w:t>27</w:t>
            </w:r>
          </w:p>
        </w:tc>
      </w:tr>
      <w:tr w:rsidR="00AE2255" w14:paraId="6B295334" w14:textId="77777777">
        <w:trPr>
          <w:trHeight w:val="284"/>
        </w:trPr>
        <w:tc>
          <w:tcPr>
            <w:tcW w:w="7080" w:type="dxa"/>
            <w:shd w:val="clear" w:color="auto" w:fill="CCEDFF"/>
          </w:tcPr>
          <w:p w14:paraId="3D344C56" w14:textId="77777777" w:rsidR="00AE2255" w:rsidRDefault="00000000">
            <w:pPr>
              <w:pStyle w:val="TableParagraph"/>
              <w:spacing w:before="27"/>
              <w:ind w:left="187"/>
              <w:jc w:val="left"/>
              <w:rPr>
                <w:sz w:val="20"/>
              </w:rPr>
            </w:pPr>
            <w:r>
              <w:rPr>
                <w:sz w:val="20"/>
              </w:rPr>
              <w:t>Changes</w:t>
            </w:r>
            <w:r>
              <w:rPr>
                <w:spacing w:val="-4"/>
                <w:sz w:val="20"/>
              </w:rPr>
              <w:t xml:space="preserve"> </w:t>
            </w:r>
            <w:r>
              <w:rPr>
                <w:spacing w:val="-5"/>
                <w:sz w:val="20"/>
              </w:rPr>
              <w:t>in:</w:t>
            </w:r>
          </w:p>
        </w:tc>
        <w:tc>
          <w:tcPr>
            <w:tcW w:w="1061" w:type="dxa"/>
            <w:shd w:val="clear" w:color="auto" w:fill="CCEDFF"/>
          </w:tcPr>
          <w:p w14:paraId="1A614E12" w14:textId="77777777" w:rsidR="00AE2255" w:rsidRDefault="00AE2255">
            <w:pPr>
              <w:pStyle w:val="TableParagraph"/>
              <w:spacing w:before="0"/>
              <w:jc w:val="left"/>
              <w:rPr>
                <w:sz w:val="20"/>
              </w:rPr>
            </w:pPr>
          </w:p>
        </w:tc>
        <w:tc>
          <w:tcPr>
            <w:tcW w:w="1080" w:type="dxa"/>
            <w:shd w:val="clear" w:color="auto" w:fill="CCEDFF"/>
          </w:tcPr>
          <w:p w14:paraId="21FCBF50" w14:textId="77777777" w:rsidR="00AE2255" w:rsidRDefault="00AE2255">
            <w:pPr>
              <w:pStyle w:val="TableParagraph"/>
              <w:spacing w:before="0"/>
              <w:jc w:val="left"/>
              <w:rPr>
                <w:sz w:val="20"/>
              </w:rPr>
            </w:pPr>
          </w:p>
        </w:tc>
        <w:tc>
          <w:tcPr>
            <w:tcW w:w="1024" w:type="dxa"/>
            <w:shd w:val="clear" w:color="auto" w:fill="CCEDFF"/>
          </w:tcPr>
          <w:p w14:paraId="7844316E" w14:textId="77777777" w:rsidR="00AE2255" w:rsidRDefault="00AE2255">
            <w:pPr>
              <w:pStyle w:val="TableParagraph"/>
              <w:spacing w:before="0"/>
              <w:jc w:val="left"/>
              <w:rPr>
                <w:sz w:val="20"/>
              </w:rPr>
            </w:pPr>
          </w:p>
        </w:tc>
      </w:tr>
      <w:tr w:rsidR="00AE2255" w14:paraId="384FB5EC" w14:textId="77777777">
        <w:trPr>
          <w:trHeight w:val="285"/>
        </w:trPr>
        <w:tc>
          <w:tcPr>
            <w:tcW w:w="7080" w:type="dxa"/>
          </w:tcPr>
          <w:p w14:paraId="2B69D0AD" w14:textId="77777777" w:rsidR="00AE2255" w:rsidRDefault="00000000">
            <w:pPr>
              <w:pStyle w:val="TableParagraph"/>
              <w:spacing w:before="27"/>
              <w:ind w:left="412"/>
              <w:jc w:val="left"/>
              <w:rPr>
                <w:sz w:val="20"/>
              </w:rPr>
            </w:pPr>
            <w:r>
              <w:rPr>
                <w:sz w:val="20"/>
              </w:rPr>
              <w:t>Receivables,</w:t>
            </w:r>
            <w:r>
              <w:rPr>
                <w:spacing w:val="-9"/>
                <w:sz w:val="20"/>
              </w:rPr>
              <w:t xml:space="preserve"> </w:t>
            </w:r>
            <w:r>
              <w:rPr>
                <w:spacing w:val="-5"/>
                <w:sz w:val="20"/>
              </w:rPr>
              <w:t>net</w:t>
            </w:r>
          </w:p>
        </w:tc>
        <w:tc>
          <w:tcPr>
            <w:tcW w:w="1061" w:type="dxa"/>
          </w:tcPr>
          <w:p w14:paraId="15774E26" w14:textId="77777777" w:rsidR="00AE2255" w:rsidRDefault="00000000">
            <w:pPr>
              <w:pStyle w:val="TableParagraph"/>
              <w:ind w:right="70"/>
              <w:rPr>
                <w:b/>
                <w:sz w:val="20"/>
              </w:rPr>
            </w:pPr>
            <w:r>
              <w:rPr>
                <w:b/>
                <w:spacing w:val="-2"/>
                <w:sz w:val="20"/>
              </w:rPr>
              <w:t>(542)</w:t>
            </w:r>
          </w:p>
        </w:tc>
        <w:tc>
          <w:tcPr>
            <w:tcW w:w="1080" w:type="dxa"/>
          </w:tcPr>
          <w:p w14:paraId="1CFDBE5B" w14:textId="77777777" w:rsidR="00AE2255" w:rsidRDefault="00000000">
            <w:pPr>
              <w:pStyle w:val="TableParagraph"/>
              <w:ind w:right="135"/>
              <w:rPr>
                <w:sz w:val="20"/>
              </w:rPr>
            </w:pPr>
            <w:r>
              <w:rPr>
                <w:spacing w:val="-5"/>
                <w:sz w:val="20"/>
              </w:rPr>
              <w:t>15</w:t>
            </w:r>
          </w:p>
        </w:tc>
        <w:tc>
          <w:tcPr>
            <w:tcW w:w="1024" w:type="dxa"/>
          </w:tcPr>
          <w:p w14:paraId="4D7C6586" w14:textId="77777777" w:rsidR="00AE2255" w:rsidRDefault="00000000">
            <w:pPr>
              <w:pStyle w:val="TableParagraph"/>
              <w:ind w:right="79"/>
              <w:rPr>
                <w:sz w:val="20"/>
              </w:rPr>
            </w:pPr>
            <w:r>
              <w:rPr>
                <w:spacing w:val="-5"/>
                <w:sz w:val="20"/>
              </w:rPr>
              <w:t>359</w:t>
            </w:r>
          </w:p>
        </w:tc>
      </w:tr>
      <w:tr w:rsidR="00AE2255" w14:paraId="390E7429" w14:textId="77777777">
        <w:trPr>
          <w:trHeight w:val="285"/>
        </w:trPr>
        <w:tc>
          <w:tcPr>
            <w:tcW w:w="7080" w:type="dxa"/>
            <w:shd w:val="clear" w:color="auto" w:fill="CCEDFF"/>
          </w:tcPr>
          <w:p w14:paraId="6502FC51" w14:textId="77777777" w:rsidR="00AE2255" w:rsidRDefault="00000000">
            <w:pPr>
              <w:pStyle w:val="TableParagraph"/>
              <w:spacing w:before="27"/>
              <w:ind w:left="412"/>
              <w:jc w:val="left"/>
              <w:rPr>
                <w:sz w:val="20"/>
              </w:rPr>
            </w:pPr>
            <w:r>
              <w:rPr>
                <w:sz w:val="20"/>
              </w:rPr>
              <w:t>Contract</w:t>
            </w:r>
            <w:r>
              <w:rPr>
                <w:spacing w:val="-5"/>
                <w:sz w:val="20"/>
              </w:rPr>
              <w:t xml:space="preserve"> </w:t>
            </w:r>
            <w:r>
              <w:rPr>
                <w:spacing w:val="-2"/>
                <w:sz w:val="20"/>
              </w:rPr>
              <w:t>assets</w:t>
            </w:r>
          </w:p>
        </w:tc>
        <w:tc>
          <w:tcPr>
            <w:tcW w:w="1061" w:type="dxa"/>
            <w:shd w:val="clear" w:color="auto" w:fill="CCEDFF"/>
          </w:tcPr>
          <w:p w14:paraId="3E96AA9C" w14:textId="77777777" w:rsidR="00AE2255" w:rsidRDefault="00000000">
            <w:pPr>
              <w:pStyle w:val="TableParagraph"/>
              <w:ind w:right="70"/>
              <w:rPr>
                <w:b/>
                <w:sz w:val="20"/>
              </w:rPr>
            </w:pPr>
            <w:r>
              <w:rPr>
                <w:b/>
                <w:spacing w:val="-2"/>
                <w:sz w:val="20"/>
              </w:rPr>
              <w:t>(1,739)</w:t>
            </w:r>
          </w:p>
        </w:tc>
        <w:tc>
          <w:tcPr>
            <w:tcW w:w="1080" w:type="dxa"/>
            <w:shd w:val="clear" w:color="auto" w:fill="CCEDFF"/>
          </w:tcPr>
          <w:p w14:paraId="351BEDD3" w14:textId="77777777" w:rsidR="00AE2255" w:rsidRDefault="00000000">
            <w:pPr>
              <w:pStyle w:val="TableParagraph"/>
              <w:ind w:right="70"/>
              <w:rPr>
                <w:sz w:val="20"/>
              </w:rPr>
            </w:pPr>
            <w:r>
              <w:rPr>
                <w:spacing w:val="-2"/>
                <w:sz w:val="20"/>
              </w:rPr>
              <w:t>(1,034)</w:t>
            </w:r>
          </w:p>
        </w:tc>
        <w:tc>
          <w:tcPr>
            <w:tcW w:w="1024" w:type="dxa"/>
            <w:shd w:val="clear" w:color="auto" w:fill="CCEDFF"/>
          </w:tcPr>
          <w:p w14:paraId="0B7F989D" w14:textId="77777777" w:rsidR="00AE2255" w:rsidRDefault="00000000">
            <w:pPr>
              <w:pStyle w:val="TableParagraph"/>
              <w:ind w:right="14"/>
              <w:rPr>
                <w:sz w:val="20"/>
              </w:rPr>
            </w:pPr>
            <w:r>
              <w:rPr>
                <w:spacing w:val="-2"/>
                <w:sz w:val="20"/>
              </w:rPr>
              <w:t>(451)</w:t>
            </w:r>
          </w:p>
        </w:tc>
      </w:tr>
      <w:tr w:rsidR="00AE2255" w14:paraId="0AEE561E" w14:textId="77777777">
        <w:trPr>
          <w:trHeight w:val="285"/>
        </w:trPr>
        <w:tc>
          <w:tcPr>
            <w:tcW w:w="7080" w:type="dxa"/>
          </w:tcPr>
          <w:p w14:paraId="7A8B1A6A" w14:textId="77777777" w:rsidR="00AE2255" w:rsidRDefault="00000000">
            <w:pPr>
              <w:pStyle w:val="TableParagraph"/>
              <w:spacing w:before="27"/>
              <w:ind w:left="412"/>
              <w:jc w:val="left"/>
              <w:rPr>
                <w:sz w:val="20"/>
              </w:rPr>
            </w:pPr>
            <w:r>
              <w:rPr>
                <w:spacing w:val="-2"/>
                <w:sz w:val="20"/>
              </w:rPr>
              <w:t>Inventories</w:t>
            </w:r>
          </w:p>
        </w:tc>
        <w:tc>
          <w:tcPr>
            <w:tcW w:w="1061" w:type="dxa"/>
          </w:tcPr>
          <w:p w14:paraId="45814653" w14:textId="77777777" w:rsidR="00AE2255" w:rsidRDefault="00000000">
            <w:pPr>
              <w:pStyle w:val="TableParagraph"/>
              <w:ind w:right="70"/>
              <w:rPr>
                <w:b/>
                <w:sz w:val="20"/>
              </w:rPr>
            </w:pPr>
            <w:r>
              <w:rPr>
                <w:b/>
                <w:spacing w:val="-2"/>
                <w:sz w:val="20"/>
              </w:rPr>
              <w:t>(107)</w:t>
            </w:r>
          </w:p>
        </w:tc>
        <w:tc>
          <w:tcPr>
            <w:tcW w:w="1080" w:type="dxa"/>
          </w:tcPr>
          <w:p w14:paraId="0B73B4B3" w14:textId="77777777" w:rsidR="00AE2255" w:rsidRDefault="00000000">
            <w:pPr>
              <w:pStyle w:val="TableParagraph"/>
              <w:ind w:right="135"/>
              <w:rPr>
                <w:sz w:val="20"/>
              </w:rPr>
            </w:pPr>
            <w:r>
              <w:rPr>
                <w:spacing w:val="-5"/>
                <w:sz w:val="20"/>
              </w:rPr>
              <w:t>564</w:t>
            </w:r>
          </w:p>
        </w:tc>
        <w:tc>
          <w:tcPr>
            <w:tcW w:w="1024" w:type="dxa"/>
          </w:tcPr>
          <w:p w14:paraId="70E7E2A2" w14:textId="77777777" w:rsidR="00AE2255" w:rsidRDefault="00000000">
            <w:pPr>
              <w:pStyle w:val="TableParagraph"/>
              <w:ind w:right="79"/>
              <w:rPr>
                <w:sz w:val="20"/>
              </w:rPr>
            </w:pPr>
            <w:r>
              <w:rPr>
                <w:spacing w:val="-5"/>
                <w:sz w:val="20"/>
              </w:rPr>
              <w:t>74</w:t>
            </w:r>
          </w:p>
        </w:tc>
      </w:tr>
      <w:tr w:rsidR="00AE2255" w14:paraId="4D24C625" w14:textId="77777777">
        <w:trPr>
          <w:trHeight w:val="285"/>
        </w:trPr>
        <w:tc>
          <w:tcPr>
            <w:tcW w:w="7080" w:type="dxa"/>
            <w:shd w:val="clear" w:color="auto" w:fill="CCEDFF"/>
          </w:tcPr>
          <w:p w14:paraId="746A7AB6" w14:textId="77777777" w:rsidR="00AE2255" w:rsidRDefault="00000000">
            <w:pPr>
              <w:pStyle w:val="TableParagraph"/>
              <w:spacing w:before="27"/>
              <w:ind w:left="412"/>
              <w:jc w:val="left"/>
              <w:rPr>
                <w:sz w:val="20"/>
              </w:rPr>
            </w:pPr>
            <w:r>
              <w:rPr>
                <w:sz w:val="20"/>
              </w:rPr>
              <w:t>Accounts</w:t>
            </w:r>
            <w:r>
              <w:rPr>
                <w:spacing w:val="-5"/>
                <w:sz w:val="20"/>
              </w:rPr>
              <w:t xml:space="preserve"> </w:t>
            </w:r>
            <w:r>
              <w:rPr>
                <w:spacing w:val="-2"/>
                <w:sz w:val="20"/>
              </w:rPr>
              <w:t>payable</w:t>
            </w:r>
          </w:p>
        </w:tc>
        <w:tc>
          <w:tcPr>
            <w:tcW w:w="1061" w:type="dxa"/>
            <w:shd w:val="clear" w:color="auto" w:fill="CCEDFF"/>
          </w:tcPr>
          <w:p w14:paraId="33F292B3" w14:textId="77777777" w:rsidR="00AE2255" w:rsidRDefault="00000000">
            <w:pPr>
              <w:pStyle w:val="TableParagraph"/>
              <w:ind w:right="135"/>
              <w:rPr>
                <w:b/>
                <w:sz w:val="20"/>
              </w:rPr>
            </w:pPr>
            <w:r>
              <w:rPr>
                <w:b/>
                <w:spacing w:val="-2"/>
                <w:sz w:val="20"/>
              </w:rPr>
              <w:t>1,274</w:t>
            </w:r>
          </w:p>
        </w:tc>
        <w:tc>
          <w:tcPr>
            <w:tcW w:w="1080" w:type="dxa"/>
            <w:shd w:val="clear" w:color="auto" w:fill="CCEDFF"/>
          </w:tcPr>
          <w:p w14:paraId="7BF2BD28" w14:textId="77777777" w:rsidR="00AE2255" w:rsidRDefault="00000000">
            <w:pPr>
              <w:pStyle w:val="TableParagraph"/>
              <w:ind w:right="70"/>
              <w:rPr>
                <w:sz w:val="20"/>
              </w:rPr>
            </w:pPr>
            <w:r>
              <w:rPr>
                <w:spacing w:val="-4"/>
                <w:sz w:val="20"/>
              </w:rPr>
              <w:t>(98)</w:t>
            </w:r>
          </w:p>
        </w:tc>
        <w:tc>
          <w:tcPr>
            <w:tcW w:w="1024" w:type="dxa"/>
            <w:shd w:val="clear" w:color="auto" w:fill="CCEDFF"/>
          </w:tcPr>
          <w:p w14:paraId="2A4FA975" w14:textId="77777777" w:rsidR="00AE2255" w:rsidRDefault="00000000">
            <w:pPr>
              <w:pStyle w:val="TableParagraph"/>
              <w:ind w:right="14"/>
              <w:rPr>
                <w:sz w:val="20"/>
              </w:rPr>
            </w:pPr>
            <w:r>
              <w:rPr>
                <w:spacing w:val="-2"/>
                <w:sz w:val="20"/>
              </w:rPr>
              <w:t>(372)</w:t>
            </w:r>
          </w:p>
        </w:tc>
      </w:tr>
      <w:tr w:rsidR="00AE2255" w14:paraId="1A38F2F9" w14:textId="77777777">
        <w:trPr>
          <w:trHeight w:val="285"/>
        </w:trPr>
        <w:tc>
          <w:tcPr>
            <w:tcW w:w="7080" w:type="dxa"/>
          </w:tcPr>
          <w:p w14:paraId="16D24EB6" w14:textId="77777777" w:rsidR="00AE2255" w:rsidRDefault="00000000">
            <w:pPr>
              <w:pStyle w:val="TableParagraph"/>
              <w:spacing w:before="27"/>
              <w:ind w:left="412"/>
              <w:jc w:val="left"/>
              <w:rPr>
                <w:sz w:val="20"/>
              </w:rPr>
            </w:pPr>
            <w:r>
              <w:rPr>
                <w:sz w:val="20"/>
              </w:rPr>
              <w:t>Contract</w:t>
            </w:r>
            <w:r>
              <w:rPr>
                <w:spacing w:val="-5"/>
                <w:sz w:val="20"/>
              </w:rPr>
              <w:t xml:space="preserve"> </w:t>
            </w:r>
            <w:r>
              <w:rPr>
                <w:spacing w:val="-2"/>
                <w:sz w:val="20"/>
              </w:rPr>
              <w:t>liabilities</w:t>
            </w:r>
          </w:p>
        </w:tc>
        <w:tc>
          <w:tcPr>
            <w:tcW w:w="1061" w:type="dxa"/>
          </w:tcPr>
          <w:p w14:paraId="1D226AB8" w14:textId="77777777" w:rsidR="00AE2255" w:rsidRDefault="00000000">
            <w:pPr>
              <w:pStyle w:val="TableParagraph"/>
              <w:ind w:right="135"/>
              <w:rPr>
                <w:b/>
                <w:sz w:val="20"/>
              </w:rPr>
            </w:pPr>
            <w:r>
              <w:rPr>
                <w:b/>
                <w:spacing w:val="-5"/>
                <w:sz w:val="20"/>
              </w:rPr>
              <w:t>381</w:t>
            </w:r>
          </w:p>
        </w:tc>
        <w:tc>
          <w:tcPr>
            <w:tcW w:w="1080" w:type="dxa"/>
          </w:tcPr>
          <w:p w14:paraId="4C64DD13" w14:textId="77777777" w:rsidR="00AE2255" w:rsidRDefault="00000000">
            <w:pPr>
              <w:pStyle w:val="TableParagraph"/>
              <w:ind w:right="135"/>
              <w:rPr>
                <w:sz w:val="20"/>
              </w:rPr>
            </w:pPr>
            <w:r>
              <w:rPr>
                <w:spacing w:val="-5"/>
                <w:sz w:val="20"/>
              </w:rPr>
              <w:t>562</w:t>
            </w:r>
          </w:p>
        </w:tc>
        <w:tc>
          <w:tcPr>
            <w:tcW w:w="1024" w:type="dxa"/>
          </w:tcPr>
          <w:p w14:paraId="5481FFA3" w14:textId="77777777" w:rsidR="00AE2255" w:rsidRDefault="00000000">
            <w:pPr>
              <w:pStyle w:val="TableParagraph"/>
              <w:ind w:right="79"/>
              <w:rPr>
                <w:sz w:val="20"/>
              </w:rPr>
            </w:pPr>
            <w:r>
              <w:rPr>
                <w:spacing w:val="-5"/>
                <w:sz w:val="20"/>
              </w:rPr>
              <w:t>491</w:t>
            </w:r>
          </w:p>
        </w:tc>
      </w:tr>
      <w:tr w:rsidR="00AE2255" w14:paraId="3AFC05D5" w14:textId="77777777">
        <w:trPr>
          <w:trHeight w:val="285"/>
        </w:trPr>
        <w:tc>
          <w:tcPr>
            <w:tcW w:w="7080" w:type="dxa"/>
            <w:shd w:val="clear" w:color="auto" w:fill="CCEDFF"/>
          </w:tcPr>
          <w:p w14:paraId="15CDFD5F" w14:textId="77777777" w:rsidR="00AE2255" w:rsidRDefault="00000000">
            <w:pPr>
              <w:pStyle w:val="TableParagraph"/>
              <w:spacing w:before="27"/>
              <w:ind w:left="412"/>
              <w:jc w:val="left"/>
              <w:rPr>
                <w:sz w:val="20"/>
              </w:rPr>
            </w:pPr>
            <w:r>
              <w:rPr>
                <w:sz w:val="20"/>
              </w:rPr>
              <w:t>Income</w:t>
            </w:r>
            <w:r>
              <w:rPr>
                <w:spacing w:val="-5"/>
                <w:sz w:val="20"/>
              </w:rPr>
              <w:t xml:space="preserve"> </w:t>
            </w:r>
            <w:r>
              <w:rPr>
                <w:spacing w:val="-2"/>
                <w:sz w:val="20"/>
              </w:rPr>
              <w:t>taxes</w:t>
            </w:r>
          </w:p>
        </w:tc>
        <w:tc>
          <w:tcPr>
            <w:tcW w:w="1061" w:type="dxa"/>
            <w:shd w:val="clear" w:color="auto" w:fill="CCEDFF"/>
          </w:tcPr>
          <w:p w14:paraId="1A7DE0DC" w14:textId="77777777" w:rsidR="00AE2255" w:rsidRDefault="00000000">
            <w:pPr>
              <w:pStyle w:val="TableParagraph"/>
              <w:ind w:right="135"/>
              <w:rPr>
                <w:b/>
                <w:sz w:val="20"/>
              </w:rPr>
            </w:pPr>
            <w:r>
              <w:rPr>
                <w:b/>
                <w:spacing w:val="-5"/>
                <w:sz w:val="20"/>
              </w:rPr>
              <w:t>148</w:t>
            </w:r>
          </w:p>
        </w:tc>
        <w:tc>
          <w:tcPr>
            <w:tcW w:w="1080" w:type="dxa"/>
            <w:shd w:val="clear" w:color="auto" w:fill="CCEDFF"/>
          </w:tcPr>
          <w:p w14:paraId="6A280600" w14:textId="77777777" w:rsidR="00AE2255" w:rsidRDefault="00000000">
            <w:pPr>
              <w:pStyle w:val="TableParagraph"/>
              <w:ind w:right="135"/>
              <w:rPr>
                <w:sz w:val="20"/>
              </w:rPr>
            </w:pPr>
            <w:r>
              <w:rPr>
                <w:spacing w:val="-5"/>
                <w:sz w:val="20"/>
              </w:rPr>
              <w:t>45</w:t>
            </w:r>
          </w:p>
        </w:tc>
        <w:tc>
          <w:tcPr>
            <w:tcW w:w="1024" w:type="dxa"/>
            <w:shd w:val="clear" w:color="auto" w:fill="CCEDFF"/>
          </w:tcPr>
          <w:p w14:paraId="1C7B230A" w14:textId="77777777" w:rsidR="00AE2255" w:rsidRDefault="00000000">
            <w:pPr>
              <w:pStyle w:val="TableParagraph"/>
              <w:ind w:right="14"/>
              <w:rPr>
                <w:sz w:val="20"/>
              </w:rPr>
            </w:pPr>
            <w:r>
              <w:rPr>
                <w:spacing w:val="-4"/>
                <w:sz w:val="20"/>
              </w:rPr>
              <w:t>(19)</w:t>
            </w:r>
          </w:p>
        </w:tc>
      </w:tr>
      <w:tr w:rsidR="00AE2255" w14:paraId="459B5E33" w14:textId="77777777">
        <w:trPr>
          <w:trHeight w:val="285"/>
        </w:trPr>
        <w:tc>
          <w:tcPr>
            <w:tcW w:w="7080" w:type="dxa"/>
          </w:tcPr>
          <w:p w14:paraId="717895FE" w14:textId="77777777" w:rsidR="00AE2255" w:rsidRDefault="00000000">
            <w:pPr>
              <w:pStyle w:val="TableParagraph"/>
              <w:spacing w:before="27"/>
              <w:ind w:left="172"/>
              <w:jc w:val="left"/>
              <w:rPr>
                <w:sz w:val="20"/>
              </w:rPr>
            </w:pPr>
            <w:r>
              <w:rPr>
                <w:sz w:val="20"/>
              </w:rPr>
              <w:t>Qualified</w:t>
            </w:r>
            <w:r>
              <w:rPr>
                <w:spacing w:val="-4"/>
                <w:sz w:val="20"/>
              </w:rPr>
              <w:t xml:space="preserve"> </w:t>
            </w:r>
            <w:r>
              <w:rPr>
                <w:sz w:val="20"/>
              </w:rPr>
              <w:t>defined</w:t>
            </w:r>
            <w:r>
              <w:rPr>
                <w:spacing w:val="-4"/>
                <w:sz w:val="20"/>
              </w:rPr>
              <w:t xml:space="preserve"> </w:t>
            </w:r>
            <w:r>
              <w:rPr>
                <w:sz w:val="20"/>
              </w:rPr>
              <w:t>benefit</w:t>
            </w:r>
            <w:r>
              <w:rPr>
                <w:spacing w:val="-5"/>
                <w:sz w:val="20"/>
              </w:rPr>
              <w:t xml:space="preserve"> </w:t>
            </w:r>
            <w:r>
              <w:rPr>
                <w:sz w:val="20"/>
              </w:rPr>
              <w:t>pension</w:t>
            </w:r>
            <w:r>
              <w:rPr>
                <w:spacing w:val="-3"/>
                <w:sz w:val="20"/>
              </w:rPr>
              <w:t xml:space="preserve"> </w:t>
            </w:r>
            <w:r>
              <w:rPr>
                <w:spacing w:val="-4"/>
                <w:sz w:val="20"/>
              </w:rPr>
              <w:t>plans</w:t>
            </w:r>
          </w:p>
        </w:tc>
        <w:tc>
          <w:tcPr>
            <w:tcW w:w="1061" w:type="dxa"/>
          </w:tcPr>
          <w:p w14:paraId="3A1F1467" w14:textId="77777777" w:rsidR="00AE2255" w:rsidRDefault="00000000">
            <w:pPr>
              <w:pStyle w:val="TableParagraph"/>
              <w:ind w:right="70"/>
              <w:rPr>
                <w:b/>
                <w:sz w:val="20"/>
              </w:rPr>
            </w:pPr>
            <w:r>
              <w:rPr>
                <w:b/>
                <w:spacing w:val="-2"/>
                <w:sz w:val="20"/>
              </w:rPr>
              <w:t>(412)</w:t>
            </w:r>
          </w:p>
        </w:tc>
        <w:tc>
          <w:tcPr>
            <w:tcW w:w="1080" w:type="dxa"/>
          </w:tcPr>
          <w:p w14:paraId="555E993F" w14:textId="77777777" w:rsidR="00AE2255" w:rsidRDefault="00000000">
            <w:pPr>
              <w:pStyle w:val="TableParagraph"/>
              <w:ind w:right="70"/>
              <w:rPr>
                <w:sz w:val="20"/>
              </w:rPr>
            </w:pPr>
            <w:r>
              <w:rPr>
                <w:spacing w:val="-2"/>
                <w:sz w:val="20"/>
              </w:rPr>
              <w:t>(267)</w:t>
            </w:r>
          </w:p>
        </w:tc>
        <w:tc>
          <w:tcPr>
            <w:tcW w:w="1024" w:type="dxa"/>
          </w:tcPr>
          <w:p w14:paraId="2929D9F5" w14:textId="77777777" w:rsidR="00AE2255" w:rsidRDefault="00000000">
            <w:pPr>
              <w:pStyle w:val="TableParagraph"/>
              <w:ind w:right="14"/>
              <w:rPr>
                <w:sz w:val="20"/>
              </w:rPr>
            </w:pPr>
            <w:r>
              <w:rPr>
                <w:spacing w:val="-2"/>
                <w:sz w:val="20"/>
              </w:rPr>
              <w:t>(1,197)</w:t>
            </w:r>
          </w:p>
        </w:tc>
      </w:tr>
      <w:tr w:rsidR="00AE2255" w14:paraId="135E7F48" w14:textId="77777777">
        <w:trPr>
          <w:trHeight w:val="275"/>
        </w:trPr>
        <w:tc>
          <w:tcPr>
            <w:tcW w:w="7080" w:type="dxa"/>
            <w:tcBorders>
              <w:bottom w:val="single" w:sz="8" w:space="0" w:color="CCEDFF"/>
            </w:tcBorders>
            <w:shd w:val="clear" w:color="auto" w:fill="CCEDFF"/>
          </w:tcPr>
          <w:p w14:paraId="7479AE54"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pacing w:val="-5"/>
                <w:sz w:val="20"/>
              </w:rPr>
              <w:t>net</w:t>
            </w:r>
          </w:p>
        </w:tc>
        <w:tc>
          <w:tcPr>
            <w:tcW w:w="1061" w:type="dxa"/>
            <w:tcBorders>
              <w:bottom w:val="single" w:sz="8" w:space="0" w:color="CCEDFF"/>
            </w:tcBorders>
            <w:shd w:val="clear" w:color="auto" w:fill="CCEDFF"/>
          </w:tcPr>
          <w:p w14:paraId="7B21CA9E" w14:textId="77777777" w:rsidR="00AE2255" w:rsidRDefault="00000000">
            <w:pPr>
              <w:pStyle w:val="TableParagraph"/>
              <w:spacing w:line="230" w:lineRule="exact"/>
              <w:ind w:right="135"/>
              <w:rPr>
                <w:b/>
                <w:sz w:val="20"/>
              </w:rPr>
            </w:pPr>
            <w:r>
              <w:rPr>
                <w:b/>
                <w:spacing w:val="-5"/>
                <w:sz w:val="20"/>
              </w:rPr>
              <w:t>612</w:t>
            </w:r>
          </w:p>
        </w:tc>
        <w:tc>
          <w:tcPr>
            <w:tcW w:w="1080" w:type="dxa"/>
            <w:tcBorders>
              <w:bottom w:val="single" w:sz="8" w:space="0" w:color="CCEDFF"/>
            </w:tcBorders>
            <w:shd w:val="clear" w:color="auto" w:fill="CCEDFF"/>
          </w:tcPr>
          <w:p w14:paraId="5A670436" w14:textId="77777777" w:rsidR="00AE2255" w:rsidRDefault="00000000">
            <w:pPr>
              <w:pStyle w:val="TableParagraph"/>
              <w:spacing w:line="230" w:lineRule="exact"/>
              <w:ind w:right="135"/>
              <w:rPr>
                <w:sz w:val="20"/>
              </w:rPr>
            </w:pPr>
            <w:r>
              <w:rPr>
                <w:spacing w:val="-5"/>
                <w:sz w:val="20"/>
              </w:rPr>
              <w:t>10</w:t>
            </w:r>
          </w:p>
        </w:tc>
        <w:tc>
          <w:tcPr>
            <w:tcW w:w="1024" w:type="dxa"/>
            <w:tcBorders>
              <w:bottom w:val="single" w:sz="8" w:space="0" w:color="CCEDFF"/>
            </w:tcBorders>
            <w:shd w:val="clear" w:color="auto" w:fill="CCEDFF"/>
          </w:tcPr>
          <w:p w14:paraId="3D196C5A" w14:textId="77777777" w:rsidR="00AE2255" w:rsidRDefault="00000000">
            <w:pPr>
              <w:pStyle w:val="TableParagraph"/>
              <w:spacing w:line="230" w:lineRule="exact"/>
              <w:ind w:right="79"/>
              <w:rPr>
                <w:sz w:val="20"/>
              </w:rPr>
            </w:pPr>
            <w:r>
              <w:rPr>
                <w:spacing w:val="-5"/>
                <w:sz w:val="20"/>
              </w:rPr>
              <w:t>739</w:t>
            </w:r>
          </w:p>
        </w:tc>
      </w:tr>
      <w:tr w:rsidR="00AE2255" w14:paraId="72FB0F07" w14:textId="77777777">
        <w:trPr>
          <w:trHeight w:val="265"/>
        </w:trPr>
        <w:tc>
          <w:tcPr>
            <w:tcW w:w="7080" w:type="dxa"/>
            <w:tcBorders>
              <w:top w:val="single" w:sz="8" w:space="0" w:color="auto"/>
              <w:bottom w:val="single" w:sz="8" w:space="0" w:color="auto"/>
            </w:tcBorders>
          </w:tcPr>
          <w:p w14:paraId="2B45A4AE" w14:textId="77777777" w:rsidR="00AE2255" w:rsidRDefault="00000000">
            <w:pPr>
              <w:pStyle w:val="TableParagraph"/>
              <w:spacing w:before="17" w:line="228" w:lineRule="exact"/>
              <w:ind w:left="637"/>
              <w:jc w:val="left"/>
              <w:rPr>
                <w:sz w:val="20"/>
              </w:rPr>
            </w:pPr>
            <w:r>
              <w:rPr>
                <w:sz w:val="20"/>
              </w:rPr>
              <w:t>Net</w:t>
            </w:r>
            <w:r>
              <w:rPr>
                <w:spacing w:val="-4"/>
                <w:sz w:val="20"/>
              </w:rPr>
              <w:t xml:space="preserve"> </w:t>
            </w:r>
            <w:r>
              <w:rPr>
                <w:sz w:val="20"/>
              </w:rPr>
              <w:t>cash</w:t>
            </w:r>
            <w:r>
              <w:rPr>
                <w:spacing w:val="-2"/>
                <w:sz w:val="20"/>
              </w:rPr>
              <w:t xml:space="preserve"> </w:t>
            </w:r>
            <w:r>
              <w:rPr>
                <w:sz w:val="20"/>
              </w:rPr>
              <w:t>provided</w:t>
            </w:r>
            <w:r>
              <w:rPr>
                <w:spacing w:val="-2"/>
                <w:sz w:val="20"/>
              </w:rPr>
              <w:t xml:space="preserve"> </w:t>
            </w:r>
            <w:r>
              <w:rPr>
                <w:sz w:val="20"/>
              </w:rPr>
              <w:t>by</w:t>
            </w:r>
            <w:r>
              <w:rPr>
                <w:spacing w:val="-2"/>
                <w:sz w:val="20"/>
              </w:rPr>
              <w:t xml:space="preserve"> </w:t>
            </w:r>
            <w:r>
              <w:rPr>
                <w:sz w:val="20"/>
              </w:rPr>
              <w:t>operating</w:t>
            </w:r>
            <w:r>
              <w:rPr>
                <w:spacing w:val="-2"/>
                <w:sz w:val="20"/>
              </w:rPr>
              <w:t xml:space="preserve"> activities</w:t>
            </w:r>
          </w:p>
        </w:tc>
        <w:tc>
          <w:tcPr>
            <w:tcW w:w="1061" w:type="dxa"/>
            <w:tcBorders>
              <w:top w:val="single" w:sz="8" w:space="0" w:color="auto"/>
              <w:bottom w:val="single" w:sz="8" w:space="0" w:color="auto"/>
            </w:tcBorders>
          </w:tcPr>
          <w:p w14:paraId="29CB718B" w14:textId="77777777" w:rsidR="00AE2255" w:rsidRDefault="00000000">
            <w:pPr>
              <w:pStyle w:val="TableParagraph"/>
              <w:spacing w:before="15" w:line="230" w:lineRule="exact"/>
              <w:ind w:right="135"/>
              <w:rPr>
                <w:b/>
                <w:sz w:val="20"/>
              </w:rPr>
            </w:pPr>
            <w:r>
              <w:rPr>
                <w:b/>
                <w:spacing w:val="-2"/>
                <w:sz w:val="20"/>
              </w:rPr>
              <w:t>7,802</w:t>
            </w:r>
          </w:p>
        </w:tc>
        <w:tc>
          <w:tcPr>
            <w:tcW w:w="1080" w:type="dxa"/>
            <w:tcBorders>
              <w:top w:val="single" w:sz="8" w:space="0" w:color="auto"/>
              <w:bottom w:val="single" w:sz="8" w:space="0" w:color="auto"/>
            </w:tcBorders>
          </w:tcPr>
          <w:p w14:paraId="7CCF9C29" w14:textId="77777777" w:rsidR="00AE2255" w:rsidRDefault="00000000">
            <w:pPr>
              <w:pStyle w:val="TableParagraph"/>
              <w:spacing w:before="15" w:line="230" w:lineRule="exact"/>
              <w:ind w:right="135"/>
              <w:rPr>
                <w:sz w:val="20"/>
              </w:rPr>
            </w:pPr>
            <w:r>
              <w:rPr>
                <w:spacing w:val="-2"/>
                <w:sz w:val="20"/>
              </w:rPr>
              <w:t>9,221</w:t>
            </w:r>
          </w:p>
        </w:tc>
        <w:tc>
          <w:tcPr>
            <w:tcW w:w="1024" w:type="dxa"/>
            <w:tcBorders>
              <w:top w:val="single" w:sz="8" w:space="0" w:color="auto"/>
              <w:bottom w:val="single" w:sz="8" w:space="0" w:color="auto"/>
            </w:tcBorders>
          </w:tcPr>
          <w:p w14:paraId="43A6D9B7" w14:textId="77777777" w:rsidR="00AE2255" w:rsidRDefault="00000000">
            <w:pPr>
              <w:pStyle w:val="TableParagraph"/>
              <w:spacing w:before="15" w:line="230" w:lineRule="exact"/>
              <w:ind w:right="79"/>
              <w:rPr>
                <w:sz w:val="20"/>
              </w:rPr>
            </w:pPr>
            <w:r>
              <w:rPr>
                <w:spacing w:val="-2"/>
                <w:sz w:val="20"/>
              </w:rPr>
              <w:t>8,183</w:t>
            </w:r>
          </w:p>
        </w:tc>
      </w:tr>
      <w:tr w:rsidR="00AE2255" w14:paraId="40B63BAC" w14:textId="77777777">
        <w:trPr>
          <w:trHeight w:val="275"/>
        </w:trPr>
        <w:tc>
          <w:tcPr>
            <w:tcW w:w="7080" w:type="dxa"/>
            <w:tcBorders>
              <w:top w:val="single" w:sz="8" w:space="0" w:color="CCEDFF"/>
            </w:tcBorders>
            <w:shd w:val="clear" w:color="auto" w:fill="CCEDFF"/>
          </w:tcPr>
          <w:p w14:paraId="247C7FAC" w14:textId="77777777" w:rsidR="00AE2255" w:rsidRDefault="00000000">
            <w:pPr>
              <w:pStyle w:val="TableParagraph"/>
              <w:spacing w:before="15"/>
              <w:ind w:left="52"/>
              <w:jc w:val="left"/>
              <w:rPr>
                <w:b/>
                <w:sz w:val="20"/>
              </w:rPr>
            </w:pPr>
            <w:r>
              <w:rPr>
                <w:b/>
                <w:sz w:val="20"/>
              </w:rPr>
              <w:t>Investing</w:t>
            </w:r>
            <w:r>
              <w:rPr>
                <w:b/>
                <w:spacing w:val="-6"/>
                <w:sz w:val="20"/>
              </w:rPr>
              <w:t xml:space="preserve"> </w:t>
            </w:r>
            <w:r>
              <w:rPr>
                <w:b/>
                <w:spacing w:val="-2"/>
                <w:sz w:val="20"/>
              </w:rPr>
              <w:t>activities</w:t>
            </w:r>
          </w:p>
        </w:tc>
        <w:tc>
          <w:tcPr>
            <w:tcW w:w="1061" w:type="dxa"/>
            <w:tcBorders>
              <w:top w:val="single" w:sz="8" w:space="0" w:color="CCEDFF"/>
            </w:tcBorders>
            <w:shd w:val="clear" w:color="auto" w:fill="CCEDFF"/>
          </w:tcPr>
          <w:p w14:paraId="573AB456" w14:textId="77777777" w:rsidR="00AE2255" w:rsidRDefault="00AE2255">
            <w:pPr>
              <w:pStyle w:val="TableParagraph"/>
              <w:spacing w:before="0"/>
              <w:jc w:val="left"/>
              <w:rPr>
                <w:sz w:val="20"/>
              </w:rPr>
            </w:pPr>
          </w:p>
        </w:tc>
        <w:tc>
          <w:tcPr>
            <w:tcW w:w="1080" w:type="dxa"/>
            <w:tcBorders>
              <w:top w:val="single" w:sz="8" w:space="0" w:color="CCEDFF"/>
            </w:tcBorders>
            <w:shd w:val="clear" w:color="auto" w:fill="CCEDFF"/>
          </w:tcPr>
          <w:p w14:paraId="022532B2"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681675E8" w14:textId="77777777" w:rsidR="00AE2255" w:rsidRDefault="00AE2255">
            <w:pPr>
              <w:pStyle w:val="TableParagraph"/>
              <w:spacing w:before="0"/>
              <w:jc w:val="left"/>
              <w:rPr>
                <w:sz w:val="20"/>
              </w:rPr>
            </w:pPr>
          </w:p>
        </w:tc>
      </w:tr>
      <w:tr w:rsidR="00AE2255" w14:paraId="3DF76257" w14:textId="77777777">
        <w:trPr>
          <w:trHeight w:val="285"/>
        </w:trPr>
        <w:tc>
          <w:tcPr>
            <w:tcW w:w="7080" w:type="dxa"/>
          </w:tcPr>
          <w:p w14:paraId="2A1BFFAA" w14:textId="77777777" w:rsidR="00AE2255" w:rsidRDefault="00000000">
            <w:pPr>
              <w:pStyle w:val="TableParagraph"/>
              <w:ind w:left="52"/>
              <w:jc w:val="left"/>
              <w:rPr>
                <w:sz w:val="20"/>
              </w:rPr>
            </w:pPr>
            <w:r>
              <w:rPr>
                <w:sz w:val="20"/>
              </w:rPr>
              <w:t>Capital</w:t>
            </w:r>
            <w:r>
              <w:rPr>
                <w:spacing w:val="-6"/>
                <w:sz w:val="20"/>
              </w:rPr>
              <w:t xml:space="preserve"> </w:t>
            </w:r>
            <w:r>
              <w:rPr>
                <w:spacing w:val="-2"/>
                <w:sz w:val="20"/>
              </w:rPr>
              <w:t>expenditures</w:t>
            </w:r>
          </w:p>
        </w:tc>
        <w:tc>
          <w:tcPr>
            <w:tcW w:w="1061" w:type="dxa"/>
          </w:tcPr>
          <w:p w14:paraId="0F2BEFDB" w14:textId="77777777" w:rsidR="00AE2255" w:rsidRDefault="00000000">
            <w:pPr>
              <w:pStyle w:val="TableParagraph"/>
              <w:ind w:right="70"/>
              <w:rPr>
                <w:b/>
                <w:sz w:val="20"/>
              </w:rPr>
            </w:pPr>
            <w:r>
              <w:rPr>
                <w:b/>
                <w:spacing w:val="-2"/>
                <w:sz w:val="20"/>
              </w:rPr>
              <w:t>(1,670)</w:t>
            </w:r>
          </w:p>
        </w:tc>
        <w:tc>
          <w:tcPr>
            <w:tcW w:w="1080" w:type="dxa"/>
          </w:tcPr>
          <w:p w14:paraId="239D68E5" w14:textId="77777777" w:rsidR="00AE2255" w:rsidRDefault="00000000">
            <w:pPr>
              <w:pStyle w:val="TableParagraph"/>
              <w:ind w:right="70"/>
              <w:rPr>
                <w:sz w:val="20"/>
              </w:rPr>
            </w:pPr>
            <w:r>
              <w:rPr>
                <w:spacing w:val="-2"/>
                <w:sz w:val="20"/>
              </w:rPr>
              <w:t>(1,522)</w:t>
            </w:r>
          </w:p>
        </w:tc>
        <w:tc>
          <w:tcPr>
            <w:tcW w:w="1024" w:type="dxa"/>
          </w:tcPr>
          <w:p w14:paraId="68CDE5D7" w14:textId="77777777" w:rsidR="00AE2255" w:rsidRDefault="00000000">
            <w:pPr>
              <w:pStyle w:val="TableParagraph"/>
              <w:ind w:right="14"/>
              <w:rPr>
                <w:sz w:val="20"/>
              </w:rPr>
            </w:pPr>
            <w:r>
              <w:rPr>
                <w:spacing w:val="-2"/>
                <w:sz w:val="20"/>
              </w:rPr>
              <w:t>(1,766)</w:t>
            </w:r>
          </w:p>
        </w:tc>
      </w:tr>
      <w:tr w:rsidR="00AE2255" w14:paraId="424A28D8" w14:textId="77777777">
        <w:trPr>
          <w:trHeight w:val="275"/>
        </w:trPr>
        <w:tc>
          <w:tcPr>
            <w:tcW w:w="7080" w:type="dxa"/>
            <w:tcBorders>
              <w:bottom w:val="single" w:sz="8" w:space="0" w:color="CCEDFF"/>
            </w:tcBorders>
            <w:shd w:val="clear" w:color="auto" w:fill="CCEDFF"/>
          </w:tcPr>
          <w:p w14:paraId="56847966" w14:textId="77777777" w:rsidR="00AE2255" w:rsidRDefault="00000000">
            <w:pPr>
              <w:pStyle w:val="TableParagraph"/>
              <w:spacing w:before="27" w:line="228" w:lineRule="exact"/>
              <w:ind w:left="52"/>
              <w:jc w:val="left"/>
              <w:rPr>
                <w:sz w:val="20"/>
              </w:rPr>
            </w:pPr>
            <w:r>
              <w:rPr>
                <w:sz w:val="20"/>
              </w:rPr>
              <w:t>Other,</w:t>
            </w:r>
            <w:r>
              <w:rPr>
                <w:spacing w:val="-3"/>
                <w:sz w:val="20"/>
              </w:rPr>
              <w:t xml:space="preserve"> </w:t>
            </w:r>
            <w:r>
              <w:rPr>
                <w:spacing w:val="-5"/>
                <w:sz w:val="20"/>
              </w:rPr>
              <w:t>net</w:t>
            </w:r>
          </w:p>
        </w:tc>
        <w:tc>
          <w:tcPr>
            <w:tcW w:w="1061" w:type="dxa"/>
            <w:tcBorders>
              <w:bottom w:val="single" w:sz="8" w:space="0" w:color="CCEDFF"/>
            </w:tcBorders>
            <w:shd w:val="clear" w:color="auto" w:fill="CCEDFF"/>
          </w:tcPr>
          <w:p w14:paraId="33321712" w14:textId="77777777" w:rsidR="00AE2255" w:rsidRDefault="00000000">
            <w:pPr>
              <w:pStyle w:val="TableParagraph"/>
              <w:spacing w:line="230" w:lineRule="exact"/>
              <w:ind w:right="70"/>
              <w:rPr>
                <w:b/>
                <w:sz w:val="20"/>
              </w:rPr>
            </w:pPr>
            <w:r>
              <w:rPr>
                <w:b/>
                <w:spacing w:val="-2"/>
                <w:sz w:val="20"/>
              </w:rPr>
              <w:t>(119)</w:t>
            </w:r>
          </w:p>
        </w:tc>
        <w:tc>
          <w:tcPr>
            <w:tcW w:w="1080" w:type="dxa"/>
            <w:tcBorders>
              <w:bottom w:val="single" w:sz="8" w:space="0" w:color="CCEDFF"/>
            </w:tcBorders>
            <w:shd w:val="clear" w:color="auto" w:fill="CCEDFF"/>
          </w:tcPr>
          <w:p w14:paraId="23ABDF4A" w14:textId="77777777" w:rsidR="00AE2255" w:rsidRDefault="00000000">
            <w:pPr>
              <w:pStyle w:val="TableParagraph"/>
              <w:spacing w:line="230" w:lineRule="exact"/>
              <w:ind w:right="135"/>
              <w:rPr>
                <w:sz w:val="20"/>
              </w:rPr>
            </w:pPr>
            <w:r>
              <w:rPr>
                <w:spacing w:val="-5"/>
                <w:sz w:val="20"/>
              </w:rPr>
              <w:t>361</w:t>
            </w:r>
          </w:p>
        </w:tc>
        <w:tc>
          <w:tcPr>
            <w:tcW w:w="1024" w:type="dxa"/>
            <w:tcBorders>
              <w:bottom w:val="single" w:sz="8" w:space="0" w:color="CCEDFF"/>
            </w:tcBorders>
            <w:shd w:val="clear" w:color="auto" w:fill="CCEDFF"/>
          </w:tcPr>
          <w:p w14:paraId="13A1D3E1" w14:textId="77777777" w:rsidR="00AE2255" w:rsidRDefault="00000000">
            <w:pPr>
              <w:pStyle w:val="TableParagraph"/>
              <w:spacing w:line="230" w:lineRule="exact"/>
              <w:ind w:right="14"/>
              <w:rPr>
                <w:sz w:val="20"/>
              </w:rPr>
            </w:pPr>
            <w:r>
              <w:rPr>
                <w:spacing w:val="-2"/>
                <w:sz w:val="20"/>
              </w:rPr>
              <w:t>(244)</w:t>
            </w:r>
          </w:p>
        </w:tc>
      </w:tr>
      <w:tr w:rsidR="00AE2255" w14:paraId="625423BE" w14:textId="77777777">
        <w:trPr>
          <w:trHeight w:val="265"/>
        </w:trPr>
        <w:tc>
          <w:tcPr>
            <w:tcW w:w="7080" w:type="dxa"/>
            <w:tcBorders>
              <w:top w:val="single" w:sz="8" w:space="0" w:color="auto"/>
              <w:bottom w:val="single" w:sz="8" w:space="0" w:color="auto"/>
            </w:tcBorders>
          </w:tcPr>
          <w:p w14:paraId="320DB299" w14:textId="77777777" w:rsidR="00AE2255" w:rsidRDefault="00000000">
            <w:pPr>
              <w:pStyle w:val="TableParagraph"/>
              <w:spacing w:before="17" w:line="228" w:lineRule="exact"/>
              <w:ind w:left="637"/>
              <w:jc w:val="left"/>
              <w:rPr>
                <w:sz w:val="20"/>
              </w:rPr>
            </w:pPr>
            <w:r>
              <w:rPr>
                <w:sz w:val="20"/>
              </w:rPr>
              <w:t>Net</w:t>
            </w:r>
            <w:r>
              <w:rPr>
                <w:spacing w:val="-6"/>
                <w:sz w:val="20"/>
              </w:rPr>
              <w:t xml:space="preserve"> </w:t>
            </w:r>
            <w:r>
              <w:rPr>
                <w:sz w:val="20"/>
              </w:rPr>
              <w:t>cash</w:t>
            </w:r>
            <w:r>
              <w:rPr>
                <w:spacing w:val="-2"/>
                <w:sz w:val="20"/>
              </w:rPr>
              <w:t xml:space="preserve"> </w:t>
            </w:r>
            <w:r>
              <w:rPr>
                <w:sz w:val="20"/>
              </w:rPr>
              <w:t>used</w:t>
            </w:r>
            <w:r>
              <w:rPr>
                <w:spacing w:val="-3"/>
                <w:sz w:val="20"/>
              </w:rPr>
              <w:t xml:space="preserve"> </w:t>
            </w:r>
            <w:r>
              <w:rPr>
                <w:sz w:val="20"/>
              </w:rPr>
              <w:t>for</w:t>
            </w:r>
            <w:r>
              <w:rPr>
                <w:spacing w:val="-2"/>
                <w:sz w:val="20"/>
              </w:rPr>
              <w:t xml:space="preserve"> </w:t>
            </w:r>
            <w:r>
              <w:rPr>
                <w:sz w:val="20"/>
              </w:rPr>
              <w:t>investing</w:t>
            </w:r>
            <w:r>
              <w:rPr>
                <w:spacing w:val="-2"/>
                <w:sz w:val="20"/>
              </w:rPr>
              <w:t xml:space="preserve"> activities</w:t>
            </w:r>
          </w:p>
        </w:tc>
        <w:tc>
          <w:tcPr>
            <w:tcW w:w="1061" w:type="dxa"/>
            <w:tcBorders>
              <w:top w:val="single" w:sz="8" w:space="0" w:color="auto"/>
              <w:bottom w:val="single" w:sz="8" w:space="0" w:color="auto"/>
            </w:tcBorders>
          </w:tcPr>
          <w:p w14:paraId="52896009" w14:textId="77777777" w:rsidR="00AE2255" w:rsidRDefault="00000000">
            <w:pPr>
              <w:pStyle w:val="TableParagraph"/>
              <w:spacing w:before="15" w:line="230" w:lineRule="exact"/>
              <w:ind w:right="70"/>
              <w:rPr>
                <w:b/>
                <w:sz w:val="20"/>
              </w:rPr>
            </w:pPr>
            <w:r>
              <w:rPr>
                <w:b/>
                <w:spacing w:val="-2"/>
                <w:sz w:val="20"/>
              </w:rPr>
              <w:t>(1,789)</w:t>
            </w:r>
          </w:p>
        </w:tc>
        <w:tc>
          <w:tcPr>
            <w:tcW w:w="1080" w:type="dxa"/>
            <w:tcBorders>
              <w:top w:val="single" w:sz="8" w:space="0" w:color="auto"/>
              <w:bottom w:val="single" w:sz="8" w:space="0" w:color="auto"/>
            </w:tcBorders>
          </w:tcPr>
          <w:p w14:paraId="7B362BE8" w14:textId="77777777" w:rsidR="00AE2255" w:rsidRDefault="00000000">
            <w:pPr>
              <w:pStyle w:val="TableParagraph"/>
              <w:spacing w:before="15" w:line="230" w:lineRule="exact"/>
              <w:ind w:right="70"/>
              <w:rPr>
                <w:sz w:val="20"/>
              </w:rPr>
            </w:pPr>
            <w:r>
              <w:rPr>
                <w:spacing w:val="-2"/>
                <w:sz w:val="20"/>
              </w:rPr>
              <w:t>(1,161)</w:t>
            </w:r>
          </w:p>
        </w:tc>
        <w:tc>
          <w:tcPr>
            <w:tcW w:w="1024" w:type="dxa"/>
            <w:tcBorders>
              <w:top w:val="single" w:sz="8" w:space="0" w:color="auto"/>
              <w:bottom w:val="single" w:sz="8" w:space="0" w:color="auto"/>
            </w:tcBorders>
          </w:tcPr>
          <w:p w14:paraId="683F6009" w14:textId="77777777" w:rsidR="00AE2255" w:rsidRDefault="00000000">
            <w:pPr>
              <w:pStyle w:val="TableParagraph"/>
              <w:spacing w:before="15" w:line="230" w:lineRule="exact"/>
              <w:ind w:right="14"/>
              <w:rPr>
                <w:sz w:val="20"/>
              </w:rPr>
            </w:pPr>
            <w:r>
              <w:rPr>
                <w:spacing w:val="-2"/>
                <w:sz w:val="20"/>
              </w:rPr>
              <w:t>(2,010)</w:t>
            </w:r>
          </w:p>
        </w:tc>
      </w:tr>
      <w:tr w:rsidR="00AE2255" w14:paraId="04F03B29" w14:textId="77777777">
        <w:trPr>
          <w:trHeight w:val="275"/>
        </w:trPr>
        <w:tc>
          <w:tcPr>
            <w:tcW w:w="7080" w:type="dxa"/>
            <w:tcBorders>
              <w:top w:val="single" w:sz="8" w:space="0" w:color="CCEDFF"/>
            </w:tcBorders>
            <w:shd w:val="clear" w:color="auto" w:fill="CCEDFF"/>
          </w:tcPr>
          <w:p w14:paraId="50EC0E22" w14:textId="77777777" w:rsidR="00AE2255" w:rsidRDefault="00000000">
            <w:pPr>
              <w:pStyle w:val="TableParagraph"/>
              <w:spacing w:before="13"/>
              <w:ind w:left="52"/>
              <w:jc w:val="left"/>
              <w:rPr>
                <w:b/>
                <w:sz w:val="20"/>
              </w:rPr>
            </w:pPr>
            <w:r>
              <w:rPr>
                <w:b/>
                <w:sz w:val="20"/>
              </w:rPr>
              <w:t>Financing</w:t>
            </w:r>
            <w:r>
              <w:rPr>
                <w:b/>
                <w:spacing w:val="-7"/>
                <w:sz w:val="20"/>
              </w:rPr>
              <w:t xml:space="preserve"> </w:t>
            </w:r>
            <w:r>
              <w:rPr>
                <w:b/>
                <w:spacing w:val="-2"/>
                <w:sz w:val="20"/>
              </w:rPr>
              <w:t>activities</w:t>
            </w:r>
          </w:p>
        </w:tc>
        <w:tc>
          <w:tcPr>
            <w:tcW w:w="1061" w:type="dxa"/>
            <w:tcBorders>
              <w:top w:val="single" w:sz="8" w:space="0" w:color="CCEDFF"/>
            </w:tcBorders>
            <w:shd w:val="clear" w:color="auto" w:fill="CCEDFF"/>
          </w:tcPr>
          <w:p w14:paraId="0AE70D97" w14:textId="77777777" w:rsidR="00AE2255" w:rsidRDefault="00AE2255">
            <w:pPr>
              <w:pStyle w:val="TableParagraph"/>
              <w:spacing w:before="0"/>
              <w:jc w:val="left"/>
              <w:rPr>
                <w:sz w:val="20"/>
              </w:rPr>
            </w:pPr>
          </w:p>
        </w:tc>
        <w:tc>
          <w:tcPr>
            <w:tcW w:w="1080" w:type="dxa"/>
            <w:tcBorders>
              <w:top w:val="single" w:sz="8" w:space="0" w:color="CCEDFF"/>
            </w:tcBorders>
            <w:shd w:val="clear" w:color="auto" w:fill="CCEDFF"/>
          </w:tcPr>
          <w:p w14:paraId="5D010829" w14:textId="77777777" w:rsidR="00AE2255" w:rsidRDefault="00AE2255">
            <w:pPr>
              <w:pStyle w:val="TableParagraph"/>
              <w:spacing w:before="0"/>
              <w:jc w:val="left"/>
              <w:rPr>
                <w:sz w:val="20"/>
              </w:rPr>
            </w:pPr>
          </w:p>
        </w:tc>
        <w:tc>
          <w:tcPr>
            <w:tcW w:w="1024" w:type="dxa"/>
            <w:tcBorders>
              <w:top w:val="single" w:sz="8" w:space="0" w:color="CCEDFF"/>
            </w:tcBorders>
            <w:shd w:val="clear" w:color="auto" w:fill="CCEDFF"/>
          </w:tcPr>
          <w:p w14:paraId="0BA2F07A" w14:textId="77777777" w:rsidR="00AE2255" w:rsidRDefault="00AE2255">
            <w:pPr>
              <w:pStyle w:val="TableParagraph"/>
              <w:spacing w:before="0"/>
              <w:jc w:val="left"/>
              <w:rPr>
                <w:sz w:val="20"/>
              </w:rPr>
            </w:pPr>
          </w:p>
        </w:tc>
      </w:tr>
      <w:tr w:rsidR="00AE2255" w14:paraId="5A6CC48E" w14:textId="77777777">
        <w:trPr>
          <w:trHeight w:val="285"/>
        </w:trPr>
        <w:tc>
          <w:tcPr>
            <w:tcW w:w="7080" w:type="dxa"/>
          </w:tcPr>
          <w:p w14:paraId="0F1A4846" w14:textId="77777777" w:rsidR="00AE2255" w:rsidRDefault="00000000">
            <w:pPr>
              <w:pStyle w:val="TableParagraph"/>
              <w:ind w:left="52"/>
              <w:jc w:val="left"/>
              <w:rPr>
                <w:sz w:val="20"/>
              </w:rPr>
            </w:pPr>
            <w:r>
              <w:rPr>
                <w:sz w:val="20"/>
              </w:rPr>
              <w:t>Issuance</w:t>
            </w:r>
            <w:r>
              <w:rPr>
                <w:spacing w:val="-4"/>
                <w:sz w:val="20"/>
              </w:rPr>
              <w:t xml:space="preserve"> </w:t>
            </w:r>
            <w:r>
              <w:rPr>
                <w:sz w:val="20"/>
              </w:rPr>
              <w:t>of</w:t>
            </w:r>
            <w:r>
              <w:rPr>
                <w:spacing w:val="-2"/>
                <w:sz w:val="20"/>
              </w:rPr>
              <w:t xml:space="preserve"> </w:t>
            </w:r>
            <w:r>
              <w:rPr>
                <w:sz w:val="20"/>
              </w:rPr>
              <w:t>long-term</w:t>
            </w:r>
            <w:r>
              <w:rPr>
                <w:spacing w:val="-3"/>
                <w:sz w:val="20"/>
              </w:rPr>
              <w:t xml:space="preserve"> </w:t>
            </w:r>
            <w:r>
              <w:rPr>
                <w:sz w:val="20"/>
              </w:rPr>
              <w:t>debt,</w:t>
            </w:r>
            <w:r>
              <w:rPr>
                <w:spacing w:val="-2"/>
                <w:sz w:val="20"/>
              </w:rPr>
              <w:t xml:space="preserve"> </w:t>
            </w:r>
            <w:r>
              <w:rPr>
                <w:sz w:val="20"/>
              </w:rPr>
              <w:t>net</w:t>
            </w:r>
            <w:r>
              <w:rPr>
                <w:spacing w:val="-3"/>
                <w:sz w:val="20"/>
              </w:rPr>
              <w:t xml:space="preserve"> </w:t>
            </w:r>
            <w:r>
              <w:rPr>
                <w:sz w:val="20"/>
              </w:rPr>
              <w:t>of</w:t>
            </w:r>
            <w:r>
              <w:rPr>
                <w:spacing w:val="-2"/>
                <w:sz w:val="20"/>
              </w:rPr>
              <w:t xml:space="preserve"> </w:t>
            </w:r>
            <w:r>
              <w:rPr>
                <w:sz w:val="20"/>
              </w:rPr>
              <w:t>related</w:t>
            </w:r>
            <w:r>
              <w:rPr>
                <w:spacing w:val="-2"/>
                <w:sz w:val="20"/>
              </w:rPr>
              <w:t xml:space="preserve"> </w:t>
            </w:r>
            <w:r>
              <w:rPr>
                <w:spacing w:val="-4"/>
                <w:sz w:val="20"/>
              </w:rPr>
              <w:t>costs</w:t>
            </w:r>
          </w:p>
        </w:tc>
        <w:tc>
          <w:tcPr>
            <w:tcW w:w="1061" w:type="dxa"/>
          </w:tcPr>
          <w:p w14:paraId="7E5357A1" w14:textId="77777777" w:rsidR="00AE2255" w:rsidRDefault="00000000">
            <w:pPr>
              <w:pStyle w:val="TableParagraph"/>
              <w:ind w:right="135"/>
              <w:rPr>
                <w:b/>
                <w:sz w:val="20"/>
              </w:rPr>
            </w:pPr>
            <w:r>
              <w:rPr>
                <w:b/>
                <w:spacing w:val="-2"/>
                <w:sz w:val="20"/>
              </w:rPr>
              <w:t>6,211</w:t>
            </w:r>
          </w:p>
        </w:tc>
        <w:tc>
          <w:tcPr>
            <w:tcW w:w="1080" w:type="dxa"/>
          </w:tcPr>
          <w:p w14:paraId="5E55B026" w14:textId="77777777" w:rsidR="00AE2255" w:rsidRDefault="00000000">
            <w:pPr>
              <w:pStyle w:val="TableParagraph"/>
              <w:ind w:right="135"/>
              <w:rPr>
                <w:sz w:val="20"/>
              </w:rPr>
            </w:pPr>
            <w:r>
              <w:rPr>
                <w:sz w:val="20"/>
              </w:rPr>
              <w:t>—</w:t>
            </w:r>
          </w:p>
        </w:tc>
        <w:tc>
          <w:tcPr>
            <w:tcW w:w="1024" w:type="dxa"/>
          </w:tcPr>
          <w:p w14:paraId="18539AF7" w14:textId="77777777" w:rsidR="00AE2255" w:rsidRDefault="00000000">
            <w:pPr>
              <w:pStyle w:val="TableParagraph"/>
              <w:ind w:right="79"/>
              <w:rPr>
                <w:sz w:val="20"/>
              </w:rPr>
            </w:pPr>
            <w:r>
              <w:rPr>
                <w:spacing w:val="-2"/>
                <w:sz w:val="20"/>
              </w:rPr>
              <w:t>1,131</w:t>
            </w:r>
          </w:p>
        </w:tc>
      </w:tr>
      <w:tr w:rsidR="00AE2255" w14:paraId="110AEBED" w14:textId="77777777">
        <w:trPr>
          <w:trHeight w:val="285"/>
        </w:trPr>
        <w:tc>
          <w:tcPr>
            <w:tcW w:w="7080" w:type="dxa"/>
            <w:shd w:val="clear" w:color="auto" w:fill="CCEDFF"/>
          </w:tcPr>
          <w:p w14:paraId="19BD58B9" w14:textId="77777777" w:rsidR="00AE2255" w:rsidRDefault="00000000">
            <w:pPr>
              <w:pStyle w:val="TableParagraph"/>
              <w:ind w:left="52"/>
              <w:jc w:val="left"/>
              <w:rPr>
                <w:sz w:val="20"/>
              </w:rPr>
            </w:pPr>
            <w:r>
              <w:rPr>
                <w:sz w:val="20"/>
              </w:rPr>
              <w:t>Repayments</w:t>
            </w:r>
            <w:r>
              <w:rPr>
                <w:spacing w:val="-4"/>
                <w:sz w:val="20"/>
              </w:rPr>
              <w:t xml:space="preserve"> </w:t>
            </w:r>
            <w:r>
              <w:rPr>
                <w:sz w:val="20"/>
              </w:rPr>
              <w:t>of</w:t>
            </w:r>
            <w:r>
              <w:rPr>
                <w:spacing w:val="-4"/>
                <w:sz w:val="20"/>
              </w:rPr>
              <w:t xml:space="preserve"> </w:t>
            </w:r>
            <w:r>
              <w:rPr>
                <w:sz w:val="20"/>
              </w:rPr>
              <w:t>long-term</w:t>
            </w:r>
            <w:r>
              <w:rPr>
                <w:spacing w:val="-3"/>
                <w:sz w:val="20"/>
              </w:rPr>
              <w:t xml:space="preserve"> </w:t>
            </w:r>
            <w:r>
              <w:rPr>
                <w:spacing w:val="-4"/>
                <w:sz w:val="20"/>
              </w:rPr>
              <w:t>debt</w:t>
            </w:r>
          </w:p>
        </w:tc>
        <w:tc>
          <w:tcPr>
            <w:tcW w:w="1061" w:type="dxa"/>
            <w:shd w:val="clear" w:color="auto" w:fill="CCEDFF"/>
          </w:tcPr>
          <w:p w14:paraId="10018295" w14:textId="77777777" w:rsidR="00AE2255" w:rsidRDefault="00000000">
            <w:pPr>
              <w:pStyle w:val="TableParagraph"/>
              <w:ind w:right="70"/>
              <w:rPr>
                <w:b/>
                <w:sz w:val="20"/>
              </w:rPr>
            </w:pPr>
            <w:r>
              <w:rPr>
                <w:b/>
                <w:spacing w:val="-2"/>
                <w:sz w:val="20"/>
              </w:rPr>
              <w:t>(2,250)</w:t>
            </w:r>
          </w:p>
        </w:tc>
        <w:tc>
          <w:tcPr>
            <w:tcW w:w="1080" w:type="dxa"/>
            <w:shd w:val="clear" w:color="auto" w:fill="CCEDFF"/>
          </w:tcPr>
          <w:p w14:paraId="24FB4BA6" w14:textId="77777777" w:rsidR="00AE2255" w:rsidRDefault="00000000">
            <w:pPr>
              <w:pStyle w:val="TableParagraph"/>
              <w:ind w:right="70"/>
              <w:rPr>
                <w:sz w:val="20"/>
              </w:rPr>
            </w:pPr>
            <w:r>
              <w:rPr>
                <w:spacing w:val="-2"/>
                <w:sz w:val="20"/>
              </w:rPr>
              <w:t>(500)</w:t>
            </w:r>
          </w:p>
        </w:tc>
        <w:tc>
          <w:tcPr>
            <w:tcW w:w="1024" w:type="dxa"/>
            <w:shd w:val="clear" w:color="auto" w:fill="CCEDFF"/>
          </w:tcPr>
          <w:p w14:paraId="5791D7A6" w14:textId="77777777" w:rsidR="00AE2255" w:rsidRDefault="00000000">
            <w:pPr>
              <w:pStyle w:val="TableParagraph"/>
              <w:ind w:right="14"/>
              <w:rPr>
                <w:sz w:val="20"/>
              </w:rPr>
            </w:pPr>
            <w:r>
              <w:rPr>
                <w:spacing w:val="-2"/>
                <w:sz w:val="20"/>
              </w:rPr>
              <w:t>(1,650)</w:t>
            </w:r>
          </w:p>
        </w:tc>
      </w:tr>
      <w:tr w:rsidR="00AE2255" w14:paraId="44C651B5" w14:textId="77777777">
        <w:trPr>
          <w:trHeight w:val="285"/>
        </w:trPr>
        <w:tc>
          <w:tcPr>
            <w:tcW w:w="7080" w:type="dxa"/>
          </w:tcPr>
          <w:p w14:paraId="6B0996CC" w14:textId="77777777" w:rsidR="00AE2255" w:rsidRDefault="00000000">
            <w:pPr>
              <w:pStyle w:val="TableParagraph"/>
              <w:ind w:left="52"/>
              <w:jc w:val="left"/>
              <w:rPr>
                <w:sz w:val="20"/>
              </w:rPr>
            </w:pPr>
            <w:r>
              <w:rPr>
                <w:sz w:val="20"/>
              </w:rPr>
              <w:t>Repurchases</w:t>
            </w:r>
            <w:r>
              <w:rPr>
                <w:spacing w:val="-6"/>
                <w:sz w:val="20"/>
              </w:rPr>
              <w:t xml:space="preserve"> </w:t>
            </w:r>
            <w:r>
              <w:rPr>
                <w:sz w:val="20"/>
              </w:rPr>
              <w:t>of</w:t>
            </w:r>
            <w:r>
              <w:rPr>
                <w:spacing w:val="-3"/>
                <w:sz w:val="20"/>
              </w:rPr>
              <w:t xml:space="preserve"> </w:t>
            </w:r>
            <w:r>
              <w:rPr>
                <w:sz w:val="20"/>
              </w:rPr>
              <w:t>common</w:t>
            </w:r>
            <w:r>
              <w:rPr>
                <w:spacing w:val="-3"/>
                <w:sz w:val="20"/>
              </w:rPr>
              <w:t xml:space="preserve"> </w:t>
            </w:r>
            <w:r>
              <w:rPr>
                <w:spacing w:val="-4"/>
                <w:sz w:val="20"/>
              </w:rPr>
              <w:t>stock</w:t>
            </w:r>
          </w:p>
        </w:tc>
        <w:tc>
          <w:tcPr>
            <w:tcW w:w="1061" w:type="dxa"/>
          </w:tcPr>
          <w:p w14:paraId="69EAF6AF" w14:textId="77777777" w:rsidR="00AE2255" w:rsidRDefault="00000000">
            <w:pPr>
              <w:pStyle w:val="TableParagraph"/>
              <w:ind w:right="70"/>
              <w:rPr>
                <w:b/>
                <w:sz w:val="20"/>
              </w:rPr>
            </w:pPr>
            <w:r>
              <w:rPr>
                <w:b/>
                <w:spacing w:val="-2"/>
                <w:sz w:val="20"/>
              </w:rPr>
              <w:t>(7,900)</w:t>
            </w:r>
          </w:p>
        </w:tc>
        <w:tc>
          <w:tcPr>
            <w:tcW w:w="1080" w:type="dxa"/>
          </w:tcPr>
          <w:p w14:paraId="76068B09" w14:textId="77777777" w:rsidR="00AE2255" w:rsidRDefault="00000000">
            <w:pPr>
              <w:pStyle w:val="TableParagraph"/>
              <w:ind w:right="70"/>
              <w:rPr>
                <w:sz w:val="20"/>
              </w:rPr>
            </w:pPr>
            <w:r>
              <w:rPr>
                <w:spacing w:val="-2"/>
                <w:sz w:val="20"/>
              </w:rPr>
              <w:t>(4,087)</w:t>
            </w:r>
          </w:p>
        </w:tc>
        <w:tc>
          <w:tcPr>
            <w:tcW w:w="1024" w:type="dxa"/>
          </w:tcPr>
          <w:p w14:paraId="7410D4F3" w14:textId="77777777" w:rsidR="00AE2255" w:rsidRDefault="00000000">
            <w:pPr>
              <w:pStyle w:val="TableParagraph"/>
              <w:ind w:right="14"/>
              <w:rPr>
                <w:sz w:val="20"/>
              </w:rPr>
            </w:pPr>
            <w:r>
              <w:rPr>
                <w:spacing w:val="-2"/>
                <w:sz w:val="20"/>
              </w:rPr>
              <w:t>(1,100)</w:t>
            </w:r>
          </w:p>
        </w:tc>
      </w:tr>
      <w:tr w:rsidR="00AE2255" w14:paraId="02090C2D" w14:textId="77777777">
        <w:trPr>
          <w:trHeight w:val="285"/>
        </w:trPr>
        <w:tc>
          <w:tcPr>
            <w:tcW w:w="7080" w:type="dxa"/>
            <w:shd w:val="clear" w:color="auto" w:fill="CCEDFF"/>
          </w:tcPr>
          <w:p w14:paraId="07396818" w14:textId="77777777" w:rsidR="00AE2255" w:rsidRDefault="00000000">
            <w:pPr>
              <w:pStyle w:val="TableParagraph"/>
              <w:ind w:left="52"/>
              <w:jc w:val="left"/>
              <w:rPr>
                <w:sz w:val="20"/>
              </w:rPr>
            </w:pPr>
            <w:r>
              <w:rPr>
                <w:sz w:val="20"/>
              </w:rPr>
              <w:t>Dividends</w:t>
            </w:r>
            <w:r>
              <w:rPr>
                <w:spacing w:val="-7"/>
                <w:sz w:val="20"/>
              </w:rPr>
              <w:t xml:space="preserve"> </w:t>
            </w:r>
            <w:r>
              <w:rPr>
                <w:spacing w:val="-4"/>
                <w:sz w:val="20"/>
              </w:rPr>
              <w:t>paid</w:t>
            </w:r>
          </w:p>
        </w:tc>
        <w:tc>
          <w:tcPr>
            <w:tcW w:w="1061" w:type="dxa"/>
            <w:shd w:val="clear" w:color="auto" w:fill="CCEDFF"/>
          </w:tcPr>
          <w:p w14:paraId="405B244E" w14:textId="77777777" w:rsidR="00AE2255" w:rsidRDefault="00000000">
            <w:pPr>
              <w:pStyle w:val="TableParagraph"/>
              <w:ind w:right="70"/>
              <w:rPr>
                <w:b/>
                <w:sz w:val="20"/>
              </w:rPr>
            </w:pPr>
            <w:r>
              <w:rPr>
                <w:b/>
                <w:spacing w:val="-2"/>
                <w:sz w:val="20"/>
              </w:rPr>
              <w:t>(3,016)</w:t>
            </w:r>
          </w:p>
        </w:tc>
        <w:tc>
          <w:tcPr>
            <w:tcW w:w="1080" w:type="dxa"/>
            <w:shd w:val="clear" w:color="auto" w:fill="CCEDFF"/>
          </w:tcPr>
          <w:p w14:paraId="038C9809" w14:textId="77777777" w:rsidR="00AE2255" w:rsidRDefault="00000000">
            <w:pPr>
              <w:pStyle w:val="TableParagraph"/>
              <w:ind w:right="70"/>
              <w:rPr>
                <w:sz w:val="20"/>
              </w:rPr>
            </w:pPr>
            <w:r>
              <w:rPr>
                <w:spacing w:val="-2"/>
                <w:sz w:val="20"/>
              </w:rPr>
              <w:t>(2,940)</w:t>
            </w:r>
          </w:p>
        </w:tc>
        <w:tc>
          <w:tcPr>
            <w:tcW w:w="1024" w:type="dxa"/>
            <w:shd w:val="clear" w:color="auto" w:fill="CCEDFF"/>
          </w:tcPr>
          <w:p w14:paraId="43B140A0" w14:textId="77777777" w:rsidR="00AE2255" w:rsidRDefault="00000000">
            <w:pPr>
              <w:pStyle w:val="TableParagraph"/>
              <w:ind w:right="14"/>
              <w:rPr>
                <w:sz w:val="20"/>
              </w:rPr>
            </w:pPr>
            <w:r>
              <w:rPr>
                <w:spacing w:val="-2"/>
                <w:sz w:val="20"/>
              </w:rPr>
              <w:t>(2,764)</w:t>
            </w:r>
          </w:p>
        </w:tc>
      </w:tr>
      <w:tr w:rsidR="00AE2255" w14:paraId="0834A2D7" w14:textId="77777777">
        <w:trPr>
          <w:trHeight w:val="275"/>
        </w:trPr>
        <w:tc>
          <w:tcPr>
            <w:tcW w:w="7080" w:type="dxa"/>
            <w:tcBorders>
              <w:bottom w:val="single" w:sz="8" w:space="0" w:color="auto"/>
            </w:tcBorders>
          </w:tcPr>
          <w:p w14:paraId="3024C9DA" w14:textId="77777777" w:rsidR="00AE2255" w:rsidRDefault="00000000">
            <w:pPr>
              <w:pStyle w:val="TableParagraph"/>
              <w:spacing w:before="27" w:line="228" w:lineRule="exact"/>
              <w:ind w:left="52"/>
              <w:jc w:val="left"/>
              <w:rPr>
                <w:sz w:val="20"/>
              </w:rPr>
            </w:pPr>
            <w:r>
              <w:rPr>
                <w:sz w:val="20"/>
              </w:rPr>
              <w:t>Other,</w:t>
            </w:r>
            <w:r>
              <w:rPr>
                <w:spacing w:val="-3"/>
                <w:sz w:val="20"/>
              </w:rPr>
              <w:t xml:space="preserve"> </w:t>
            </w:r>
            <w:r>
              <w:rPr>
                <w:spacing w:val="-5"/>
                <w:sz w:val="20"/>
              </w:rPr>
              <w:t>net</w:t>
            </w:r>
          </w:p>
        </w:tc>
        <w:tc>
          <w:tcPr>
            <w:tcW w:w="1061" w:type="dxa"/>
            <w:tcBorders>
              <w:bottom w:val="single" w:sz="8" w:space="0" w:color="auto"/>
            </w:tcBorders>
          </w:tcPr>
          <w:p w14:paraId="0E60902F" w14:textId="77777777" w:rsidR="00AE2255" w:rsidRDefault="00000000">
            <w:pPr>
              <w:pStyle w:val="TableParagraph"/>
              <w:spacing w:line="230" w:lineRule="exact"/>
              <w:ind w:right="70"/>
              <w:rPr>
                <w:b/>
                <w:sz w:val="20"/>
              </w:rPr>
            </w:pPr>
            <w:r>
              <w:rPr>
                <w:b/>
                <w:spacing w:val="-2"/>
                <w:sz w:val="20"/>
              </w:rPr>
              <w:t>(115)</w:t>
            </w:r>
          </w:p>
        </w:tc>
        <w:tc>
          <w:tcPr>
            <w:tcW w:w="1080" w:type="dxa"/>
            <w:tcBorders>
              <w:bottom w:val="single" w:sz="8" w:space="0" w:color="auto"/>
            </w:tcBorders>
          </w:tcPr>
          <w:p w14:paraId="29881957" w14:textId="77777777" w:rsidR="00AE2255" w:rsidRDefault="00000000">
            <w:pPr>
              <w:pStyle w:val="TableParagraph"/>
              <w:spacing w:line="230" w:lineRule="exact"/>
              <w:ind w:right="70"/>
              <w:rPr>
                <w:sz w:val="20"/>
              </w:rPr>
            </w:pPr>
            <w:r>
              <w:rPr>
                <w:spacing w:val="-4"/>
                <w:sz w:val="20"/>
              </w:rPr>
              <w:t>(89)</w:t>
            </w:r>
          </w:p>
        </w:tc>
        <w:tc>
          <w:tcPr>
            <w:tcW w:w="1024" w:type="dxa"/>
            <w:tcBorders>
              <w:bottom w:val="single" w:sz="8" w:space="0" w:color="auto"/>
            </w:tcBorders>
          </w:tcPr>
          <w:p w14:paraId="6540F645" w14:textId="77777777" w:rsidR="00AE2255" w:rsidRDefault="00000000">
            <w:pPr>
              <w:pStyle w:val="TableParagraph"/>
              <w:spacing w:line="230" w:lineRule="exact"/>
              <w:ind w:right="14"/>
              <w:rPr>
                <w:sz w:val="20"/>
              </w:rPr>
            </w:pPr>
            <w:r>
              <w:rPr>
                <w:spacing w:val="-2"/>
                <w:sz w:val="20"/>
              </w:rPr>
              <w:t>(144)</w:t>
            </w:r>
          </w:p>
        </w:tc>
      </w:tr>
      <w:tr w:rsidR="00AE2255" w14:paraId="52E826E6" w14:textId="77777777">
        <w:trPr>
          <w:trHeight w:val="265"/>
        </w:trPr>
        <w:tc>
          <w:tcPr>
            <w:tcW w:w="7080" w:type="dxa"/>
            <w:tcBorders>
              <w:top w:val="single" w:sz="8" w:space="0" w:color="CCEDFF"/>
              <w:bottom w:val="single" w:sz="8" w:space="0" w:color="CCEDFF"/>
            </w:tcBorders>
            <w:shd w:val="clear" w:color="auto" w:fill="CCEDFF"/>
          </w:tcPr>
          <w:p w14:paraId="6657C98D" w14:textId="77777777" w:rsidR="00AE2255" w:rsidRDefault="00000000">
            <w:pPr>
              <w:pStyle w:val="TableParagraph"/>
              <w:spacing w:before="17" w:line="228" w:lineRule="exact"/>
              <w:ind w:left="637"/>
              <w:jc w:val="left"/>
              <w:rPr>
                <w:sz w:val="20"/>
              </w:rPr>
            </w:pPr>
            <w:r>
              <w:rPr>
                <w:sz w:val="20"/>
              </w:rPr>
              <w:t>Net</w:t>
            </w:r>
            <w:r>
              <w:rPr>
                <w:spacing w:val="-4"/>
                <w:sz w:val="20"/>
              </w:rPr>
              <w:t xml:space="preserve"> </w:t>
            </w:r>
            <w:r>
              <w:rPr>
                <w:sz w:val="20"/>
              </w:rPr>
              <w:t>cash</w:t>
            </w:r>
            <w:r>
              <w:rPr>
                <w:spacing w:val="-2"/>
                <w:sz w:val="20"/>
              </w:rPr>
              <w:t xml:space="preserve"> </w:t>
            </w:r>
            <w:r>
              <w:rPr>
                <w:sz w:val="20"/>
              </w:rPr>
              <w:t>used</w:t>
            </w:r>
            <w:r>
              <w:rPr>
                <w:spacing w:val="-2"/>
                <w:sz w:val="20"/>
              </w:rPr>
              <w:t xml:space="preserve"> </w:t>
            </w:r>
            <w:r>
              <w:rPr>
                <w:sz w:val="20"/>
              </w:rPr>
              <w:t>for</w:t>
            </w:r>
            <w:r>
              <w:rPr>
                <w:spacing w:val="-2"/>
                <w:sz w:val="20"/>
              </w:rPr>
              <w:t xml:space="preserve"> </w:t>
            </w:r>
            <w:r>
              <w:rPr>
                <w:sz w:val="20"/>
              </w:rPr>
              <w:t>financing</w:t>
            </w:r>
            <w:r>
              <w:rPr>
                <w:spacing w:val="-2"/>
                <w:sz w:val="20"/>
              </w:rPr>
              <w:t xml:space="preserve"> activities</w:t>
            </w:r>
          </w:p>
        </w:tc>
        <w:tc>
          <w:tcPr>
            <w:tcW w:w="1061" w:type="dxa"/>
            <w:tcBorders>
              <w:top w:val="single" w:sz="8" w:space="0" w:color="CCEDFF"/>
              <w:bottom w:val="single" w:sz="8" w:space="0" w:color="CCEDFF"/>
            </w:tcBorders>
            <w:shd w:val="clear" w:color="auto" w:fill="CCEDFF"/>
          </w:tcPr>
          <w:p w14:paraId="50DC0FF2" w14:textId="77777777" w:rsidR="00AE2255" w:rsidRDefault="00000000">
            <w:pPr>
              <w:pStyle w:val="TableParagraph"/>
              <w:spacing w:before="15" w:line="230" w:lineRule="exact"/>
              <w:ind w:right="70"/>
              <w:rPr>
                <w:b/>
                <w:sz w:val="20"/>
              </w:rPr>
            </w:pPr>
            <w:r>
              <w:rPr>
                <w:b/>
                <w:spacing w:val="-2"/>
                <w:sz w:val="20"/>
              </w:rPr>
              <w:t>(7,070)</w:t>
            </w:r>
          </w:p>
        </w:tc>
        <w:tc>
          <w:tcPr>
            <w:tcW w:w="1080" w:type="dxa"/>
            <w:tcBorders>
              <w:top w:val="single" w:sz="8" w:space="0" w:color="CCEDFF"/>
              <w:bottom w:val="single" w:sz="8" w:space="0" w:color="CCEDFF"/>
            </w:tcBorders>
            <w:shd w:val="clear" w:color="auto" w:fill="CCEDFF"/>
          </w:tcPr>
          <w:p w14:paraId="255C9C12" w14:textId="77777777" w:rsidR="00AE2255" w:rsidRDefault="00000000">
            <w:pPr>
              <w:pStyle w:val="TableParagraph"/>
              <w:spacing w:before="15" w:line="230" w:lineRule="exact"/>
              <w:ind w:right="70"/>
              <w:rPr>
                <w:sz w:val="20"/>
              </w:rPr>
            </w:pPr>
            <w:r>
              <w:rPr>
                <w:spacing w:val="-2"/>
                <w:sz w:val="20"/>
              </w:rPr>
              <w:t>(7,616)</w:t>
            </w:r>
          </w:p>
        </w:tc>
        <w:tc>
          <w:tcPr>
            <w:tcW w:w="1024" w:type="dxa"/>
            <w:tcBorders>
              <w:top w:val="single" w:sz="8" w:space="0" w:color="CCEDFF"/>
              <w:bottom w:val="single" w:sz="8" w:space="0" w:color="CCEDFF"/>
            </w:tcBorders>
            <w:shd w:val="clear" w:color="auto" w:fill="CCEDFF"/>
          </w:tcPr>
          <w:p w14:paraId="6CDC1A41" w14:textId="77777777" w:rsidR="00AE2255" w:rsidRDefault="00000000">
            <w:pPr>
              <w:pStyle w:val="TableParagraph"/>
              <w:spacing w:before="15" w:line="230" w:lineRule="exact"/>
              <w:ind w:right="14"/>
              <w:rPr>
                <w:sz w:val="20"/>
              </w:rPr>
            </w:pPr>
            <w:r>
              <w:rPr>
                <w:spacing w:val="-2"/>
                <w:sz w:val="20"/>
              </w:rPr>
              <w:t>(4,527)</w:t>
            </w:r>
          </w:p>
        </w:tc>
      </w:tr>
      <w:tr w:rsidR="00AE2255" w14:paraId="0AF29BA1" w14:textId="77777777">
        <w:trPr>
          <w:trHeight w:val="275"/>
        </w:trPr>
        <w:tc>
          <w:tcPr>
            <w:tcW w:w="7080" w:type="dxa"/>
            <w:tcBorders>
              <w:top w:val="single" w:sz="8" w:space="0" w:color="auto"/>
            </w:tcBorders>
          </w:tcPr>
          <w:p w14:paraId="2F2925FD" w14:textId="77777777" w:rsidR="00AE2255" w:rsidRDefault="00000000">
            <w:pPr>
              <w:pStyle w:val="TableParagraph"/>
              <w:spacing w:before="15"/>
              <w:ind w:left="52"/>
              <w:jc w:val="left"/>
              <w:rPr>
                <w:sz w:val="20"/>
              </w:rPr>
            </w:pPr>
            <w:r>
              <w:rPr>
                <w:sz w:val="20"/>
              </w:rPr>
              <w:t>Net</w:t>
            </w:r>
            <w:r>
              <w:rPr>
                <w:spacing w:val="-3"/>
                <w:sz w:val="20"/>
              </w:rPr>
              <w:t xml:space="preserve"> </w:t>
            </w:r>
            <w:r>
              <w:rPr>
                <w:sz w:val="20"/>
              </w:rPr>
              <w:t>change</w:t>
            </w:r>
            <w:r>
              <w:rPr>
                <w:spacing w:val="-3"/>
                <w:sz w:val="20"/>
              </w:rPr>
              <w:t xml:space="preserve"> </w:t>
            </w:r>
            <w:r>
              <w:rPr>
                <w:sz w:val="20"/>
              </w:rPr>
              <w:t>in</w:t>
            </w:r>
            <w:r>
              <w:rPr>
                <w:spacing w:val="-2"/>
                <w:sz w:val="20"/>
              </w:rPr>
              <w:t xml:space="preserve"> </w:t>
            </w:r>
            <w:r>
              <w:rPr>
                <w:sz w:val="20"/>
              </w:rPr>
              <w:t>cash</w:t>
            </w:r>
            <w:r>
              <w:rPr>
                <w:spacing w:val="-2"/>
                <w:sz w:val="20"/>
              </w:rPr>
              <w:t xml:space="preserve"> </w:t>
            </w:r>
            <w:r>
              <w:rPr>
                <w:sz w:val="20"/>
              </w:rPr>
              <w:t>and</w:t>
            </w:r>
            <w:r>
              <w:rPr>
                <w:spacing w:val="-2"/>
                <w:sz w:val="20"/>
              </w:rPr>
              <w:t xml:space="preserve"> </w:t>
            </w:r>
            <w:r>
              <w:rPr>
                <w:sz w:val="20"/>
              </w:rPr>
              <w:t>cash</w:t>
            </w:r>
            <w:r>
              <w:rPr>
                <w:spacing w:val="-2"/>
                <w:sz w:val="20"/>
              </w:rPr>
              <w:t xml:space="preserve"> equivalents</w:t>
            </w:r>
          </w:p>
        </w:tc>
        <w:tc>
          <w:tcPr>
            <w:tcW w:w="1061" w:type="dxa"/>
            <w:tcBorders>
              <w:top w:val="single" w:sz="8" w:space="0" w:color="auto"/>
            </w:tcBorders>
          </w:tcPr>
          <w:p w14:paraId="58A32BFB" w14:textId="77777777" w:rsidR="00AE2255" w:rsidRDefault="00000000">
            <w:pPr>
              <w:pStyle w:val="TableParagraph"/>
              <w:spacing w:before="15"/>
              <w:ind w:right="70"/>
              <w:rPr>
                <w:b/>
                <w:sz w:val="20"/>
              </w:rPr>
            </w:pPr>
            <w:r>
              <w:rPr>
                <w:b/>
                <w:spacing w:val="-2"/>
                <w:sz w:val="20"/>
              </w:rPr>
              <w:t>(1,057)</w:t>
            </w:r>
          </w:p>
        </w:tc>
        <w:tc>
          <w:tcPr>
            <w:tcW w:w="1080" w:type="dxa"/>
            <w:tcBorders>
              <w:top w:val="single" w:sz="8" w:space="0" w:color="auto"/>
            </w:tcBorders>
          </w:tcPr>
          <w:p w14:paraId="06DB2A8F" w14:textId="77777777" w:rsidR="00AE2255" w:rsidRDefault="00000000">
            <w:pPr>
              <w:pStyle w:val="TableParagraph"/>
              <w:spacing w:before="15"/>
              <w:ind w:right="135"/>
              <w:rPr>
                <w:sz w:val="20"/>
              </w:rPr>
            </w:pPr>
            <w:r>
              <w:rPr>
                <w:spacing w:val="-5"/>
                <w:sz w:val="20"/>
              </w:rPr>
              <w:t>444</w:t>
            </w:r>
          </w:p>
        </w:tc>
        <w:tc>
          <w:tcPr>
            <w:tcW w:w="1024" w:type="dxa"/>
            <w:tcBorders>
              <w:top w:val="single" w:sz="8" w:space="0" w:color="auto"/>
            </w:tcBorders>
          </w:tcPr>
          <w:p w14:paraId="20FC526B" w14:textId="77777777" w:rsidR="00AE2255" w:rsidRDefault="00000000">
            <w:pPr>
              <w:pStyle w:val="TableParagraph"/>
              <w:spacing w:before="15"/>
              <w:ind w:right="79"/>
              <w:rPr>
                <w:sz w:val="20"/>
              </w:rPr>
            </w:pPr>
            <w:r>
              <w:rPr>
                <w:spacing w:val="-2"/>
                <w:sz w:val="20"/>
              </w:rPr>
              <w:t>1,646</w:t>
            </w:r>
          </w:p>
        </w:tc>
      </w:tr>
      <w:tr w:rsidR="00AE2255" w14:paraId="557BEAD4" w14:textId="77777777">
        <w:trPr>
          <w:trHeight w:val="275"/>
        </w:trPr>
        <w:tc>
          <w:tcPr>
            <w:tcW w:w="7080" w:type="dxa"/>
            <w:tcBorders>
              <w:bottom w:val="single" w:sz="8" w:space="0" w:color="CCEDFF"/>
            </w:tcBorders>
            <w:shd w:val="clear" w:color="auto" w:fill="CCEDFF"/>
          </w:tcPr>
          <w:p w14:paraId="18493147" w14:textId="77777777" w:rsidR="00AE2255" w:rsidRDefault="00000000">
            <w:pPr>
              <w:pStyle w:val="TableParagraph"/>
              <w:spacing w:before="27" w:line="228" w:lineRule="exact"/>
              <w:ind w:left="52"/>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3"/>
                <w:sz w:val="20"/>
              </w:rPr>
              <w:t xml:space="preserve"> </w:t>
            </w:r>
            <w:r>
              <w:rPr>
                <w:sz w:val="20"/>
              </w:rPr>
              <w:t>equivalents</w:t>
            </w:r>
            <w:r>
              <w:rPr>
                <w:spacing w:val="-3"/>
                <w:sz w:val="20"/>
              </w:rPr>
              <w:t xml:space="preserve"> </w:t>
            </w:r>
            <w:r>
              <w:rPr>
                <w:sz w:val="20"/>
              </w:rPr>
              <w:t>at</w:t>
            </w:r>
            <w:r>
              <w:rPr>
                <w:spacing w:val="-4"/>
                <w:sz w:val="20"/>
              </w:rPr>
              <w:t xml:space="preserve"> </w:t>
            </w:r>
            <w:r>
              <w:rPr>
                <w:sz w:val="20"/>
              </w:rPr>
              <w:t>beginning</w:t>
            </w:r>
            <w:r>
              <w:rPr>
                <w:spacing w:val="-2"/>
                <w:sz w:val="20"/>
              </w:rPr>
              <w:t xml:space="preserve"> </w:t>
            </w:r>
            <w:r>
              <w:rPr>
                <w:sz w:val="20"/>
              </w:rPr>
              <w:t>of</w:t>
            </w:r>
            <w:r>
              <w:rPr>
                <w:spacing w:val="-2"/>
                <w:sz w:val="20"/>
              </w:rPr>
              <w:t xml:space="preserve"> </w:t>
            </w:r>
            <w:r>
              <w:rPr>
                <w:spacing w:val="-4"/>
                <w:sz w:val="20"/>
              </w:rPr>
              <w:t>year</w:t>
            </w:r>
          </w:p>
        </w:tc>
        <w:tc>
          <w:tcPr>
            <w:tcW w:w="1061" w:type="dxa"/>
            <w:tcBorders>
              <w:bottom w:val="single" w:sz="8" w:space="0" w:color="CCEDFF"/>
            </w:tcBorders>
            <w:shd w:val="clear" w:color="auto" w:fill="CCEDFF"/>
          </w:tcPr>
          <w:p w14:paraId="4AF436B3" w14:textId="77777777" w:rsidR="00AE2255" w:rsidRDefault="00000000">
            <w:pPr>
              <w:pStyle w:val="TableParagraph"/>
              <w:spacing w:line="230" w:lineRule="exact"/>
              <w:ind w:right="135"/>
              <w:rPr>
                <w:b/>
                <w:sz w:val="20"/>
              </w:rPr>
            </w:pPr>
            <w:r>
              <w:rPr>
                <w:b/>
                <w:spacing w:val="-2"/>
                <w:sz w:val="20"/>
              </w:rPr>
              <w:t>3,604</w:t>
            </w:r>
          </w:p>
        </w:tc>
        <w:tc>
          <w:tcPr>
            <w:tcW w:w="1080" w:type="dxa"/>
            <w:tcBorders>
              <w:bottom w:val="single" w:sz="8" w:space="0" w:color="CCEDFF"/>
            </w:tcBorders>
            <w:shd w:val="clear" w:color="auto" w:fill="CCEDFF"/>
          </w:tcPr>
          <w:p w14:paraId="15E35CED" w14:textId="77777777" w:rsidR="00AE2255" w:rsidRDefault="00000000">
            <w:pPr>
              <w:pStyle w:val="TableParagraph"/>
              <w:spacing w:line="230" w:lineRule="exact"/>
              <w:ind w:right="135"/>
              <w:rPr>
                <w:sz w:val="20"/>
              </w:rPr>
            </w:pPr>
            <w:r>
              <w:rPr>
                <w:spacing w:val="-2"/>
                <w:sz w:val="20"/>
              </w:rPr>
              <w:t>3,160</w:t>
            </w:r>
          </w:p>
        </w:tc>
        <w:tc>
          <w:tcPr>
            <w:tcW w:w="1024" w:type="dxa"/>
            <w:tcBorders>
              <w:bottom w:val="single" w:sz="8" w:space="0" w:color="CCEDFF"/>
            </w:tcBorders>
            <w:shd w:val="clear" w:color="auto" w:fill="CCEDFF"/>
          </w:tcPr>
          <w:p w14:paraId="4E70B927" w14:textId="77777777" w:rsidR="00AE2255" w:rsidRDefault="00000000">
            <w:pPr>
              <w:pStyle w:val="TableParagraph"/>
              <w:spacing w:line="230" w:lineRule="exact"/>
              <w:ind w:right="79"/>
              <w:rPr>
                <w:sz w:val="20"/>
              </w:rPr>
            </w:pPr>
            <w:r>
              <w:rPr>
                <w:spacing w:val="-2"/>
                <w:sz w:val="20"/>
              </w:rPr>
              <w:t>1,514</w:t>
            </w:r>
          </w:p>
        </w:tc>
      </w:tr>
      <w:tr w:rsidR="00AE2255" w14:paraId="70719E3B" w14:textId="77777777">
        <w:trPr>
          <w:trHeight w:val="252"/>
        </w:trPr>
        <w:tc>
          <w:tcPr>
            <w:tcW w:w="7080" w:type="dxa"/>
            <w:tcBorders>
              <w:top w:val="single" w:sz="8" w:space="0" w:color="auto"/>
              <w:bottom w:val="single" w:sz="18" w:space="0" w:color="000000"/>
            </w:tcBorders>
          </w:tcPr>
          <w:p w14:paraId="0DECA2CE" w14:textId="77777777" w:rsidR="00AE2255" w:rsidRDefault="00000000">
            <w:pPr>
              <w:pStyle w:val="TableParagraph"/>
              <w:spacing w:before="17" w:line="216" w:lineRule="exact"/>
              <w:ind w:left="52"/>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2"/>
                <w:sz w:val="20"/>
              </w:rPr>
              <w:t xml:space="preserve"> </w:t>
            </w:r>
            <w:r>
              <w:rPr>
                <w:sz w:val="20"/>
              </w:rPr>
              <w:t>equivalents</w:t>
            </w:r>
            <w:r>
              <w:rPr>
                <w:spacing w:val="-3"/>
                <w:sz w:val="20"/>
              </w:rPr>
              <w:t xml:space="preserve"> </w:t>
            </w:r>
            <w:r>
              <w:rPr>
                <w:sz w:val="20"/>
              </w:rPr>
              <w:t>at</w:t>
            </w:r>
            <w:r>
              <w:rPr>
                <w:spacing w:val="-3"/>
                <w:sz w:val="20"/>
              </w:rPr>
              <w:t xml:space="preserve"> </w:t>
            </w:r>
            <w:r>
              <w:rPr>
                <w:sz w:val="20"/>
              </w:rPr>
              <w:t>end</w:t>
            </w:r>
            <w:r>
              <w:rPr>
                <w:spacing w:val="-2"/>
                <w:sz w:val="20"/>
              </w:rPr>
              <w:t xml:space="preserve"> </w:t>
            </w:r>
            <w:r>
              <w:rPr>
                <w:sz w:val="20"/>
              </w:rPr>
              <w:t>of</w:t>
            </w:r>
            <w:r>
              <w:rPr>
                <w:spacing w:val="-2"/>
                <w:sz w:val="20"/>
              </w:rPr>
              <w:t xml:space="preserve"> </w:t>
            </w:r>
            <w:r>
              <w:rPr>
                <w:spacing w:val="-4"/>
                <w:sz w:val="20"/>
              </w:rPr>
              <w:t>year</w:t>
            </w:r>
          </w:p>
        </w:tc>
        <w:tc>
          <w:tcPr>
            <w:tcW w:w="1061" w:type="dxa"/>
            <w:tcBorders>
              <w:top w:val="single" w:sz="8" w:space="0" w:color="auto"/>
              <w:bottom w:val="single" w:sz="18" w:space="0" w:color="000000"/>
            </w:tcBorders>
          </w:tcPr>
          <w:p w14:paraId="4A2E7FDE" w14:textId="77777777" w:rsidR="00AE2255" w:rsidRDefault="00000000">
            <w:pPr>
              <w:pStyle w:val="TableParagraph"/>
              <w:tabs>
                <w:tab w:val="left" w:pos="473"/>
              </w:tabs>
              <w:spacing w:before="15" w:line="217" w:lineRule="exact"/>
              <w:ind w:left="52"/>
              <w:jc w:val="left"/>
              <w:rPr>
                <w:b/>
                <w:sz w:val="20"/>
              </w:rPr>
            </w:pPr>
            <w:r>
              <w:rPr>
                <w:b/>
                <w:spacing w:val="-10"/>
                <w:sz w:val="20"/>
              </w:rPr>
              <w:t>$</w:t>
            </w:r>
            <w:r>
              <w:rPr>
                <w:b/>
                <w:sz w:val="20"/>
              </w:rPr>
              <w:tab/>
            </w:r>
            <w:r>
              <w:rPr>
                <w:b/>
                <w:spacing w:val="-2"/>
                <w:sz w:val="20"/>
              </w:rPr>
              <w:t>2,547</w:t>
            </w:r>
          </w:p>
        </w:tc>
        <w:tc>
          <w:tcPr>
            <w:tcW w:w="1080" w:type="dxa"/>
            <w:tcBorders>
              <w:top w:val="single" w:sz="8" w:space="0" w:color="auto"/>
              <w:bottom w:val="single" w:sz="18" w:space="0" w:color="000000"/>
            </w:tcBorders>
          </w:tcPr>
          <w:p w14:paraId="74EC48FA" w14:textId="77777777" w:rsidR="00AE2255" w:rsidRDefault="00000000">
            <w:pPr>
              <w:pStyle w:val="TableParagraph"/>
              <w:tabs>
                <w:tab w:val="left" w:pos="420"/>
              </w:tabs>
              <w:spacing w:before="15" w:line="217" w:lineRule="exact"/>
              <w:ind w:right="135"/>
              <w:rPr>
                <w:sz w:val="20"/>
              </w:rPr>
            </w:pPr>
            <w:r>
              <w:rPr>
                <w:spacing w:val="-10"/>
                <w:sz w:val="20"/>
              </w:rPr>
              <w:t>$</w:t>
            </w:r>
            <w:r>
              <w:rPr>
                <w:sz w:val="20"/>
              </w:rPr>
              <w:tab/>
            </w:r>
            <w:r>
              <w:rPr>
                <w:spacing w:val="-2"/>
                <w:sz w:val="20"/>
              </w:rPr>
              <w:t>3,604</w:t>
            </w:r>
          </w:p>
        </w:tc>
        <w:tc>
          <w:tcPr>
            <w:tcW w:w="1024" w:type="dxa"/>
            <w:tcBorders>
              <w:top w:val="single" w:sz="8" w:space="0" w:color="auto"/>
              <w:bottom w:val="single" w:sz="18" w:space="0" w:color="000000"/>
            </w:tcBorders>
          </w:tcPr>
          <w:p w14:paraId="27B89D27" w14:textId="77777777" w:rsidR="00AE2255" w:rsidRDefault="00000000">
            <w:pPr>
              <w:pStyle w:val="TableParagraph"/>
              <w:tabs>
                <w:tab w:val="left" w:pos="492"/>
              </w:tabs>
              <w:spacing w:before="15" w:line="217" w:lineRule="exact"/>
              <w:ind w:left="71"/>
              <w:jc w:val="left"/>
              <w:rPr>
                <w:sz w:val="20"/>
              </w:rPr>
            </w:pPr>
            <w:r>
              <w:rPr>
                <w:spacing w:val="-10"/>
                <w:sz w:val="20"/>
              </w:rPr>
              <w:t>$</w:t>
            </w:r>
            <w:r>
              <w:rPr>
                <w:sz w:val="20"/>
              </w:rPr>
              <w:tab/>
            </w:r>
            <w:r>
              <w:rPr>
                <w:spacing w:val="-2"/>
                <w:sz w:val="20"/>
              </w:rPr>
              <w:t>3,160</w:t>
            </w:r>
          </w:p>
        </w:tc>
      </w:tr>
      <w:tr w:rsidR="00AE2255" w14:paraId="3D0B5EDE" w14:textId="77777777">
        <w:trPr>
          <w:trHeight w:val="499"/>
        </w:trPr>
        <w:tc>
          <w:tcPr>
            <w:tcW w:w="7080" w:type="dxa"/>
            <w:tcBorders>
              <w:top w:val="single" w:sz="18" w:space="0" w:color="000000"/>
            </w:tcBorders>
          </w:tcPr>
          <w:p w14:paraId="51D03F0F" w14:textId="77777777" w:rsidR="00AE2255" w:rsidRDefault="00AE2255">
            <w:pPr>
              <w:pStyle w:val="TableParagraph"/>
              <w:spacing w:before="4"/>
              <w:jc w:val="left"/>
              <w:rPr>
                <w:b/>
                <w:sz w:val="23"/>
              </w:rPr>
            </w:pPr>
          </w:p>
          <w:p w14:paraId="3D100594" w14:textId="77777777" w:rsidR="00AE2255" w:rsidRDefault="00000000">
            <w:pPr>
              <w:pStyle w:val="TableParagraph"/>
              <w:spacing w:before="1" w:line="210" w:lineRule="exact"/>
              <w:jc w:val="left"/>
              <w:rPr>
                <w:sz w:val="20"/>
              </w:rPr>
            </w:pPr>
            <w:r>
              <w:rPr>
                <w:sz w:val="20"/>
              </w:rPr>
              <w:t>The</w:t>
            </w:r>
            <w:r>
              <w:rPr>
                <w:spacing w:val="-6"/>
                <w:sz w:val="20"/>
              </w:rPr>
              <w:t xml:space="preserve"> </w:t>
            </w:r>
            <w:r>
              <w:rPr>
                <w:sz w:val="20"/>
              </w:rPr>
              <w:t>accompanying</w:t>
            </w:r>
            <w:r>
              <w:rPr>
                <w:spacing w:val="-3"/>
                <w:sz w:val="20"/>
              </w:rPr>
              <w:t xml:space="preserve"> </w:t>
            </w:r>
            <w:r>
              <w:rPr>
                <w:sz w:val="20"/>
              </w:rPr>
              <w:t>notes</w:t>
            </w:r>
            <w:r>
              <w:rPr>
                <w:spacing w:val="-4"/>
                <w:sz w:val="20"/>
              </w:rPr>
              <w:t xml:space="preserve"> </w:t>
            </w:r>
            <w:r>
              <w:rPr>
                <w:sz w:val="20"/>
              </w:rPr>
              <w:t>are</w:t>
            </w:r>
            <w:r>
              <w:rPr>
                <w:spacing w:val="-4"/>
                <w:sz w:val="20"/>
              </w:rPr>
              <w:t xml:space="preserve"> </w:t>
            </w:r>
            <w:r>
              <w:rPr>
                <w:sz w:val="20"/>
              </w:rPr>
              <w:t>an</w:t>
            </w:r>
            <w:r>
              <w:rPr>
                <w:spacing w:val="-3"/>
                <w:sz w:val="20"/>
              </w:rPr>
              <w:t xml:space="preserve"> </w:t>
            </w:r>
            <w:r>
              <w:rPr>
                <w:sz w:val="20"/>
              </w:rPr>
              <w:t>integral</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these</w:t>
            </w:r>
            <w:r>
              <w:rPr>
                <w:spacing w:val="-4"/>
                <w:sz w:val="20"/>
              </w:rPr>
              <w:t xml:space="preserve"> </w:t>
            </w:r>
            <w:r>
              <w:rPr>
                <w:sz w:val="20"/>
              </w:rPr>
              <w:t>consolidated</w:t>
            </w:r>
            <w:r>
              <w:rPr>
                <w:spacing w:val="-3"/>
                <w:sz w:val="20"/>
              </w:rPr>
              <w:t xml:space="preserve"> </w:t>
            </w:r>
            <w:r>
              <w:rPr>
                <w:sz w:val="20"/>
              </w:rPr>
              <w:t>financial</w:t>
            </w:r>
            <w:r>
              <w:rPr>
                <w:spacing w:val="-3"/>
                <w:sz w:val="20"/>
              </w:rPr>
              <w:t xml:space="preserve"> </w:t>
            </w:r>
            <w:r>
              <w:rPr>
                <w:spacing w:val="-2"/>
                <w:sz w:val="20"/>
              </w:rPr>
              <w:t>statements.</w:t>
            </w:r>
          </w:p>
        </w:tc>
        <w:tc>
          <w:tcPr>
            <w:tcW w:w="1061" w:type="dxa"/>
            <w:tcBorders>
              <w:top w:val="single" w:sz="18" w:space="0" w:color="000000"/>
            </w:tcBorders>
          </w:tcPr>
          <w:p w14:paraId="2AB2E485" w14:textId="77777777" w:rsidR="00AE2255" w:rsidRDefault="00AE2255">
            <w:pPr>
              <w:pStyle w:val="TableParagraph"/>
              <w:spacing w:before="0"/>
              <w:jc w:val="left"/>
              <w:rPr>
                <w:sz w:val="20"/>
              </w:rPr>
            </w:pPr>
          </w:p>
        </w:tc>
        <w:tc>
          <w:tcPr>
            <w:tcW w:w="1080" w:type="dxa"/>
            <w:tcBorders>
              <w:top w:val="single" w:sz="18" w:space="0" w:color="000000"/>
            </w:tcBorders>
          </w:tcPr>
          <w:p w14:paraId="2BF58F6B" w14:textId="77777777" w:rsidR="00AE2255" w:rsidRDefault="00AE2255">
            <w:pPr>
              <w:pStyle w:val="TableParagraph"/>
              <w:spacing w:before="0"/>
              <w:jc w:val="left"/>
              <w:rPr>
                <w:sz w:val="20"/>
              </w:rPr>
            </w:pPr>
          </w:p>
        </w:tc>
        <w:tc>
          <w:tcPr>
            <w:tcW w:w="1024" w:type="dxa"/>
            <w:tcBorders>
              <w:top w:val="single" w:sz="18" w:space="0" w:color="000000"/>
            </w:tcBorders>
          </w:tcPr>
          <w:p w14:paraId="068BD231" w14:textId="77777777" w:rsidR="00AE2255" w:rsidRDefault="00AE2255">
            <w:pPr>
              <w:pStyle w:val="TableParagraph"/>
              <w:spacing w:before="0"/>
              <w:jc w:val="left"/>
              <w:rPr>
                <w:sz w:val="20"/>
              </w:rPr>
            </w:pPr>
          </w:p>
        </w:tc>
      </w:tr>
    </w:tbl>
    <w:p w14:paraId="784345E8" w14:textId="77777777" w:rsidR="00AE2255" w:rsidRDefault="00AE2255">
      <w:pPr>
        <w:rPr>
          <w:sz w:val="20"/>
        </w:rPr>
        <w:sectPr w:rsidR="00AE2255">
          <w:pgSz w:w="12240" w:h="15840"/>
          <w:pgMar w:top="440" w:right="560" w:bottom="720" w:left="380" w:header="230" w:footer="531" w:gutter="0"/>
          <w:cols w:space="720"/>
        </w:sectPr>
      </w:pPr>
    </w:p>
    <w:p w14:paraId="47DDDEA0" w14:textId="77777777" w:rsidR="00AE2255" w:rsidRDefault="00AE2255">
      <w:pPr>
        <w:pStyle w:val="BodyText"/>
        <w:spacing w:before="6"/>
        <w:rPr>
          <w:b/>
          <w:sz w:val="26"/>
        </w:rPr>
      </w:pPr>
    </w:p>
    <w:p w14:paraId="25B27805" w14:textId="77777777" w:rsidR="00AE2255" w:rsidRDefault="00000000">
      <w:pPr>
        <w:spacing w:before="92" w:line="249" w:lineRule="auto"/>
        <w:ind w:left="4395" w:right="3943"/>
        <w:jc w:val="center"/>
        <w:rPr>
          <w:b/>
          <w:sz w:val="20"/>
        </w:rPr>
      </w:pPr>
      <w:bookmarkStart w:id="44" w:name="Consolidated_Statements_of_Equity"/>
      <w:bookmarkStart w:id="45" w:name="_bookmark17"/>
      <w:bookmarkEnd w:id="44"/>
      <w:bookmarkEnd w:id="45"/>
      <w:r>
        <w:rPr>
          <w:b/>
          <w:sz w:val="20"/>
        </w:rPr>
        <w:t>Lockheed Martin Corporation Consolidated</w:t>
      </w:r>
      <w:r>
        <w:rPr>
          <w:b/>
          <w:spacing w:val="-13"/>
          <w:sz w:val="20"/>
        </w:rPr>
        <w:t xml:space="preserve"> </w:t>
      </w:r>
      <w:r>
        <w:rPr>
          <w:b/>
          <w:sz w:val="20"/>
        </w:rPr>
        <w:t>Statements</w:t>
      </w:r>
      <w:r>
        <w:rPr>
          <w:b/>
          <w:spacing w:val="-12"/>
          <w:sz w:val="20"/>
        </w:rPr>
        <w:t xml:space="preserve"> </w:t>
      </w:r>
      <w:r>
        <w:rPr>
          <w:b/>
          <w:sz w:val="20"/>
        </w:rPr>
        <w:t>of</w:t>
      </w:r>
      <w:r>
        <w:rPr>
          <w:b/>
          <w:spacing w:val="-13"/>
          <w:sz w:val="20"/>
        </w:rPr>
        <w:t xml:space="preserve"> </w:t>
      </w:r>
      <w:r>
        <w:rPr>
          <w:b/>
          <w:sz w:val="20"/>
        </w:rPr>
        <w:t>Equity (in</w:t>
      </w:r>
      <w:r>
        <w:rPr>
          <w:b/>
          <w:spacing w:val="-5"/>
          <w:sz w:val="20"/>
        </w:rPr>
        <w:t xml:space="preserve"> </w:t>
      </w:r>
      <w:r>
        <w:rPr>
          <w:b/>
          <w:sz w:val="20"/>
        </w:rPr>
        <w:t>millions,</w:t>
      </w:r>
      <w:r>
        <w:rPr>
          <w:b/>
          <w:spacing w:val="-3"/>
          <w:sz w:val="20"/>
        </w:rPr>
        <w:t xml:space="preserve"> </w:t>
      </w:r>
      <w:r>
        <w:rPr>
          <w:b/>
          <w:sz w:val="20"/>
        </w:rPr>
        <w:t>except</w:t>
      </w:r>
      <w:r>
        <w:rPr>
          <w:b/>
          <w:spacing w:val="-3"/>
          <w:sz w:val="20"/>
        </w:rPr>
        <w:t xml:space="preserve"> </w:t>
      </w:r>
      <w:r>
        <w:rPr>
          <w:b/>
          <w:sz w:val="20"/>
        </w:rPr>
        <w:t>per</w:t>
      </w:r>
      <w:r>
        <w:rPr>
          <w:b/>
          <w:spacing w:val="-4"/>
          <w:sz w:val="20"/>
        </w:rPr>
        <w:t xml:space="preserve"> </w:t>
      </w:r>
      <w:r>
        <w:rPr>
          <w:b/>
          <w:sz w:val="20"/>
        </w:rPr>
        <w:t>share</w:t>
      </w:r>
      <w:r>
        <w:rPr>
          <w:b/>
          <w:spacing w:val="-4"/>
          <w:sz w:val="20"/>
        </w:rPr>
        <w:t xml:space="preserve"> </w:t>
      </w:r>
      <w:r>
        <w:rPr>
          <w:b/>
          <w:spacing w:val="-2"/>
          <w:sz w:val="20"/>
        </w:rPr>
        <w:t>data)</w:t>
      </w:r>
    </w:p>
    <w:p w14:paraId="4AB30DC4" w14:textId="77777777" w:rsidR="00AE2255" w:rsidRDefault="00AE2255">
      <w:pPr>
        <w:pStyle w:val="BodyText"/>
        <w:rPr>
          <w:b/>
        </w:rPr>
      </w:pPr>
    </w:p>
    <w:p w14:paraId="5223E9A6" w14:textId="77777777" w:rsidR="00AE2255" w:rsidRDefault="00AE2255">
      <w:pPr>
        <w:sectPr w:rsidR="00AE2255">
          <w:pgSz w:w="12240" w:h="15840"/>
          <w:pgMar w:top="440" w:right="560" w:bottom="720" w:left="380" w:header="230" w:footer="531" w:gutter="0"/>
          <w:cols w:space="720"/>
        </w:sectPr>
      </w:pPr>
    </w:p>
    <w:p w14:paraId="46C77027" w14:textId="77777777" w:rsidR="00AE2255" w:rsidRDefault="00AE2255">
      <w:pPr>
        <w:pStyle w:val="BodyText"/>
        <w:rPr>
          <w:b/>
          <w:sz w:val="22"/>
        </w:rPr>
      </w:pPr>
    </w:p>
    <w:p w14:paraId="6C2662C1" w14:textId="77777777" w:rsidR="00AE2255" w:rsidRDefault="00AE2255">
      <w:pPr>
        <w:pStyle w:val="BodyText"/>
        <w:rPr>
          <w:b/>
          <w:sz w:val="22"/>
        </w:rPr>
      </w:pPr>
    </w:p>
    <w:p w14:paraId="17A7771C" w14:textId="77777777" w:rsidR="00AE2255" w:rsidRDefault="00000000">
      <w:pPr>
        <w:spacing w:before="145" w:line="208" w:lineRule="auto"/>
        <w:ind w:left="3318" w:right="-7" w:hanging="156"/>
        <w:rPr>
          <w:b/>
          <w:sz w:val="20"/>
        </w:rPr>
      </w:pPr>
      <w:r>
        <w:rPr>
          <w:b/>
          <w:spacing w:val="-2"/>
          <w:sz w:val="20"/>
        </w:rPr>
        <w:t>Common Stock</w:t>
      </w:r>
    </w:p>
    <w:p w14:paraId="0E911D5B" w14:textId="77777777" w:rsidR="00AE2255" w:rsidRDefault="00000000">
      <w:pPr>
        <w:rPr>
          <w:b/>
        </w:rPr>
      </w:pPr>
      <w:r>
        <w:br w:type="column"/>
      </w:r>
    </w:p>
    <w:p w14:paraId="701FD7AA" w14:textId="77777777" w:rsidR="00AE2255" w:rsidRDefault="00AE2255">
      <w:pPr>
        <w:pStyle w:val="BodyText"/>
        <w:spacing w:before="2"/>
        <w:rPr>
          <w:b/>
          <w:sz w:val="17"/>
        </w:rPr>
      </w:pPr>
    </w:p>
    <w:p w14:paraId="10A18A06" w14:textId="77777777" w:rsidR="00AE2255" w:rsidRDefault="00000000">
      <w:pPr>
        <w:pStyle w:val="Heading2"/>
        <w:spacing w:line="208" w:lineRule="auto"/>
        <w:ind w:left="239" w:hanging="139"/>
      </w:pPr>
      <w:r>
        <w:rPr>
          <w:spacing w:val="-2"/>
        </w:rPr>
        <w:t>Additional Paid-In Capital</w:t>
      </w:r>
    </w:p>
    <w:p w14:paraId="2038C5FF" w14:textId="77777777" w:rsidR="00AE2255" w:rsidRDefault="00000000">
      <w:pPr>
        <w:rPr>
          <w:b/>
        </w:rPr>
      </w:pPr>
      <w:r>
        <w:br w:type="column"/>
      </w:r>
    </w:p>
    <w:p w14:paraId="3D109BDB" w14:textId="77777777" w:rsidR="00AE2255" w:rsidRDefault="00AE2255">
      <w:pPr>
        <w:pStyle w:val="BodyText"/>
        <w:rPr>
          <w:b/>
          <w:sz w:val="22"/>
        </w:rPr>
      </w:pPr>
    </w:p>
    <w:p w14:paraId="413800B1" w14:textId="77777777" w:rsidR="00AE2255" w:rsidRDefault="00000000">
      <w:pPr>
        <w:pStyle w:val="Heading2"/>
        <w:spacing w:before="145" w:line="208" w:lineRule="auto"/>
        <w:ind w:left="113" w:right="-5" w:firstLine="5"/>
      </w:pPr>
      <w:r>
        <w:rPr>
          <w:spacing w:val="-2"/>
        </w:rPr>
        <w:t>Retained Earnings</w:t>
      </w:r>
    </w:p>
    <w:p w14:paraId="1C7F61DE" w14:textId="77777777" w:rsidR="00AE2255" w:rsidRDefault="00000000">
      <w:pPr>
        <w:spacing w:before="9"/>
        <w:rPr>
          <w:b/>
          <w:sz w:val="21"/>
        </w:rPr>
      </w:pPr>
      <w:r>
        <w:br w:type="column"/>
      </w:r>
    </w:p>
    <w:p w14:paraId="5DDA33C6" w14:textId="77777777" w:rsidR="00AE2255" w:rsidRDefault="00000000">
      <w:pPr>
        <w:pStyle w:val="Heading2"/>
        <w:spacing w:line="208" w:lineRule="auto"/>
        <w:ind w:left="110" w:firstLine="50"/>
        <w:jc w:val="center"/>
      </w:pPr>
      <w:r>
        <w:rPr>
          <w:spacing w:val="-2"/>
        </w:rPr>
        <w:t xml:space="preserve">Accumulated Other Comprehensive </w:t>
      </w:r>
      <w:r>
        <w:rPr>
          <w:spacing w:val="-4"/>
        </w:rPr>
        <w:t>Loss</w:t>
      </w:r>
    </w:p>
    <w:p w14:paraId="170120A1" w14:textId="77777777" w:rsidR="00AE2255" w:rsidRDefault="00000000">
      <w:pPr>
        <w:rPr>
          <w:b/>
        </w:rPr>
      </w:pPr>
      <w:r>
        <w:br w:type="column"/>
      </w:r>
    </w:p>
    <w:p w14:paraId="214D70F8" w14:textId="77777777" w:rsidR="00AE2255" w:rsidRDefault="00AE2255">
      <w:pPr>
        <w:pStyle w:val="BodyText"/>
        <w:spacing w:before="2"/>
        <w:rPr>
          <w:b/>
          <w:sz w:val="17"/>
        </w:rPr>
      </w:pPr>
    </w:p>
    <w:p w14:paraId="32F3A194" w14:textId="77777777" w:rsidR="00AE2255" w:rsidRDefault="00000000">
      <w:pPr>
        <w:pStyle w:val="Heading2"/>
        <w:spacing w:line="208" w:lineRule="auto"/>
        <w:ind w:left="162" w:hanging="1"/>
        <w:jc w:val="center"/>
      </w:pPr>
      <w:r>
        <w:rPr>
          <w:spacing w:val="-2"/>
        </w:rPr>
        <w:t>Total Stockholders’ Equity</w:t>
      </w:r>
    </w:p>
    <w:p w14:paraId="478A692E" w14:textId="77777777" w:rsidR="00AE2255" w:rsidRDefault="00000000">
      <w:pPr>
        <w:rPr>
          <w:b/>
        </w:rPr>
      </w:pPr>
      <w:r>
        <w:br w:type="column"/>
      </w:r>
    </w:p>
    <w:p w14:paraId="23F1EF51" w14:textId="77777777" w:rsidR="00AE2255" w:rsidRDefault="00AE2255">
      <w:pPr>
        <w:pStyle w:val="BodyText"/>
        <w:spacing w:before="2"/>
        <w:rPr>
          <w:b/>
          <w:sz w:val="17"/>
        </w:rPr>
      </w:pPr>
    </w:p>
    <w:p w14:paraId="1376B598" w14:textId="77777777" w:rsidR="00AE2255" w:rsidRDefault="00000000">
      <w:pPr>
        <w:pStyle w:val="Heading2"/>
        <w:spacing w:line="208" w:lineRule="auto"/>
        <w:ind w:left="278" w:hanging="164"/>
      </w:pPr>
      <w:r>
        <w:rPr>
          <w:spacing w:val="-2"/>
        </w:rPr>
        <w:t xml:space="preserve">Noncontrolling </w:t>
      </w:r>
      <w:r>
        <w:t xml:space="preserve">Interests in </w:t>
      </w:r>
      <w:r>
        <w:rPr>
          <w:spacing w:val="-2"/>
        </w:rPr>
        <w:t>Subsidiary</w:t>
      </w:r>
    </w:p>
    <w:p w14:paraId="4C21406A" w14:textId="77777777" w:rsidR="00AE2255" w:rsidRDefault="00000000">
      <w:pPr>
        <w:rPr>
          <w:b/>
        </w:rPr>
      </w:pPr>
      <w:r>
        <w:br w:type="column"/>
      </w:r>
    </w:p>
    <w:p w14:paraId="32B10531" w14:textId="77777777" w:rsidR="00AE2255" w:rsidRDefault="00AE2255">
      <w:pPr>
        <w:pStyle w:val="BodyText"/>
        <w:rPr>
          <w:b/>
          <w:sz w:val="22"/>
        </w:rPr>
      </w:pPr>
    </w:p>
    <w:p w14:paraId="4C20E4BE" w14:textId="77777777" w:rsidR="00AE2255" w:rsidRDefault="00000000">
      <w:pPr>
        <w:pStyle w:val="Heading2"/>
        <w:spacing w:before="145" w:line="208" w:lineRule="auto"/>
        <w:ind w:left="122" w:right="312" w:firstLine="61"/>
      </w:pPr>
      <w:r>
        <w:rPr>
          <w:spacing w:val="-2"/>
        </w:rPr>
        <w:t>Total Equity</w:t>
      </w:r>
    </w:p>
    <w:p w14:paraId="24F432DA" w14:textId="77777777" w:rsidR="00AE2255" w:rsidRDefault="00AE2255">
      <w:pPr>
        <w:spacing w:line="208" w:lineRule="auto"/>
        <w:sectPr w:rsidR="00AE2255">
          <w:type w:val="continuous"/>
          <w:pgSz w:w="12240" w:h="15840"/>
          <w:pgMar w:top="440" w:right="560" w:bottom="280" w:left="380" w:header="230" w:footer="531" w:gutter="0"/>
          <w:cols w:num="7" w:space="720" w:equalWidth="0">
            <w:col w:w="3952" w:space="40"/>
            <w:col w:w="1012" w:space="39"/>
            <w:col w:w="891" w:space="39"/>
            <w:col w:w="1443" w:space="40"/>
            <w:col w:w="1340" w:space="40"/>
            <w:col w:w="1403" w:space="40"/>
            <w:col w:w="1021"/>
          </w:cols>
        </w:sectPr>
      </w:pPr>
    </w:p>
    <w:p w14:paraId="474FA944" w14:textId="77777777" w:rsidR="00AE2255" w:rsidRDefault="00AE2255">
      <w:pPr>
        <w:pStyle w:val="BodyText"/>
        <w:spacing w:before="1"/>
        <w:rPr>
          <w:b/>
          <w:sz w:val="3"/>
        </w:rPr>
      </w:pPr>
    </w:p>
    <w:tbl>
      <w:tblPr>
        <w:tblW w:w="0" w:type="auto"/>
        <w:tblInd w:w="617" w:type="dxa"/>
        <w:tblLayout w:type="fixed"/>
        <w:tblCellMar>
          <w:left w:w="0" w:type="dxa"/>
          <w:right w:w="0" w:type="dxa"/>
        </w:tblCellMar>
        <w:tblLook w:val="01E0" w:firstRow="1" w:lastRow="1" w:firstColumn="1" w:lastColumn="1" w:noHBand="0" w:noVBand="0"/>
      </w:tblPr>
      <w:tblGrid>
        <w:gridCol w:w="2424"/>
        <w:gridCol w:w="1014"/>
        <w:gridCol w:w="974"/>
        <w:gridCol w:w="1334"/>
        <w:gridCol w:w="1011"/>
        <w:gridCol w:w="1446"/>
        <w:gridCol w:w="1371"/>
        <w:gridCol w:w="887"/>
      </w:tblGrid>
      <w:tr w:rsidR="00AE2255" w14:paraId="53FD8355" w14:textId="77777777">
        <w:trPr>
          <w:trHeight w:val="245"/>
        </w:trPr>
        <w:tc>
          <w:tcPr>
            <w:tcW w:w="2424" w:type="dxa"/>
            <w:tcBorders>
              <w:top w:val="single" w:sz="8" w:space="0" w:color="CCEDFF"/>
            </w:tcBorders>
            <w:shd w:val="clear" w:color="auto" w:fill="CCEDFF"/>
          </w:tcPr>
          <w:p w14:paraId="561D67E6" w14:textId="77777777" w:rsidR="00AE2255" w:rsidRDefault="00000000">
            <w:pPr>
              <w:pStyle w:val="TableParagraph"/>
              <w:spacing w:before="21" w:line="203" w:lineRule="exact"/>
              <w:ind w:left="52"/>
              <w:jc w:val="left"/>
              <w:rPr>
                <w:sz w:val="18"/>
              </w:rPr>
            </w:pPr>
            <w:r>
              <w:rPr>
                <w:sz w:val="18"/>
              </w:rPr>
              <w:t>Balance</w:t>
            </w:r>
            <w:r>
              <w:rPr>
                <w:spacing w:val="-1"/>
                <w:sz w:val="18"/>
              </w:rPr>
              <w:t xml:space="preserve"> </w:t>
            </w:r>
            <w:proofErr w:type="gramStart"/>
            <w:r>
              <w:rPr>
                <w:sz w:val="18"/>
              </w:rPr>
              <w:t>at</w:t>
            </w:r>
            <w:proofErr w:type="gramEnd"/>
            <w:r>
              <w:rPr>
                <w:sz w:val="18"/>
              </w:rPr>
              <w:t xml:space="preserve"> December 31, </w:t>
            </w:r>
            <w:r>
              <w:rPr>
                <w:spacing w:val="-4"/>
                <w:sz w:val="18"/>
              </w:rPr>
              <w:t>2019</w:t>
            </w:r>
          </w:p>
        </w:tc>
        <w:tc>
          <w:tcPr>
            <w:tcW w:w="1014" w:type="dxa"/>
            <w:tcBorders>
              <w:top w:val="single" w:sz="8" w:space="0" w:color="CCEDFF"/>
            </w:tcBorders>
            <w:shd w:val="clear" w:color="auto" w:fill="CCEDFF"/>
          </w:tcPr>
          <w:p w14:paraId="4127C65C" w14:textId="77777777" w:rsidR="00AE2255" w:rsidRDefault="00000000">
            <w:pPr>
              <w:pStyle w:val="TableParagraph"/>
              <w:tabs>
                <w:tab w:val="left" w:pos="547"/>
              </w:tabs>
              <w:spacing w:before="8"/>
              <w:ind w:right="90"/>
              <w:rPr>
                <w:sz w:val="18"/>
              </w:rPr>
            </w:pPr>
            <w:r>
              <w:rPr>
                <w:spacing w:val="-10"/>
                <w:sz w:val="18"/>
              </w:rPr>
              <w:t>$</w:t>
            </w:r>
            <w:r>
              <w:rPr>
                <w:sz w:val="18"/>
              </w:rPr>
              <w:tab/>
            </w:r>
            <w:r>
              <w:rPr>
                <w:spacing w:val="-5"/>
                <w:sz w:val="18"/>
              </w:rPr>
              <w:t>280</w:t>
            </w:r>
          </w:p>
        </w:tc>
        <w:tc>
          <w:tcPr>
            <w:tcW w:w="974" w:type="dxa"/>
            <w:tcBorders>
              <w:top w:val="single" w:sz="8" w:space="0" w:color="CCEDFF"/>
            </w:tcBorders>
            <w:shd w:val="clear" w:color="auto" w:fill="CCEDFF"/>
          </w:tcPr>
          <w:p w14:paraId="2DF18F2A" w14:textId="77777777" w:rsidR="00AE2255" w:rsidRDefault="00000000">
            <w:pPr>
              <w:pStyle w:val="TableParagraph"/>
              <w:tabs>
                <w:tab w:val="left" w:pos="607"/>
              </w:tabs>
              <w:spacing w:before="8"/>
              <w:ind w:right="149"/>
              <w:rPr>
                <w:sz w:val="18"/>
              </w:rPr>
            </w:pPr>
            <w:r>
              <w:rPr>
                <w:spacing w:val="-10"/>
                <w:sz w:val="18"/>
              </w:rPr>
              <w:t>$</w:t>
            </w:r>
            <w:r>
              <w:rPr>
                <w:sz w:val="18"/>
              </w:rPr>
              <w:tab/>
            </w:r>
            <w:r>
              <w:rPr>
                <w:spacing w:val="-10"/>
                <w:sz w:val="18"/>
              </w:rPr>
              <w:t>—</w:t>
            </w:r>
          </w:p>
        </w:tc>
        <w:tc>
          <w:tcPr>
            <w:tcW w:w="1334" w:type="dxa"/>
            <w:tcBorders>
              <w:top w:val="single" w:sz="8" w:space="0" w:color="CCEDFF"/>
            </w:tcBorders>
            <w:shd w:val="clear" w:color="auto" w:fill="CCEDFF"/>
          </w:tcPr>
          <w:p w14:paraId="270E0CA2" w14:textId="77777777" w:rsidR="00AE2255" w:rsidRDefault="00000000">
            <w:pPr>
              <w:pStyle w:val="TableParagraph"/>
              <w:tabs>
                <w:tab w:val="left" w:pos="433"/>
              </w:tabs>
              <w:spacing w:before="8"/>
              <w:ind w:left="95"/>
              <w:jc w:val="left"/>
              <w:rPr>
                <w:sz w:val="18"/>
              </w:rPr>
            </w:pPr>
            <w:r>
              <w:rPr>
                <w:spacing w:val="-10"/>
                <w:sz w:val="18"/>
              </w:rPr>
              <w:t>$</w:t>
            </w:r>
            <w:r>
              <w:rPr>
                <w:sz w:val="18"/>
              </w:rPr>
              <w:tab/>
              <w:t>18,401</w:t>
            </w:r>
            <w:r>
              <w:rPr>
                <w:spacing w:val="59"/>
                <w:w w:val="150"/>
                <w:sz w:val="18"/>
              </w:rPr>
              <w:t xml:space="preserve"> </w:t>
            </w:r>
            <w:r>
              <w:rPr>
                <w:spacing w:val="-10"/>
                <w:sz w:val="18"/>
              </w:rPr>
              <w:t>$</w:t>
            </w:r>
          </w:p>
        </w:tc>
        <w:tc>
          <w:tcPr>
            <w:tcW w:w="1011" w:type="dxa"/>
            <w:tcBorders>
              <w:top w:val="single" w:sz="8" w:space="0" w:color="CCEDFF"/>
            </w:tcBorders>
            <w:shd w:val="clear" w:color="auto" w:fill="CCEDFF"/>
          </w:tcPr>
          <w:p w14:paraId="61077C8A" w14:textId="77777777" w:rsidR="00AE2255" w:rsidRDefault="00000000">
            <w:pPr>
              <w:pStyle w:val="TableParagraph"/>
              <w:spacing w:before="8"/>
              <w:ind w:right="199"/>
              <w:rPr>
                <w:sz w:val="18"/>
              </w:rPr>
            </w:pPr>
            <w:r>
              <w:rPr>
                <w:spacing w:val="-2"/>
                <w:sz w:val="18"/>
              </w:rPr>
              <w:t>(15,554)</w:t>
            </w:r>
          </w:p>
        </w:tc>
        <w:tc>
          <w:tcPr>
            <w:tcW w:w="1446" w:type="dxa"/>
            <w:tcBorders>
              <w:top w:val="single" w:sz="8" w:space="0" w:color="CCEDFF"/>
            </w:tcBorders>
            <w:shd w:val="clear" w:color="auto" w:fill="CCEDFF"/>
          </w:tcPr>
          <w:p w14:paraId="7741A43A" w14:textId="77777777" w:rsidR="00AE2255" w:rsidRDefault="00000000">
            <w:pPr>
              <w:pStyle w:val="TableParagraph"/>
              <w:tabs>
                <w:tab w:val="left" w:pos="652"/>
              </w:tabs>
              <w:spacing w:before="8"/>
              <w:ind w:right="175"/>
              <w:rPr>
                <w:sz w:val="18"/>
              </w:rPr>
            </w:pPr>
            <w:r>
              <w:rPr>
                <w:spacing w:val="-10"/>
                <w:sz w:val="18"/>
              </w:rPr>
              <w:t>$</w:t>
            </w:r>
            <w:r>
              <w:rPr>
                <w:sz w:val="18"/>
              </w:rPr>
              <w:tab/>
            </w:r>
            <w:r>
              <w:rPr>
                <w:spacing w:val="-2"/>
                <w:sz w:val="18"/>
              </w:rPr>
              <w:t>3,127</w:t>
            </w:r>
          </w:p>
        </w:tc>
        <w:tc>
          <w:tcPr>
            <w:tcW w:w="1371" w:type="dxa"/>
            <w:tcBorders>
              <w:top w:val="single" w:sz="8" w:space="0" w:color="CCEDFF"/>
            </w:tcBorders>
            <w:shd w:val="clear" w:color="auto" w:fill="CCEDFF"/>
          </w:tcPr>
          <w:p w14:paraId="2C464D11" w14:textId="77777777" w:rsidR="00AE2255" w:rsidRDefault="00000000">
            <w:pPr>
              <w:pStyle w:val="TableParagraph"/>
              <w:tabs>
                <w:tab w:val="left" w:pos="976"/>
              </w:tabs>
              <w:spacing w:before="8"/>
              <w:ind w:left="129"/>
              <w:jc w:val="left"/>
              <w:rPr>
                <w:sz w:val="18"/>
              </w:rPr>
            </w:pPr>
            <w:r>
              <w:rPr>
                <w:spacing w:val="-10"/>
                <w:sz w:val="18"/>
              </w:rPr>
              <w:t>$</w:t>
            </w:r>
            <w:r>
              <w:rPr>
                <w:sz w:val="18"/>
              </w:rPr>
              <w:tab/>
            </w:r>
            <w:r>
              <w:rPr>
                <w:spacing w:val="-5"/>
                <w:sz w:val="18"/>
              </w:rPr>
              <w:t>44</w:t>
            </w:r>
          </w:p>
        </w:tc>
        <w:tc>
          <w:tcPr>
            <w:tcW w:w="887" w:type="dxa"/>
            <w:tcBorders>
              <w:top w:val="single" w:sz="8" w:space="0" w:color="CCEDFF"/>
            </w:tcBorders>
            <w:shd w:val="clear" w:color="auto" w:fill="CCEDFF"/>
          </w:tcPr>
          <w:p w14:paraId="200752BB" w14:textId="77777777" w:rsidR="00AE2255" w:rsidRDefault="00000000">
            <w:pPr>
              <w:pStyle w:val="TableParagraph"/>
              <w:spacing w:before="8"/>
              <w:ind w:left="168"/>
              <w:jc w:val="left"/>
              <w:rPr>
                <w:sz w:val="18"/>
              </w:rPr>
            </w:pPr>
            <w:proofErr w:type="gramStart"/>
            <w:r>
              <w:rPr>
                <w:sz w:val="18"/>
              </w:rPr>
              <w:t>$</w:t>
            </w:r>
            <w:r>
              <w:rPr>
                <w:spacing w:val="33"/>
                <w:sz w:val="18"/>
              </w:rPr>
              <w:t xml:space="preserve">  </w:t>
            </w:r>
            <w:r>
              <w:rPr>
                <w:spacing w:val="-2"/>
                <w:sz w:val="18"/>
              </w:rPr>
              <w:t>3,171</w:t>
            </w:r>
            <w:proofErr w:type="gramEnd"/>
          </w:p>
        </w:tc>
      </w:tr>
      <w:tr w:rsidR="00AE2255" w14:paraId="28550A79" w14:textId="77777777">
        <w:trPr>
          <w:trHeight w:val="255"/>
        </w:trPr>
        <w:tc>
          <w:tcPr>
            <w:tcW w:w="2424" w:type="dxa"/>
          </w:tcPr>
          <w:p w14:paraId="3FA444F2" w14:textId="77777777" w:rsidR="00AE2255" w:rsidRDefault="00000000">
            <w:pPr>
              <w:pStyle w:val="TableParagraph"/>
              <w:spacing w:before="31" w:line="203" w:lineRule="exact"/>
              <w:ind w:left="52"/>
              <w:jc w:val="left"/>
              <w:rPr>
                <w:sz w:val="18"/>
              </w:rPr>
            </w:pPr>
            <w:r>
              <w:rPr>
                <w:sz w:val="18"/>
              </w:rPr>
              <w:t>Net</w:t>
            </w:r>
            <w:r>
              <w:rPr>
                <w:spacing w:val="-1"/>
                <w:sz w:val="18"/>
              </w:rPr>
              <w:t xml:space="preserve"> </w:t>
            </w:r>
            <w:r>
              <w:rPr>
                <w:spacing w:val="-2"/>
                <w:sz w:val="18"/>
              </w:rPr>
              <w:t>earnings</w:t>
            </w:r>
          </w:p>
        </w:tc>
        <w:tc>
          <w:tcPr>
            <w:tcW w:w="1014" w:type="dxa"/>
          </w:tcPr>
          <w:p w14:paraId="1BF5D56D" w14:textId="77777777" w:rsidR="00AE2255" w:rsidRDefault="00000000">
            <w:pPr>
              <w:pStyle w:val="TableParagraph"/>
              <w:spacing w:before="18"/>
              <w:ind w:right="90"/>
              <w:rPr>
                <w:sz w:val="18"/>
              </w:rPr>
            </w:pPr>
            <w:r>
              <w:rPr>
                <w:sz w:val="18"/>
              </w:rPr>
              <w:t>—</w:t>
            </w:r>
          </w:p>
        </w:tc>
        <w:tc>
          <w:tcPr>
            <w:tcW w:w="974" w:type="dxa"/>
          </w:tcPr>
          <w:p w14:paraId="41098473" w14:textId="77777777" w:rsidR="00AE2255" w:rsidRDefault="00000000">
            <w:pPr>
              <w:pStyle w:val="TableParagraph"/>
              <w:spacing w:before="18"/>
              <w:ind w:right="149"/>
              <w:rPr>
                <w:sz w:val="18"/>
              </w:rPr>
            </w:pPr>
            <w:r>
              <w:rPr>
                <w:sz w:val="18"/>
              </w:rPr>
              <w:t>—</w:t>
            </w:r>
          </w:p>
        </w:tc>
        <w:tc>
          <w:tcPr>
            <w:tcW w:w="1334" w:type="dxa"/>
          </w:tcPr>
          <w:p w14:paraId="252AFF0E" w14:textId="77777777" w:rsidR="00AE2255" w:rsidRDefault="00000000">
            <w:pPr>
              <w:pStyle w:val="TableParagraph"/>
              <w:spacing w:before="18"/>
              <w:ind w:left="523"/>
              <w:jc w:val="left"/>
              <w:rPr>
                <w:sz w:val="18"/>
              </w:rPr>
            </w:pPr>
            <w:r>
              <w:rPr>
                <w:spacing w:val="-2"/>
                <w:sz w:val="18"/>
              </w:rPr>
              <w:t>6,833</w:t>
            </w:r>
          </w:p>
        </w:tc>
        <w:tc>
          <w:tcPr>
            <w:tcW w:w="1011" w:type="dxa"/>
          </w:tcPr>
          <w:p w14:paraId="7D87764D" w14:textId="77777777" w:rsidR="00AE2255" w:rsidRDefault="00000000">
            <w:pPr>
              <w:pStyle w:val="TableParagraph"/>
              <w:spacing w:before="18"/>
              <w:ind w:right="259"/>
              <w:rPr>
                <w:sz w:val="18"/>
              </w:rPr>
            </w:pPr>
            <w:r>
              <w:rPr>
                <w:sz w:val="18"/>
              </w:rPr>
              <w:t>—</w:t>
            </w:r>
          </w:p>
        </w:tc>
        <w:tc>
          <w:tcPr>
            <w:tcW w:w="1446" w:type="dxa"/>
          </w:tcPr>
          <w:p w14:paraId="50D26D58" w14:textId="77777777" w:rsidR="00AE2255" w:rsidRDefault="00000000">
            <w:pPr>
              <w:pStyle w:val="TableParagraph"/>
              <w:spacing w:before="18"/>
              <w:ind w:right="175"/>
              <w:rPr>
                <w:sz w:val="18"/>
              </w:rPr>
            </w:pPr>
            <w:r>
              <w:rPr>
                <w:spacing w:val="-2"/>
                <w:sz w:val="18"/>
              </w:rPr>
              <w:t>6,833</w:t>
            </w:r>
          </w:p>
        </w:tc>
        <w:tc>
          <w:tcPr>
            <w:tcW w:w="1371" w:type="dxa"/>
          </w:tcPr>
          <w:p w14:paraId="33B9AF19" w14:textId="77777777" w:rsidR="00AE2255" w:rsidRDefault="00000000">
            <w:pPr>
              <w:pStyle w:val="TableParagraph"/>
              <w:spacing w:before="18"/>
              <w:ind w:right="211"/>
              <w:rPr>
                <w:sz w:val="18"/>
              </w:rPr>
            </w:pPr>
            <w:r>
              <w:rPr>
                <w:sz w:val="18"/>
              </w:rPr>
              <w:t>—</w:t>
            </w:r>
          </w:p>
        </w:tc>
        <w:tc>
          <w:tcPr>
            <w:tcW w:w="887" w:type="dxa"/>
          </w:tcPr>
          <w:p w14:paraId="757F1BA9" w14:textId="77777777" w:rsidR="00AE2255" w:rsidRDefault="00000000">
            <w:pPr>
              <w:pStyle w:val="TableParagraph"/>
              <w:spacing w:before="18"/>
              <w:ind w:right="63"/>
              <w:rPr>
                <w:sz w:val="18"/>
              </w:rPr>
            </w:pPr>
            <w:r>
              <w:rPr>
                <w:spacing w:val="-2"/>
                <w:sz w:val="18"/>
              </w:rPr>
              <w:t>6,833</w:t>
            </w:r>
          </w:p>
        </w:tc>
      </w:tr>
      <w:tr w:rsidR="00AE2255" w14:paraId="2874FFC6" w14:textId="77777777">
        <w:trPr>
          <w:trHeight w:val="420"/>
        </w:trPr>
        <w:tc>
          <w:tcPr>
            <w:tcW w:w="2424" w:type="dxa"/>
            <w:shd w:val="clear" w:color="auto" w:fill="CCEDFF"/>
          </w:tcPr>
          <w:p w14:paraId="617F82F8" w14:textId="77777777" w:rsidR="00AE2255" w:rsidRDefault="00000000">
            <w:pPr>
              <w:pStyle w:val="TableParagraph"/>
              <w:spacing w:before="40" w:line="180" w:lineRule="exact"/>
              <w:ind w:left="232" w:right="96" w:hanging="180"/>
              <w:jc w:val="left"/>
              <w:rPr>
                <w:sz w:val="18"/>
              </w:rPr>
            </w:pPr>
            <w:r>
              <w:rPr>
                <w:sz w:val="18"/>
              </w:rPr>
              <w:t>Other</w:t>
            </w:r>
            <w:r>
              <w:rPr>
                <w:spacing w:val="-12"/>
                <w:sz w:val="18"/>
              </w:rPr>
              <w:t xml:space="preserve"> </w:t>
            </w:r>
            <w:r>
              <w:rPr>
                <w:sz w:val="18"/>
              </w:rPr>
              <w:t>comprehensive</w:t>
            </w:r>
            <w:r>
              <w:rPr>
                <w:spacing w:val="-11"/>
                <w:sz w:val="18"/>
              </w:rPr>
              <w:t xml:space="preserve"> </w:t>
            </w:r>
            <w:r>
              <w:rPr>
                <w:sz w:val="18"/>
              </w:rPr>
              <w:t>loss,</w:t>
            </w:r>
            <w:r>
              <w:rPr>
                <w:spacing w:val="-11"/>
                <w:sz w:val="18"/>
              </w:rPr>
              <w:t xml:space="preserve"> </w:t>
            </w:r>
            <w:r>
              <w:rPr>
                <w:sz w:val="18"/>
              </w:rPr>
              <w:t>net of tax</w:t>
            </w:r>
          </w:p>
        </w:tc>
        <w:tc>
          <w:tcPr>
            <w:tcW w:w="1014" w:type="dxa"/>
            <w:shd w:val="clear" w:color="auto" w:fill="CCEDFF"/>
          </w:tcPr>
          <w:p w14:paraId="73D05B14" w14:textId="77777777" w:rsidR="00AE2255" w:rsidRDefault="00AE2255">
            <w:pPr>
              <w:pStyle w:val="TableParagraph"/>
              <w:spacing w:before="10"/>
              <w:jc w:val="left"/>
              <w:rPr>
                <w:b/>
                <w:sz w:val="15"/>
              </w:rPr>
            </w:pPr>
          </w:p>
          <w:p w14:paraId="1B42F931" w14:textId="77777777" w:rsidR="00AE2255" w:rsidRDefault="00000000">
            <w:pPr>
              <w:pStyle w:val="TableParagraph"/>
              <w:spacing w:before="0"/>
              <w:ind w:right="90"/>
              <w:rPr>
                <w:sz w:val="18"/>
              </w:rPr>
            </w:pPr>
            <w:r>
              <w:rPr>
                <w:sz w:val="18"/>
              </w:rPr>
              <w:t>—</w:t>
            </w:r>
          </w:p>
        </w:tc>
        <w:tc>
          <w:tcPr>
            <w:tcW w:w="974" w:type="dxa"/>
            <w:shd w:val="clear" w:color="auto" w:fill="CCEDFF"/>
          </w:tcPr>
          <w:p w14:paraId="735E8811" w14:textId="77777777" w:rsidR="00AE2255" w:rsidRDefault="00AE2255">
            <w:pPr>
              <w:pStyle w:val="TableParagraph"/>
              <w:spacing w:before="10"/>
              <w:jc w:val="left"/>
              <w:rPr>
                <w:b/>
                <w:sz w:val="15"/>
              </w:rPr>
            </w:pPr>
          </w:p>
          <w:p w14:paraId="0C96E805" w14:textId="77777777" w:rsidR="00AE2255" w:rsidRDefault="00000000">
            <w:pPr>
              <w:pStyle w:val="TableParagraph"/>
              <w:spacing w:before="0"/>
              <w:ind w:right="149"/>
              <w:rPr>
                <w:sz w:val="18"/>
              </w:rPr>
            </w:pPr>
            <w:r>
              <w:rPr>
                <w:sz w:val="18"/>
              </w:rPr>
              <w:t>—</w:t>
            </w:r>
          </w:p>
        </w:tc>
        <w:tc>
          <w:tcPr>
            <w:tcW w:w="1334" w:type="dxa"/>
            <w:shd w:val="clear" w:color="auto" w:fill="CCEDFF"/>
          </w:tcPr>
          <w:p w14:paraId="144FB467" w14:textId="77777777" w:rsidR="00AE2255" w:rsidRDefault="00AE2255">
            <w:pPr>
              <w:pStyle w:val="TableParagraph"/>
              <w:spacing w:before="10"/>
              <w:jc w:val="left"/>
              <w:rPr>
                <w:b/>
                <w:sz w:val="15"/>
              </w:rPr>
            </w:pPr>
          </w:p>
          <w:p w14:paraId="50C889D1" w14:textId="77777777" w:rsidR="00AE2255" w:rsidRDefault="00000000">
            <w:pPr>
              <w:pStyle w:val="TableParagraph"/>
              <w:spacing w:before="0"/>
              <w:ind w:left="748"/>
              <w:jc w:val="left"/>
              <w:rPr>
                <w:sz w:val="18"/>
              </w:rPr>
            </w:pPr>
            <w:r>
              <w:rPr>
                <w:sz w:val="18"/>
              </w:rPr>
              <w:t>—</w:t>
            </w:r>
          </w:p>
        </w:tc>
        <w:tc>
          <w:tcPr>
            <w:tcW w:w="1011" w:type="dxa"/>
            <w:shd w:val="clear" w:color="auto" w:fill="CCEDFF"/>
          </w:tcPr>
          <w:p w14:paraId="385BEBD2" w14:textId="77777777" w:rsidR="00AE2255" w:rsidRDefault="00AE2255">
            <w:pPr>
              <w:pStyle w:val="TableParagraph"/>
              <w:spacing w:before="10"/>
              <w:jc w:val="left"/>
              <w:rPr>
                <w:b/>
                <w:sz w:val="15"/>
              </w:rPr>
            </w:pPr>
          </w:p>
          <w:p w14:paraId="3972A969" w14:textId="77777777" w:rsidR="00AE2255" w:rsidRDefault="00000000">
            <w:pPr>
              <w:pStyle w:val="TableParagraph"/>
              <w:spacing w:before="0"/>
              <w:ind w:right="199"/>
              <w:rPr>
                <w:sz w:val="18"/>
              </w:rPr>
            </w:pPr>
            <w:r>
              <w:rPr>
                <w:spacing w:val="-2"/>
                <w:sz w:val="18"/>
              </w:rPr>
              <w:t>(567)</w:t>
            </w:r>
          </w:p>
        </w:tc>
        <w:tc>
          <w:tcPr>
            <w:tcW w:w="1446" w:type="dxa"/>
            <w:shd w:val="clear" w:color="auto" w:fill="CCEDFF"/>
          </w:tcPr>
          <w:p w14:paraId="7ED9FDFA" w14:textId="77777777" w:rsidR="00AE2255" w:rsidRDefault="00AE2255">
            <w:pPr>
              <w:pStyle w:val="TableParagraph"/>
              <w:spacing w:before="10"/>
              <w:jc w:val="left"/>
              <w:rPr>
                <w:b/>
                <w:sz w:val="15"/>
              </w:rPr>
            </w:pPr>
          </w:p>
          <w:p w14:paraId="0BF1620D" w14:textId="77777777" w:rsidR="00AE2255" w:rsidRDefault="00000000">
            <w:pPr>
              <w:pStyle w:val="TableParagraph"/>
              <w:spacing w:before="0"/>
              <w:ind w:right="115"/>
              <w:rPr>
                <w:sz w:val="18"/>
              </w:rPr>
            </w:pPr>
            <w:r>
              <w:rPr>
                <w:spacing w:val="-2"/>
                <w:sz w:val="18"/>
              </w:rPr>
              <w:t>(567)</w:t>
            </w:r>
          </w:p>
        </w:tc>
        <w:tc>
          <w:tcPr>
            <w:tcW w:w="1371" w:type="dxa"/>
            <w:shd w:val="clear" w:color="auto" w:fill="CCEDFF"/>
          </w:tcPr>
          <w:p w14:paraId="464B3482" w14:textId="77777777" w:rsidR="00AE2255" w:rsidRDefault="00AE2255">
            <w:pPr>
              <w:pStyle w:val="TableParagraph"/>
              <w:spacing w:before="10"/>
              <w:jc w:val="left"/>
              <w:rPr>
                <w:b/>
                <w:sz w:val="15"/>
              </w:rPr>
            </w:pPr>
          </w:p>
          <w:p w14:paraId="4E2A4A60" w14:textId="77777777" w:rsidR="00AE2255" w:rsidRDefault="00000000">
            <w:pPr>
              <w:pStyle w:val="TableParagraph"/>
              <w:spacing w:before="0"/>
              <w:ind w:right="211"/>
              <w:rPr>
                <w:sz w:val="18"/>
              </w:rPr>
            </w:pPr>
            <w:r>
              <w:rPr>
                <w:sz w:val="18"/>
              </w:rPr>
              <w:t>—</w:t>
            </w:r>
          </w:p>
        </w:tc>
        <w:tc>
          <w:tcPr>
            <w:tcW w:w="887" w:type="dxa"/>
            <w:shd w:val="clear" w:color="auto" w:fill="CCEDFF"/>
          </w:tcPr>
          <w:p w14:paraId="477414F9" w14:textId="77777777" w:rsidR="00AE2255" w:rsidRDefault="00AE2255">
            <w:pPr>
              <w:pStyle w:val="TableParagraph"/>
              <w:spacing w:before="10"/>
              <w:jc w:val="left"/>
              <w:rPr>
                <w:b/>
                <w:sz w:val="15"/>
              </w:rPr>
            </w:pPr>
          </w:p>
          <w:p w14:paraId="4B5574F7" w14:textId="77777777" w:rsidR="00AE2255" w:rsidRDefault="00000000">
            <w:pPr>
              <w:pStyle w:val="TableParagraph"/>
              <w:spacing w:before="0"/>
              <w:ind w:right="3"/>
              <w:rPr>
                <w:sz w:val="18"/>
              </w:rPr>
            </w:pPr>
            <w:r>
              <w:rPr>
                <w:spacing w:val="-2"/>
                <w:sz w:val="18"/>
              </w:rPr>
              <w:t>(567)</w:t>
            </w:r>
          </w:p>
        </w:tc>
      </w:tr>
      <w:tr w:rsidR="00AE2255" w14:paraId="4C599D8E" w14:textId="77777777">
        <w:trPr>
          <w:trHeight w:val="255"/>
        </w:trPr>
        <w:tc>
          <w:tcPr>
            <w:tcW w:w="2424" w:type="dxa"/>
          </w:tcPr>
          <w:p w14:paraId="2B8512D1" w14:textId="77777777" w:rsidR="00AE2255" w:rsidRDefault="00000000">
            <w:pPr>
              <w:pStyle w:val="TableParagraph"/>
              <w:spacing w:before="31" w:line="203" w:lineRule="exact"/>
              <w:ind w:left="52"/>
              <w:jc w:val="left"/>
              <w:rPr>
                <w:sz w:val="18"/>
              </w:rPr>
            </w:pPr>
            <w:r>
              <w:rPr>
                <w:sz w:val="18"/>
              </w:rPr>
              <w:t>Repurchases</w:t>
            </w:r>
            <w:r>
              <w:rPr>
                <w:spacing w:val="-2"/>
                <w:sz w:val="18"/>
              </w:rPr>
              <w:t xml:space="preserve"> </w:t>
            </w:r>
            <w:r>
              <w:rPr>
                <w:sz w:val="18"/>
              </w:rPr>
              <w:t xml:space="preserve">of common </w:t>
            </w:r>
            <w:r>
              <w:rPr>
                <w:spacing w:val="-2"/>
                <w:sz w:val="18"/>
              </w:rPr>
              <w:t>stock</w:t>
            </w:r>
          </w:p>
        </w:tc>
        <w:tc>
          <w:tcPr>
            <w:tcW w:w="1014" w:type="dxa"/>
          </w:tcPr>
          <w:p w14:paraId="2B2FA522" w14:textId="77777777" w:rsidR="00AE2255" w:rsidRDefault="00000000">
            <w:pPr>
              <w:pStyle w:val="TableParagraph"/>
              <w:spacing w:before="18"/>
              <w:ind w:right="30"/>
              <w:rPr>
                <w:sz w:val="18"/>
              </w:rPr>
            </w:pPr>
            <w:r>
              <w:rPr>
                <w:spacing w:val="-5"/>
                <w:sz w:val="18"/>
              </w:rPr>
              <w:t>(3)</w:t>
            </w:r>
          </w:p>
        </w:tc>
        <w:tc>
          <w:tcPr>
            <w:tcW w:w="974" w:type="dxa"/>
          </w:tcPr>
          <w:p w14:paraId="5DDECE95" w14:textId="77777777" w:rsidR="00AE2255" w:rsidRDefault="00000000">
            <w:pPr>
              <w:pStyle w:val="TableParagraph"/>
              <w:spacing w:before="18"/>
              <w:ind w:right="89"/>
              <w:rPr>
                <w:sz w:val="18"/>
              </w:rPr>
            </w:pPr>
            <w:r>
              <w:rPr>
                <w:spacing w:val="-2"/>
                <w:sz w:val="18"/>
              </w:rPr>
              <w:t>(256)</w:t>
            </w:r>
          </w:p>
        </w:tc>
        <w:tc>
          <w:tcPr>
            <w:tcW w:w="1334" w:type="dxa"/>
          </w:tcPr>
          <w:p w14:paraId="47A82409" w14:textId="77777777" w:rsidR="00AE2255" w:rsidRDefault="00000000">
            <w:pPr>
              <w:pStyle w:val="TableParagraph"/>
              <w:spacing w:before="18"/>
              <w:ind w:left="598"/>
              <w:jc w:val="left"/>
              <w:rPr>
                <w:sz w:val="18"/>
              </w:rPr>
            </w:pPr>
            <w:r>
              <w:rPr>
                <w:spacing w:val="-2"/>
                <w:sz w:val="18"/>
              </w:rPr>
              <w:t>(841)</w:t>
            </w:r>
          </w:p>
        </w:tc>
        <w:tc>
          <w:tcPr>
            <w:tcW w:w="1011" w:type="dxa"/>
          </w:tcPr>
          <w:p w14:paraId="187B5B6B" w14:textId="77777777" w:rsidR="00AE2255" w:rsidRDefault="00000000">
            <w:pPr>
              <w:pStyle w:val="TableParagraph"/>
              <w:spacing w:before="18"/>
              <w:ind w:right="259"/>
              <w:rPr>
                <w:sz w:val="18"/>
              </w:rPr>
            </w:pPr>
            <w:r>
              <w:rPr>
                <w:sz w:val="18"/>
              </w:rPr>
              <w:t>—</w:t>
            </w:r>
          </w:p>
        </w:tc>
        <w:tc>
          <w:tcPr>
            <w:tcW w:w="1446" w:type="dxa"/>
          </w:tcPr>
          <w:p w14:paraId="4F6ECBCC" w14:textId="77777777" w:rsidR="00AE2255" w:rsidRDefault="00000000">
            <w:pPr>
              <w:pStyle w:val="TableParagraph"/>
              <w:spacing w:before="18"/>
              <w:ind w:right="115"/>
              <w:rPr>
                <w:sz w:val="18"/>
              </w:rPr>
            </w:pPr>
            <w:r>
              <w:rPr>
                <w:spacing w:val="-2"/>
                <w:sz w:val="18"/>
              </w:rPr>
              <w:t>(1,100)</w:t>
            </w:r>
          </w:p>
        </w:tc>
        <w:tc>
          <w:tcPr>
            <w:tcW w:w="1371" w:type="dxa"/>
          </w:tcPr>
          <w:p w14:paraId="688D263A" w14:textId="77777777" w:rsidR="00AE2255" w:rsidRDefault="00000000">
            <w:pPr>
              <w:pStyle w:val="TableParagraph"/>
              <w:spacing w:before="18"/>
              <w:ind w:right="211"/>
              <w:rPr>
                <w:sz w:val="18"/>
              </w:rPr>
            </w:pPr>
            <w:r>
              <w:rPr>
                <w:sz w:val="18"/>
              </w:rPr>
              <w:t>—</w:t>
            </w:r>
          </w:p>
        </w:tc>
        <w:tc>
          <w:tcPr>
            <w:tcW w:w="887" w:type="dxa"/>
          </w:tcPr>
          <w:p w14:paraId="0A00661A" w14:textId="77777777" w:rsidR="00AE2255" w:rsidRDefault="00000000">
            <w:pPr>
              <w:pStyle w:val="TableParagraph"/>
              <w:spacing w:before="18"/>
              <w:ind w:right="3"/>
              <w:rPr>
                <w:sz w:val="18"/>
              </w:rPr>
            </w:pPr>
            <w:r>
              <w:rPr>
                <w:spacing w:val="-2"/>
                <w:sz w:val="18"/>
              </w:rPr>
              <w:t>(1,100)</w:t>
            </w:r>
          </w:p>
        </w:tc>
      </w:tr>
      <w:tr w:rsidR="00AE2255" w14:paraId="542A235D" w14:textId="77777777">
        <w:trPr>
          <w:trHeight w:val="420"/>
        </w:trPr>
        <w:tc>
          <w:tcPr>
            <w:tcW w:w="2424" w:type="dxa"/>
            <w:shd w:val="clear" w:color="auto" w:fill="CCEDFF"/>
          </w:tcPr>
          <w:p w14:paraId="24FE2D93" w14:textId="77777777" w:rsidR="00AE2255" w:rsidRDefault="00000000">
            <w:pPr>
              <w:pStyle w:val="TableParagraph"/>
              <w:spacing w:before="40" w:line="180" w:lineRule="exact"/>
              <w:ind w:left="232" w:hanging="180"/>
              <w:jc w:val="left"/>
              <w:rPr>
                <w:sz w:val="18"/>
              </w:rPr>
            </w:pPr>
            <w:r>
              <w:rPr>
                <w:sz w:val="18"/>
              </w:rPr>
              <w:t>Dividends</w:t>
            </w:r>
            <w:r>
              <w:rPr>
                <w:spacing w:val="-12"/>
                <w:sz w:val="18"/>
              </w:rPr>
              <w:t xml:space="preserve"> </w:t>
            </w:r>
            <w:r>
              <w:rPr>
                <w:sz w:val="18"/>
              </w:rPr>
              <w:t>declared</w:t>
            </w:r>
            <w:r>
              <w:rPr>
                <w:spacing w:val="-11"/>
                <w:sz w:val="18"/>
              </w:rPr>
              <w:t xml:space="preserve"> </w:t>
            </w:r>
            <w:r>
              <w:rPr>
                <w:sz w:val="18"/>
              </w:rPr>
              <w:t>($9.80</w:t>
            </w:r>
            <w:r>
              <w:rPr>
                <w:spacing w:val="-11"/>
                <w:sz w:val="18"/>
              </w:rPr>
              <w:t xml:space="preserve"> </w:t>
            </w:r>
            <w:r>
              <w:rPr>
                <w:sz w:val="18"/>
              </w:rPr>
              <w:t xml:space="preserve">per </w:t>
            </w:r>
            <w:r>
              <w:rPr>
                <w:spacing w:val="-2"/>
                <w:sz w:val="18"/>
              </w:rPr>
              <w:t>share)</w:t>
            </w:r>
          </w:p>
        </w:tc>
        <w:tc>
          <w:tcPr>
            <w:tcW w:w="1014" w:type="dxa"/>
            <w:shd w:val="clear" w:color="auto" w:fill="CCEDFF"/>
          </w:tcPr>
          <w:p w14:paraId="462723D6" w14:textId="77777777" w:rsidR="00AE2255" w:rsidRDefault="00AE2255">
            <w:pPr>
              <w:pStyle w:val="TableParagraph"/>
              <w:spacing w:before="10"/>
              <w:jc w:val="left"/>
              <w:rPr>
                <w:b/>
                <w:sz w:val="15"/>
              </w:rPr>
            </w:pPr>
          </w:p>
          <w:p w14:paraId="6696B4DD" w14:textId="77777777" w:rsidR="00AE2255" w:rsidRDefault="00000000">
            <w:pPr>
              <w:pStyle w:val="TableParagraph"/>
              <w:spacing w:before="0"/>
              <w:ind w:right="90"/>
              <w:rPr>
                <w:sz w:val="18"/>
              </w:rPr>
            </w:pPr>
            <w:r>
              <w:rPr>
                <w:sz w:val="18"/>
              </w:rPr>
              <w:t>—</w:t>
            </w:r>
          </w:p>
        </w:tc>
        <w:tc>
          <w:tcPr>
            <w:tcW w:w="974" w:type="dxa"/>
            <w:shd w:val="clear" w:color="auto" w:fill="CCEDFF"/>
          </w:tcPr>
          <w:p w14:paraId="3EA5603F" w14:textId="77777777" w:rsidR="00AE2255" w:rsidRDefault="00AE2255">
            <w:pPr>
              <w:pStyle w:val="TableParagraph"/>
              <w:spacing w:before="10"/>
              <w:jc w:val="left"/>
              <w:rPr>
                <w:b/>
                <w:sz w:val="15"/>
              </w:rPr>
            </w:pPr>
          </w:p>
          <w:p w14:paraId="696A222F" w14:textId="77777777" w:rsidR="00AE2255" w:rsidRDefault="00000000">
            <w:pPr>
              <w:pStyle w:val="TableParagraph"/>
              <w:spacing w:before="0"/>
              <w:ind w:right="149"/>
              <w:rPr>
                <w:sz w:val="18"/>
              </w:rPr>
            </w:pPr>
            <w:r>
              <w:rPr>
                <w:sz w:val="18"/>
              </w:rPr>
              <w:t>—</w:t>
            </w:r>
          </w:p>
        </w:tc>
        <w:tc>
          <w:tcPr>
            <w:tcW w:w="1334" w:type="dxa"/>
            <w:shd w:val="clear" w:color="auto" w:fill="CCEDFF"/>
          </w:tcPr>
          <w:p w14:paraId="27AE41FD" w14:textId="77777777" w:rsidR="00AE2255" w:rsidRDefault="00AE2255">
            <w:pPr>
              <w:pStyle w:val="TableParagraph"/>
              <w:spacing w:before="10"/>
              <w:jc w:val="left"/>
              <w:rPr>
                <w:b/>
                <w:sz w:val="15"/>
              </w:rPr>
            </w:pPr>
          </w:p>
          <w:p w14:paraId="63264360" w14:textId="77777777" w:rsidR="00AE2255" w:rsidRDefault="00000000">
            <w:pPr>
              <w:pStyle w:val="TableParagraph"/>
              <w:spacing w:before="0"/>
              <w:ind w:left="463"/>
              <w:jc w:val="left"/>
              <w:rPr>
                <w:sz w:val="18"/>
              </w:rPr>
            </w:pPr>
            <w:r>
              <w:rPr>
                <w:spacing w:val="-2"/>
                <w:sz w:val="18"/>
              </w:rPr>
              <w:t>(2,757)</w:t>
            </w:r>
          </w:p>
        </w:tc>
        <w:tc>
          <w:tcPr>
            <w:tcW w:w="1011" w:type="dxa"/>
            <w:shd w:val="clear" w:color="auto" w:fill="CCEDFF"/>
          </w:tcPr>
          <w:p w14:paraId="4DF3AA1E" w14:textId="77777777" w:rsidR="00AE2255" w:rsidRDefault="00AE2255">
            <w:pPr>
              <w:pStyle w:val="TableParagraph"/>
              <w:spacing w:before="10"/>
              <w:jc w:val="left"/>
              <w:rPr>
                <w:b/>
                <w:sz w:val="15"/>
              </w:rPr>
            </w:pPr>
          </w:p>
          <w:p w14:paraId="17D21E7D" w14:textId="77777777" w:rsidR="00AE2255" w:rsidRDefault="00000000">
            <w:pPr>
              <w:pStyle w:val="TableParagraph"/>
              <w:spacing w:before="0"/>
              <w:ind w:right="259"/>
              <w:rPr>
                <w:sz w:val="18"/>
              </w:rPr>
            </w:pPr>
            <w:r>
              <w:rPr>
                <w:sz w:val="18"/>
              </w:rPr>
              <w:t>—</w:t>
            </w:r>
          </w:p>
        </w:tc>
        <w:tc>
          <w:tcPr>
            <w:tcW w:w="1446" w:type="dxa"/>
            <w:shd w:val="clear" w:color="auto" w:fill="CCEDFF"/>
          </w:tcPr>
          <w:p w14:paraId="72E84FDD" w14:textId="77777777" w:rsidR="00AE2255" w:rsidRDefault="00AE2255">
            <w:pPr>
              <w:pStyle w:val="TableParagraph"/>
              <w:spacing w:before="10"/>
              <w:jc w:val="left"/>
              <w:rPr>
                <w:b/>
                <w:sz w:val="15"/>
              </w:rPr>
            </w:pPr>
          </w:p>
          <w:p w14:paraId="554CC2CD" w14:textId="77777777" w:rsidR="00AE2255" w:rsidRDefault="00000000">
            <w:pPr>
              <w:pStyle w:val="TableParagraph"/>
              <w:spacing w:before="0"/>
              <w:ind w:right="115"/>
              <w:rPr>
                <w:sz w:val="18"/>
              </w:rPr>
            </w:pPr>
            <w:r>
              <w:rPr>
                <w:spacing w:val="-2"/>
                <w:sz w:val="18"/>
              </w:rPr>
              <w:t>(2,757)</w:t>
            </w:r>
          </w:p>
        </w:tc>
        <w:tc>
          <w:tcPr>
            <w:tcW w:w="1371" w:type="dxa"/>
            <w:shd w:val="clear" w:color="auto" w:fill="CCEDFF"/>
          </w:tcPr>
          <w:p w14:paraId="7CDA1380" w14:textId="77777777" w:rsidR="00AE2255" w:rsidRDefault="00AE2255">
            <w:pPr>
              <w:pStyle w:val="TableParagraph"/>
              <w:spacing w:before="10"/>
              <w:jc w:val="left"/>
              <w:rPr>
                <w:b/>
                <w:sz w:val="15"/>
              </w:rPr>
            </w:pPr>
          </w:p>
          <w:p w14:paraId="552B1E51" w14:textId="77777777" w:rsidR="00AE2255" w:rsidRDefault="00000000">
            <w:pPr>
              <w:pStyle w:val="TableParagraph"/>
              <w:spacing w:before="0"/>
              <w:ind w:right="211"/>
              <w:rPr>
                <w:sz w:val="18"/>
              </w:rPr>
            </w:pPr>
            <w:r>
              <w:rPr>
                <w:sz w:val="18"/>
              </w:rPr>
              <w:t>—</w:t>
            </w:r>
          </w:p>
        </w:tc>
        <w:tc>
          <w:tcPr>
            <w:tcW w:w="887" w:type="dxa"/>
            <w:shd w:val="clear" w:color="auto" w:fill="CCEDFF"/>
          </w:tcPr>
          <w:p w14:paraId="7236FD56" w14:textId="77777777" w:rsidR="00AE2255" w:rsidRDefault="00AE2255">
            <w:pPr>
              <w:pStyle w:val="TableParagraph"/>
              <w:spacing w:before="10"/>
              <w:jc w:val="left"/>
              <w:rPr>
                <w:b/>
                <w:sz w:val="15"/>
              </w:rPr>
            </w:pPr>
          </w:p>
          <w:p w14:paraId="42A1CC5F" w14:textId="77777777" w:rsidR="00AE2255" w:rsidRDefault="00000000">
            <w:pPr>
              <w:pStyle w:val="TableParagraph"/>
              <w:spacing w:before="0"/>
              <w:ind w:right="3"/>
              <w:rPr>
                <w:sz w:val="18"/>
              </w:rPr>
            </w:pPr>
            <w:r>
              <w:rPr>
                <w:spacing w:val="-2"/>
                <w:sz w:val="18"/>
              </w:rPr>
              <w:t>(2,757)</w:t>
            </w:r>
          </w:p>
        </w:tc>
      </w:tr>
      <w:tr w:rsidR="00AE2255" w14:paraId="57DD8CB1" w14:textId="77777777">
        <w:trPr>
          <w:trHeight w:val="435"/>
        </w:trPr>
        <w:tc>
          <w:tcPr>
            <w:tcW w:w="2424" w:type="dxa"/>
          </w:tcPr>
          <w:p w14:paraId="6F9B923B" w14:textId="77777777" w:rsidR="00AE2255" w:rsidRDefault="00000000">
            <w:pPr>
              <w:pStyle w:val="TableParagraph"/>
              <w:spacing w:before="53" w:line="208" w:lineRule="auto"/>
              <w:ind w:left="232" w:right="96" w:hanging="180"/>
              <w:jc w:val="left"/>
              <w:rPr>
                <w:sz w:val="18"/>
              </w:rPr>
            </w:pPr>
            <w:r>
              <w:rPr>
                <w:sz w:val="18"/>
              </w:rPr>
              <w:t>Stock-based</w:t>
            </w:r>
            <w:r>
              <w:rPr>
                <w:spacing w:val="-12"/>
                <w:sz w:val="18"/>
              </w:rPr>
              <w:t xml:space="preserve"> </w:t>
            </w:r>
            <w:r>
              <w:rPr>
                <w:sz w:val="18"/>
              </w:rPr>
              <w:t>awards,</w:t>
            </w:r>
            <w:r>
              <w:rPr>
                <w:spacing w:val="-11"/>
                <w:sz w:val="18"/>
              </w:rPr>
              <w:t xml:space="preserve"> </w:t>
            </w:r>
            <w:r>
              <w:rPr>
                <w:sz w:val="18"/>
              </w:rPr>
              <w:t>ESOP activity and other</w:t>
            </w:r>
          </w:p>
        </w:tc>
        <w:tc>
          <w:tcPr>
            <w:tcW w:w="1014" w:type="dxa"/>
          </w:tcPr>
          <w:p w14:paraId="3E45CD68" w14:textId="77777777" w:rsidR="00AE2255" w:rsidRDefault="00AE2255">
            <w:pPr>
              <w:pStyle w:val="TableParagraph"/>
              <w:spacing w:before="2"/>
              <w:jc w:val="left"/>
              <w:rPr>
                <w:b/>
                <w:sz w:val="17"/>
              </w:rPr>
            </w:pPr>
          </w:p>
          <w:p w14:paraId="16E5DEE2" w14:textId="77777777" w:rsidR="00AE2255" w:rsidRDefault="00000000">
            <w:pPr>
              <w:pStyle w:val="TableParagraph"/>
              <w:spacing w:before="0"/>
              <w:ind w:right="90"/>
              <w:rPr>
                <w:sz w:val="18"/>
              </w:rPr>
            </w:pPr>
            <w:r>
              <w:rPr>
                <w:sz w:val="18"/>
              </w:rPr>
              <w:t>2</w:t>
            </w:r>
          </w:p>
        </w:tc>
        <w:tc>
          <w:tcPr>
            <w:tcW w:w="974" w:type="dxa"/>
          </w:tcPr>
          <w:p w14:paraId="0BA43E40" w14:textId="77777777" w:rsidR="00AE2255" w:rsidRDefault="00AE2255">
            <w:pPr>
              <w:pStyle w:val="TableParagraph"/>
              <w:spacing w:before="2"/>
              <w:jc w:val="left"/>
              <w:rPr>
                <w:b/>
                <w:sz w:val="17"/>
              </w:rPr>
            </w:pPr>
          </w:p>
          <w:p w14:paraId="36F4CEEE" w14:textId="77777777" w:rsidR="00AE2255" w:rsidRDefault="00000000">
            <w:pPr>
              <w:pStyle w:val="TableParagraph"/>
              <w:spacing w:before="0"/>
              <w:ind w:right="149"/>
              <w:rPr>
                <w:sz w:val="18"/>
              </w:rPr>
            </w:pPr>
            <w:r>
              <w:rPr>
                <w:spacing w:val="-5"/>
                <w:sz w:val="18"/>
              </w:rPr>
              <w:t>477</w:t>
            </w:r>
          </w:p>
        </w:tc>
        <w:tc>
          <w:tcPr>
            <w:tcW w:w="1334" w:type="dxa"/>
          </w:tcPr>
          <w:p w14:paraId="68B34458" w14:textId="77777777" w:rsidR="00AE2255" w:rsidRDefault="00AE2255">
            <w:pPr>
              <w:pStyle w:val="TableParagraph"/>
              <w:spacing w:before="2"/>
              <w:jc w:val="left"/>
              <w:rPr>
                <w:b/>
                <w:sz w:val="17"/>
              </w:rPr>
            </w:pPr>
          </w:p>
          <w:p w14:paraId="4051D38A" w14:textId="77777777" w:rsidR="00AE2255" w:rsidRDefault="00000000">
            <w:pPr>
              <w:pStyle w:val="TableParagraph"/>
              <w:spacing w:before="0"/>
              <w:ind w:left="748"/>
              <w:jc w:val="left"/>
              <w:rPr>
                <w:sz w:val="18"/>
              </w:rPr>
            </w:pPr>
            <w:r>
              <w:rPr>
                <w:sz w:val="18"/>
              </w:rPr>
              <w:t>—</w:t>
            </w:r>
          </w:p>
        </w:tc>
        <w:tc>
          <w:tcPr>
            <w:tcW w:w="1011" w:type="dxa"/>
          </w:tcPr>
          <w:p w14:paraId="1E2D1A5E" w14:textId="77777777" w:rsidR="00AE2255" w:rsidRDefault="00AE2255">
            <w:pPr>
              <w:pStyle w:val="TableParagraph"/>
              <w:spacing w:before="2"/>
              <w:jc w:val="left"/>
              <w:rPr>
                <w:b/>
                <w:sz w:val="17"/>
              </w:rPr>
            </w:pPr>
          </w:p>
          <w:p w14:paraId="43595BB2" w14:textId="77777777" w:rsidR="00AE2255" w:rsidRDefault="00000000">
            <w:pPr>
              <w:pStyle w:val="TableParagraph"/>
              <w:spacing w:before="0"/>
              <w:ind w:right="259"/>
              <w:rPr>
                <w:sz w:val="18"/>
              </w:rPr>
            </w:pPr>
            <w:r>
              <w:rPr>
                <w:sz w:val="18"/>
              </w:rPr>
              <w:t>—</w:t>
            </w:r>
          </w:p>
        </w:tc>
        <w:tc>
          <w:tcPr>
            <w:tcW w:w="1446" w:type="dxa"/>
          </w:tcPr>
          <w:p w14:paraId="561F8372" w14:textId="77777777" w:rsidR="00AE2255" w:rsidRDefault="00AE2255">
            <w:pPr>
              <w:pStyle w:val="TableParagraph"/>
              <w:spacing w:before="2"/>
              <w:jc w:val="left"/>
              <w:rPr>
                <w:b/>
                <w:sz w:val="17"/>
              </w:rPr>
            </w:pPr>
          </w:p>
          <w:p w14:paraId="120286B5" w14:textId="77777777" w:rsidR="00AE2255" w:rsidRDefault="00000000">
            <w:pPr>
              <w:pStyle w:val="TableParagraph"/>
              <w:spacing w:before="0"/>
              <w:ind w:right="175"/>
              <w:rPr>
                <w:sz w:val="18"/>
              </w:rPr>
            </w:pPr>
            <w:r>
              <w:rPr>
                <w:spacing w:val="-5"/>
                <w:sz w:val="18"/>
              </w:rPr>
              <w:t>479</w:t>
            </w:r>
          </w:p>
        </w:tc>
        <w:tc>
          <w:tcPr>
            <w:tcW w:w="1371" w:type="dxa"/>
          </w:tcPr>
          <w:p w14:paraId="05F67C83" w14:textId="77777777" w:rsidR="00AE2255" w:rsidRDefault="00AE2255">
            <w:pPr>
              <w:pStyle w:val="TableParagraph"/>
              <w:spacing w:before="2"/>
              <w:jc w:val="left"/>
              <w:rPr>
                <w:b/>
                <w:sz w:val="17"/>
              </w:rPr>
            </w:pPr>
          </w:p>
          <w:p w14:paraId="5C136E40" w14:textId="77777777" w:rsidR="00AE2255" w:rsidRDefault="00000000">
            <w:pPr>
              <w:pStyle w:val="TableParagraph"/>
              <w:spacing w:before="0"/>
              <w:ind w:right="211"/>
              <w:rPr>
                <w:sz w:val="18"/>
              </w:rPr>
            </w:pPr>
            <w:r>
              <w:rPr>
                <w:sz w:val="18"/>
              </w:rPr>
              <w:t>—</w:t>
            </w:r>
          </w:p>
        </w:tc>
        <w:tc>
          <w:tcPr>
            <w:tcW w:w="887" w:type="dxa"/>
          </w:tcPr>
          <w:p w14:paraId="70798415" w14:textId="77777777" w:rsidR="00AE2255" w:rsidRDefault="00AE2255">
            <w:pPr>
              <w:pStyle w:val="TableParagraph"/>
              <w:spacing w:before="2"/>
              <w:jc w:val="left"/>
              <w:rPr>
                <w:b/>
                <w:sz w:val="17"/>
              </w:rPr>
            </w:pPr>
          </w:p>
          <w:p w14:paraId="00CD1CFB" w14:textId="77777777" w:rsidR="00AE2255" w:rsidRDefault="00000000">
            <w:pPr>
              <w:pStyle w:val="TableParagraph"/>
              <w:spacing w:before="0"/>
              <w:ind w:right="63"/>
              <w:rPr>
                <w:sz w:val="18"/>
              </w:rPr>
            </w:pPr>
            <w:r>
              <w:rPr>
                <w:spacing w:val="-5"/>
                <w:sz w:val="18"/>
              </w:rPr>
              <w:t>479</w:t>
            </w:r>
          </w:p>
        </w:tc>
      </w:tr>
      <w:tr w:rsidR="00AE2255" w14:paraId="190226B9" w14:textId="77777777">
        <w:trPr>
          <w:trHeight w:val="425"/>
        </w:trPr>
        <w:tc>
          <w:tcPr>
            <w:tcW w:w="2424" w:type="dxa"/>
            <w:tcBorders>
              <w:bottom w:val="single" w:sz="8" w:space="0" w:color="CCEDFF"/>
            </w:tcBorders>
            <w:shd w:val="clear" w:color="auto" w:fill="CCEDFF"/>
          </w:tcPr>
          <w:p w14:paraId="696B5564" w14:textId="77777777" w:rsidR="00AE2255" w:rsidRDefault="00000000">
            <w:pPr>
              <w:pStyle w:val="TableParagraph"/>
              <w:spacing w:before="45" w:line="180" w:lineRule="exact"/>
              <w:ind w:left="232" w:right="96" w:hanging="180"/>
              <w:jc w:val="left"/>
              <w:rPr>
                <w:sz w:val="18"/>
              </w:rPr>
            </w:pPr>
            <w:r>
              <w:rPr>
                <w:sz w:val="18"/>
              </w:rPr>
              <w:t>Net</w:t>
            </w:r>
            <w:r>
              <w:rPr>
                <w:spacing w:val="-12"/>
                <w:sz w:val="18"/>
              </w:rPr>
              <w:t xml:space="preserve"> </w:t>
            </w:r>
            <w:r>
              <w:rPr>
                <w:sz w:val="18"/>
              </w:rPr>
              <w:t>decrease</w:t>
            </w:r>
            <w:r>
              <w:rPr>
                <w:spacing w:val="-11"/>
                <w:sz w:val="18"/>
              </w:rPr>
              <w:t xml:space="preserve"> </w:t>
            </w:r>
            <w:r>
              <w:rPr>
                <w:sz w:val="18"/>
              </w:rPr>
              <w:t>in</w:t>
            </w:r>
            <w:r>
              <w:rPr>
                <w:spacing w:val="-11"/>
                <w:sz w:val="18"/>
              </w:rPr>
              <w:t xml:space="preserve"> </w:t>
            </w:r>
            <w:r>
              <w:rPr>
                <w:sz w:val="18"/>
              </w:rPr>
              <w:t>noncontrolling interests in subsidiary</w:t>
            </w:r>
          </w:p>
        </w:tc>
        <w:tc>
          <w:tcPr>
            <w:tcW w:w="1014" w:type="dxa"/>
            <w:tcBorders>
              <w:bottom w:val="single" w:sz="8" w:space="0" w:color="CCEDFF"/>
            </w:tcBorders>
            <w:shd w:val="clear" w:color="auto" w:fill="CCEDFF"/>
          </w:tcPr>
          <w:p w14:paraId="55B7C2A1" w14:textId="77777777" w:rsidR="00AE2255" w:rsidRDefault="00AE2255">
            <w:pPr>
              <w:pStyle w:val="TableParagraph"/>
              <w:spacing w:before="2"/>
              <w:jc w:val="left"/>
              <w:rPr>
                <w:b/>
                <w:sz w:val="17"/>
              </w:rPr>
            </w:pPr>
          </w:p>
          <w:p w14:paraId="05B28A83" w14:textId="77777777" w:rsidR="00AE2255" w:rsidRDefault="00000000">
            <w:pPr>
              <w:pStyle w:val="TableParagraph"/>
              <w:spacing w:before="0"/>
              <w:ind w:right="90"/>
              <w:rPr>
                <w:sz w:val="18"/>
              </w:rPr>
            </w:pPr>
            <w:r>
              <w:rPr>
                <w:sz w:val="18"/>
              </w:rPr>
              <w:t>—</w:t>
            </w:r>
          </w:p>
        </w:tc>
        <w:tc>
          <w:tcPr>
            <w:tcW w:w="974" w:type="dxa"/>
            <w:tcBorders>
              <w:bottom w:val="single" w:sz="8" w:space="0" w:color="CCEDFF"/>
            </w:tcBorders>
            <w:shd w:val="clear" w:color="auto" w:fill="CCEDFF"/>
          </w:tcPr>
          <w:p w14:paraId="2D7865E9" w14:textId="77777777" w:rsidR="00AE2255" w:rsidRDefault="00AE2255">
            <w:pPr>
              <w:pStyle w:val="TableParagraph"/>
              <w:spacing w:before="2"/>
              <w:jc w:val="left"/>
              <w:rPr>
                <w:b/>
                <w:sz w:val="17"/>
              </w:rPr>
            </w:pPr>
          </w:p>
          <w:p w14:paraId="7EEA5676" w14:textId="77777777" w:rsidR="00AE2255" w:rsidRDefault="00000000">
            <w:pPr>
              <w:pStyle w:val="TableParagraph"/>
              <w:spacing w:before="0"/>
              <w:ind w:right="149"/>
              <w:rPr>
                <w:sz w:val="18"/>
              </w:rPr>
            </w:pPr>
            <w:r>
              <w:rPr>
                <w:sz w:val="18"/>
              </w:rPr>
              <w:t>—</w:t>
            </w:r>
          </w:p>
        </w:tc>
        <w:tc>
          <w:tcPr>
            <w:tcW w:w="1334" w:type="dxa"/>
            <w:tcBorders>
              <w:bottom w:val="single" w:sz="8" w:space="0" w:color="CCEDFF"/>
            </w:tcBorders>
            <w:shd w:val="clear" w:color="auto" w:fill="CCEDFF"/>
          </w:tcPr>
          <w:p w14:paraId="7F03DD42" w14:textId="77777777" w:rsidR="00AE2255" w:rsidRDefault="00AE2255">
            <w:pPr>
              <w:pStyle w:val="TableParagraph"/>
              <w:spacing w:before="2"/>
              <w:jc w:val="left"/>
              <w:rPr>
                <w:b/>
                <w:sz w:val="17"/>
              </w:rPr>
            </w:pPr>
          </w:p>
          <w:p w14:paraId="524C187F" w14:textId="77777777" w:rsidR="00AE2255" w:rsidRDefault="00000000">
            <w:pPr>
              <w:pStyle w:val="TableParagraph"/>
              <w:spacing w:before="0"/>
              <w:ind w:left="748"/>
              <w:jc w:val="left"/>
              <w:rPr>
                <w:sz w:val="18"/>
              </w:rPr>
            </w:pPr>
            <w:r>
              <w:rPr>
                <w:sz w:val="18"/>
              </w:rPr>
              <w:t>—</w:t>
            </w:r>
          </w:p>
        </w:tc>
        <w:tc>
          <w:tcPr>
            <w:tcW w:w="1011" w:type="dxa"/>
            <w:tcBorders>
              <w:bottom w:val="single" w:sz="8" w:space="0" w:color="CCEDFF"/>
            </w:tcBorders>
            <w:shd w:val="clear" w:color="auto" w:fill="CCEDFF"/>
          </w:tcPr>
          <w:p w14:paraId="4C54B327" w14:textId="77777777" w:rsidR="00AE2255" w:rsidRDefault="00AE2255">
            <w:pPr>
              <w:pStyle w:val="TableParagraph"/>
              <w:spacing w:before="2"/>
              <w:jc w:val="left"/>
              <w:rPr>
                <w:b/>
                <w:sz w:val="17"/>
              </w:rPr>
            </w:pPr>
          </w:p>
          <w:p w14:paraId="6869B209" w14:textId="77777777" w:rsidR="00AE2255" w:rsidRDefault="00000000">
            <w:pPr>
              <w:pStyle w:val="TableParagraph"/>
              <w:spacing w:before="0"/>
              <w:ind w:right="259"/>
              <w:rPr>
                <w:sz w:val="18"/>
              </w:rPr>
            </w:pPr>
            <w:r>
              <w:rPr>
                <w:sz w:val="18"/>
              </w:rPr>
              <w:t>—</w:t>
            </w:r>
          </w:p>
        </w:tc>
        <w:tc>
          <w:tcPr>
            <w:tcW w:w="1446" w:type="dxa"/>
            <w:tcBorders>
              <w:bottom w:val="single" w:sz="8" w:space="0" w:color="CCEDFF"/>
            </w:tcBorders>
            <w:shd w:val="clear" w:color="auto" w:fill="CCEDFF"/>
          </w:tcPr>
          <w:p w14:paraId="39DFFF6D" w14:textId="77777777" w:rsidR="00AE2255" w:rsidRDefault="00AE2255">
            <w:pPr>
              <w:pStyle w:val="TableParagraph"/>
              <w:spacing w:before="2"/>
              <w:jc w:val="left"/>
              <w:rPr>
                <w:b/>
                <w:sz w:val="17"/>
              </w:rPr>
            </w:pPr>
          </w:p>
          <w:p w14:paraId="6156D19C" w14:textId="77777777" w:rsidR="00AE2255" w:rsidRDefault="00000000">
            <w:pPr>
              <w:pStyle w:val="TableParagraph"/>
              <w:spacing w:before="0"/>
              <w:ind w:right="175"/>
              <w:rPr>
                <w:sz w:val="18"/>
              </w:rPr>
            </w:pPr>
            <w:r>
              <w:rPr>
                <w:sz w:val="18"/>
              </w:rPr>
              <w:t>—</w:t>
            </w:r>
          </w:p>
        </w:tc>
        <w:tc>
          <w:tcPr>
            <w:tcW w:w="1371" w:type="dxa"/>
            <w:tcBorders>
              <w:bottom w:val="single" w:sz="8" w:space="0" w:color="CCEDFF"/>
            </w:tcBorders>
            <w:shd w:val="clear" w:color="auto" w:fill="CCEDFF"/>
          </w:tcPr>
          <w:p w14:paraId="5AB445C8" w14:textId="77777777" w:rsidR="00AE2255" w:rsidRDefault="00AE2255">
            <w:pPr>
              <w:pStyle w:val="TableParagraph"/>
              <w:spacing w:before="2"/>
              <w:jc w:val="left"/>
              <w:rPr>
                <w:b/>
                <w:sz w:val="17"/>
              </w:rPr>
            </w:pPr>
          </w:p>
          <w:p w14:paraId="50E5EA03" w14:textId="77777777" w:rsidR="00AE2255" w:rsidRDefault="00000000">
            <w:pPr>
              <w:pStyle w:val="TableParagraph"/>
              <w:spacing w:before="0"/>
              <w:ind w:right="151"/>
              <w:rPr>
                <w:sz w:val="18"/>
              </w:rPr>
            </w:pPr>
            <w:r>
              <w:rPr>
                <w:spacing w:val="-4"/>
                <w:sz w:val="18"/>
              </w:rPr>
              <w:t>(21)</w:t>
            </w:r>
          </w:p>
        </w:tc>
        <w:tc>
          <w:tcPr>
            <w:tcW w:w="887" w:type="dxa"/>
            <w:tcBorders>
              <w:bottom w:val="single" w:sz="8" w:space="0" w:color="CCEDFF"/>
            </w:tcBorders>
            <w:shd w:val="clear" w:color="auto" w:fill="CCEDFF"/>
          </w:tcPr>
          <w:p w14:paraId="1F4F658F" w14:textId="77777777" w:rsidR="00AE2255" w:rsidRDefault="00AE2255">
            <w:pPr>
              <w:pStyle w:val="TableParagraph"/>
              <w:spacing w:before="2"/>
              <w:jc w:val="left"/>
              <w:rPr>
                <w:b/>
                <w:sz w:val="17"/>
              </w:rPr>
            </w:pPr>
          </w:p>
          <w:p w14:paraId="43F7EB14" w14:textId="77777777" w:rsidR="00AE2255" w:rsidRDefault="00000000">
            <w:pPr>
              <w:pStyle w:val="TableParagraph"/>
              <w:spacing w:before="0"/>
              <w:ind w:right="3"/>
              <w:rPr>
                <w:sz w:val="18"/>
              </w:rPr>
            </w:pPr>
            <w:r>
              <w:rPr>
                <w:spacing w:val="-4"/>
                <w:sz w:val="18"/>
              </w:rPr>
              <w:t>(21)</w:t>
            </w:r>
          </w:p>
        </w:tc>
      </w:tr>
      <w:tr w:rsidR="00AE2255" w14:paraId="095DAFD8" w14:textId="77777777">
        <w:trPr>
          <w:trHeight w:val="234"/>
        </w:trPr>
        <w:tc>
          <w:tcPr>
            <w:tcW w:w="2424" w:type="dxa"/>
            <w:tcBorders>
              <w:top w:val="single" w:sz="8" w:space="0" w:color="auto"/>
              <w:bottom w:val="single" w:sz="8" w:space="0" w:color="auto"/>
            </w:tcBorders>
          </w:tcPr>
          <w:p w14:paraId="0294537D" w14:textId="77777777" w:rsidR="00AE2255" w:rsidRDefault="00000000">
            <w:pPr>
              <w:pStyle w:val="TableParagraph"/>
              <w:spacing w:before="21" w:line="193" w:lineRule="exact"/>
              <w:ind w:left="52"/>
              <w:jc w:val="left"/>
              <w:rPr>
                <w:sz w:val="18"/>
              </w:rPr>
            </w:pPr>
            <w:r>
              <w:rPr>
                <w:sz w:val="18"/>
              </w:rPr>
              <w:t>Balance</w:t>
            </w:r>
            <w:r>
              <w:rPr>
                <w:spacing w:val="-1"/>
                <w:sz w:val="18"/>
              </w:rPr>
              <w:t xml:space="preserve"> </w:t>
            </w:r>
            <w:proofErr w:type="gramStart"/>
            <w:r>
              <w:rPr>
                <w:sz w:val="18"/>
              </w:rPr>
              <w:t>at</w:t>
            </w:r>
            <w:proofErr w:type="gramEnd"/>
            <w:r>
              <w:rPr>
                <w:sz w:val="18"/>
              </w:rPr>
              <w:t xml:space="preserve"> December 31, </w:t>
            </w:r>
            <w:r>
              <w:rPr>
                <w:spacing w:val="-4"/>
                <w:sz w:val="18"/>
              </w:rPr>
              <w:t>2020</w:t>
            </w:r>
          </w:p>
        </w:tc>
        <w:tc>
          <w:tcPr>
            <w:tcW w:w="1014" w:type="dxa"/>
            <w:tcBorders>
              <w:top w:val="single" w:sz="8" w:space="0" w:color="auto"/>
              <w:bottom w:val="single" w:sz="8" w:space="0" w:color="auto"/>
            </w:tcBorders>
          </w:tcPr>
          <w:p w14:paraId="0F539271" w14:textId="77777777" w:rsidR="00AE2255" w:rsidRDefault="00000000">
            <w:pPr>
              <w:pStyle w:val="TableParagraph"/>
              <w:tabs>
                <w:tab w:val="left" w:pos="547"/>
              </w:tabs>
              <w:spacing w:before="8"/>
              <w:ind w:right="90"/>
              <w:rPr>
                <w:sz w:val="18"/>
              </w:rPr>
            </w:pPr>
            <w:r>
              <w:rPr>
                <w:spacing w:val="-10"/>
                <w:sz w:val="18"/>
              </w:rPr>
              <w:t>$</w:t>
            </w:r>
            <w:r>
              <w:rPr>
                <w:sz w:val="18"/>
              </w:rPr>
              <w:tab/>
            </w:r>
            <w:r>
              <w:rPr>
                <w:spacing w:val="-5"/>
                <w:sz w:val="18"/>
              </w:rPr>
              <w:t>279</w:t>
            </w:r>
          </w:p>
        </w:tc>
        <w:tc>
          <w:tcPr>
            <w:tcW w:w="974" w:type="dxa"/>
            <w:tcBorders>
              <w:top w:val="single" w:sz="8" w:space="0" w:color="auto"/>
              <w:bottom w:val="single" w:sz="8" w:space="0" w:color="auto"/>
            </w:tcBorders>
          </w:tcPr>
          <w:p w14:paraId="1425BD17" w14:textId="77777777" w:rsidR="00AE2255" w:rsidRDefault="00000000">
            <w:pPr>
              <w:pStyle w:val="TableParagraph"/>
              <w:tabs>
                <w:tab w:val="left" w:pos="517"/>
              </w:tabs>
              <w:spacing w:before="8"/>
              <w:ind w:right="149"/>
              <w:rPr>
                <w:sz w:val="18"/>
              </w:rPr>
            </w:pPr>
            <w:r>
              <w:rPr>
                <w:spacing w:val="-10"/>
                <w:sz w:val="18"/>
              </w:rPr>
              <w:t>$</w:t>
            </w:r>
            <w:r>
              <w:rPr>
                <w:sz w:val="18"/>
              </w:rPr>
              <w:tab/>
            </w:r>
            <w:r>
              <w:rPr>
                <w:spacing w:val="-5"/>
                <w:sz w:val="18"/>
              </w:rPr>
              <w:t>221</w:t>
            </w:r>
          </w:p>
        </w:tc>
        <w:tc>
          <w:tcPr>
            <w:tcW w:w="1334" w:type="dxa"/>
            <w:tcBorders>
              <w:top w:val="single" w:sz="8" w:space="0" w:color="auto"/>
              <w:bottom w:val="single" w:sz="8" w:space="0" w:color="auto"/>
            </w:tcBorders>
          </w:tcPr>
          <w:p w14:paraId="06D3E324" w14:textId="77777777" w:rsidR="00AE2255" w:rsidRDefault="00000000">
            <w:pPr>
              <w:pStyle w:val="TableParagraph"/>
              <w:tabs>
                <w:tab w:val="left" w:pos="433"/>
              </w:tabs>
              <w:spacing w:before="8"/>
              <w:ind w:left="95"/>
              <w:jc w:val="left"/>
              <w:rPr>
                <w:sz w:val="18"/>
              </w:rPr>
            </w:pPr>
            <w:r>
              <w:rPr>
                <w:spacing w:val="-10"/>
                <w:sz w:val="18"/>
              </w:rPr>
              <w:t>$</w:t>
            </w:r>
            <w:r>
              <w:rPr>
                <w:sz w:val="18"/>
              </w:rPr>
              <w:tab/>
              <w:t>21,636</w:t>
            </w:r>
            <w:r>
              <w:rPr>
                <w:spacing w:val="59"/>
                <w:w w:val="150"/>
                <w:sz w:val="18"/>
              </w:rPr>
              <w:t xml:space="preserve"> </w:t>
            </w:r>
            <w:r>
              <w:rPr>
                <w:spacing w:val="-10"/>
                <w:sz w:val="18"/>
              </w:rPr>
              <w:t>$</w:t>
            </w:r>
          </w:p>
        </w:tc>
        <w:tc>
          <w:tcPr>
            <w:tcW w:w="1011" w:type="dxa"/>
            <w:tcBorders>
              <w:top w:val="single" w:sz="8" w:space="0" w:color="auto"/>
              <w:bottom w:val="single" w:sz="8" w:space="0" w:color="auto"/>
            </w:tcBorders>
          </w:tcPr>
          <w:p w14:paraId="09BD9002" w14:textId="77777777" w:rsidR="00AE2255" w:rsidRDefault="00000000">
            <w:pPr>
              <w:pStyle w:val="TableParagraph"/>
              <w:spacing w:before="8"/>
              <w:ind w:right="199"/>
              <w:rPr>
                <w:sz w:val="18"/>
              </w:rPr>
            </w:pPr>
            <w:r>
              <w:rPr>
                <w:spacing w:val="-2"/>
                <w:sz w:val="18"/>
              </w:rPr>
              <w:t>(16,121)</w:t>
            </w:r>
          </w:p>
        </w:tc>
        <w:tc>
          <w:tcPr>
            <w:tcW w:w="1446" w:type="dxa"/>
            <w:tcBorders>
              <w:top w:val="single" w:sz="8" w:space="0" w:color="auto"/>
              <w:bottom w:val="single" w:sz="8" w:space="0" w:color="auto"/>
            </w:tcBorders>
          </w:tcPr>
          <w:p w14:paraId="484A4B7B" w14:textId="77777777" w:rsidR="00AE2255" w:rsidRDefault="00000000">
            <w:pPr>
              <w:pStyle w:val="TableParagraph"/>
              <w:tabs>
                <w:tab w:val="left" w:pos="652"/>
              </w:tabs>
              <w:spacing w:before="8"/>
              <w:ind w:right="175"/>
              <w:rPr>
                <w:sz w:val="18"/>
              </w:rPr>
            </w:pPr>
            <w:r>
              <w:rPr>
                <w:spacing w:val="-10"/>
                <w:sz w:val="18"/>
              </w:rPr>
              <w:t>$</w:t>
            </w:r>
            <w:r>
              <w:rPr>
                <w:sz w:val="18"/>
              </w:rPr>
              <w:tab/>
            </w:r>
            <w:r>
              <w:rPr>
                <w:spacing w:val="-2"/>
                <w:sz w:val="18"/>
              </w:rPr>
              <w:t>6,015</w:t>
            </w:r>
          </w:p>
        </w:tc>
        <w:tc>
          <w:tcPr>
            <w:tcW w:w="1371" w:type="dxa"/>
            <w:tcBorders>
              <w:top w:val="single" w:sz="8" w:space="0" w:color="auto"/>
              <w:bottom w:val="single" w:sz="8" w:space="0" w:color="auto"/>
            </w:tcBorders>
          </w:tcPr>
          <w:p w14:paraId="653E94B5" w14:textId="77777777" w:rsidR="00AE2255" w:rsidRDefault="00000000">
            <w:pPr>
              <w:pStyle w:val="TableParagraph"/>
              <w:tabs>
                <w:tab w:val="left" w:pos="976"/>
              </w:tabs>
              <w:spacing w:before="8"/>
              <w:ind w:left="129"/>
              <w:jc w:val="left"/>
              <w:rPr>
                <w:sz w:val="18"/>
              </w:rPr>
            </w:pPr>
            <w:r>
              <w:rPr>
                <w:spacing w:val="-10"/>
                <w:sz w:val="18"/>
              </w:rPr>
              <w:t>$</w:t>
            </w:r>
            <w:r>
              <w:rPr>
                <w:sz w:val="18"/>
              </w:rPr>
              <w:tab/>
            </w:r>
            <w:r>
              <w:rPr>
                <w:spacing w:val="-5"/>
                <w:sz w:val="18"/>
              </w:rPr>
              <w:t>23</w:t>
            </w:r>
          </w:p>
        </w:tc>
        <w:tc>
          <w:tcPr>
            <w:tcW w:w="887" w:type="dxa"/>
            <w:tcBorders>
              <w:top w:val="single" w:sz="8" w:space="0" w:color="auto"/>
              <w:bottom w:val="single" w:sz="8" w:space="0" w:color="auto"/>
            </w:tcBorders>
          </w:tcPr>
          <w:p w14:paraId="2CDBDA97" w14:textId="77777777" w:rsidR="00AE2255" w:rsidRDefault="00000000">
            <w:pPr>
              <w:pStyle w:val="TableParagraph"/>
              <w:spacing w:before="8"/>
              <w:ind w:left="168"/>
              <w:jc w:val="left"/>
              <w:rPr>
                <w:sz w:val="18"/>
              </w:rPr>
            </w:pPr>
            <w:proofErr w:type="gramStart"/>
            <w:r>
              <w:rPr>
                <w:sz w:val="18"/>
              </w:rPr>
              <w:t>$</w:t>
            </w:r>
            <w:r>
              <w:rPr>
                <w:spacing w:val="33"/>
                <w:sz w:val="18"/>
              </w:rPr>
              <w:t xml:space="preserve">  </w:t>
            </w:r>
            <w:r>
              <w:rPr>
                <w:spacing w:val="-2"/>
                <w:sz w:val="18"/>
              </w:rPr>
              <w:t>6,038</w:t>
            </w:r>
            <w:proofErr w:type="gramEnd"/>
          </w:p>
        </w:tc>
      </w:tr>
      <w:tr w:rsidR="00AE2255" w14:paraId="5B3E9ACC" w14:textId="77777777">
        <w:trPr>
          <w:trHeight w:val="245"/>
        </w:trPr>
        <w:tc>
          <w:tcPr>
            <w:tcW w:w="2424" w:type="dxa"/>
            <w:tcBorders>
              <w:top w:val="single" w:sz="8" w:space="0" w:color="CCEDFF"/>
            </w:tcBorders>
            <w:shd w:val="clear" w:color="auto" w:fill="CCEDFF"/>
          </w:tcPr>
          <w:p w14:paraId="6A2FB4E7" w14:textId="77777777" w:rsidR="00AE2255" w:rsidRDefault="00000000">
            <w:pPr>
              <w:pStyle w:val="TableParagraph"/>
              <w:spacing w:before="21" w:line="203" w:lineRule="exact"/>
              <w:ind w:left="52"/>
              <w:jc w:val="left"/>
              <w:rPr>
                <w:sz w:val="18"/>
              </w:rPr>
            </w:pPr>
            <w:r>
              <w:rPr>
                <w:sz w:val="18"/>
              </w:rPr>
              <w:t>Net</w:t>
            </w:r>
            <w:r>
              <w:rPr>
                <w:spacing w:val="-1"/>
                <w:sz w:val="18"/>
              </w:rPr>
              <w:t xml:space="preserve"> </w:t>
            </w:r>
            <w:r>
              <w:rPr>
                <w:spacing w:val="-2"/>
                <w:sz w:val="18"/>
              </w:rPr>
              <w:t>earnings</w:t>
            </w:r>
          </w:p>
        </w:tc>
        <w:tc>
          <w:tcPr>
            <w:tcW w:w="1014" w:type="dxa"/>
            <w:tcBorders>
              <w:top w:val="single" w:sz="8" w:space="0" w:color="CCEDFF"/>
            </w:tcBorders>
            <w:shd w:val="clear" w:color="auto" w:fill="CCEDFF"/>
          </w:tcPr>
          <w:p w14:paraId="433BEE0A" w14:textId="77777777" w:rsidR="00AE2255" w:rsidRDefault="00000000">
            <w:pPr>
              <w:pStyle w:val="TableParagraph"/>
              <w:spacing w:before="8"/>
              <w:ind w:right="90"/>
              <w:rPr>
                <w:sz w:val="18"/>
              </w:rPr>
            </w:pPr>
            <w:r>
              <w:rPr>
                <w:sz w:val="18"/>
              </w:rPr>
              <w:t>—</w:t>
            </w:r>
          </w:p>
        </w:tc>
        <w:tc>
          <w:tcPr>
            <w:tcW w:w="974" w:type="dxa"/>
            <w:tcBorders>
              <w:top w:val="single" w:sz="8" w:space="0" w:color="CCEDFF"/>
            </w:tcBorders>
            <w:shd w:val="clear" w:color="auto" w:fill="CCEDFF"/>
          </w:tcPr>
          <w:p w14:paraId="6D27D397" w14:textId="77777777" w:rsidR="00AE2255" w:rsidRDefault="00000000">
            <w:pPr>
              <w:pStyle w:val="TableParagraph"/>
              <w:spacing w:before="8"/>
              <w:ind w:right="149"/>
              <w:rPr>
                <w:sz w:val="18"/>
              </w:rPr>
            </w:pPr>
            <w:r>
              <w:rPr>
                <w:sz w:val="18"/>
              </w:rPr>
              <w:t>—</w:t>
            </w:r>
          </w:p>
        </w:tc>
        <w:tc>
          <w:tcPr>
            <w:tcW w:w="1334" w:type="dxa"/>
            <w:tcBorders>
              <w:top w:val="single" w:sz="8" w:space="0" w:color="CCEDFF"/>
            </w:tcBorders>
            <w:shd w:val="clear" w:color="auto" w:fill="CCEDFF"/>
          </w:tcPr>
          <w:p w14:paraId="2BED3F84" w14:textId="77777777" w:rsidR="00AE2255" w:rsidRDefault="00000000">
            <w:pPr>
              <w:pStyle w:val="TableParagraph"/>
              <w:spacing w:before="8"/>
              <w:ind w:left="523"/>
              <w:jc w:val="left"/>
              <w:rPr>
                <w:sz w:val="18"/>
              </w:rPr>
            </w:pPr>
            <w:r>
              <w:rPr>
                <w:spacing w:val="-2"/>
                <w:sz w:val="18"/>
              </w:rPr>
              <w:t>6,315</w:t>
            </w:r>
          </w:p>
        </w:tc>
        <w:tc>
          <w:tcPr>
            <w:tcW w:w="1011" w:type="dxa"/>
            <w:tcBorders>
              <w:top w:val="single" w:sz="8" w:space="0" w:color="CCEDFF"/>
            </w:tcBorders>
            <w:shd w:val="clear" w:color="auto" w:fill="CCEDFF"/>
          </w:tcPr>
          <w:p w14:paraId="47AA87F0" w14:textId="77777777" w:rsidR="00AE2255" w:rsidRDefault="00000000">
            <w:pPr>
              <w:pStyle w:val="TableParagraph"/>
              <w:spacing w:before="8"/>
              <w:ind w:right="259"/>
              <w:rPr>
                <w:sz w:val="18"/>
              </w:rPr>
            </w:pPr>
            <w:r>
              <w:rPr>
                <w:sz w:val="18"/>
              </w:rPr>
              <w:t>—</w:t>
            </w:r>
          </w:p>
        </w:tc>
        <w:tc>
          <w:tcPr>
            <w:tcW w:w="1446" w:type="dxa"/>
            <w:tcBorders>
              <w:top w:val="single" w:sz="8" w:space="0" w:color="CCEDFF"/>
            </w:tcBorders>
            <w:shd w:val="clear" w:color="auto" w:fill="CCEDFF"/>
          </w:tcPr>
          <w:p w14:paraId="742DEBFC" w14:textId="77777777" w:rsidR="00AE2255" w:rsidRDefault="00000000">
            <w:pPr>
              <w:pStyle w:val="TableParagraph"/>
              <w:spacing w:before="8"/>
              <w:ind w:right="175"/>
              <w:rPr>
                <w:sz w:val="18"/>
              </w:rPr>
            </w:pPr>
            <w:r>
              <w:rPr>
                <w:spacing w:val="-2"/>
                <w:sz w:val="18"/>
              </w:rPr>
              <w:t>6,315</w:t>
            </w:r>
          </w:p>
        </w:tc>
        <w:tc>
          <w:tcPr>
            <w:tcW w:w="1371" w:type="dxa"/>
            <w:tcBorders>
              <w:top w:val="single" w:sz="8" w:space="0" w:color="CCEDFF"/>
            </w:tcBorders>
            <w:shd w:val="clear" w:color="auto" w:fill="CCEDFF"/>
          </w:tcPr>
          <w:p w14:paraId="20C30EAC" w14:textId="77777777" w:rsidR="00AE2255" w:rsidRDefault="00000000">
            <w:pPr>
              <w:pStyle w:val="TableParagraph"/>
              <w:spacing w:before="8"/>
              <w:ind w:right="211"/>
              <w:rPr>
                <w:sz w:val="18"/>
              </w:rPr>
            </w:pPr>
            <w:r>
              <w:rPr>
                <w:sz w:val="18"/>
              </w:rPr>
              <w:t>—</w:t>
            </w:r>
          </w:p>
        </w:tc>
        <w:tc>
          <w:tcPr>
            <w:tcW w:w="887" w:type="dxa"/>
            <w:tcBorders>
              <w:top w:val="single" w:sz="8" w:space="0" w:color="CCEDFF"/>
            </w:tcBorders>
            <w:shd w:val="clear" w:color="auto" w:fill="CCEDFF"/>
          </w:tcPr>
          <w:p w14:paraId="76169427" w14:textId="77777777" w:rsidR="00AE2255" w:rsidRDefault="00000000">
            <w:pPr>
              <w:pStyle w:val="TableParagraph"/>
              <w:spacing w:before="8"/>
              <w:ind w:right="63"/>
              <w:rPr>
                <w:sz w:val="18"/>
              </w:rPr>
            </w:pPr>
            <w:r>
              <w:rPr>
                <w:spacing w:val="-2"/>
                <w:sz w:val="18"/>
              </w:rPr>
              <w:t>6,315</w:t>
            </w:r>
          </w:p>
        </w:tc>
      </w:tr>
      <w:tr w:rsidR="00AE2255" w14:paraId="7A64A2C6" w14:textId="77777777">
        <w:trPr>
          <w:trHeight w:val="420"/>
        </w:trPr>
        <w:tc>
          <w:tcPr>
            <w:tcW w:w="2424" w:type="dxa"/>
          </w:tcPr>
          <w:p w14:paraId="0BC55D0E" w14:textId="77777777" w:rsidR="00AE2255" w:rsidRDefault="00000000">
            <w:pPr>
              <w:pStyle w:val="TableParagraph"/>
              <w:spacing w:before="40" w:line="180" w:lineRule="exact"/>
              <w:ind w:left="232" w:right="96" w:hanging="180"/>
              <w:jc w:val="left"/>
              <w:rPr>
                <w:sz w:val="18"/>
              </w:rPr>
            </w:pPr>
            <w:r>
              <w:rPr>
                <w:sz w:val="18"/>
              </w:rPr>
              <w:t>Other</w:t>
            </w:r>
            <w:r>
              <w:rPr>
                <w:spacing w:val="-12"/>
                <w:sz w:val="18"/>
              </w:rPr>
              <w:t xml:space="preserve"> </w:t>
            </w:r>
            <w:r>
              <w:rPr>
                <w:sz w:val="18"/>
              </w:rPr>
              <w:t>comprehensive</w:t>
            </w:r>
            <w:r>
              <w:rPr>
                <w:spacing w:val="-11"/>
                <w:sz w:val="18"/>
              </w:rPr>
              <w:t xml:space="preserve"> </w:t>
            </w:r>
            <w:r>
              <w:rPr>
                <w:sz w:val="18"/>
              </w:rPr>
              <w:t>income, net of tax</w:t>
            </w:r>
          </w:p>
        </w:tc>
        <w:tc>
          <w:tcPr>
            <w:tcW w:w="1014" w:type="dxa"/>
          </w:tcPr>
          <w:p w14:paraId="2D8F8681" w14:textId="77777777" w:rsidR="00AE2255" w:rsidRDefault="00AE2255">
            <w:pPr>
              <w:pStyle w:val="TableParagraph"/>
              <w:spacing w:before="10"/>
              <w:jc w:val="left"/>
              <w:rPr>
                <w:b/>
                <w:sz w:val="15"/>
              </w:rPr>
            </w:pPr>
          </w:p>
          <w:p w14:paraId="7627C0FA" w14:textId="77777777" w:rsidR="00AE2255" w:rsidRDefault="00000000">
            <w:pPr>
              <w:pStyle w:val="TableParagraph"/>
              <w:spacing w:before="0"/>
              <w:ind w:right="90"/>
              <w:rPr>
                <w:sz w:val="18"/>
              </w:rPr>
            </w:pPr>
            <w:r>
              <w:rPr>
                <w:sz w:val="18"/>
              </w:rPr>
              <w:t>—</w:t>
            </w:r>
          </w:p>
        </w:tc>
        <w:tc>
          <w:tcPr>
            <w:tcW w:w="974" w:type="dxa"/>
          </w:tcPr>
          <w:p w14:paraId="6E2326E9" w14:textId="77777777" w:rsidR="00AE2255" w:rsidRDefault="00AE2255">
            <w:pPr>
              <w:pStyle w:val="TableParagraph"/>
              <w:spacing w:before="10"/>
              <w:jc w:val="left"/>
              <w:rPr>
                <w:b/>
                <w:sz w:val="15"/>
              </w:rPr>
            </w:pPr>
          </w:p>
          <w:p w14:paraId="5598AEA8" w14:textId="77777777" w:rsidR="00AE2255" w:rsidRDefault="00000000">
            <w:pPr>
              <w:pStyle w:val="TableParagraph"/>
              <w:spacing w:before="0"/>
              <w:ind w:right="149"/>
              <w:rPr>
                <w:sz w:val="18"/>
              </w:rPr>
            </w:pPr>
            <w:r>
              <w:rPr>
                <w:sz w:val="18"/>
              </w:rPr>
              <w:t>—</w:t>
            </w:r>
          </w:p>
        </w:tc>
        <w:tc>
          <w:tcPr>
            <w:tcW w:w="1334" w:type="dxa"/>
          </w:tcPr>
          <w:p w14:paraId="5D71402A" w14:textId="77777777" w:rsidR="00AE2255" w:rsidRDefault="00AE2255">
            <w:pPr>
              <w:pStyle w:val="TableParagraph"/>
              <w:spacing w:before="10"/>
              <w:jc w:val="left"/>
              <w:rPr>
                <w:b/>
                <w:sz w:val="15"/>
              </w:rPr>
            </w:pPr>
          </w:p>
          <w:p w14:paraId="5CB782FE" w14:textId="77777777" w:rsidR="00AE2255" w:rsidRDefault="00000000">
            <w:pPr>
              <w:pStyle w:val="TableParagraph"/>
              <w:spacing w:before="0"/>
              <w:ind w:left="748"/>
              <w:jc w:val="left"/>
              <w:rPr>
                <w:sz w:val="18"/>
              </w:rPr>
            </w:pPr>
            <w:r>
              <w:rPr>
                <w:sz w:val="18"/>
              </w:rPr>
              <w:t>—</w:t>
            </w:r>
          </w:p>
        </w:tc>
        <w:tc>
          <w:tcPr>
            <w:tcW w:w="1011" w:type="dxa"/>
          </w:tcPr>
          <w:p w14:paraId="07292E28" w14:textId="77777777" w:rsidR="00AE2255" w:rsidRDefault="00AE2255">
            <w:pPr>
              <w:pStyle w:val="TableParagraph"/>
              <w:spacing w:before="10"/>
              <w:jc w:val="left"/>
              <w:rPr>
                <w:b/>
                <w:sz w:val="15"/>
              </w:rPr>
            </w:pPr>
          </w:p>
          <w:p w14:paraId="51DC6CE0" w14:textId="77777777" w:rsidR="00AE2255" w:rsidRDefault="00000000">
            <w:pPr>
              <w:pStyle w:val="TableParagraph"/>
              <w:spacing w:before="0"/>
              <w:ind w:right="259"/>
              <w:rPr>
                <w:sz w:val="18"/>
              </w:rPr>
            </w:pPr>
            <w:r>
              <w:rPr>
                <w:spacing w:val="-2"/>
                <w:sz w:val="18"/>
              </w:rPr>
              <w:t>5,115</w:t>
            </w:r>
          </w:p>
        </w:tc>
        <w:tc>
          <w:tcPr>
            <w:tcW w:w="1446" w:type="dxa"/>
          </w:tcPr>
          <w:p w14:paraId="1049BDFF" w14:textId="77777777" w:rsidR="00AE2255" w:rsidRDefault="00AE2255">
            <w:pPr>
              <w:pStyle w:val="TableParagraph"/>
              <w:spacing w:before="10"/>
              <w:jc w:val="left"/>
              <w:rPr>
                <w:b/>
                <w:sz w:val="15"/>
              </w:rPr>
            </w:pPr>
          </w:p>
          <w:p w14:paraId="780A9356" w14:textId="77777777" w:rsidR="00AE2255" w:rsidRDefault="00000000">
            <w:pPr>
              <w:pStyle w:val="TableParagraph"/>
              <w:spacing w:before="0"/>
              <w:ind w:right="175"/>
              <w:rPr>
                <w:sz w:val="18"/>
              </w:rPr>
            </w:pPr>
            <w:r>
              <w:rPr>
                <w:spacing w:val="-2"/>
                <w:sz w:val="18"/>
              </w:rPr>
              <w:t>5,115</w:t>
            </w:r>
          </w:p>
        </w:tc>
        <w:tc>
          <w:tcPr>
            <w:tcW w:w="1371" w:type="dxa"/>
          </w:tcPr>
          <w:p w14:paraId="48C330D2" w14:textId="77777777" w:rsidR="00AE2255" w:rsidRDefault="00AE2255">
            <w:pPr>
              <w:pStyle w:val="TableParagraph"/>
              <w:spacing w:before="10"/>
              <w:jc w:val="left"/>
              <w:rPr>
                <w:b/>
                <w:sz w:val="15"/>
              </w:rPr>
            </w:pPr>
          </w:p>
          <w:p w14:paraId="0334B565" w14:textId="77777777" w:rsidR="00AE2255" w:rsidRDefault="00000000">
            <w:pPr>
              <w:pStyle w:val="TableParagraph"/>
              <w:spacing w:before="0"/>
              <w:ind w:right="211"/>
              <w:rPr>
                <w:sz w:val="18"/>
              </w:rPr>
            </w:pPr>
            <w:r>
              <w:rPr>
                <w:sz w:val="18"/>
              </w:rPr>
              <w:t>—</w:t>
            </w:r>
          </w:p>
        </w:tc>
        <w:tc>
          <w:tcPr>
            <w:tcW w:w="887" w:type="dxa"/>
          </w:tcPr>
          <w:p w14:paraId="181F93A6" w14:textId="77777777" w:rsidR="00AE2255" w:rsidRDefault="00AE2255">
            <w:pPr>
              <w:pStyle w:val="TableParagraph"/>
              <w:spacing w:before="10"/>
              <w:jc w:val="left"/>
              <w:rPr>
                <w:b/>
                <w:sz w:val="15"/>
              </w:rPr>
            </w:pPr>
          </w:p>
          <w:p w14:paraId="0E700460" w14:textId="77777777" w:rsidR="00AE2255" w:rsidRDefault="00000000">
            <w:pPr>
              <w:pStyle w:val="TableParagraph"/>
              <w:spacing w:before="0"/>
              <w:ind w:right="63"/>
              <w:rPr>
                <w:sz w:val="18"/>
              </w:rPr>
            </w:pPr>
            <w:r>
              <w:rPr>
                <w:spacing w:val="-2"/>
                <w:sz w:val="18"/>
              </w:rPr>
              <w:t>5,115</w:t>
            </w:r>
          </w:p>
        </w:tc>
      </w:tr>
      <w:tr w:rsidR="00AE2255" w14:paraId="5F41F1E1" w14:textId="77777777">
        <w:trPr>
          <w:trHeight w:val="255"/>
        </w:trPr>
        <w:tc>
          <w:tcPr>
            <w:tcW w:w="2424" w:type="dxa"/>
            <w:shd w:val="clear" w:color="auto" w:fill="CCEDFF"/>
          </w:tcPr>
          <w:p w14:paraId="01C58636" w14:textId="77777777" w:rsidR="00AE2255" w:rsidRDefault="00000000">
            <w:pPr>
              <w:pStyle w:val="TableParagraph"/>
              <w:spacing w:before="31" w:line="203" w:lineRule="exact"/>
              <w:ind w:left="52"/>
              <w:jc w:val="left"/>
              <w:rPr>
                <w:sz w:val="18"/>
              </w:rPr>
            </w:pPr>
            <w:r>
              <w:rPr>
                <w:sz w:val="18"/>
              </w:rPr>
              <w:t>Repurchases</w:t>
            </w:r>
            <w:r>
              <w:rPr>
                <w:spacing w:val="-2"/>
                <w:sz w:val="18"/>
              </w:rPr>
              <w:t xml:space="preserve"> </w:t>
            </w:r>
            <w:r>
              <w:rPr>
                <w:sz w:val="18"/>
              </w:rPr>
              <w:t xml:space="preserve">of common </w:t>
            </w:r>
            <w:r>
              <w:rPr>
                <w:spacing w:val="-2"/>
                <w:sz w:val="18"/>
              </w:rPr>
              <w:t>stock</w:t>
            </w:r>
          </w:p>
        </w:tc>
        <w:tc>
          <w:tcPr>
            <w:tcW w:w="1014" w:type="dxa"/>
            <w:shd w:val="clear" w:color="auto" w:fill="CCEDFF"/>
          </w:tcPr>
          <w:p w14:paraId="11BA77E6" w14:textId="77777777" w:rsidR="00AE2255" w:rsidRDefault="00000000">
            <w:pPr>
              <w:pStyle w:val="TableParagraph"/>
              <w:spacing w:before="18"/>
              <w:ind w:right="30"/>
              <w:rPr>
                <w:sz w:val="18"/>
              </w:rPr>
            </w:pPr>
            <w:r>
              <w:rPr>
                <w:spacing w:val="-5"/>
                <w:sz w:val="18"/>
              </w:rPr>
              <w:t>(9)</w:t>
            </w:r>
          </w:p>
        </w:tc>
        <w:tc>
          <w:tcPr>
            <w:tcW w:w="974" w:type="dxa"/>
            <w:shd w:val="clear" w:color="auto" w:fill="CCEDFF"/>
          </w:tcPr>
          <w:p w14:paraId="39966176" w14:textId="77777777" w:rsidR="00AE2255" w:rsidRDefault="00000000">
            <w:pPr>
              <w:pStyle w:val="TableParagraph"/>
              <w:spacing w:before="18"/>
              <w:ind w:right="89"/>
              <w:rPr>
                <w:sz w:val="18"/>
              </w:rPr>
            </w:pPr>
            <w:r>
              <w:rPr>
                <w:spacing w:val="-2"/>
                <w:sz w:val="18"/>
              </w:rPr>
              <w:t>(671)</w:t>
            </w:r>
          </w:p>
        </w:tc>
        <w:tc>
          <w:tcPr>
            <w:tcW w:w="1334" w:type="dxa"/>
            <w:shd w:val="clear" w:color="auto" w:fill="CCEDFF"/>
          </w:tcPr>
          <w:p w14:paraId="5925D178" w14:textId="77777777" w:rsidR="00AE2255" w:rsidRDefault="00000000">
            <w:pPr>
              <w:pStyle w:val="TableParagraph"/>
              <w:spacing w:before="18"/>
              <w:ind w:left="463"/>
              <w:jc w:val="left"/>
              <w:rPr>
                <w:sz w:val="18"/>
              </w:rPr>
            </w:pPr>
            <w:r>
              <w:rPr>
                <w:spacing w:val="-2"/>
                <w:sz w:val="18"/>
              </w:rPr>
              <w:t>(3,407)</w:t>
            </w:r>
          </w:p>
        </w:tc>
        <w:tc>
          <w:tcPr>
            <w:tcW w:w="1011" w:type="dxa"/>
            <w:shd w:val="clear" w:color="auto" w:fill="CCEDFF"/>
          </w:tcPr>
          <w:p w14:paraId="1AE1CE20" w14:textId="77777777" w:rsidR="00AE2255" w:rsidRDefault="00000000">
            <w:pPr>
              <w:pStyle w:val="TableParagraph"/>
              <w:spacing w:before="18"/>
              <w:ind w:right="259"/>
              <w:rPr>
                <w:sz w:val="18"/>
              </w:rPr>
            </w:pPr>
            <w:r>
              <w:rPr>
                <w:sz w:val="18"/>
              </w:rPr>
              <w:t>—</w:t>
            </w:r>
          </w:p>
        </w:tc>
        <w:tc>
          <w:tcPr>
            <w:tcW w:w="1446" w:type="dxa"/>
            <w:shd w:val="clear" w:color="auto" w:fill="CCEDFF"/>
          </w:tcPr>
          <w:p w14:paraId="63AD59D2" w14:textId="77777777" w:rsidR="00AE2255" w:rsidRDefault="00000000">
            <w:pPr>
              <w:pStyle w:val="TableParagraph"/>
              <w:spacing w:before="18"/>
              <w:ind w:right="115"/>
              <w:rPr>
                <w:sz w:val="18"/>
              </w:rPr>
            </w:pPr>
            <w:r>
              <w:rPr>
                <w:spacing w:val="-2"/>
                <w:sz w:val="18"/>
              </w:rPr>
              <w:t>(4,087)</w:t>
            </w:r>
          </w:p>
        </w:tc>
        <w:tc>
          <w:tcPr>
            <w:tcW w:w="1371" w:type="dxa"/>
            <w:shd w:val="clear" w:color="auto" w:fill="CCEDFF"/>
          </w:tcPr>
          <w:p w14:paraId="0C5BAFF9" w14:textId="77777777" w:rsidR="00AE2255" w:rsidRDefault="00000000">
            <w:pPr>
              <w:pStyle w:val="TableParagraph"/>
              <w:spacing w:before="18"/>
              <w:ind w:right="211"/>
              <w:rPr>
                <w:sz w:val="18"/>
              </w:rPr>
            </w:pPr>
            <w:r>
              <w:rPr>
                <w:sz w:val="18"/>
              </w:rPr>
              <w:t>—</w:t>
            </w:r>
          </w:p>
        </w:tc>
        <w:tc>
          <w:tcPr>
            <w:tcW w:w="887" w:type="dxa"/>
            <w:shd w:val="clear" w:color="auto" w:fill="CCEDFF"/>
          </w:tcPr>
          <w:p w14:paraId="347A9F67" w14:textId="77777777" w:rsidR="00AE2255" w:rsidRDefault="00000000">
            <w:pPr>
              <w:pStyle w:val="TableParagraph"/>
              <w:spacing w:before="18"/>
              <w:ind w:right="3"/>
              <w:rPr>
                <w:sz w:val="18"/>
              </w:rPr>
            </w:pPr>
            <w:r>
              <w:rPr>
                <w:spacing w:val="-2"/>
                <w:sz w:val="18"/>
              </w:rPr>
              <w:t>(4,087)</w:t>
            </w:r>
          </w:p>
        </w:tc>
      </w:tr>
      <w:tr w:rsidR="00AE2255" w14:paraId="339CFD9F" w14:textId="77777777">
        <w:trPr>
          <w:trHeight w:val="420"/>
        </w:trPr>
        <w:tc>
          <w:tcPr>
            <w:tcW w:w="2424" w:type="dxa"/>
          </w:tcPr>
          <w:p w14:paraId="7FE93F2B" w14:textId="77777777" w:rsidR="00AE2255" w:rsidRDefault="00000000">
            <w:pPr>
              <w:pStyle w:val="TableParagraph"/>
              <w:spacing w:before="40" w:line="180" w:lineRule="exact"/>
              <w:ind w:left="232" w:hanging="180"/>
              <w:jc w:val="left"/>
              <w:rPr>
                <w:sz w:val="18"/>
              </w:rPr>
            </w:pPr>
            <w:r>
              <w:rPr>
                <w:sz w:val="18"/>
              </w:rPr>
              <w:t>Dividends</w:t>
            </w:r>
            <w:r>
              <w:rPr>
                <w:spacing w:val="-12"/>
                <w:sz w:val="18"/>
              </w:rPr>
              <w:t xml:space="preserve"> </w:t>
            </w:r>
            <w:r>
              <w:rPr>
                <w:sz w:val="18"/>
              </w:rPr>
              <w:t>declared</w:t>
            </w:r>
            <w:r>
              <w:rPr>
                <w:spacing w:val="-11"/>
                <w:sz w:val="18"/>
              </w:rPr>
              <w:t xml:space="preserve"> </w:t>
            </w:r>
            <w:r>
              <w:rPr>
                <w:sz w:val="18"/>
              </w:rPr>
              <w:t>($10.60</w:t>
            </w:r>
            <w:r>
              <w:rPr>
                <w:spacing w:val="-11"/>
                <w:sz w:val="18"/>
              </w:rPr>
              <w:t xml:space="preserve"> </w:t>
            </w:r>
            <w:r>
              <w:rPr>
                <w:sz w:val="18"/>
              </w:rPr>
              <w:t xml:space="preserve">per </w:t>
            </w:r>
            <w:r>
              <w:rPr>
                <w:spacing w:val="-2"/>
                <w:sz w:val="18"/>
              </w:rPr>
              <w:t>share)</w:t>
            </w:r>
          </w:p>
        </w:tc>
        <w:tc>
          <w:tcPr>
            <w:tcW w:w="1014" w:type="dxa"/>
          </w:tcPr>
          <w:p w14:paraId="32294D2F" w14:textId="77777777" w:rsidR="00AE2255" w:rsidRDefault="00AE2255">
            <w:pPr>
              <w:pStyle w:val="TableParagraph"/>
              <w:spacing w:before="10"/>
              <w:jc w:val="left"/>
              <w:rPr>
                <w:b/>
                <w:sz w:val="15"/>
              </w:rPr>
            </w:pPr>
          </w:p>
          <w:p w14:paraId="7582C196" w14:textId="77777777" w:rsidR="00AE2255" w:rsidRDefault="00000000">
            <w:pPr>
              <w:pStyle w:val="TableParagraph"/>
              <w:spacing w:before="0"/>
              <w:ind w:right="90"/>
              <w:rPr>
                <w:sz w:val="18"/>
              </w:rPr>
            </w:pPr>
            <w:r>
              <w:rPr>
                <w:sz w:val="18"/>
              </w:rPr>
              <w:t>—</w:t>
            </w:r>
          </w:p>
        </w:tc>
        <w:tc>
          <w:tcPr>
            <w:tcW w:w="974" w:type="dxa"/>
          </w:tcPr>
          <w:p w14:paraId="34499C91" w14:textId="77777777" w:rsidR="00AE2255" w:rsidRDefault="00AE2255">
            <w:pPr>
              <w:pStyle w:val="TableParagraph"/>
              <w:spacing w:before="10"/>
              <w:jc w:val="left"/>
              <w:rPr>
                <w:b/>
                <w:sz w:val="15"/>
              </w:rPr>
            </w:pPr>
          </w:p>
          <w:p w14:paraId="070830EF" w14:textId="77777777" w:rsidR="00AE2255" w:rsidRDefault="00000000">
            <w:pPr>
              <w:pStyle w:val="TableParagraph"/>
              <w:spacing w:before="0"/>
              <w:ind w:right="149"/>
              <w:rPr>
                <w:sz w:val="18"/>
              </w:rPr>
            </w:pPr>
            <w:r>
              <w:rPr>
                <w:sz w:val="18"/>
              </w:rPr>
              <w:t>—</w:t>
            </w:r>
          </w:p>
        </w:tc>
        <w:tc>
          <w:tcPr>
            <w:tcW w:w="1334" w:type="dxa"/>
          </w:tcPr>
          <w:p w14:paraId="6049F486" w14:textId="77777777" w:rsidR="00AE2255" w:rsidRDefault="00AE2255">
            <w:pPr>
              <w:pStyle w:val="TableParagraph"/>
              <w:spacing w:before="10"/>
              <w:jc w:val="left"/>
              <w:rPr>
                <w:b/>
                <w:sz w:val="15"/>
              </w:rPr>
            </w:pPr>
          </w:p>
          <w:p w14:paraId="10369F42" w14:textId="77777777" w:rsidR="00AE2255" w:rsidRDefault="00000000">
            <w:pPr>
              <w:pStyle w:val="TableParagraph"/>
              <w:spacing w:before="0"/>
              <w:ind w:left="463"/>
              <w:jc w:val="left"/>
              <w:rPr>
                <w:sz w:val="18"/>
              </w:rPr>
            </w:pPr>
            <w:r>
              <w:rPr>
                <w:spacing w:val="-2"/>
                <w:sz w:val="18"/>
              </w:rPr>
              <w:t>(2,944)</w:t>
            </w:r>
          </w:p>
        </w:tc>
        <w:tc>
          <w:tcPr>
            <w:tcW w:w="1011" w:type="dxa"/>
          </w:tcPr>
          <w:p w14:paraId="1A887401" w14:textId="77777777" w:rsidR="00AE2255" w:rsidRDefault="00AE2255">
            <w:pPr>
              <w:pStyle w:val="TableParagraph"/>
              <w:spacing w:before="10"/>
              <w:jc w:val="left"/>
              <w:rPr>
                <w:b/>
                <w:sz w:val="15"/>
              </w:rPr>
            </w:pPr>
          </w:p>
          <w:p w14:paraId="7FD719B5" w14:textId="77777777" w:rsidR="00AE2255" w:rsidRDefault="00000000">
            <w:pPr>
              <w:pStyle w:val="TableParagraph"/>
              <w:spacing w:before="0"/>
              <w:ind w:right="259"/>
              <w:rPr>
                <w:sz w:val="18"/>
              </w:rPr>
            </w:pPr>
            <w:r>
              <w:rPr>
                <w:sz w:val="18"/>
              </w:rPr>
              <w:t>—</w:t>
            </w:r>
          </w:p>
        </w:tc>
        <w:tc>
          <w:tcPr>
            <w:tcW w:w="1446" w:type="dxa"/>
          </w:tcPr>
          <w:p w14:paraId="7A0242AA" w14:textId="77777777" w:rsidR="00AE2255" w:rsidRDefault="00AE2255">
            <w:pPr>
              <w:pStyle w:val="TableParagraph"/>
              <w:spacing w:before="10"/>
              <w:jc w:val="left"/>
              <w:rPr>
                <w:b/>
                <w:sz w:val="15"/>
              </w:rPr>
            </w:pPr>
          </w:p>
          <w:p w14:paraId="43C47529" w14:textId="77777777" w:rsidR="00AE2255" w:rsidRDefault="00000000">
            <w:pPr>
              <w:pStyle w:val="TableParagraph"/>
              <w:spacing w:before="0"/>
              <w:ind w:right="115"/>
              <w:rPr>
                <w:sz w:val="18"/>
              </w:rPr>
            </w:pPr>
            <w:r>
              <w:rPr>
                <w:spacing w:val="-2"/>
                <w:sz w:val="18"/>
              </w:rPr>
              <w:t>(2,944)</w:t>
            </w:r>
          </w:p>
        </w:tc>
        <w:tc>
          <w:tcPr>
            <w:tcW w:w="1371" w:type="dxa"/>
          </w:tcPr>
          <w:p w14:paraId="62CF740B" w14:textId="77777777" w:rsidR="00AE2255" w:rsidRDefault="00AE2255">
            <w:pPr>
              <w:pStyle w:val="TableParagraph"/>
              <w:spacing w:before="10"/>
              <w:jc w:val="left"/>
              <w:rPr>
                <w:b/>
                <w:sz w:val="15"/>
              </w:rPr>
            </w:pPr>
          </w:p>
          <w:p w14:paraId="4BA3B525" w14:textId="77777777" w:rsidR="00AE2255" w:rsidRDefault="00000000">
            <w:pPr>
              <w:pStyle w:val="TableParagraph"/>
              <w:spacing w:before="0"/>
              <w:ind w:right="211"/>
              <w:rPr>
                <w:sz w:val="18"/>
              </w:rPr>
            </w:pPr>
            <w:r>
              <w:rPr>
                <w:sz w:val="18"/>
              </w:rPr>
              <w:t>—</w:t>
            </w:r>
          </w:p>
        </w:tc>
        <w:tc>
          <w:tcPr>
            <w:tcW w:w="887" w:type="dxa"/>
          </w:tcPr>
          <w:p w14:paraId="62691C8A" w14:textId="77777777" w:rsidR="00AE2255" w:rsidRDefault="00AE2255">
            <w:pPr>
              <w:pStyle w:val="TableParagraph"/>
              <w:spacing w:before="10"/>
              <w:jc w:val="left"/>
              <w:rPr>
                <w:b/>
                <w:sz w:val="15"/>
              </w:rPr>
            </w:pPr>
          </w:p>
          <w:p w14:paraId="7578BAA3" w14:textId="77777777" w:rsidR="00AE2255" w:rsidRDefault="00000000">
            <w:pPr>
              <w:pStyle w:val="TableParagraph"/>
              <w:spacing w:before="0"/>
              <w:ind w:right="3"/>
              <w:rPr>
                <w:sz w:val="18"/>
              </w:rPr>
            </w:pPr>
            <w:r>
              <w:rPr>
                <w:spacing w:val="-2"/>
                <w:sz w:val="18"/>
              </w:rPr>
              <w:t>(2,944)</w:t>
            </w:r>
          </w:p>
        </w:tc>
      </w:tr>
      <w:tr w:rsidR="00AE2255" w14:paraId="3B9BA918" w14:textId="77777777">
        <w:trPr>
          <w:trHeight w:val="420"/>
        </w:trPr>
        <w:tc>
          <w:tcPr>
            <w:tcW w:w="2424" w:type="dxa"/>
            <w:shd w:val="clear" w:color="auto" w:fill="CCEDFF"/>
          </w:tcPr>
          <w:p w14:paraId="28BA80B9" w14:textId="77777777" w:rsidR="00AE2255" w:rsidRDefault="00000000">
            <w:pPr>
              <w:pStyle w:val="TableParagraph"/>
              <w:spacing w:before="40" w:line="180" w:lineRule="exact"/>
              <w:ind w:left="232" w:right="96" w:hanging="180"/>
              <w:jc w:val="left"/>
              <w:rPr>
                <w:sz w:val="18"/>
              </w:rPr>
            </w:pPr>
            <w:r>
              <w:rPr>
                <w:sz w:val="18"/>
              </w:rPr>
              <w:t>Stock-based</w:t>
            </w:r>
            <w:r>
              <w:rPr>
                <w:spacing w:val="-12"/>
                <w:sz w:val="18"/>
              </w:rPr>
              <w:t xml:space="preserve"> </w:t>
            </w:r>
            <w:r>
              <w:rPr>
                <w:sz w:val="18"/>
              </w:rPr>
              <w:t>awards,</w:t>
            </w:r>
            <w:r>
              <w:rPr>
                <w:spacing w:val="-11"/>
                <w:sz w:val="18"/>
              </w:rPr>
              <w:t xml:space="preserve"> </w:t>
            </w:r>
            <w:r>
              <w:rPr>
                <w:sz w:val="18"/>
              </w:rPr>
              <w:t>ESOP activity and other</w:t>
            </w:r>
          </w:p>
        </w:tc>
        <w:tc>
          <w:tcPr>
            <w:tcW w:w="1014" w:type="dxa"/>
            <w:shd w:val="clear" w:color="auto" w:fill="CCEDFF"/>
          </w:tcPr>
          <w:p w14:paraId="15E90962" w14:textId="77777777" w:rsidR="00AE2255" w:rsidRDefault="00AE2255">
            <w:pPr>
              <w:pStyle w:val="TableParagraph"/>
              <w:spacing w:before="10"/>
              <w:jc w:val="left"/>
              <w:rPr>
                <w:b/>
                <w:sz w:val="15"/>
              </w:rPr>
            </w:pPr>
          </w:p>
          <w:p w14:paraId="2819B5B7" w14:textId="77777777" w:rsidR="00AE2255" w:rsidRDefault="00000000">
            <w:pPr>
              <w:pStyle w:val="TableParagraph"/>
              <w:spacing w:before="0"/>
              <w:ind w:right="90"/>
              <w:rPr>
                <w:sz w:val="18"/>
              </w:rPr>
            </w:pPr>
            <w:r>
              <w:rPr>
                <w:sz w:val="18"/>
              </w:rPr>
              <w:t>1</w:t>
            </w:r>
          </w:p>
        </w:tc>
        <w:tc>
          <w:tcPr>
            <w:tcW w:w="974" w:type="dxa"/>
            <w:shd w:val="clear" w:color="auto" w:fill="CCEDFF"/>
          </w:tcPr>
          <w:p w14:paraId="7D5D0166" w14:textId="77777777" w:rsidR="00AE2255" w:rsidRDefault="00AE2255">
            <w:pPr>
              <w:pStyle w:val="TableParagraph"/>
              <w:spacing w:before="10"/>
              <w:jc w:val="left"/>
              <w:rPr>
                <w:b/>
                <w:sz w:val="15"/>
              </w:rPr>
            </w:pPr>
          </w:p>
          <w:p w14:paraId="740B90AD" w14:textId="77777777" w:rsidR="00AE2255" w:rsidRDefault="00000000">
            <w:pPr>
              <w:pStyle w:val="TableParagraph"/>
              <w:spacing w:before="0"/>
              <w:ind w:right="149"/>
              <w:rPr>
                <w:sz w:val="18"/>
              </w:rPr>
            </w:pPr>
            <w:r>
              <w:rPr>
                <w:spacing w:val="-5"/>
                <w:sz w:val="18"/>
              </w:rPr>
              <w:t>544</w:t>
            </w:r>
          </w:p>
        </w:tc>
        <w:tc>
          <w:tcPr>
            <w:tcW w:w="1334" w:type="dxa"/>
            <w:shd w:val="clear" w:color="auto" w:fill="CCEDFF"/>
          </w:tcPr>
          <w:p w14:paraId="7ABA28F7" w14:textId="77777777" w:rsidR="00AE2255" w:rsidRDefault="00AE2255">
            <w:pPr>
              <w:pStyle w:val="TableParagraph"/>
              <w:spacing w:before="10"/>
              <w:jc w:val="left"/>
              <w:rPr>
                <w:b/>
                <w:sz w:val="15"/>
              </w:rPr>
            </w:pPr>
          </w:p>
          <w:p w14:paraId="52C29021" w14:textId="77777777" w:rsidR="00AE2255" w:rsidRDefault="00000000">
            <w:pPr>
              <w:pStyle w:val="TableParagraph"/>
              <w:spacing w:before="0"/>
              <w:ind w:left="748"/>
              <w:jc w:val="left"/>
              <w:rPr>
                <w:sz w:val="18"/>
              </w:rPr>
            </w:pPr>
            <w:r>
              <w:rPr>
                <w:sz w:val="18"/>
              </w:rPr>
              <w:t>—</w:t>
            </w:r>
          </w:p>
        </w:tc>
        <w:tc>
          <w:tcPr>
            <w:tcW w:w="1011" w:type="dxa"/>
            <w:shd w:val="clear" w:color="auto" w:fill="CCEDFF"/>
          </w:tcPr>
          <w:p w14:paraId="0D201A55" w14:textId="77777777" w:rsidR="00AE2255" w:rsidRDefault="00AE2255">
            <w:pPr>
              <w:pStyle w:val="TableParagraph"/>
              <w:spacing w:before="10"/>
              <w:jc w:val="left"/>
              <w:rPr>
                <w:b/>
                <w:sz w:val="15"/>
              </w:rPr>
            </w:pPr>
          </w:p>
          <w:p w14:paraId="239EE847" w14:textId="77777777" w:rsidR="00AE2255" w:rsidRDefault="00000000">
            <w:pPr>
              <w:pStyle w:val="TableParagraph"/>
              <w:spacing w:before="0"/>
              <w:ind w:right="259"/>
              <w:rPr>
                <w:sz w:val="18"/>
              </w:rPr>
            </w:pPr>
            <w:r>
              <w:rPr>
                <w:sz w:val="18"/>
              </w:rPr>
              <w:t>—</w:t>
            </w:r>
          </w:p>
        </w:tc>
        <w:tc>
          <w:tcPr>
            <w:tcW w:w="1446" w:type="dxa"/>
            <w:shd w:val="clear" w:color="auto" w:fill="CCEDFF"/>
          </w:tcPr>
          <w:p w14:paraId="2241A484" w14:textId="77777777" w:rsidR="00AE2255" w:rsidRDefault="00AE2255">
            <w:pPr>
              <w:pStyle w:val="TableParagraph"/>
              <w:spacing w:before="10"/>
              <w:jc w:val="left"/>
              <w:rPr>
                <w:b/>
                <w:sz w:val="15"/>
              </w:rPr>
            </w:pPr>
          </w:p>
          <w:p w14:paraId="4B5122AF" w14:textId="77777777" w:rsidR="00AE2255" w:rsidRDefault="00000000">
            <w:pPr>
              <w:pStyle w:val="TableParagraph"/>
              <w:spacing w:before="0"/>
              <w:ind w:right="175"/>
              <w:rPr>
                <w:sz w:val="18"/>
              </w:rPr>
            </w:pPr>
            <w:r>
              <w:rPr>
                <w:spacing w:val="-5"/>
                <w:sz w:val="18"/>
              </w:rPr>
              <w:t>545</w:t>
            </w:r>
          </w:p>
        </w:tc>
        <w:tc>
          <w:tcPr>
            <w:tcW w:w="1371" w:type="dxa"/>
            <w:shd w:val="clear" w:color="auto" w:fill="CCEDFF"/>
          </w:tcPr>
          <w:p w14:paraId="02AC7F66" w14:textId="77777777" w:rsidR="00AE2255" w:rsidRDefault="00AE2255">
            <w:pPr>
              <w:pStyle w:val="TableParagraph"/>
              <w:spacing w:before="10"/>
              <w:jc w:val="left"/>
              <w:rPr>
                <w:b/>
                <w:sz w:val="15"/>
              </w:rPr>
            </w:pPr>
          </w:p>
          <w:p w14:paraId="2EA02E25" w14:textId="77777777" w:rsidR="00AE2255" w:rsidRDefault="00000000">
            <w:pPr>
              <w:pStyle w:val="TableParagraph"/>
              <w:spacing w:before="0"/>
              <w:ind w:right="211"/>
              <w:rPr>
                <w:sz w:val="18"/>
              </w:rPr>
            </w:pPr>
            <w:r>
              <w:rPr>
                <w:sz w:val="18"/>
              </w:rPr>
              <w:t>—</w:t>
            </w:r>
          </w:p>
        </w:tc>
        <w:tc>
          <w:tcPr>
            <w:tcW w:w="887" w:type="dxa"/>
            <w:shd w:val="clear" w:color="auto" w:fill="CCEDFF"/>
          </w:tcPr>
          <w:p w14:paraId="5216FCDC" w14:textId="77777777" w:rsidR="00AE2255" w:rsidRDefault="00AE2255">
            <w:pPr>
              <w:pStyle w:val="TableParagraph"/>
              <w:spacing w:before="10"/>
              <w:jc w:val="left"/>
              <w:rPr>
                <w:b/>
                <w:sz w:val="15"/>
              </w:rPr>
            </w:pPr>
          </w:p>
          <w:p w14:paraId="56EF7656" w14:textId="77777777" w:rsidR="00AE2255" w:rsidRDefault="00000000">
            <w:pPr>
              <w:pStyle w:val="TableParagraph"/>
              <w:spacing w:before="0"/>
              <w:ind w:right="63"/>
              <w:rPr>
                <w:sz w:val="18"/>
              </w:rPr>
            </w:pPr>
            <w:r>
              <w:rPr>
                <w:spacing w:val="-5"/>
                <w:sz w:val="18"/>
              </w:rPr>
              <w:t>545</w:t>
            </w:r>
          </w:p>
        </w:tc>
      </w:tr>
      <w:tr w:rsidR="00AE2255" w14:paraId="40822322" w14:textId="77777777">
        <w:trPr>
          <w:trHeight w:val="410"/>
        </w:trPr>
        <w:tc>
          <w:tcPr>
            <w:tcW w:w="2424" w:type="dxa"/>
            <w:tcBorders>
              <w:bottom w:val="single" w:sz="8" w:space="0" w:color="auto"/>
            </w:tcBorders>
          </w:tcPr>
          <w:p w14:paraId="5DB2CE1E" w14:textId="77777777" w:rsidR="00AE2255" w:rsidRDefault="00000000">
            <w:pPr>
              <w:pStyle w:val="TableParagraph"/>
              <w:spacing w:before="30" w:line="180" w:lineRule="exact"/>
              <w:ind w:left="232" w:right="96" w:hanging="180"/>
              <w:jc w:val="left"/>
              <w:rPr>
                <w:sz w:val="18"/>
              </w:rPr>
            </w:pPr>
            <w:r>
              <w:rPr>
                <w:sz w:val="18"/>
              </w:rPr>
              <w:t>Net</w:t>
            </w:r>
            <w:r>
              <w:rPr>
                <w:spacing w:val="-12"/>
                <w:sz w:val="18"/>
              </w:rPr>
              <w:t xml:space="preserve"> </w:t>
            </w:r>
            <w:r>
              <w:rPr>
                <w:sz w:val="18"/>
              </w:rPr>
              <w:t>decrease</w:t>
            </w:r>
            <w:r>
              <w:rPr>
                <w:spacing w:val="-11"/>
                <w:sz w:val="18"/>
              </w:rPr>
              <w:t xml:space="preserve"> </w:t>
            </w:r>
            <w:r>
              <w:rPr>
                <w:sz w:val="18"/>
              </w:rPr>
              <w:t>in</w:t>
            </w:r>
            <w:r>
              <w:rPr>
                <w:spacing w:val="-11"/>
                <w:sz w:val="18"/>
              </w:rPr>
              <w:t xml:space="preserve"> </w:t>
            </w:r>
            <w:r>
              <w:rPr>
                <w:sz w:val="18"/>
              </w:rPr>
              <w:t>noncontrolling interests in subsidiary</w:t>
            </w:r>
          </w:p>
        </w:tc>
        <w:tc>
          <w:tcPr>
            <w:tcW w:w="1014" w:type="dxa"/>
            <w:tcBorders>
              <w:bottom w:val="single" w:sz="8" w:space="0" w:color="auto"/>
            </w:tcBorders>
          </w:tcPr>
          <w:p w14:paraId="2F9A2AEB" w14:textId="77777777" w:rsidR="00AE2255" w:rsidRDefault="00AE2255">
            <w:pPr>
              <w:pStyle w:val="TableParagraph"/>
              <w:spacing w:before="10"/>
              <w:jc w:val="left"/>
              <w:rPr>
                <w:b/>
                <w:sz w:val="15"/>
              </w:rPr>
            </w:pPr>
          </w:p>
          <w:p w14:paraId="486D40ED" w14:textId="77777777" w:rsidR="00AE2255" w:rsidRDefault="00000000">
            <w:pPr>
              <w:pStyle w:val="TableParagraph"/>
              <w:spacing w:before="0"/>
              <w:ind w:right="90"/>
              <w:rPr>
                <w:sz w:val="18"/>
              </w:rPr>
            </w:pPr>
            <w:r>
              <w:rPr>
                <w:sz w:val="18"/>
              </w:rPr>
              <w:t>—</w:t>
            </w:r>
          </w:p>
        </w:tc>
        <w:tc>
          <w:tcPr>
            <w:tcW w:w="974" w:type="dxa"/>
            <w:tcBorders>
              <w:bottom w:val="single" w:sz="8" w:space="0" w:color="auto"/>
            </w:tcBorders>
          </w:tcPr>
          <w:p w14:paraId="2260AFD9" w14:textId="77777777" w:rsidR="00AE2255" w:rsidRDefault="00AE2255">
            <w:pPr>
              <w:pStyle w:val="TableParagraph"/>
              <w:spacing w:before="10"/>
              <w:jc w:val="left"/>
              <w:rPr>
                <w:b/>
                <w:sz w:val="15"/>
              </w:rPr>
            </w:pPr>
          </w:p>
          <w:p w14:paraId="7246D2F3" w14:textId="77777777" w:rsidR="00AE2255" w:rsidRDefault="00000000">
            <w:pPr>
              <w:pStyle w:val="TableParagraph"/>
              <w:spacing w:before="0"/>
              <w:ind w:right="149"/>
              <w:rPr>
                <w:sz w:val="18"/>
              </w:rPr>
            </w:pPr>
            <w:r>
              <w:rPr>
                <w:sz w:val="18"/>
              </w:rPr>
              <w:t>—</w:t>
            </w:r>
          </w:p>
        </w:tc>
        <w:tc>
          <w:tcPr>
            <w:tcW w:w="1334" w:type="dxa"/>
            <w:tcBorders>
              <w:bottom w:val="single" w:sz="8" w:space="0" w:color="auto"/>
            </w:tcBorders>
          </w:tcPr>
          <w:p w14:paraId="22179A2F" w14:textId="77777777" w:rsidR="00AE2255" w:rsidRDefault="00AE2255">
            <w:pPr>
              <w:pStyle w:val="TableParagraph"/>
              <w:spacing w:before="10"/>
              <w:jc w:val="left"/>
              <w:rPr>
                <w:b/>
                <w:sz w:val="15"/>
              </w:rPr>
            </w:pPr>
          </w:p>
          <w:p w14:paraId="7E82B1BF" w14:textId="77777777" w:rsidR="00AE2255" w:rsidRDefault="00000000">
            <w:pPr>
              <w:pStyle w:val="TableParagraph"/>
              <w:spacing w:before="0"/>
              <w:ind w:left="748"/>
              <w:jc w:val="left"/>
              <w:rPr>
                <w:sz w:val="18"/>
              </w:rPr>
            </w:pPr>
            <w:r>
              <w:rPr>
                <w:sz w:val="18"/>
              </w:rPr>
              <w:t>—</w:t>
            </w:r>
          </w:p>
        </w:tc>
        <w:tc>
          <w:tcPr>
            <w:tcW w:w="1011" w:type="dxa"/>
            <w:tcBorders>
              <w:bottom w:val="single" w:sz="8" w:space="0" w:color="auto"/>
            </w:tcBorders>
          </w:tcPr>
          <w:p w14:paraId="76E9E0D3" w14:textId="77777777" w:rsidR="00AE2255" w:rsidRDefault="00AE2255">
            <w:pPr>
              <w:pStyle w:val="TableParagraph"/>
              <w:spacing w:before="10"/>
              <w:jc w:val="left"/>
              <w:rPr>
                <w:b/>
                <w:sz w:val="15"/>
              </w:rPr>
            </w:pPr>
          </w:p>
          <w:p w14:paraId="0562E2FC" w14:textId="77777777" w:rsidR="00AE2255" w:rsidRDefault="00000000">
            <w:pPr>
              <w:pStyle w:val="TableParagraph"/>
              <w:spacing w:before="0"/>
              <w:ind w:right="259"/>
              <w:rPr>
                <w:sz w:val="18"/>
              </w:rPr>
            </w:pPr>
            <w:r>
              <w:rPr>
                <w:sz w:val="18"/>
              </w:rPr>
              <w:t>—</w:t>
            </w:r>
          </w:p>
        </w:tc>
        <w:tc>
          <w:tcPr>
            <w:tcW w:w="1446" w:type="dxa"/>
            <w:tcBorders>
              <w:bottom w:val="single" w:sz="8" w:space="0" w:color="auto"/>
            </w:tcBorders>
          </w:tcPr>
          <w:p w14:paraId="3DAA996A" w14:textId="77777777" w:rsidR="00AE2255" w:rsidRDefault="00AE2255">
            <w:pPr>
              <w:pStyle w:val="TableParagraph"/>
              <w:spacing w:before="10"/>
              <w:jc w:val="left"/>
              <w:rPr>
                <w:b/>
                <w:sz w:val="15"/>
              </w:rPr>
            </w:pPr>
          </w:p>
          <w:p w14:paraId="54CC565E" w14:textId="77777777" w:rsidR="00AE2255" w:rsidRDefault="00000000">
            <w:pPr>
              <w:pStyle w:val="TableParagraph"/>
              <w:spacing w:before="0"/>
              <w:ind w:right="175"/>
              <w:rPr>
                <w:sz w:val="18"/>
              </w:rPr>
            </w:pPr>
            <w:r>
              <w:rPr>
                <w:sz w:val="18"/>
              </w:rPr>
              <w:t>—</w:t>
            </w:r>
          </w:p>
        </w:tc>
        <w:tc>
          <w:tcPr>
            <w:tcW w:w="1371" w:type="dxa"/>
            <w:tcBorders>
              <w:bottom w:val="single" w:sz="8" w:space="0" w:color="auto"/>
            </w:tcBorders>
          </w:tcPr>
          <w:p w14:paraId="3E1A2C57" w14:textId="77777777" w:rsidR="00AE2255" w:rsidRDefault="00AE2255">
            <w:pPr>
              <w:pStyle w:val="TableParagraph"/>
              <w:spacing w:before="10"/>
              <w:jc w:val="left"/>
              <w:rPr>
                <w:b/>
                <w:sz w:val="15"/>
              </w:rPr>
            </w:pPr>
          </w:p>
          <w:p w14:paraId="0D23D76E" w14:textId="77777777" w:rsidR="00AE2255" w:rsidRDefault="00000000">
            <w:pPr>
              <w:pStyle w:val="TableParagraph"/>
              <w:spacing w:before="0"/>
              <w:ind w:right="151"/>
              <w:rPr>
                <w:sz w:val="18"/>
              </w:rPr>
            </w:pPr>
            <w:r>
              <w:rPr>
                <w:spacing w:val="-4"/>
                <w:sz w:val="18"/>
              </w:rPr>
              <w:t>(23)</w:t>
            </w:r>
          </w:p>
        </w:tc>
        <w:tc>
          <w:tcPr>
            <w:tcW w:w="887" w:type="dxa"/>
            <w:tcBorders>
              <w:bottom w:val="single" w:sz="8" w:space="0" w:color="auto"/>
            </w:tcBorders>
          </w:tcPr>
          <w:p w14:paraId="330C57ED" w14:textId="77777777" w:rsidR="00AE2255" w:rsidRDefault="00AE2255">
            <w:pPr>
              <w:pStyle w:val="TableParagraph"/>
              <w:spacing w:before="10"/>
              <w:jc w:val="left"/>
              <w:rPr>
                <w:b/>
                <w:sz w:val="15"/>
              </w:rPr>
            </w:pPr>
          </w:p>
          <w:p w14:paraId="7B95E514" w14:textId="77777777" w:rsidR="00AE2255" w:rsidRDefault="00000000">
            <w:pPr>
              <w:pStyle w:val="TableParagraph"/>
              <w:spacing w:before="0"/>
              <w:ind w:right="3"/>
              <w:rPr>
                <w:sz w:val="18"/>
              </w:rPr>
            </w:pPr>
            <w:r>
              <w:rPr>
                <w:spacing w:val="-4"/>
                <w:sz w:val="18"/>
              </w:rPr>
              <w:t>(23)</w:t>
            </w:r>
          </w:p>
        </w:tc>
      </w:tr>
      <w:tr w:rsidR="00AE2255" w14:paraId="138E3B5B" w14:textId="77777777">
        <w:trPr>
          <w:trHeight w:val="235"/>
        </w:trPr>
        <w:tc>
          <w:tcPr>
            <w:tcW w:w="2424" w:type="dxa"/>
            <w:tcBorders>
              <w:top w:val="single" w:sz="8" w:space="0" w:color="CCEDFF"/>
              <w:bottom w:val="single" w:sz="8" w:space="0" w:color="CCEDFF"/>
            </w:tcBorders>
            <w:shd w:val="clear" w:color="auto" w:fill="CCEDFF"/>
          </w:tcPr>
          <w:p w14:paraId="5B8A945C" w14:textId="77777777" w:rsidR="00AE2255" w:rsidRDefault="00000000">
            <w:pPr>
              <w:pStyle w:val="TableParagraph"/>
              <w:spacing w:before="21" w:line="193" w:lineRule="exact"/>
              <w:ind w:left="52"/>
              <w:jc w:val="left"/>
              <w:rPr>
                <w:sz w:val="18"/>
              </w:rPr>
            </w:pPr>
            <w:r>
              <w:rPr>
                <w:sz w:val="18"/>
              </w:rPr>
              <w:t>Balance</w:t>
            </w:r>
            <w:r>
              <w:rPr>
                <w:spacing w:val="-1"/>
                <w:sz w:val="18"/>
              </w:rPr>
              <w:t xml:space="preserve"> </w:t>
            </w:r>
            <w:proofErr w:type="gramStart"/>
            <w:r>
              <w:rPr>
                <w:sz w:val="18"/>
              </w:rPr>
              <w:t>at</w:t>
            </w:r>
            <w:proofErr w:type="gramEnd"/>
            <w:r>
              <w:rPr>
                <w:sz w:val="18"/>
              </w:rPr>
              <w:t xml:space="preserve"> December 31, </w:t>
            </w:r>
            <w:r>
              <w:rPr>
                <w:spacing w:val="-4"/>
                <w:sz w:val="18"/>
              </w:rPr>
              <w:t>2021</w:t>
            </w:r>
          </w:p>
        </w:tc>
        <w:tc>
          <w:tcPr>
            <w:tcW w:w="1014" w:type="dxa"/>
            <w:tcBorders>
              <w:top w:val="single" w:sz="8" w:space="0" w:color="CCEDFF"/>
              <w:bottom w:val="single" w:sz="8" w:space="0" w:color="CCEDFF"/>
            </w:tcBorders>
            <w:shd w:val="clear" w:color="auto" w:fill="CCEDFF"/>
          </w:tcPr>
          <w:p w14:paraId="6E6A726C" w14:textId="77777777" w:rsidR="00AE2255" w:rsidRDefault="00000000">
            <w:pPr>
              <w:pStyle w:val="TableParagraph"/>
              <w:tabs>
                <w:tab w:val="left" w:pos="547"/>
              </w:tabs>
              <w:spacing w:before="8"/>
              <w:ind w:right="90"/>
              <w:rPr>
                <w:sz w:val="18"/>
              </w:rPr>
            </w:pPr>
            <w:r>
              <w:rPr>
                <w:spacing w:val="-10"/>
                <w:sz w:val="18"/>
              </w:rPr>
              <w:t>$</w:t>
            </w:r>
            <w:r>
              <w:rPr>
                <w:sz w:val="18"/>
              </w:rPr>
              <w:tab/>
            </w:r>
            <w:r>
              <w:rPr>
                <w:spacing w:val="-5"/>
                <w:sz w:val="18"/>
              </w:rPr>
              <w:t>271</w:t>
            </w:r>
          </w:p>
        </w:tc>
        <w:tc>
          <w:tcPr>
            <w:tcW w:w="974" w:type="dxa"/>
            <w:tcBorders>
              <w:top w:val="single" w:sz="8" w:space="0" w:color="CCEDFF"/>
              <w:bottom w:val="single" w:sz="8" w:space="0" w:color="CCEDFF"/>
            </w:tcBorders>
            <w:shd w:val="clear" w:color="auto" w:fill="CCEDFF"/>
          </w:tcPr>
          <w:p w14:paraId="04B493BF" w14:textId="77777777" w:rsidR="00AE2255" w:rsidRDefault="00000000">
            <w:pPr>
              <w:pStyle w:val="TableParagraph"/>
              <w:tabs>
                <w:tab w:val="left" w:pos="607"/>
              </w:tabs>
              <w:spacing w:before="8"/>
              <w:ind w:right="149"/>
              <w:rPr>
                <w:sz w:val="18"/>
              </w:rPr>
            </w:pPr>
            <w:r>
              <w:rPr>
                <w:spacing w:val="-10"/>
                <w:sz w:val="18"/>
              </w:rPr>
              <w:t>$</w:t>
            </w:r>
            <w:r>
              <w:rPr>
                <w:sz w:val="18"/>
              </w:rPr>
              <w:tab/>
            </w:r>
            <w:r>
              <w:rPr>
                <w:spacing w:val="-5"/>
                <w:sz w:val="18"/>
              </w:rPr>
              <w:t>94</w:t>
            </w:r>
          </w:p>
        </w:tc>
        <w:tc>
          <w:tcPr>
            <w:tcW w:w="1334" w:type="dxa"/>
            <w:tcBorders>
              <w:top w:val="single" w:sz="8" w:space="0" w:color="CCEDFF"/>
              <w:bottom w:val="single" w:sz="8" w:space="0" w:color="CCEDFF"/>
            </w:tcBorders>
            <w:shd w:val="clear" w:color="auto" w:fill="CCEDFF"/>
          </w:tcPr>
          <w:p w14:paraId="1E94B944" w14:textId="77777777" w:rsidR="00AE2255" w:rsidRDefault="00000000">
            <w:pPr>
              <w:pStyle w:val="TableParagraph"/>
              <w:tabs>
                <w:tab w:val="left" w:pos="433"/>
              </w:tabs>
              <w:spacing w:before="8"/>
              <w:ind w:left="95"/>
              <w:jc w:val="left"/>
              <w:rPr>
                <w:sz w:val="18"/>
              </w:rPr>
            </w:pPr>
            <w:r>
              <w:rPr>
                <w:spacing w:val="-10"/>
                <w:sz w:val="18"/>
              </w:rPr>
              <w:t>$</w:t>
            </w:r>
            <w:r>
              <w:rPr>
                <w:sz w:val="18"/>
              </w:rPr>
              <w:tab/>
              <w:t>21,600</w:t>
            </w:r>
            <w:r>
              <w:rPr>
                <w:spacing w:val="59"/>
                <w:w w:val="150"/>
                <w:sz w:val="18"/>
              </w:rPr>
              <w:t xml:space="preserve"> </w:t>
            </w:r>
            <w:r>
              <w:rPr>
                <w:spacing w:val="-10"/>
                <w:sz w:val="18"/>
              </w:rPr>
              <w:t>$</w:t>
            </w:r>
          </w:p>
        </w:tc>
        <w:tc>
          <w:tcPr>
            <w:tcW w:w="1011" w:type="dxa"/>
            <w:tcBorders>
              <w:top w:val="single" w:sz="8" w:space="0" w:color="CCEDFF"/>
              <w:bottom w:val="single" w:sz="8" w:space="0" w:color="CCEDFF"/>
            </w:tcBorders>
            <w:shd w:val="clear" w:color="auto" w:fill="CCEDFF"/>
          </w:tcPr>
          <w:p w14:paraId="4A9425FE" w14:textId="77777777" w:rsidR="00AE2255" w:rsidRDefault="00000000">
            <w:pPr>
              <w:pStyle w:val="TableParagraph"/>
              <w:spacing w:before="8"/>
              <w:ind w:right="199"/>
              <w:rPr>
                <w:sz w:val="18"/>
              </w:rPr>
            </w:pPr>
            <w:r>
              <w:rPr>
                <w:spacing w:val="-2"/>
                <w:sz w:val="18"/>
              </w:rPr>
              <w:t>(11,006)</w:t>
            </w:r>
          </w:p>
        </w:tc>
        <w:tc>
          <w:tcPr>
            <w:tcW w:w="1446" w:type="dxa"/>
            <w:tcBorders>
              <w:top w:val="single" w:sz="8" w:space="0" w:color="CCEDFF"/>
              <w:bottom w:val="single" w:sz="8" w:space="0" w:color="CCEDFF"/>
            </w:tcBorders>
            <w:shd w:val="clear" w:color="auto" w:fill="CCEDFF"/>
          </w:tcPr>
          <w:p w14:paraId="30825545" w14:textId="77777777" w:rsidR="00AE2255" w:rsidRDefault="00000000">
            <w:pPr>
              <w:pStyle w:val="TableParagraph"/>
              <w:tabs>
                <w:tab w:val="left" w:pos="562"/>
              </w:tabs>
              <w:spacing w:before="8"/>
              <w:ind w:right="175"/>
              <w:rPr>
                <w:sz w:val="18"/>
              </w:rPr>
            </w:pPr>
            <w:r>
              <w:rPr>
                <w:spacing w:val="-10"/>
                <w:sz w:val="18"/>
              </w:rPr>
              <w:t>$</w:t>
            </w:r>
            <w:r>
              <w:rPr>
                <w:sz w:val="18"/>
              </w:rPr>
              <w:tab/>
            </w:r>
            <w:r>
              <w:rPr>
                <w:spacing w:val="-2"/>
                <w:sz w:val="18"/>
              </w:rPr>
              <w:t>10,959</w:t>
            </w:r>
          </w:p>
        </w:tc>
        <w:tc>
          <w:tcPr>
            <w:tcW w:w="1371" w:type="dxa"/>
            <w:tcBorders>
              <w:top w:val="single" w:sz="8" w:space="0" w:color="CCEDFF"/>
              <w:bottom w:val="single" w:sz="8" w:space="0" w:color="CCEDFF"/>
            </w:tcBorders>
            <w:shd w:val="clear" w:color="auto" w:fill="CCEDFF"/>
          </w:tcPr>
          <w:p w14:paraId="130E034C" w14:textId="77777777" w:rsidR="00AE2255" w:rsidRDefault="00000000">
            <w:pPr>
              <w:pStyle w:val="TableParagraph"/>
              <w:tabs>
                <w:tab w:val="left" w:pos="976"/>
              </w:tabs>
              <w:spacing w:before="8"/>
              <w:ind w:left="129"/>
              <w:jc w:val="left"/>
              <w:rPr>
                <w:sz w:val="18"/>
              </w:rPr>
            </w:pPr>
            <w:r>
              <w:rPr>
                <w:spacing w:val="-10"/>
                <w:sz w:val="18"/>
              </w:rPr>
              <w:t>$</w:t>
            </w:r>
            <w:r>
              <w:rPr>
                <w:sz w:val="18"/>
              </w:rPr>
              <w:tab/>
            </w:r>
            <w:r>
              <w:rPr>
                <w:spacing w:val="-10"/>
                <w:sz w:val="18"/>
              </w:rPr>
              <w:t>—</w:t>
            </w:r>
          </w:p>
        </w:tc>
        <w:tc>
          <w:tcPr>
            <w:tcW w:w="887" w:type="dxa"/>
            <w:tcBorders>
              <w:top w:val="single" w:sz="8" w:space="0" w:color="CCEDFF"/>
              <w:bottom w:val="single" w:sz="8" w:space="0" w:color="CCEDFF"/>
            </w:tcBorders>
            <w:shd w:val="clear" w:color="auto" w:fill="CCEDFF"/>
          </w:tcPr>
          <w:p w14:paraId="1BA13C2D" w14:textId="77777777" w:rsidR="00AE2255" w:rsidRDefault="00000000">
            <w:pPr>
              <w:pStyle w:val="TableParagraph"/>
              <w:spacing w:before="8"/>
              <w:ind w:left="168"/>
              <w:jc w:val="left"/>
              <w:rPr>
                <w:sz w:val="18"/>
              </w:rPr>
            </w:pPr>
            <w:r>
              <w:rPr>
                <w:sz w:val="18"/>
              </w:rPr>
              <w:t>$</w:t>
            </w:r>
            <w:r>
              <w:rPr>
                <w:spacing w:val="22"/>
                <w:sz w:val="18"/>
              </w:rPr>
              <w:t xml:space="preserve"> </w:t>
            </w:r>
            <w:r>
              <w:rPr>
                <w:spacing w:val="-2"/>
                <w:sz w:val="18"/>
              </w:rPr>
              <w:t>10,959</w:t>
            </w:r>
          </w:p>
        </w:tc>
      </w:tr>
      <w:tr w:rsidR="00AE2255" w14:paraId="11437105" w14:textId="77777777">
        <w:trPr>
          <w:trHeight w:val="245"/>
        </w:trPr>
        <w:tc>
          <w:tcPr>
            <w:tcW w:w="2424" w:type="dxa"/>
            <w:tcBorders>
              <w:top w:val="single" w:sz="8" w:space="0" w:color="auto"/>
            </w:tcBorders>
          </w:tcPr>
          <w:p w14:paraId="5287BD97" w14:textId="77777777" w:rsidR="00AE2255" w:rsidRDefault="00000000">
            <w:pPr>
              <w:pStyle w:val="TableParagraph"/>
              <w:spacing w:before="21" w:line="203" w:lineRule="exact"/>
              <w:ind w:left="52"/>
              <w:jc w:val="left"/>
              <w:rPr>
                <w:sz w:val="18"/>
              </w:rPr>
            </w:pPr>
            <w:r>
              <w:rPr>
                <w:sz w:val="18"/>
              </w:rPr>
              <w:t>Net</w:t>
            </w:r>
            <w:r>
              <w:rPr>
                <w:spacing w:val="-1"/>
                <w:sz w:val="18"/>
              </w:rPr>
              <w:t xml:space="preserve"> </w:t>
            </w:r>
            <w:r>
              <w:rPr>
                <w:spacing w:val="-2"/>
                <w:sz w:val="18"/>
              </w:rPr>
              <w:t>earnings</w:t>
            </w:r>
          </w:p>
        </w:tc>
        <w:tc>
          <w:tcPr>
            <w:tcW w:w="1014" w:type="dxa"/>
            <w:tcBorders>
              <w:top w:val="single" w:sz="8" w:space="0" w:color="auto"/>
            </w:tcBorders>
          </w:tcPr>
          <w:p w14:paraId="3C813827" w14:textId="77777777" w:rsidR="00AE2255" w:rsidRDefault="00000000">
            <w:pPr>
              <w:pStyle w:val="TableParagraph"/>
              <w:spacing w:before="8"/>
              <w:ind w:right="90"/>
              <w:rPr>
                <w:b/>
                <w:sz w:val="18"/>
              </w:rPr>
            </w:pPr>
            <w:r>
              <w:rPr>
                <w:b/>
                <w:sz w:val="18"/>
              </w:rPr>
              <w:t>—</w:t>
            </w:r>
          </w:p>
        </w:tc>
        <w:tc>
          <w:tcPr>
            <w:tcW w:w="974" w:type="dxa"/>
            <w:tcBorders>
              <w:top w:val="single" w:sz="8" w:space="0" w:color="auto"/>
            </w:tcBorders>
          </w:tcPr>
          <w:p w14:paraId="4453F208" w14:textId="77777777" w:rsidR="00AE2255" w:rsidRDefault="00000000">
            <w:pPr>
              <w:pStyle w:val="TableParagraph"/>
              <w:spacing w:before="8"/>
              <w:ind w:right="149"/>
              <w:rPr>
                <w:b/>
                <w:sz w:val="18"/>
              </w:rPr>
            </w:pPr>
            <w:r>
              <w:rPr>
                <w:b/>
                <w:sz w:val="18"/>
              </w:rPr>
              <w:t>—</w:t>
            </w:r>
          </w:p>
        </w:tc>
        <w:tc>
          <w:tcPr>
            <w:tcW w:w="1334" w:type="dxa"/>
            <w:tcBorders>
              <w:top w:val="single" w:sz="8" w:space="0" w:color="auto"/>
            </w:tcBorders>
          </w:tcPr>
          <w:p w14:paraId="6378E9C8" w14:textId="77777777" w:rsidR="00AE2255" w:rsidRDefault="00000000">
            <w:pPr>
              <w:pStyle w:val="TableParagraph"/>
              <w:spacing w:before="8"/>
              <w:ind w:left="523"/>
              <w:jc w:val="left"/>
              <w:rPr>
                <w:b/>
                <w:sz w:val="18"/>
              </w:rPr>
            </w:pPr>
            <w:r>
              <w:rPr>
                <w:b/>
                <w:spacing w:val="-2"/>
                <w:sz w:val="18"/>
              </w:rPr>
              <w:t>5,732</w:t>
            </w:r>
          </w:p>
        </w:tc>
        <w:tc>
          <w:tcPr>
            <w:tcW w:w="1011" w:type="dxa"/>
            <w:tcBorders>
              <w:top w:val="single" w:sz="8" w:space="0" w:color="auto"/>
            </w:tcBorders>
          </w:tcPr>
          <w:p w14:paraId="30AD856F" w14:textId="77777777" w:rsidR="00AE2255" w:rsidRDefault="00000000">
            <w:pPr>
              <w:pStyle w:val="TableParagraph"/>
              <w:spacing w:before="8"/>
              <w:ind w:right="259"/>
              <w:rPr>
                <w:b/>
                <w:sz w:val="18"/>
              </w:rPr>
            </w:pPr>
            <w:r>
              <w:rPr>
                <w:b/>
                <w:sz w:val="18"/>
              </w:rPr>
              <w:t>—</w:t>
            </w:r>
          </w:p>
        </w:tc>
        <w:tc>
          <w:tcPr>
            <w:tcW w:w="1446" w:type="dxa"/>
            <w:tcBorders>
              <w:top w:val="single" w:sz="8" w:space="0" w:color="auto"/>
            </w:tcBorders>
          </w:tcPr>
          <w:p w14:paraId="0BE4BCC2" w14:textId="77777777" w:rsidR="00AE2255" w:rsidRDefault="00000000">
            <w:pPr>
              <w:pStyle w:val="TableParagraph"/>
              <w:spacing w:before="8"/>
              <w:ind w:right="175"/>
              <w:rPr>
                <w:b/>
                <w:sz w:val="18"/>
              </w:rPr>
            </w:pPr>
            <w:r>
              <w:rPr>
                <w:b/>
                <w:spacing w:val="-2"/>
                <w:sz w:val="18"/>
              </w:rPr>
              <w:t>5,732</w:t>
            </w:r>
          </w:p>
        </w:tc>
        <w:tc>
          <w:tcPr>
            <w:tcW w:w="1371" w:type="dxa"/>
            <w:tcBorders>
              <w:top w:val="single" w:sz="8" w:space="0" w:color="auto"/>
            </w:tcBorders>
          </w:tcPr>
          <w:p w14:paraId="612A1240" w14:textId="77777777" w:rsidR="00AE2255" w:rsidRDefault="00000000">
            <w:pPr>
              <w:pStyle w:val="TableParagraph"/>
              <w:spacing w:before="8"/>
              <w:ind w:right="211"/>
              <w:rPr>
                <w:b/>
                <w:sz w:val="18"/>
              </w:rPr>
            </w:pPr>
            <w:r>
              <w:rPr>
                <w:b/>
                <w:sz w:val="18"/>
              </w:rPr>
              <w:t>—</w:t>
            </w:r>
          </w:p>
        </w:tc>
        <w:tc>
          <w:tcPr>
            <w:tcW w:w="887" w:type="dxa"/>
            <w:tcBorders>
              <w:top w:val="single" w:sz="8" w:space="0" w:color="auto"/>
            </w:tcBorders>
          </w:tcPr>
          <w:p w14:paraId="260B0ECC" w14:textId="77777777" w:rsidR="00AE2255" w:rsidRDefault="00000000">
            <w:pPr>
              <w:pStyle w:val="TableParagraph"/>
              <w:spacing w:before="8"/>
              <w:ind w:right="63"/>
              <w:rPr>
                <w:b/>
                <w:sz w:val="18"/>
              </w:rPr>
            </w:pPr>
            <w:r>
              <w:rPr>
                <w:b/>
                <w:spacing w:val="-2"/>
                <w:sz w:val="18"/>
              </w:rPr>
              <w:t>5,732</w:t>
            </w:r>
          </w:p>
        </w:tc>
      </w:tr>
      <w:tr w:rsidR="00AE2255" w14:paraId="799CB066" w14:textId="77777777">
        <w:trPr>
          <w:trHeight w:val="420"/>
        </w:trPr>
        <w:tc>
          <w:tcPr>
            <w:tcW w:w="2424" w:type="dxa"/>
            <w:shd w:val="clear" w:color="auto" w:fill="CCEDFF"/>
          </w:tcPr>
          <w:p w14:paraId="6353762D" w14:textId="77777777" w:rsidR="00AE2255" w:rsidRDefault="00000000">
            <w:pPr>
              <w:pStyle w:val="TableParagraph"/>
              <w:spacing w:before="40" w:line="180" w:lineRule="exact"/>
              <w:ind w:left="232" w:right="96" w:hanging="180"/>
              <w:jc w:val="left"/>
              <w:rPr>
                <w:sz w:val="18"/>
              </w:rPr>
            </w:pPr>
            <w:r>
              <w:rPr>
                <w:sz w:val="18"/>
              </w:rPr>
              <w:t>Other</w:t>
            </w:r>
            <w:r>
              <w:rPr>
                <w:spacing w:val="-12"/>
                <w:sz w:val="18"/>
              </w:rPr>
              <w:t xml:space="preserve"> </w:t>
            </w:r>
            <w:r>
              <w:rPr>
                <w:sz w:val="18"/>
              </w:rPr>
              <w:t>comprehensive</w:t>
            </w:r>
            <w:r>
              <w:rPr>
                <w:spacing w:val="-11"/>
                <w:sz w:val="18"/>
              </w:rPr>
              <w:t xml:space="preserve"> </w:t>
            </w:r>
            <w:r>
              <w:rPr>
                <w:sz w:val="18"/>
              </w:rPr>
              <w:t>income, net of tax</w:t>
            </w:r>
          </w:p>
        </w:tc>
        <w:tc>
          <w:tcPr>
            <w:tcW w:w="1014" w:type="dxa"/>
            <w:shd w:val="clear" w:color="auto" w:fill="CCEDFF"/>
          </w:tcPr>
          <w:p w14:paraId="13E98061" w14:textId="77777777" w:rsidR="00AE2255" w:rsidRDefault="00AE2255">
            <w:pPr>
              <w:pStyle w:val="TableParagraph"/>
              <w:spacing w:before="10"/>
              <w:jc w:val="left"/>
              <w:rPr>
                <w:b/>
                <w:sz w:val="15"/>
              </w:rPr>
            </w:pPr>
          </w:p>
          <w:p w14:paraId="7FEECF84" w14:textId="77777777" w:rsidR="00AE2255" w:rsidRDefault="00000000">
            <w:pPr>
              <w:pStyle w:val="TableParagraph"/>
              <w:spacing w:before="0"/>
              <w:ind w:right="90"/>
              <w:rPr>
                <w:b/>
                <w:sz w:val="18"/>
              </w:rPr>
            </w:pPr>
            <w:r>
              <w:rPr>
                <w:b/>
                <w:sz w:val="18"/>
              </w:rPr>
              <w:t>—</w:t>
            </w:r>
          </w:p>
        </w:tc>
        <w:tc>
          <w:tcPr>
            <w:tcW w:w="974" w:type="dxa"/>
            <w:shd w:val="clear" w:color="auto" w:fill="CCEDFF"/>
          </w:tcPr>
          <w:p w14:paraId="079C09B2" w14:textId="77777777" w:rsidR="00AE2255" w:rsidRDefault="00AE2255">
            <w:pPr>
              <w:pStyle w:val="TableParagraph"/>
              <w:spacing w:before="10"/>
              <w:jc w:val="left"/>
              <w:rPr>
                <w:b/>
                <w:sz w:val="15"/>
              </w:rPr>
            </w:pPr>
          </w:p>
          <w:p w14:paraId="082CA631" w14:textId="77777777" w:rsidR="00AE2255" w:rsidRDefault="00000000">
            <w:pPr>
              <w:pStyle w:val="TableParagraph"/>
              <w:spacing w:before="0"/>
              <w:ind w:right="149"/>
              <w:rPr>
                <w:b/>
                <w:sz w:val="18"/>
              </w:rPr>
            </w:pPr>
            <w:r>
              <w:rPr>
                <w:b/>
                <w:sz w:val="18"/>
              </w:rPr>
              <w:t>—</w:t>
            </w:r>
          </w:p>
        </w:tc>
        <w:tc>
          <w:tcPr>
            <w:tcW w:w="1334" w:type="dxa"/>
            <w:shd w:val="clear" w:color="auto" w:fill="CCEDFF"/>
          </w:tcPr>
          <w:p w14:paraId="33F065F1" w14:textId="77777777" w:rsidR="00AE2255" w:rsidRDefault="00AE2255">
            <w:pPr>
              <w:pStyle w:val="TableParagraph"/>
              <w:spacing w:before="10"/>
              <w:jc w:val="left"/>
              <w:rPr>
                <w:b/>
                <w:sz w:val="15"/>
              </w:rPr>
            </w:pPr>
          </w:p>
          <w:p w14:paraId="2883949C" w14:textId="77777777" w:rsidR="00AE2255" w:rsidRDefault="00000000">
            <w:pPr>
              <w:pStyle w:val="TableParagraph"/>
              <w:spacing w:before="0"/>
              <w:ind w:left="748"/>
              <w:jc w:val="left"/>
              <w:rPr>
                <w:b/>
                <w:sz w:val="18"/>
              </w:rPr>
            </w:pPr>
            <w:r>
              <w:rPr>
                <w:b/>
                <w:sz w:val="18"/>
              </w:rPr>
              <w:t>—</w:t>
            </w:r>
          </w:p>
        </w:tc>
        <w:tc>
          <w:tcPr>
            <w:tcW w:w="1011" w:type="dxa"/>
            <w:shd w:val="clear" w:color="auto" w:fill="CCEDFF"/>
          </w:tcPr>
          <w:p w14:paraId="5AE8F824" w14:textId="77777777" w:rsidR="00AE2255" w:rsidRDefault="00AE2255">
            <w:pPr>
              <w:pStyle w:val="TableParagraph"/>
              <w:spacing w:before="10"/>
              <w:jc w:val="left"/>
              <w:rPr>
                <w:b/>
                <w:sz w:val="15"/>
              </w:rPr>
            </w:pPr>
          </w:p>
          <w:p w14:paraId="36846441" w14:textId="77777777" w:rsidR="00AE2255" w:rsidRDefault="00000000">
            <w:pPr>
              <w:pStyle w:val="TableParagraph"/>
              <w:spacing w:before="0"/>
              <w:ind w:right="259"/>
              <w:rPr>
                <w:b/>
                <w:sz w:val="18"/>
              </w:rPr>
            </w:pPr>
            <w:r>
              <w:rPr>
                <w:b/>
                <w:spacing w:val="-2"/>
                <w:sz w:val="18"/>
              </w:rPr>
              <w:t>2,983</w:t>
            </w:r>
          </w:p>
        </w:tc>
        <w:tc>
          <w:tcPr>
            <w:tcW w:w="1446" w:type="dxa"/>
            <w:shd w:val="clear" w:color="auto" w:fill="CCEDFF"/>
          </w:tcPr>
          <w:p w14:paraId="1006F007" w14:textId="77777777" w:rsidR="00AE2255" w:rsidRDefault="00AE2255">
            <w:pPr>
              <w:pStyle w:val="TableParagraph"/>
              <w:spacing w:before="10"/>
              <w:jc w:val="left"/>
              <w:rPr>
                <w:b/>
                <w:sz w:val="15"/>
              </w:rPr>
            </w:pPr>
          </w:p>
          <w:p w14:paraId="7532EAEC" w14:textId="77777777" w:rsidR="00AE2255" w:rsidRDefault="00000000">
            <w:pPr>
              <w:pStyle w:val="TableParagraph"/>
              <w:spacing w:before="0"/>
              <w:ind w:right="175"/>
              <w:rPr>
                <w:b/>
                <w:sz w:val="18"/>
              </w:rPr>
            </w:pPr>
            <w:r>
              <w:rPr>
                <w:b/>
                <w:spacing w:val="-2"/>
                <w:sz w:val="18"/>
              </w:rPr>
              <w:t>2,983</w:t>
            </w:r>
          </w:p>
        </w:tc>
        <w:tc>
          <w:tcPr>
            <w:tcW w:w="1371" w:type="dxa"/>
            <w:shd w:val="clear" w:color="auto" w:fill="CCEDFF"/>
          </w:tcPr>
          <w:p w14:paraId="3D6B4A48" w14:textId="77777777" w:rsidR="00AE2255" w:rsidRDefault="00AE2255">
            <w:pPr>
              <w:pStyle w:val="TableParagraph"/>
              <w:spacing w:before="10"/>
              <w:jc w:val="left"/>
              <w:rPr>
                <w:b/>
                <w:sz w:val="15"/>
              </w:rPr>
            </w:pPr>
          </w:p>
          <w:p w14:paraId="580D9162" w14:textId="77777777" w:rsidR="00AE2255" w:rsidRDefault="00000000">
            <w:pPr>
              <w:pStyle w:val="TableParagraph"/>
              <w:spacing w:before="0"/>
              <w:ind w:right="211"/>
              <w:rPr>
                <w:b/>
                <w:sz w:val="18"/>
              </w:rPr>
            </w:pPr>
            <w:r>
              <w:rPr>
                <w:b/>
                <w:sz w:val="18"/>
              </w:rPr>
              <w:t>—</w:t>
            </w:r>
          </w:p>
        </w:tc>
        <w:tc>
          <w:tcPr>
            <w:tcW w:w="887" w:type="dxa"/>
            <w:shd w:val="clear" w:color="auto" w:fill="CCEDFF"/>
          </w:tcPr>
          <w:p w14:paraId="1B8F45A7" w14:textId="77777777" w:rsidR="00AE2255" w:rsidRDefault="00AE2255">
            <w:pPr>
              <w:pStyle w:val="TableParagraph"/>
              <w:spacing w:before="10"/>
              <w:jc w:val="left"/>
              <w:rPr>
                <w:b/>
                <w:sz w:val="15"/>
              </w:rPr>
            </w:pPr>
          </w:p>
          <w:p w14:paraId="626FE478" w14:textId="77777777" w:rsidR="00AE2255" w:rsidRDefault="00000000">
            <w:pPr>
              <w:pStyle w:val="TableParagraph"/>
              <w:spacing w:before="0"/>
              <w:ind w:right="63"/>
              <w:rPr>
                <w:b/>
                <w:sz w:val="18"/>
              </w:rPr>
            </w:pPr>
            <w:r>
              <w:rPr>
                <w:b/>
                <w:spacing w:val="-2"/>
                <w:sz w:val="18"/>
              </w:rPr>
              <w:t>2,983</w:t>
            </w:r>
          </w:p>
        </w:tc>
      </w:tr>
      <w:tr w:rsidR="00AE2255" w14:paraId="7824ED02" w14:textId="77777777">
        <w:trPr>
          <w:trHeight w:val="285"/>
        </w:trPr>
        <w:tc>
          <w:tcPr>
            <w:tcW w:w="2424" w:type="dxa"/>
          </w:tcPr>
          <w:p w14:paraId="0B282CF9" w14:textId="77777777" w:rsidR="00AE2255" w:rsidRDefault="00000000">
            <w:pPr>
              <w:pStyle w:val="TableParagraph"/>
              <w:spacing w:before="31"/>
              <w:ind w:left="52"/>
              <w:jc w:val="left"/>
              <w:rPr>
                <w:sz w:val="18"/>
              </w:rPr>
            </w:pPr>
            <w:r>
              <w:rPr>
                <w:sz w:val="18"/>
              </w:rPr>
              <w:t>Repurchases</w:t>
            </w:r>
            <w:r>
              <w:rPr>
                <w:spacing w:val="-2"/>
                <w:sz w:val="18"/>
              </w:rPr>
              <w:t xml:space="preserve"> </w:t>
            </w:r>
            <w:r>
              <w:rPr>
                <w:sz w:val="18"/>
              </w:rPr>
              <w:t xml:space="preserve">of common </w:t>
            </w:r>
            <w:r>
              <w:rPr>
                <w:spacing w:val="-2"/>
                <w:sz w:val="18"/>
              </w:rPr>
              <w:t>stock</w:t>
            </w:r>
          </w:p>
        </w:tc>
        <w:tc>
          <w:tcPr>
            <w:tcW w:w="1014" w:type="dxa"/>
          </w:tcPr>
          <w:p w14:paraId="1F51FFEF" w14:textId="77777777" w:rsidR="00AE2255" w:rsidRDefault="00000000">
            <w:pPr>
              <w:pStyle w:val="TableParagraph"/>
              <w:spacing w:before="48"/>
              <w:ind w:right="30"/>
              <w:rPr>
                <w:b/>
                <w:sz w:val="18"/>
              </w:rPr>
            </w:pPr>
            <w:r>
              <w:rPr>
                <w:b/>
                <w:spacing w:val="-4"/>
                <w:sz w:val="18"/>
              </w:rPr>
              <w:t>(18)</w:t>
            </w:r>
          </w:p>
        </w:tc>
        <w:tc>
          <w:tcPr>
            <w:tcW w:w="974" w:type="dxa"/>
          </w:tcPr>
          <w:p w14:paraId="27D4457F" w14:textId="77777777" w:rsidR="00AE2255" w:rsidRDefault="00000000">
            <w:pPr>
              <w:pStyle w:val="TableParagraph"/>
              <w:spacing w:before="48"/>
              <w:ind w:right="89"/>
              <w:rPr>
                <w:b/>
                <w:sz w:val="18"/>
              </w:rPr>
            </w:pPr>
            <w:r>
              <w:rPr>
                <w:b/>
                <w:spacing w:val="-2"/>
                <w:sz w:val="18"/>
              </w:rPr>
              <w:t>(503)</w:t>
            </w:r>
          </w:p>
        </w:tc>
        <w:tc>
          <w:tcPr>
            <w:tcW w:w="1334" w:type="dxa"/>
          </w:tcPr>
          <w:p w14:paraId="157AF287" w14:textId="77777777" w:rsidR="00AE2255" w:rsidRDefault="00000000">
            <w:pPr>
              <w:pStyle w:val="TableParagraph"/>
              <w:spacing w:before="48"/>
              <w:ind w:left="463"/>
              <w:jc w:val="left"/>
              <w:rPr>
                <w:b/>
                <w:sz w:val="18"/>
              </w:rPr>
            </w:pPr>
            <w:r>
              <w:rPr>
                <w:b/>
                <w:spacing w:val="-2"/>
                <w:sz w:val="18"/>
              </w:rPr>
              <w:t>(7,379)</w:t>
            </w:r>
          </w:p>
        </w:tc>
        <w:tc>
          <w:tcPr>
            <w:tcW w:w="1011" w:type="dxa"/>
          </w:tcPr>
          <w:p w14:paraId="28B6F345" w14:textId="77777777" w:rsidR="00AE2255" w:rsidRDefault="00000000">
            <w:pPr>
              <w:pStyle w:val="TableParagraph"/>
              <w:spacing w:before="48"/>
              <w:ind w:right="259"/>
              <w:rPr>
                <w:b/>
                <w:sz w:val="18"/>
              </w:rPr>
            </w:pPr>
            <w:r>
              <w:rPr>
                <w:b/>
                <w:sz w:val="18"/>
              </w:rPr>
              <w:t>—</w:t>
            </w:r>
          </w:p>
        </w:tc>
        <w:tc>
          <w:tcPr>
            <w:tcW w:w="1446" w:type="dxa"/>
          </w:tcPr>
          <w:p w14:paraId="0D9F69D3" w14:textId="77777777" w:rsidR="00AE2255" w:rsidRDefault="00000000">
            <w:pPr>
              <w:pStyle w:val="TableParagraph"/>
              <w:spacing w:before="48"/>
              <w:ind w:right="115"/>
              <w:rPr>
                <w:b/>
                <w:sz w:val="18"/>
              </w:rPr>
            </w:pPr>
            <w:r>
              <w:rPr>
                <w:b/>
                <w:spacing w:val="-2"/>
                <w:sz w:val="18"/>
              </w:rPr>
              <w:t>(7,900)</w:t>
            </w:r>
          </w:p>
        </w:tc>
        <w:tc>
          <w:tcPr>
            <w:tcW w:w="1371" w:type="dxa"/>
          </w:tcPr>
          <w:p w14:paraId="37AB6944" w14:textId="77777777" w:rsidR="00AE2255" w:rsidRDefault="00000000">
            <w:pPr>
              <w:pStyle w:val="TableParagraph"/>
              <w:spacing w:before="48"/>
              <w:ind w:right="211"/>
              <w:rPr>
                <w:b/>
                <w:sz w:val="18"/>
              </w:rPr>
            </w:pPr>
            <w:r>
              <w:rPr>
                <w:b/>
                <w:sz w:val="18"/>
              </w:rPr>
              <w:t>—</w:t>
            </w:r>
          </w:p>
        </w:tc>
        <w:tc>
          <w:tcPr>
            <w:tcW w:w="887" w:type="dxa"/>
          </w:tcPr>
          <w:p w14:paraId="45F23696" w14:textId="77777777" w:rsidR="00AE2255" w:rsidRDefault="00000000">
            <w:pPr>
              <w:pStyle w:val="TableParagraph"/>
              <w:spacing w:before="48"/>
              <w:ind w:right="3"/>
              <w:rPr>
                <w:b/>
                <w:sz w:val="18"/>
              </w:rPr>
            </w:pPr>
            <w:r>
              <w:rPr>
                <w:b/>
                <w:spacing w:val="-2"/>
                <w:sz w:val="18"/>
              </w:rPr>
              <w:t>(7,900)</w:t>
            </w:r>
          </w:p>
        </w:tc>
      </w:tr>
      <w:tr w:rsidR="00AE2255" w14:paraId="220DA684" w14:textId="77777777">
        <w:trPr>
          <w:trHeight w:val="420"/>
        </w:trPr>
        <w:tc>
          <w:tcPr>
            <w:tcW w:w="2424" w:type="dxa"/>
            <w:shd w:val="clear" w:color="auto" w:fill="CCEDFF"/>
          </w:tcPr>
          <w:p w14:paraId="3BA561BC" w14:textId="77777777" w:rsidR="00AE2255" w:rsidRDefault="00000000">
            <w:pPr>
              <w:pStyle w:val="TableParagraph"/>
              <w:spacing w:before="40" w:line="180" w:lineRule="exact"/>
              <w:ind w:left="232" w:hanging="180"/>
              <w:jc w:val="left"/>
              <w:rPr>
                <w:sz w:val="18"/>
              </w:rPr>
            </w:pPr>
            <w:r>
              <w:rPr>
                <w:sz w:val="18"/>
              </w:rPr>
              <w:t>Dividends</w:t>
            </w:r>
            <w:r>
              <w:rPr>
                <w:spacing w:val="-12"/>
                <w:sz w:val="18"/>
              </w:rPr>
              <w:t xml:space="preserve"> </w:t>
            </w:r>
            <w:r>
              <w:rPr>
                <w:sz w:val="18"/>
              </w:rPr>
              <w:t>declared</w:t>
            </w:r>
            <w:r>
              <w:rPr>
                <w:spacing w:val="-11"/>
                <w:sz w:val="18"/>
              </w:rPr>
              <w:t xml:space="preserve"> </w:t>
            </w:r>
            <w:r>
              <w:rPr>
                <w:sz w:val="18"/>
              </w:rPr>
              <w:t>($11.40</w:t>
            </w:r>
            <w:r>
              <w:rPr>
                <w:spacing w:val="-11"/>
                <w:sz w:val="18"/>
              </w:rPr>
              <w:t xml:space="preserve"> </w:t>
            </w:r>
            <w:r>
              <w:rPr>
                <w:sz w:val="18"/>
              </w:rPr>
              <w:t xml:space="preserve">per </w:t>
            </w:r>
            <w:r>
              <w:rPr>
                <w:spacing w:val="-2"/>
                <w:sz w:val="18"/>
              </w:rPr>
              <w:t>share)</w:t>
            </w:r>
          </w:p>
        </w:tc>
        <w:tc>
          <w:tcPr>
            <w:tcW w:w="1014" w:type="dxa"/>
            <w:shd w:val="clear" w:color="auto" w:fill="CCEDFF"/>
          </w:tcPr>
          <w:p w14:paraId="52A33473" w14:textId="77777777" w:rsidR="00AE2255" w:rsidRDefault="00AE2255">
            <w:pPr>
              <w:pStyle w:val="TableParagraph"/>
              <w:spacing w:before="10"/>
              <w:jc w:val="left"/>
              <w:rPr>
                <w:b/>
                <w:sz w:val="15"/>
              </w:rPr>
            </w:pPr>
          </w:p>
          <w:p w14:paraId="5A2000BC" w14:textId="77777777" w:rsidR="00AE2255" w:rsidRDefault="00000000">
            <w:pPr>
              <w:pStyle w:val="TableParagraph"/>
              <w:spacing w:before="0"/>
              <w:ind w:right="90"/>
              <w:rPr>
                <w:b/>
                <w:sz w:val="18"/>
              </w:rPr>
            </w:pPr>
            <w:r>
              <w:rPr>
                <w:b/>
                <w:sz w:val="18"/>
              </w:rPr>
              <w:t>—</w:t>
            </w:r>
          </w:p>
        </w:tc>
        <w:tc>
          <w:tcPr>
            <w:tcW w:w="974" w:type="dxa"/>
            <w:shd w:val="clear" w:color="auto" w:fill="CCEDFF"/>
          </w:tcPr>
          <w:p w14:paraId="18C907C9" w14:textId="77777777" w:rsidR="00AE2255" w:rsidRDefault="00AE2255">
            <w:pPr>
              <w:pStyle w:val="TableParagraph"/>
              <w:spacing w:before="10"/>
              <w:jc w:val="left"/>
              <w:rPr>
                <w:b/>
                <w:sz w:val="15"/>
              </w:rPr>
            </w:pPr>
          </w:p>
          <w:p w14:paraId="733C7B8A" w14:textId="77777777" w:rsidR="00AE2255" w:rsidRDefault="00000000">
            <w:pPr>
              <w:pStyle w:val="TableParagraph"/>
              <w:spacing w:before="0"/>
              <w:ind w:right="149"/>
              <w:rPr>
                <w:b/>
                <w:sz w:val="18"/>
              </w:rPr>
            </w:pPr>
            <w:r>
              <w:rPr>
                <w:b/>
                <w:sz w:val="18"/>
              </w:rPr>
              <w:t>—</w:t>
            </w:r>
          </w:p>
        </w:tc>
        <w:tc>
          <w:tcPr>
            <w:tcW w:w="1334" w:type="dxa"/>
            <w:shd w:val="clear" w:color="auto" w:fill="CCEDFF"/>
          </w:tcPr>
          <w:p w14:paraId="725C4EF2" w14:textId="77777777" w:rsidR="00AE2255" w:rsidRDefault="00AE2255">
            <w:pPr>
              <w:pStyle w:val="TableParagraph"/>
              <w:spacing w:before="10"/>
              <w:jc w:val="left"/>
              <w:rPr>
                <w:b/>
                <w:sz w:val="15"/>
              </w:rPr>
            </w:pPr>
          </w:p>
          <w:p w14:paraId="5A4D96D1" w14:textId="77777777" w:rsidR="00AE2255" w:rsidRDefault="00000000">
            <w:pPr>
              <w:pStyle w:val="TableParagraph"/>
              <w:spacing w:before="0"/>
              <w:ind w:left="463"/>
              <w:jc w:val="left"/>
              <w:rPr>
                <w:b/>
                <w:sz w:val="18"/>
              </w:rPr>
            </w:pPr>
            <w:r>
              <w:rPr>
                <w:b/>
                <w:spacing w:val="-2"/>
                <w:sz w:val="18"/>
              </w:rPr>
              <w:t>(3,010)</w:t>
            </w:r>
          </w:p>
        </w:tc>
        <w:tc>
          <w:tcPr>
            <w:tcW w:w="1011" w:type="dxa"/>
            <w:shd w:val="clear" w:color="auto" w:fill="CCEDFF"/>
          </w:tcPr>
          <w:p w14:paraId="6D9FC855" w14:textId="77777777" w:rsidR="00AE2255" w:rsidRDefault="00AE2255">
            <w:pPr>
              <w:pStyle w:val="TableParagraph"/>
              <w:spacing w:before="10"/>
              <w:jc w:val="left"/>
              <w:rPr>
                <w:b/>
                <w:sz w:val="15"/>
              </w:rPr>
            </w:pPr>
          </w:p>
          <w:p w14:paraId="25D5611D" w14:textId="77777777" w:rsidR="00AE2255" w:rsidRDefault="00000000">
            <w:pPr>
              <w:pStyle w:val="TableParagraph"/>
              <w:spacing w:before="0"/>
              <w:ind w:right="259"/>
              <w:rPr>
                <w:b/>
                <w:sz w:val="18"/>
              </w:rPr>
            </w:pPr>
            <w:r>
              <w:rPr>
                <w:b/>
                <w:sz w:val="18"/>
              </w:rPr>
              <w:t>—</w:t>
            </w:r>
          </w:p>
        </w:tc>
        <w:tc>
          <w:tcPr>
            <w:tcW w:w="1446" w:type="dxa"/>
            <w:shd w:val="clear" w:color="auto" w:fill="CCEDFF"/>
          </w:tcPr>
          <w:p w14:paraId="05FB4F4F" w14:textId="77777777" w:rsidR="00AE2255" w:rsidRDefault="00AE2255">
            <w:pPr>
              <w:pStyle w:val="TableParagraph"/>
              <w:spacing w:before="10"/>
              <w:jc w:val="left"/>
              <w:rPr>
                <w:b/>
                <w:sz w:val="15"/>
              </w:rPr>
            </w:pPr>
          </w:p>
          <w:p w14:paraId="151E3EE7" w14:textId="77777777" w:rsidR="00AE2255" w:rsidRDefault="00000000">
            <w:pPr>
              <w:pStyle w:val="TableParagraph"/>
              <w:spacing w:before="0"/>
              <w:ind w:right="115"/>
              <w:rPr>
                <w:b/>
                <w:sz w:val="18"/>
              </w:rPr>
            </w:pPr>
            <w:r>
              <w:rPr>
                <w:b/>
                <w:spacing w:val="-2"/>
                <w:sz w:val="18"/>
              </w:rPr>
              <w:t>(3,010)</w:t>
            </w:r>
          </w:p>
        </w:tc>
        <w:tc>
          <w:tcPr>
            <w:tcW w:w="1371" w:type="dxa"/>
            <w:shd w:val="clear" w:color="auto" w:fill="CCEDFF"/>
          </w:tcPr>
          <w:p w14:paraId="445FD60C" w14:textId="77777777" w:rsidR="00AE2255" w:rsidRDefault="00AE2255">
            <w:pPr>
              <w:pStyle w:val="TableParagraph"/>
              <w:spacing w:before="10"/>
              <w:jc w:val="left"/>
              <w:rPr>
                <w:b/>
                <w:sz w:val="15"/>
              </w:rPr>
            </w:pPr>
          </w:p>
          <w:p w14:paraId="2BA351B1" w14:textId="77777777" w:rsidR="00AE2255" w:rsidRDefault="00000000">
            <w:pPr>
              <w:pStyle w:val="TableParagraph"/>
              <w:spacing w:before="0"/>
              <w:ind w:right="211"/>
              <w:rPr>
                <w:b/>
                <w:sz w:val="18"/>
              </w:rPr>
            </w:pPr>
            <w:r>
              <w:rPr>
                <w:b/>
                <w:sz w:val="18"/>
              </w:rPr>
              <w:t>—</w:t>
            </w:r>
          </w:p>
        </w:tc>
        <w:tc>
          <w:tcPr>
            <w:tcW w:w="887" w:type="dxa"/>
            <w:shd w:val="clear" w:color="auto" w:fill="CCEDFF"/>
          </w:tcPr>
          <w:p w14:paraId="3381CA25" w14:textId="77777777" w:rsidR="00AE2255" w:rsidRDefault="00AE2255">
            <w:pPr>
              <w:pStyle w:val="TableParagraph"/>
              <w:spacing w:before="10"/>
              <w:jc w:val="left"/>
              <w:rPr>
                <w:b/>
                <w:sz w:val="15"/>
              </w:rPr>
            </w:pPr>
          </w:p>
          <w:p w14:paraId="1534B4ED" w14:textId="77777777" w:rsidR="00AE2255" w:rsidRDefault="00000000">
            <w:pPr>
              <w:pStyle w:val="TableParagraph"/>
              <w:spacing w:before="0"/>
              <w:ind w:right="3"/>
              <w:rPr>
                <w:b/>
                <w:sz w:val="18"/>
              </w:rPr>
            </w:pPr>
            <w:r>
              <w:rPr>
                <w:b/>
                <w:spacing w:val="-2"/>
                <w:sz w:val="18"/>
              </w:rPr>
              <w:t>(3,010)</w:t>
            </w:r>
          </w:p>
        </w:tc>
      </w:tr>
      <w:tr w:rsidR="00AE2255" w14:paraId="41A3DB41" w14:textId="77777777">
        <w:trPr>
          <w:trHeight w:val="410"/>
        </w:trPr>
        <w:tc>
          <w:tcPr>
            <w:tcW w:w="2424" w:type="dxa"/>
            <w:tcBorders>
              <w:bottom w:val="single" w:sz="8" w:space="0" w:color="auto"/>
            </w:tcBorders>
          </w:tcPr>
          <w:p w14:paraId="00B9D532" w14:textId="77777777" w:rsidR="00AE2255" w:rsidRDefault="00000000">
            <w:pPr>
              <w:pStyle w:val="TableParagraph"/>
              <w:spacing w:before="30" w:line="180" w:lineRule="exact"/>
              <w:ind w:left="232" w:right="96" w:hanging="180"/>
              <w:jc w:val="left"/>
              <w:rPr>
                <w:sz w:val="18"/>
              </w:rPr>
            </w:pPr>
            <w:r>
              <w:rPr>
                <w:sz w:val="18"/>
              </w:rPr>
              <w:t>Stock-based</w:t>
            </w:r>
            <w:r>
              <w:rPr>
                <w:spacing w:val="-12"/>
                <w:sz w:val="18"/>
              </w:rPr>
              <w:t xml:space="preserve"> </w:t>
            </w:r>
            <w:r>
              <w:rPr>
                <w:sz w:val="18"/>
              </w:rPr>
              <w:t>awards,</w:t>
            </w:r>
            <w:r>
              <w:rPr>
                <w:spacing w:val="-11"/>
                <w:sz w:val="18"/>
              </w:rPr>
              <w:t xml:space="preserve"> </w:t>
            </w:r>
            <w:r>
              <w:rPr>
                <w:sz w:val="18"/>
              </w:rPr>
              <w:t>ESOP activity and other</w:t>
            </w:r>
          </w:p>
        </w:tc>
        <w:tc>
          <w:tcPr>
            <w:tcW w:w="1014" w:type="dxa"/>
            <w:tcBorders>
              <w:bottom w:val="single" w:sz="8" w:space="0" w:color="auto"/>
            </w:tcBorders>
          </w:tcPr>
          <w:p w14:paraId="74349E53" w14:textId="77777777" w:rsidR="00AE2255" w:rsidRDefault="00AE2255">
            <w:pPr>
              <w:pStyle w:val="TableParagraph"/>
              <w:spacing w:before="10"/>
              <w:jc w:val="left"/>
              <w:rPr>
                <w:b/>
                <w:sz w:val="15"/>
              </w:rPr>
            </w:pPr>
          </w:p>
          <w:p w14:paraId="21AADB14" w14:textId="77777777" w:rsidR="00AE2255" w:rsidRDefault="00000000">
            <w:pPr>
              <w:pStyle w:val="TableParagraph"/>
              <w:spacing w:before="0"/>
              <w:ind w:right="90"/>
              <w:rPr>
                <w:b/>
                <w:sz w:val="18"/>
              </w:rPr>
            </w:pPr>
            <w:r>
              <w:rPr>
                <w:b/>
                <w:sz w:val="18"/>
              </w:rPr>
              <w:t>1</w:t>
            </w:r>
          </w:p>
        </w:tc>
        <w:tc>
          <w:tcPr>
            <w:tcW w:w="974" w:type="dxa"/>
            <w:tcBorders>
              <w:bottom w:val="single" w:sz="8" w:space="0" w:color="auto"/>
            </w:tcBorders>
          </w:tcPr>
          <w:p w14:paraId="32A3561F" w14:textId="77777777" w:rsidR="00AE2255" w:rsidRDefault="00AE2255">
            <w:pPr>
              <w:pStyle w:val="TableParagraph"/>
              <w:spacing w:before="10"/>
              <w:jc w:val="left"/>
              <w:rPr>
                <w:b/>
                <w:sz w:val="15"/>
              </w:rPr>
            </w:pPr>
          </w:p>
          <w:p w14:paraId="3F2BC485" w14:textId="77777777" w:rsidR="00AE2255" w:rsidRDefault="00000000">
            <w:pPr>
              <w:pStyle w:val="TableParagraph"/>
              <w:spacing w:before="0"/>
              <w:ind w:right="149"/>
              <w:rPr>
                <w:b/>
                <w:sz w:val="18"/>
              </w:rPr>
            </w:pPr>
            <w:r>
              <w:rPr>
                <w:b/>
                <w:spacing w:val="-5"/>
                <w:sz w:val="18"/>
              </w:rPr>
              <w:t>501</w:t>
            </w:r>
          </w:p>
        </w:tc>
        <w:tc>
          <w:tcPr>
            <w:tcW w:w="1334" w:type="dxa"/>
            <w:tcBorders>
              <w:bottom w:val="single" w:sz="8" w:space="0" w:color="auto"/>
            </w:tcBorders>
          </w:tcPr>
          <w:p w14:paraId="0D1EF351" w14:textId="77777777" w:rsidR="00AE2255" w:rsidRDefault="00AE2255">
            <w:pPr>
              <w:pStyle w:val="TableParagraph"/>
              <w:spacing w:before="10"/>
              <w:jc w:val="left"/>
              <w:rPr>
                <w:b/>
                <w:sz w:val="15"/>
              </w:rPr>
            </w:pPr>
          </w:p>
          <w:p w14:paraId="77692B76" w14:textId="77777777" w:rsidR="00AE2255" w:rsidRDefault="00000000">
            <w:pPr>
              <w:pStyle w:val="TableParagraph"/>
              <w:spacing w:before="0"/>
              <w:ind w:left="748"/>
              <w:jc w:val="left"/>
              <w:rPr>
                <w:b/>
                <w:sz w:val="18"/>
              </w:rPr>
            </w:pPr>
            <w:r>
              <w:rPr>
                <w:b/>
                <w:sz w:val="18"/>
              </w:rPr>
              <w:t>—</w:t>
            </w:r>
          </w:p>
        </w:tc>
        <w:tc>
          <w:tcPr>
            <w:tcW w:w="1011" w:type="dxa"/>
            <w:tcBorders>
              <w:bottom w:val="single" w:sz="8" w:space="0" w:color="auto"/>
            </w:tcBorders>
          </w:tcPr>
          <w:p w14:paraId="18B5412F" w14:textId="77777777" w:rsidR="00AE2255" w:rsidRDefault="00AE2255">
            <w:pPr>
              <w:pStyle w:val="TableParagraph"/>
              <w:spacing w:before="10"/>
              <w:jc w:val="left"/>
              <w:rPr>
                <w:b/>
                <w:sz w:val="15"/>
              </w:rPr>
            </w:pPr>
          </w:p>
          <w:p w14:paraId="7C927087" w14:textId="77777777" w:rsidR="00AE2255" w:rsidRDefault="00000000">
            <w:pPr>
              <w:pStyle w:val="TableParagraph"/>
              <w:spacing w:before="0"/>
              <w:ind w:right="259"/>
              <w:rPr>
                <w:b/>
                <w:sz w:val="18"/>
              </w:rPr>
            </w:pPr>
            <w:r>
              <w:rPr>
                <w:b/>
                <w:sz w:val="18"/>
              </w:rPr>
              <w:t>—</w:t>
            </w:r>
          </w:p>
        </w:tc>
        <w:tc>
          <w:tcPr>
            <w:tcW w:w="1446" w:type="dxa"/>
            <w:tcBorders>
              <w:bottom w:val="single" w:sz="8" w:space="0" w:color="auto"/>
            </w:tcBorders>
          </w:tcPr>
          <w:p w14:paraId="18F3DDB0" w14:textId="77777777" w:rsidR="00AE2255" w:rsidRDefault="00AE2255">
            <w:pPr>
              <w:pStyle w:val="TableParagraph"/>
              <w:spacing w:before="10"/>
              <w:jc w:val="left"/>
              <w:rPr>
                <w:b/>
                <w:sz w:val="15"/>
              </w:rPr>
            </w:pPr>
          </w:p>
          <w:p w14:paraId="5E8C591D" w14:textId="77777777" w:rsidR="00AE2255" w:rsidRDefault="00000000">
            <w:pPr>
              <w:pStyle w:val="TableParagraph"/>
              <w:spacing w:before="0"/>
              <w:ind w:right="175"/>
              <w:rPr>
                <w:b/>
                <w:sz w:val="18"/>
              </w:rPr>
            </w:pPr>
            <w:r>
              <w:rPr>
                <w:b/>
                <w:spacing w:val="-5"/>
                <w:sz w:val="18"/>
              </w:rPr>
              <w:t>502</w:t>
            </w:r>
          </w:p>
        </w:tc>
        <w:tc>
          <w:tcPr>
            <w:tcW w:w="1371" w:type="dxa"/>
            <w:tcBorders>
              <w:bottom w:val="single" w:sz="8" w:space="0" w:color="auto"/>
            </w:tcBorders>
          </w:tcPr>
          <w:p w14:paraId="4943A5DF" w14:textId="77777777" w:rsidR="00AE2255" w:rsidRDefault="00AE2255">
            <w:pPr>
              <w:pStyle w:val="TableParagraph"/>
              <w:spacing w:before="10"/>
              <w:jc w:val="left"/>
              <w:rPr>
                <w:b/>
                <w:sz w:val="15"/>
              </w:rPr>
            </w:pPr>
          </w:p>
          <w:p w14:paraId="433F2AE9" w14:textId="77777777" w:rsidR="00AE2255" w:rsidRDefault="00000000">
            <w:pPr>
              <w:pStyle w:val="TableParagraph"/>
              <w:spacing w:before="0"/>
              <w:ind w:right="211"/>
              <w:rPr>
                <w:b/>
                <w:sz w:val="18"/>
              </w:rPr>
            </w:pPr>
            <w:r>
              <w:rPr>
                <w:b/>
                <w:sz w:val="18"/>
              </w:rPr>
              <w:t>—</w:t>
            </w:r>
          </w:p>
        </w:tc>
        <w:tc>
          <w:tcPr>
            <w:tcW w:w="887" w:type="dxa"/>
            <w:tcBorders>
              <w:bottom w:val="single" w:sz="8" w:space="0" w:color="auto"/>
            </w:tcBorders>
          </w:tcPr>
          <w:p w14:paraId="695E10BF" w14:textId="77777777" w:rsidR="00AE2255" w:rsidRDefault="00AE2255">
            <w:pPr>
              <w:pStyle w:val="TableParagraph"/>
              <w:spacing w:before="10"/>
              <w:jc w:val="left"/>
              <w:rPr>
                <w:b/>
                <w:sz w:val="15"/>
              </w:rPr>
            </w:pPr>
          </w:p>
          <w:p w14:paraId="58B56300" w14:textId="77777777" w:rsidR="00AE2255" w:rsidRDefault="00000000">
            <w:pPr>
              <w:pStyle w:val="TableParagraph"/>
              <w:spacing w:before="0"/>
              <w:ind w:right="63"/>
              <w:rPr>
                <w:b/>
                <w:sz w:val="18"/>
              </w:rPr>
            </w:pPr>
            <w:r>
              <w:rPr>
                <w:b/>
                <w:spacing w:val="-5"/>
                <w:sz w:val="18"/>
              </w:rPr>
              <w:t>502</w:t>
            </w:r>
          </w:p>
        </w:tc>
      </w:tr>
      <w:tr w:rsidR="00AE2255" w14:paraId="70EFFBBC" w14:textId="77777777">
        <w:trPr>
          <w:trHeight w:val="252"/>
        </w:trPr>
        <w:tc>
          <w:tcPr>
            <w:tcW w:w="2424" w:type="dxa"/>
            <w:tcBorders>
              <w:top w:val="single" w:sz="8" w:space="0" w:color="CCEDFF"/>
              <w:bottom w:val="single" w:sz="18" w:space="0" w:color="CCEDFF"/>
            </w:tcBorders>
            <w:shd w:val="clear" w:color="auto" w:fill="CCEDFF"/>
          </w:tcPr>
          <w:p w14:paraId="461F27CD" w14:textId="77777777" w:rsidR="00AE2255" w:rsidRDefault="00000000">
            <w:pPr>
              <w:pStyle w:val="TableParagraph"/>
              <w:spacing w:before="21"/>
              <w:ind w:left="52"/>
              <w:jc w:val="left"/>
              <w:rPr>
                <w:sz w:val="18"/>
              </w:rPr>
            </w:pPr>
            <w:r>
              <w:rPr>
                <w:sz w:val="18"/>
              </w:rPr>
              <w:t>Balance</w:t>
            </w:r>
            <w:r>
              <w:rPr>
                <w:spacing w:val="-1"/>
                <w:sz w:val="18"/>
              </w:rPr>
              <w:t xml:space="preserve"> </w:t>
            </w:r>
            <w:proofErr w:type="gramStart"/>
            <w:r>
              <w:rPr>
                <w:sz w:val="18"/>
              </w:rPr>
              <w:t>at</w:t>
            </w:r>
            <w:proofErr w:type="gramEnd"/>
            <w:r>
              <w:rPr>
                <w:sz w:val="18"/>
              </w:rPr>
              <w:t xml:space="preserve"> December 31, </w:t>
            </w:r>
            <w:r>
              <w:rPr>
                <w:spacing w:val="-4"/>
                <w:sz w:val="18"/>
              </w:rPr>
              <w:t>2022</w:t>
            </w:r>
          </w:p>
        </w:tc>
        <w:tc>
          <w:tcPr>
            <w:tcW w:w="1014" w:type="dxa"/>
            <w:tcBorders>
              <w:top w:val="single" w:sz="8" w:space="0" w:color="CCEDFF"/>
              <w:bottom w:val="single" w:sz="18" w:space="0" w:color="CCEDFF"/>
            </w:tcBorders>
            <w:shd w:val="clear" w:color="auto" w:fill="CCEDFF"/>
          </w:tcPr>
          <w:p w14:paraId="3446BF7C" w14:textId="77777777" w:rsidR="00AE2255" w:rsidRDefault="00000000">
            <w:pPr>
              <w:pStyle w:val="TableParagraph"/>
              <w:tabs>
                <w:tab w:val="left" w:pos="547"/>
              </w:tabs>
              <w:spacing w:before="38" w:line="194" w:lineRule="exact"/>
              <w:ind w:right="90"/>
              <w:rPr>
                <w:b/>
                <w:sz w:val="18"/>
              </w:rPr>
            </w:pPr>
            <w:r>
              <w:rPr>
                <w:b/>
                <w:spacing w:val="-10"/>
                <w:sz w:val="18"/>
              </w:rPr>
              <w:t>$</w:t>
            </w:r>
            <w:r>
              <w:rPr>
                <w:b/>
                <w:sz w:val="18"/>
              </w:rPr>
              <w:tab/>
            </w:r>
            <w:r>
              <w:rPr>
                <w:b/>
                <w:spacing w:val="-5"/>
                <w:sz w:val="18"/>
              </w:rPr>
              <w:t>254</w:t>
            </w:r>
          </w:p>
        </w:tc>
        <w:tc>
          <w:tcPr>
            <w:tcW w:w="974" w:type="dxa"/>
            <w:tcBorders>
              <w:top w:val="single" w:sz="8" w:space="0" w:color="CCEDFF"/>
              <w:bottom w:val="single" w:sz="18" w:space="0" w:color="CCEDFF"/>
            </w:tcBorders>
            <w:shd w:val="clear" w:color="auto" w:fill="CCEDFF"/>
          </w:tcPr>
          <w:p w14:paraId="192CD3FD" w14:textId="77777777" w:rsidR="00AE2255" w:rsidRDefault="00000000">
            <w:pPr>
              <w:pStyle w:val="TableParagraph"/>
              <w:tabs>
                <w:tab w:val="left" w:pos="607"/>
              </w:tabs>
              <w:spacing w:before="38" w:line="194" w:lineRule="exact"/>
              <w:ind w:right="149"/>
              <w:rPr>
                <w:b/>
                <w:sz w:val="18"/>
              </w:rPr>
            </w:pPr>
            <w:r>
              <w:rPr>
                <w:b/>
                <w:spacing w:val="-10"/>
                <w:sz w:val="18"/>
              </w:rPr>
              <w:t>$</w:t>
            </w:r>
            <w:r>
              <w:rPr>
                <w:b/>
                <w:sz w:val="18"/>
              </w:rPr>
              <w:tab/>
            </w:r>
            <w:r>
              <w:rPr>
                <w:b/>
                <w:spacing w:val="-5"/>
                <w:sz w:val="18"/>
              </w:rPr>
              <w:t>92</w:t>
            </w:r>
          </w:p>
        </w:tc>
        <w:tc>
          <w:tcPr>
            <w:tcW w:w="1334" w:type="dxa"/>
            <w:tcBorders>
              <w:top w:val="single" w:sz="8" w:space="0" w:color="CCEDFF"/>
              <w:bottom w:val="single" w:sz="18" w:space="0" w:color="CCEDFF"/>
            </w:tcBorders>
            <w:shd w:val="clear" w:color="auto" w:fill="CCEDFF"/>
          </w:tcPr>
          <w:p w14:paraId="67CD3F83" w14:textId="77777777" w:rsidR="00AE2255" w:rsidRDefault="00000000">
            <w:pPr>
              <w:pStyle w:val="TableParagraph"/>
              <w:tabs>
                <w:tab w:val="left" w:pos="433"/>
              </w:tabs>
              <w:spacing w:before="38" w:line="194" w:lineRule="exact"/>
              <w:ind w:left="95"/>
              <w:jc w:val="left"/>
              <w:rPr>
                <w:b/>
                <w:sz w:val="18"/>
              </w:rPr>
            </w:pPr>
            <w:r>
              <w:rPr>
                <w:b/>
                <w:spacing w:val="-10"/>
                <w:sz w:val="18"/>
              </w:rPr>
              <w:t>$</w:t>
            </w:r>
            <w:r>
              <w:rPr>
                <w:b/>
                <w:sz w:val="18"/>
              </w:rPr>
              <w:tab/>
              <w:t>16,943</w:t>
            </w:r>
            <w:r>
              <w:rPr>
                <w:b/>
                <w:spacing w:val="59"/>
                <w:w w:val="150"/>
                <w:sz w:val="18"/>
              </w:rPr>
              <w:t xml:space="preserve"> </w:t>
            </w:r>
            <w:r>
              <w:rPr>
                <w:b/>
                <w:spacing w:val="-10"/>
                <w:sz w:val="18"/>
              </w:rPr>
              <w:t>$</w:t>
            </w:r>
          </w:p>
        </w:tc>
        <w:tc>
          <w:tcPr>
            <w:tcW w:w="1011" w:type="dxa"/>
            <w:tcBorders>
              <w:top w:val="single" w:sz="8" w:space="0" w:color="CCEDFF"/>
              <w:bottom w:val="single" w:sz="18" w:space="0" w:color="CCEDFF"/>
            </w:tcBorders>
            <w:shd w:val="clear" w:color="auto" w:fill="CCEDFF"/>
          </w:tcPr>
          <w:p w14:paraId="480A840B" w14:textId="77777777" w:rsidR="00AE2255" w:rsidRDefault="00000000">
            <w:pPr>
              <w:pStyle w:val="TableParagraph"/>
              <w:spacing w:before="38" w:line="194" w:lineRule="exact"/>
              <w:ind w:right="199"/>
              <w:rPr>
                <w:b/>
                <w:sz w:val="18"/>
              </w:rPr>
            </w:pPr>
            <w:r>
              <w:rPr>
                <w:b/>
                <w:spacing w:val="-2"/>
                <w:sz w:val="18"/>
              </w:rPr>
              <w:t>(8,023)</w:t>
            </w:r>
          </w:p>
        </w:tc>
        <w:tc>
          <w:tcPr>
            <w:tcW w:w="1446" w:type="dxa"/>
            <w:tcBorders>
              <w:top w:val="single" w:sz="8" w:space="0" w:color="CCEDFF"/>
              <w:bottom w:val="single" w:sz="18" w:space="0" w:color="CCEDFF"/>
            </w:tcBorders>
            <w:shd w:val="clear" w:color="auto" w:fill="CCEDFF"/>
          </w:tcPr>
          <w:p w14:paraId="567872B6" w14:textId="77777777" w:rsidR="00AE2255" w:rsidRDefault="00000000">
            <w:pPr>
              <w:pStyle w:val="TableParagraph"/>
              <w:tabs>
                <w:tab w:val="left" w:pos="652"/>
              </w:tabs>
              <w:spacing w:before="38" w:line="194" w:lineRule="exact"/>
              <w:ind w:right="175"/>
              <w:rPr>
                <w:b/>
                <w:sz w:val="18"/>
              </w:rPr>
            </w:pPr>
            <w:r>
              <w:rPr>
                <w:b/>
                <w:spacing w:val="-10"/>
                <w:sz w:val="18"/>
              </w:rPr>
              <w:t>$</w:t>
            </w:r>
            <w:r>
              <w:rPr>
                <w:b/>
                <w:sz w:val="18"/>
              </w:rPr>
              <w:tab/>
            </w:r>
            <w:r>
              <w:rPr>
                <w:b/>
                <w:spacing w:val="-2"/>
                <w:sz w:val="18"/>
              </w:rPr>
              <w:t>9,266</w:t>
            </w:r>
          </w:p>
        </w:tc>
        <w:tc>
          <w:tcPr>
            <w:tcW w:w="1371" w:type="dxa"/>
            <w:tcBorders>
              <w:top w:val="single" w:sz="8" w:space="0" w:color="CCEDFF"/>
              <w:bottom w:val="single" w:sz="18" w:space="0" w:color="CCEDFF"/>
            </w:tcBorders>
            <w:shd w:val="clear" w:color="auto" w:fill="CCEDFF"/>
          </w:tcPr>
          <w:p w14:paraId="65D58C5A" w14:textId="77777777" w:rsidR="00AE2255" w:rsidRDefault="00000000">
            <w:pPr>
              <w:pStyle w:val="TableParagraph"/>
              <w:tabs>
                <w:tab w:val="left" w:pos="976"/>
              </w:tabs>
              <w:spacing w:before="38" w:line="194" w:lineRule="exact"/>
              <w:ind w:left="129"/>
              <w:jc w:val="left"/>
              <w:rPr>
                <w:b/>
                <w:sz w:val="18"/>
              </w:rPr>
            </w:pPr>
            <w:r>
              <w:rPr>
                <w:b/>
                <w:spacing w:val="-10"/>
                <w:sz w:val="18"/>
              </w:rPr>
              <w:t>$</w:t>
            </w:r>
            <w:r>
              <w:rPr>
                <w:b/>
                <w:sz w:val="18"/>
              </w:rPr>
              <w:tab/>
            </w:r>
            <w:r>
              <w:rPr>
                <w:b/>
                <w:spacing w:val="-10"/>
                <w:sz w:val="18"/>
              </w:rPr>
              <w:t>—</w:t>
            </w:r>
          </w:p>
        </w:tc>
        <w:tc>
          <w:tcPr>
            <w:tcW w:w="887" w:type="dxa"/>
            <w:tcBorders>
              <w:top w:val="single" w:sz="8" w:space="0" w:color="CCEDFF"/>
              <w:bottom w:val="single" w:sz="18" w:space="0" w:color="CCEDFF"/>
            </w:tcBorders>
            <w:shd w:val="clear" w:color="auto" w:fill="CCEDFF"/>
          </w:tcPr>
          <w:p w14:paraId="4C764989" w14:textId="77777777" w:rsidR="00AE2255" w:rsidRDefault="00000000">
            <w:pPr>
              <w:pStyle w:val="TableParagraph"/>
              <w:spacing w:before="38" w:line="194" w:lineRule="exact"/>
              <w:ind w:left="168"/>
              <w:jc w:val="left"/>
              <w:rPr>
                <w:b/>
                <w:sz w:val="18"/>
              </w:rPr>
            </w:pPr>
            <w:proofErr w:type="gramStart"/>
            <w:r>
              <w:rPr>
                <w:b/>
                <w:sz w:val="18"/>
              </w:rPr>
              <w:t>$</w:t>
            </w:r>
            <w:r>
              <w:rPr>
                <w:b/>
                <w:spacing w:val="33"/>
                <w:sz w:val="18"/>
              </w:rPr>
              <w:t xml:space="preserve">  </w:t>
            </w:r>
            <w:r>
              <w:rPr>
                <w:b/>
                <w:spacing w:val="-2"/>
                <w:sz w:val="18"/>
              </w:rPr>
              <w:t>9,266</w:t>
            </w:r>
            <w:proofErr w:type="gramEnd"/>
          </w:p>
        </w:tc>
      </w:tr>
    </w:tbl>
    <w:p w14:paraId="41995BE0" w14:textId="77777777" w:rsidR="00AE2255" w:rsidRDefault="00AE2255">
      <w:pPr>
        <w:pStyle w:val="BodyText"/>
        <w:spacing w:before="8"/>
        <w:rPr>
          <w:b/>
          <w:sz w:val="14"/>
        </w:rPr>
      </w:pPr>
    </w:p>
    <w:p w14:paraId="33666E87" w14:textId="77777777" w:rsidR="00AE2255" w:rsidRDefault="00000000">
      <w:pPr>
        <w:pStyle w:val="BodyText"/>
        <w:spacing w:before="92"/>
        <w:ind w:left="610"/>
      </w:pPr>
      <w:r>
        <w:t>The</w:t>
      </w:r>
      <w:r>
        <w:rPr>
          <w:spacing w:val="-6"/>
        </w:rPr>
        <w:t xml:space="preserve"> </w:t>
      </w:r>
      <w:r>
        <w:t>accompanying</w:t>
      </w:r>
      <w:r>
        <w:rPr>
          <w:spacing w:val="-3"/>
        </w:rPr>
        <w:t xml:space="preserve"> </w:t>
      </w:r>
      <w:r>
        <w:t>notes</w:t>
      </w:r>
      <w:r>
        <w:rPr>
          <w:spacing w:val="-4"/>
        </w:rPr>
        <w:t xml:space="preserve"> </w:t>
      </w:r>
      <w:r>
        <w:t>are</w:t>
      </w:r>
      <w:r>
        <w:rPr>
          <w:spacing w:val="-4"/>
        </w:rPr>
        <w:t xml:space="preserve"> </w:t>
      </w:r>
      <w:r>
        <w:t>an</w:t>
      </w:r>
      <w:r>
        <w:rPr>
          <w:spacing w:val="-3"/>
        </w:rPr>
        <w:t xml:space="preserve"> </w:t>
      </w:r>
      <w:r>
        <w:t>integral</w:t>
      </w:r>
      <w:r>
        <w:rPr>
          <w:spacing w:val="-3"/>
        </w:rPr>
        <w:t xml:space="preserve"> </w:t>
      </w:r>
      <w:r>
        <w:t>part</w:t>
      </w:r>
      <w:r>
        <w:rPr>
          <w:spacing w:val="-4"/>
        </w:rPr>
        <w:t xml:space="preserve"> </w:t>
      </w:r>
      <w:r>
        <w:t>of</w:t>
      </w:r>
      <w:r>
        <w:rPr>
          <w:spacing w:val="-3"/>
        </w:rPr>
        <w:t xml:space="preserve"> </w:t>
      </w:r>
      <w:r>
        <w:t>these</w:t>
      </w:r>
      <w:r>
        <w:rPr>
          <w:spacing w:val="-4"/>
        </w:rPr>
        <w:t xml:space="preserve"> </w:t>
      </w:r>
      <w:r>
        <w:t>consolidated</w:t>
      </w:r>
      <w:r>
        <w:rPr>
          <w:spacing w:val="-3"/>
        </w:rPr>
        <w:t xml:space="preserve"> </w:t>
      </w:r>
      <w:r>
        <w:t>financial</w:t>
      </w:r>
      <w:r>
        <w:rPr>
          <w:spacing w:val="-3"/>
        </w:rPr>
        <w:t xml:space="preserve"> </w:t>
      </w:r>
      <w:r>
        <w:rPr>
          <w:spacing w:val="-2"/>
        </w:rPr>
        <w:t>statements.</w:t>
      </w:r>
    </w:p>
    <w:p w14:paraId="7BAAF5D3" w14:textId="77777777" w:rsidR="00AE2255" w:rsidRDefault="00AE2255">
      <w:pPr>
        <w:sectPr w:rsidR="00AE2255">
          <w:type w:val="continuous"/>
          <w:pgSz w:w="12240" w:h="15840"/>
          <w:pgMar w:top="440" w:right="560" w:bottom="280" w:left="380" w:header="230" w:footer="531" w:gutter="0"/>
          <w:cols w:space="720"/>
        </w:sectPr>
      </w:pPr>
    </w:p>
    <w:p w14:paraId="68A5961D" w14:textId="77777777" w:rsidR="00AE2255" w:rsidRDefault="00AE2255">
      <w:pPr>
        <w:pStyle w:val="BodyText"/>
        <w:spacing w:before="7"/>
        <w:rPr>
          <w:sz w:val="22"/>
        </w:rPr>
      </w:pPr>
    </w:p>
    <w:p w14:paraId="337CB71E" w14:textId="77777777" w:rsidR="00AE2255" w:rsidRDefault="00000000">
      <w:pPr>
        <w:spacing w:before="92"/>
        <w:ind w:left="517" w:right="338"/>
        <w:jc w:val="center"/>
        <w:rPr>
          <w:b/>
          <w:sz w:val="20"/>
        </w:rPr>
      </w:pPr>
      <w:bookmarkStart w:id="46" w:name="Notes_to_Consolidated_Financial_Statemen"/>
      <w:bookmarkStart w:id="47" w:name="_bookmark18"/>
      <w:bookmarkEnd w:id="46"/>
      <w:bookmarkEnd w:id="47"/>
      <w:r>
        <w:rPr>
          <w:b/>
          <w:sz w:val="20"/>
        </w:rPr>
        <w:t>Lockheed</w:t>
      </w:r>
      <w:r>
        <w:rPr>
          <w:b/>
          <w:spacing w:val="-6"/>
          <w:sz w:val="20"/>
        </w:rPr>
        <w:t xml:space="preserve"> </w:t>
      </w:r>
      <w:r>
        <w:rPr>
          <w:b/>
          <w:sz w:val="20"/>
        </w:rPr>
        <w:t>Martin</w:t>
      </w:r>
      <w:r>
        <w:rPr>
          <w:b/>
          <w:spacing w:val="-5"/>
          <w:sz w:val="20"/>
        </w:rPr>
        <w:t xml:space="preserve"> </w:t>
      </w:r>
      <w:r>
        <w:rPr>
          <w:b/>
          <w:spacing w:val="-2"/>
          <w:sz w:val="20"/>
        </w:rPr>
        <w:t>Corporation</w:t>
      </w:r>
    </w:p>
    <w:p w14:paraId="5289D8E8" w14:textId="77777777" w:rsidR="00AE2255" w:rsidRDefault="00000000">
      <w:pPr>
        <w:pStyle w:val="Heading2"/>
        <w:spacing w:before="10"/>
        <w:ind w:left="517" w:right="337"/>
        <w:jc w:val="center"/>
      </w:pPr>
      <w:r>
        <w:t>Notes</w:t>
      </w:r>
      <w:r>
        <w:rPr>
          <w:spacing w:val="-5"/>
        </w:rPr>
        <w:t xml:space="preserve"> </w:t>
      </w:r>
      <w:r>
        <w:t>to</w:t>
      </w:r>
      <w:r>
        <w:rPr>
          <w:spacing w:val="-4"/>
        </w:rPr>
        <w:t xml:space="preserve"> </w:t>
      </w:r>
      <w:r>
        <w:t>Consolidated</w:t>
      </w:r>
      <w:r>
        <w:rPr>
          <w:spacing w:val="-5"/>
        </w:rPr>
        <w:t xml:space="preserve"> </w:t>
      </w:r>
      <w:r>
        <w:t>Financial</w:t>
      </w:r>
      <w:r>
        <w:rPr>
          <w:spacing w:val="-4"/>
        </w:rPr>
        <w:t xml:space="preserve"> </w:t>
      </w:r>
      <w:r>
        <w:rPr>
          <w:spacing w:val="-2"/>
        </w:rPr>
        <w:t>Statements</w:t>
      </w:r>
    </w:p>
    <w:p w14:paraId="0D532269" w14:textId="77777777" w:rsidR="00AE2255" w:rsidRDefault="00AE2255">
      <w:pPr>
        <w:pStyle w:val="BodyText"/>
        <w:rPr>
          <w:b/>
          <w:sz w:val="22"/>
        </w:rPr>
      </w:pPr>
    </w:p>
    <w:p w14:paraId="495BDFB9" w14:textId="77777777" w:rsidR="00AE2255" w:rsidRDefault="00AE2255">
      <w:pPr>
        <w:pStyle w:val="BodyText"/>
        <w:spacing w:before="6"/>
        <w:rPr>
          <w:b/>
        </w:rPr>
      </w:pPr>
    </w:p>
    <w:p w14:paraId="64A2A448" w14:textId="77777777" w:rsidR="00AE2255" w:rsidRDefault="00000000">
      <w:pPr>
        <w:spacing w:before="1"/>
        <w:ind w:left="610"/>
        <w:jc w:val="both"/>
        <w:rPr>
          <w:b/>
          <w:sz w:val="20"/>
        </w:rPr>
      </w:pPr>
      <w:bookmarkStart w:id="48" w:name="Note_1_–_Organization_and_Significant_Ac"/>
      <w:bookmarkEnd w:id="48"/>
      <w:r>
        <w:rPr>
          <w:b/>
          <w:sz w:val="20"/>
        </w:rPr>
        <w:t>Note</w:t>
      </w:r>
      <w:r>
        <w:rPr>
          <w:b/>
          <w:spacing w:val="-5"/>
          <w:sz w:val="20"/>
        </w:rPr>
        <w:t xml:space="preserve"> </w:t>
      </w:r>
      <w:r>
        <w:rPr>
          <w:b/>
          <w:sz w:val="20"/>
        </w:rPr>
        <w:t>1</w:t>
      </w:r>
      <w:r>
        <w:rPr>
          <w:b/>
          <w:spacing w:val="-3"/>
          <w:sz w:val="20"/>
        </w:rPr>
        <w:t xml:space="preserve"> </w:t>
      </w:r>
      <w:r>
        <w:rPr>
          <w:b/>
          <w:sz w:val="20"/>
        </w:rPr>
        <w:t>–</w:t>
      </w:r>
      <w:r>
        <w:rPr>
          <w:b/>
          <w:spacing w:val="-3"/>
          <w:sz w:val="20"/>
        </w:rPr>
        <w:t xml:space="preserve"> </w:t>
      </w:r>
      <w:r>
        <w:rPr>
          <w:b/>
          <w:sz w:val="20"/>
        </w:rPr>
        <w:t>Organization</w:t>
      </w:r>
      <w:r>
        <w:rPr>
          <w:b/>
          <w:spacing w:val="-4"/>
          <w:sz w:val="20"/>
        </w:rPr>
        <w:t xml:space="preserve"> </w:t>
      </w:r>
      <w:r>
        <w:rPr>
          <w:b/>
          <w:sz w:val="20"/>
        </w:rPr>
        <w:t>and</w:t>
      </w:r>
      <w:r>
        <w:rPr>
          <w:b/>
          <w:spacing w:val="-4"/>
          <w:sz w:val="20"/>
        </w:rPr>
        <w:t xml:space="preserve"> </w:t>
      </w:r>
      <w:r>
        <w:rPr>
          <w:b/>
          <w:sz w:val="20"/>
        </w:rPr>
        <w:t>Significant</w:t>
      </w:r>
      <w:r>
        <w:rPr>
          <w:b/>
          <w:spacing w:val="-3"/>
          <w:sz w:val="20"/>
        </w:rPr>
        <w:t xml:space="preserve"> </w:t>
      </w:r>
      <w:r>
        <w:rPr>
          <w:b/>
          <w:sz w:val="20"/>
        </w:rPr>
        <w:t>Accounting</w:t>
      </w:r>
      <w:r>
        <w:rPr>
          <w:b/>
          <w:spacing w:val="-3"/>
          <w:sz w:val="20"/>
        </w:rPr>
        <w:t xml:space="preserve"> </w:t>
      </w:r>
      <w:r>
        <w:rPr>
          <w:b/>
          <w:spacing w:val="-2"/>
          <w:sz w:val="20"/>
        </w:rPr>
        <w:t>Policies</w:t>
      </w:r>
    </w:p>
    <w:p w14:paraId="4E854375" w14:textId="77777777" w:rsidR="00AE2255" w:rsidRDefault="00AE2255">
      <w:pPr>
        <w:pStyle w:val="BodyText"/>
        <w:spacing w:before="6"/>
        <w:rPr>
          <w:b/>
          <w:sz w:val="18"/>
        </w:rPr>
      </w:pPr>
    </w:p>
    <w:p w14:paraId="6979CF85" w14:textId="77777777" w:rsidR="00AE2255" w:rsidRDefault="00000000">
      <w:pPr>
        <w:pStyle w:val="BodyText"/>
        <w:spacing w:line="249" w:lineRule="auto"/>
        <w:ind w:left="610" w:right="428" w:firstLine="360"/>
        <w:jc w:val="both"/>
      </w:pPr>
      <w:r>
        <w:rPr>
          <w:b/>
        </w:rPr>
        <w:t>Organization</w:t>
      </w:r>
      <w:r>
        <w:rPr>
          <w:b/>
          <w:spacing w:val="-3"/>
        </w:rPr>
        <w:t xml:space="preserve"> </w:t>
      </w:r>
      <w:r>
        <w:t>–</w:t>
      </w:r>
      <w:r>
        <w:rPr>
          <w:spacing w:val="-2"/>
        </w:rPr>
        <w:t xml:space="preserve"> </w:t>
      </w:r>
      <w:r>
        <w:t>We</w:t>
      </w:r>
      <w:r>
        <w:rPr>
          <w:spacing w:val="-3"/>
        </w:rPr>
        <w:t xml:space="preserve"> </w:t>
      </w:r>
      <w:r>
        <w:t>are</w:t>
      </w:r>
      <w:r>
        <w:rPr>
          <w:spacing w:val="-3"/>
        </w:rPr>
        <w:t xml:space="preserve"> </w:t>
      </w:r>
      <w:r>
        <w:t>a</w:t>
      </w:r>
      <w:r>
        <w:rPr>
          <w:spacing w:val="-3"/>
        </w:rPr>
        <w:t xml:space="preserve"> </w:t>
      </w:r>
      <w:r>
        <w:t>global</w:t>
      </w:r>
      <w:r>
        <w:rPr>
          <w:spacing w:val="-3"/>
        </w:rPr>
        <w:t xml:space="preserve"> </w:t>
      </w:r>
      <w:r>
        <w:t>security</w:t>
      </w:r>
      <w:r>
        <w:rPr>
          <w:spacing w:val="-2"/>
        </w:rPr>
        <w:t xml:space="preserve"> </w:t>
      </w:r>
      <w:r>
        <w:t>and</w:t>
      </w:r>
      <w:r>
        <w:rPr>
          <w:spacing w:val="-2"/>
        </w:rPr>
        <w:t xml:space="preserve"> </w:t>
      </w:r>
      <w:r>
        <w:t>aerospace</w:t>
      </w:r>
      <w:r>
        <w:rPr>
          <w:spacing w:val="-3"/>
        </w:rPr>
        <w:t xml:space="preserve"> </w:t>
      </w:r>
      <w:r>
        <w:t>company</w:t>
      </w:r>
      <w:r>
        <w:rPr>
          <w:spacing w:val="-2"/>
        </w:rPr>
        <w:t xml:space="preserve"> </w:t>
      </w:r>
      <w:r>
        <w:t>principally</w:t>
      </w:r>
      <w:r>
        <w:rPr>
          <w:spacing w:val="-2"/>
        </w:rPr>
        <w:t xml:space="preserve"> </w:t>
      </w:r>
      <w:r>
        <w:t>engaged</w:t>
      </w:r>
      <w:r>
        <w:rPr>
          <w:spacing w:val="-2"/>
        </w:rPr>
        <w:t xml:space="preserve"> </w:t>
      </w:r>
      <w:r>
        <w:t>in</w:t>
      </w:r>
      <w:r>
        <w:rPr>
          <w:spacing w:val="-2"/>
        </w:rPr>
        <w:t xml:space="preserve"> </w:t>
      </w:r>
      <w:r>
        <w:t>the</w:t>
      </w:r>
      <w:r>
        <w:rPr>
          <w:spacing w:val="-3"/>
        </w:rPr>
        <w:t xml:space="preserve"> </w:t>
      </w:r>
      <w:r>
        <w:t>research,</w:t>
      </w:r>
      <w:r>
        <w:rPr>
          <w:spacing w:val="-2"/>
        </w:rPr>
        <w:t xml:space="preserve"> </w:t>
      </w:r>
      <w:r>
        <w:t>design,</w:t>
      </w:r>
      <w:r>
        <w:rPr>
          <w:spacing w:val="-2"/>
        </w:rPr>
        <w:t xml:space="preserve"> </w:t>
      </w:r>
      <w:r>
        <w:t xml:space="preserve">development, manufacture, integration and sustainment of advanced technology systems, </w:t>
      </w:r>
      <w:proofErr w:type="gramStart"/>
      <w:r>
        <w:t>products</w:t>
      </w:r>
      <w:proofErr w:type="gramEnd"/>
      <w:r>
        <w:t xml:space="preserve"> and services. We also provide a broad range of management, engineering, technical, scientific, logistics, system integration and cybersecurity services. We serve both</w:t>
      </w:r>
    </w:p>
    <w:p w14:paraId="011B105D" w14:textId="77777777" w:rsidR="00AE2255" w:rsidRDefault="00000000">
      <w:pPr>
        <w:pStyle w:val="BodyText"/>
        <w:spacing w:before="2" w:line="249" w:lineRule="auto"/>
        <w:ind w:left="610" w:right="429"/>
        <w:jc w:val="both"/>
      </w:pPr>
      <w:r>
        <w:t>U.S. and international customers with products and services that have defense, civil and commercial applications, with our principal customers being agencies of the U.S. Government. As described in “Note 3 – Information on Business Segments”, we operate in four business segments: Aeronautics, MFC, RMS and Space.</w:t>
      </w:r>
    </w:p>
    <w:p w14:paraId="064F7A9C" w14:textId="77777777" w:rsidR="00AE2255" w:rsidRDefault="00AE2255">
      <w:pPr>
        <w:pStyle w:val="BodyText"/>
        <w:spacing w:before="1"/>
        <w:rPr>
          <w:sz w:val="18"/>
        </w:rPr>
      </w:pPr>
    </w:p>
    <w:p w14:paraId="321F5657" w14:textId="77777777" w:rsidR="00AE2255" w:rsidRDefault="00000000">
      <w:pPr>
        <w:pStyle w:val="BodyText"/>
        <w:spacing w:line="232" w:lineRule="auto"/>
        <w:ind w:left="610" w:right="428" w:firstLine="360"/>
        <w:jc w:val="both"/>
      </w:pPr>
      <w:r>
        <w:t xml:space="preserve">On June 30, 2021, the UK Ministry of </w:t>
      </w:r>
      <w:proofErr w:type="spellStart"/>
      <w:r>
        <w:t>Defence</w:t>
      </w:r>
      <w:proofErr w:type="spellEnd"/>
      <w:r>
        <w:t xml:space="preserve"> terminated the contract to operate the UK’s nuclear deterrent program and assumed control of the entity that manages the program (referred to as the renationalization of the Atomic Weapons Establishment (AWE program)). Accordingly, the AWE program’s ongoing operations, including the entity that manages the program,</w:t>
      </w:r>
      <w:r>
        <w:rPr>
          <w:spacing w:val="12"/>
        </w:rPr>
        <w:t xml:space="preserve"> </w:t>
      </w:r>
      <w:r>
        <w:t>are</w:t>
      </w:r>
      <w:r>
        <w:rPr>
          <w:spacing w:val="11"/>
        </w:rPr>
        <w:t xml:space="preserve"> </w:t>
      </w:r>
      <w:r>
        <w:t>no</w:t>
      </w:r>
      <w:r>
        <w:rPr>
          <w:spacing w:val="12"/>
        </w:rPr>
        <w:t xml:space="preserve"> </w:t>
      </w:r>
      <w:r>
        <w:t>longer</w:t>
      </w:r>
      <w:r>
        <w:rPr>
          <w:spacing w:val="12"/>
        </w:rPr>
        <w:t xml:space="preserve"> </w:t>
      </w:r>
      <w:r>
        <w:t>included</w:t>
      </w:r>
      <w:r>
        <w:rPr>
          <w:spacing w:val="12"/>
        </w:rPr>
        <w:t xml:space="preserve"> </w:t>
      </w:r>
      <w:r>
        <w:t>in</w:t>
      </w:r>
      <w:r>
        <w:rPr>
          <w:spacing w:val="12"/>
        </w:rPr>
        <w:t xml:space="preserve"> </w:t>
      </w:r>
      <w:r>
        <w:t>our</w:t>
      </w:r>
      <w:r>
        <w:rPr>
          <w:spacing w:val="12"/>
        </w:rPr>
        <w:t xml:space="preserve"> </w:t>
      </w:r>
      <w:r>
        <w:t>financial</w:t>
      </w:r>
      <w:r>
        <w:rPr>
          <w:spacing w:val="11"/>
        </w:rPr>
        <w:t xml:space="preserve"> </w:t>
      </w:r>
      <w:r>
        <w:t>results</w:t>
      </w:r>
      <w:r>
        <w:rPr>
          <w:spacing w:val="11"/>
        </w:rPr>
        <w:t xml:space="preserve"> </w:t>
      </w:r>
      <w:r>
        <w:t>as</w:t>
      </w:r>
      <w:r>
        <w:rPr>
          <w:spacing w:val="11"/>
        </w:rPr>
        <w:t xml:space="preserve"> </w:t>
      </w:r>
      <w:r>
        <w:t>of</w:t>
      </w:r>
      <w:r>
        <w:rPr>
          <w:spacing w:val="12"/>
        </w:rPr>
        <w:t xml:space="preserve"> </w:t>
      </w:r>
      <w:r>
        <w:t>that</w:t>
      </w:r>
      <w:r>
        <w:rPr>
          <w:spacing w:val="11"/>
        </w:rPr>
        <w:t xml:space="preserve"> </w:t>
      </w:r>
      <w:r>
        <w:t>date.</w:t>
      </w:r>
      <w:r>
        <w:rPr>
          <w:spacing w:val="12"/>
        </w:rPr>
        <w:t xml:space="preserve"> </w:t>
      </w:r>
      <w:r>
        <w:t>Therefore,</w:t>
      </w:r>
      <w:r>
        <w:rPr>
          <w:spacing w:val="12"/>
        </w:rPr>
        <w:t xml:space="preserve"> </w:t>
      </w:r>
      <w:r>
        <w:t>during</w:t>
      </w:r>
      <w:r>
        <w:rPr>
          <w:spacing w:val="12"/>
        </w:rPr>
        <w:t xml:space="preserve"> </w:t>
      </w:r>
      <w:r>
        <w:t>2021,</w:t>
      </w:r>
      <w:r>
        <w:rPr>
          <w:spacing w:val="12"/>
        </w:rPr>
        <w:t xml:space="preserve"> </w:t>
      </w:r>
      <w:r>
        <w:t>AWE</w:t>
      </w:r>
      <w:r>
        <w:rPr>
          <w:spacing w:val="11"/>
        </w:rPr>
        <w:t xml:space="preserve"> </w:t>
      </w:r>
      <w:r>
        <w:t>only</w:t>
      </w:r>
      <w:r>
        <w:rPr>
          <w:spacing w:val="12"/>
        </w:rPr>
        <w:t xml:space="preserve"> </w:t>
      </w:r>
      <w:r>
        <w:t>generated</w:t>
      </w:r>
      <w:r>
        <w:rPr>
          <w:spacing w:val="12"/>
        </w:rPr>
        <w:t xml:space="preserve"> </w:t>
      </w:r>
      <w:r>
        <w:t>sales</w:t>
      </w:r>
      <w:r>
        <w:rPr>
          <w:spacing w:val="11"/>
        </w:rPr>
        <w:t xml:space="preserve"> </w:t>
      </w:r>
      <w:r>
        <w:t>of</w:t>
      </w:r>
    </w:p>
    <w:p w14:paraId="77401842" w14:textId="77777777" w:rsidR="00AE2255" w:rsidRDefault="00000000">
      <w:pPr>
        <w:pStyle w:val="BodyText"/>
        <w:spacing w:before="4" w:line="232" w:lineRule="auto"/>
        <w:ind w:left="610" w:right="429"/>
        <w:jc w:val="both"/>
      </w:pPr>
      <w:r>
        <w:t>$885 million and operating profit of $18 million, which are included in Space’s financial results for the year ended December 31, 2021. During the year ended December 31, 2020, AWE generated sales of $1.4 billion and operating profit of $35 million, which are included in Space’s financial results for 2020.</w:t>
      </w:r>
    </w:p>
    <w:p w14:paraId="70EF95EB" w14:textId="77777777" w:rsidR="00AE2255" w:rsidRDefault="00AE2255">
      <w:pPr>
        <w:pStyle w:val="BodyText"/>
        <w:spacing w:before="7"/>
        <w:rPr>
          <w:sz w:val="17"/>
        </w:rPr>
      </w:pPr>
    </w:p>
    <w:p w14:paraId="32575D38" w14:textId="77777777" w:rsidR="00AE2255" w:rsidRDefault="00000000">
      <w:pPr>
        <w:pStyle w:val="BodyText"/>
        <w:spacing w:line="232" w:lineRule="auto"/>
        <w:ind w:left="610" w:right="428" w:firstLine="360"/>
        <w:jc w:val="both"/>
      </w:pPr>
      <w:r>
        <w:rPr>
          <w:b/>
        </w:rPr>
        <w:t xml:space="preserve">Basis of presentation </w:t>
      </w:r>
      <w:r>
        <w:t xml:space="preserve">– These consolidated financial statements include the accounts of subsidiaries we control and variable interest entities if we are the primary beneficiary. We eliminate intercompany balances and transactions in consolidation. We classify certain assets and liabilities as current utilizing the duration of the related contract or program as our operating cycle, which is generally longer than one year. This primarily impacts receivables, contract assets, inventories, and contract liabilities. We classify all other assets and liabilities based on whether the asset will be </w:t>
      </w:r>
      <w:proofErr w:type="gramStart"/>
      <w:r>
        <w:t>realized</w:t>
      </w:r>
      <w:proofErr w:type="gramEnd"/>
      <w:r>
        <w:t xml:space="preserve"> or the liability will be paid within one year.</w:t>
      </w:r>
    </w:p>
    <w:p w14:paraId="5CA00921" w14:textId="77777777" w:rsidR="00AE2255" w:rsidRDefault="00AE2255">
      <w:pPr>
        <w:pStyle w:val="BodyText"/>
        <w:spacing w:before="10"/>
      </w:pPr>
    </w:p>
    <w:p w14:paraId="028B2463" w14:textId="77777777" w:rsidR="00AE2255" w:rsidRDefault="00000000">
      <w:pPr>
        <w:pStyle w:val="BodyText"/>
        <w:spacing w:line="249" w:lineRule="auto"/>
        <w:ind w:left="610" w:right="428" w:firstLine="360"/>
        <w:jc w:val="both"/>
      </w:pPr>
      <w:r>
        <w:rPr>
          <w:b/>
        </w:rPr>
        <w:t xml:space="preserve">Use of estimates </w:t>
      </w:r>
      <w:r>
        <w:t>– We prepare our consolidated financial statements in conformity with U.S. generally accepted</w:t>
      </w:r>
      <w:r>
        <w:rPr>
          <w:spacing w:val="40"/>
        </w:rPr>
        <w:t xml:space="preserve"> </w:t>
      </w:r>
      <w:r>
        <w:t>accounting</w:t>
      </w:r>
      <w:r>
        <w:rPr>
          <w:spacing w:val="-2"/>
        </w:rPr>
        <w:t xml:space="preserve"> </w:t>
      </w:r>
      <w:r>
        <w:t>principles</w:t>
      </w:r>
      <w:r>
        <w:rPr>
          <w:spacing w:val="-2"/>
        </w:rPr>
        <w:t xml:space="preserve"> </w:t>
      </w:r>
      <w:r>
        <w:t>(GAAP).</w:t>
      </w:r>
      <w:r>
        <w:rPr>
          <w:spacing w:val="-2"/>
        </w:rPr>
        <w:t xml:space="preserve"> </w:t>
      </w:r>
      <w:r>
        <w:t>In</w:t>
      </w:r>
      <w:r>
        <w:rPr>
          <w:spacing w:val="-2"/>
        </w:rPr>
        <w:t xml:space="preserve"> </w:t>
      </w:r>
      <w:r>
        <w:t>doing</w:t>
      </w:r>
      <w:r>
        <w:rPr>
          <w:spacing w:val="-2"/>
        </w:rPr>
        <w:t xml:space="preserve"> </w:t>
      </w:r>
      <w:r>
        <w:t>so,</w:t>
      </w:r>
      <w:r>
        <w:rPr>
          <w:spacing w:val="-2"/>
        </w:rPr>
        <w:t xml:space="preserve"> </w:t>
      </w:r>
      <w:r>
        <w:t>we</w:t>
      </w:r>
      <w:r>
        <w:rPr>
          <w:spacing w:val="-2"/>
        </w:rPr>
        <w:t xml:space="preserve"> </w:t>
      </w:r>
      <w:r>
        <w:t>are</w:t>
      </w:r>
      <w:r>
        <w:rPr>
          <w:spacing w:val="-2"/>
        </w:rPr>
        <w:t xml:space="preserve"> </w:t>
      </w:r>
      <w:r>
        <w:t>required</w:t>
      </w:r>
      <w:r>
        <w:rPr>
          <w:spacing w:val="-2"/>
        </w:rPr>
        <w:t xml:space="preserve"> </w:t>
      </w:r>
      <w:r>
        <w:t>to</w:t>
      </w:r>
      <w:r>
        <w:rPr>
          <w:spacing w:val="-2"/>
        </w:rPr>
        <w:t xml:space="preserve"> </w:t>
      </w:r>
      <w:r>
        <w:t>make</w:t>
      </w:r>
      <w:r>
        <w:rPr>
          <w:spacing w:val="-2"/>
        </w:rPr>
        <w:t xml:space="preserve"> </w:t>
      </w:r>
      <w:r>
        <w:t>estimates</w:t>
      </w:r>
      <w:r>
        <w:rPr>
          <w:spacing w:val="-2"/>
        </w:rPr>
        <w:t xml:space="preserve"> </w:t>
      </w:r>
      <w:r>
        <w:t>and</w:t>
      </w:r>
      <w:r>
        <w:rPr>
          <w:spacing w:val="-2"/>
        </w:rPr>
        <w:t xml:space="preserve"> </w:t>
      </w:r>
      <w:r>
        <w:t>assumptions</w:t>
      </w:r>
      <w:r>
        <w:rPr>
          <w:spacing w:val="-2"/>
        </w:rPr>
        <w:t xml:space="preserve"> </w:t>
      </w:r>
      <w:r>
        <w:t>that</w:t>
      </w:r>
      <w:r>
        <w:rPr>
          <w:spacing w:val="-2"/>
        </w:rPr>
        <w:t xml:space="preserve"> </w:t>
      </w:r>
      <w:r>
        <w:t>affect</w:t>
      </w:r>
      <w:r>
        <w:rPr>
          <w:spacing w:val="-2"/>
        </w:rPr>
        <w:t xml:space="preserve"> </w:t>
      </w:r>
      <w:r>
        <w:t>the</w:t>
      </w:r>
      <w:r>
        <w:rPr>
          <w:spacing w:val="-2"/>
        </w:rPr>
        <w:t xml:space="preserve"> </w:t>
      </w:r>
      <w:r>
        <w:t>amounts</w:t>
      </w:r>
      <w:r>
        <w:rPr>
          <w:spacing w:val="-2"/>
        </w:rPr>
        <w:t xml:space="preserve"> </w:t>
      </w:r>
      <w:r>
        <w:t xml:space="preserve">reported in the consolidated financial statements and accompanying notes. We base these estimates on historical experience and on various other assumptions that we believe are reasonable under the circumstances, the results of which form the basis for making judgments about the carrying amounts of assets and liabilities that are not readily apparent from other sources. Our actual results may differ materially from these estimates. Significant estimates inherent in the preparation of our consolidated financial statements include, but are not limited to, accounting for sales and cost recognition; postretirement benefit plans; environmental liabilities and assets for the portion of environmental costs that are probable of future recovery; evaluation of goodwill, intangible assets, </w:t>
      </w:r>
      <w:proofErr w:type="gramStart"/>
      <w:r>
        <w:t>investments</w:t>
      </w:r>
      <w:proofErr w:type="gramEnd"/>
      <w:r>
        <w:t xml:space="preserve"> and other assets for impairment; income taxes including deferred income taxes; fair value measurements; and contingencies.</w:t>
      </w:r>
    </w:p>
    <w:p w14:paraId="2EFFA4EF" w14:textId="77777777" w:rsidR="00AE2255" w:rsidRDefault="00AE2255">
      <w:pPr>
        <w:pStyle w:val="BodyText"/>
        <w:spacing w:before="7"/>
        <w:rPr>
          <w:sz w:val="21"/>
        </w:rPr>
      </w:pPr>
    </w:p>
    <w:p w14:paraId="20673CCB" w14:textId="77777777" w:rsidR="00AE2255" w:rsidRDefault="00000000">
      <w:pPr>
        <w:pStyle w:val="BodyText"/>
        <w:spacing w:line="249" w:lineRule="auto"/>
        <w:ind w:left="610" w:right="429" w:firstLine="360"/>
        <w:jc w:val="both"/>
      </w:pPr>
      <w:r>
        <w:rPr>
          <w:b/>
        </w:rPr>
        <w:t xml:space="preserve">Revenue Recognition </w:t>
      </w:r>
      <w:r>
        <w:t xml:space="preserve">– The majority of our net sales are generated from long-term contracts with the U.S. Government and international customers (including foreign military sales (FMS) contracted through the U.S. Government) for the research, design, development, manufacture, integration and sustainment of advanced technology systems, </w:t>
      </w:r>
      <w:proofErr w:type="gramStart"/>
      <w:r>
        <w:t>products</w:t>
      </w:r>
      <w:proofErr w:type="gramEnd"/>
      <w:r>
        <w:t xml:space="preserve"> and services. We account for a contract when it has approval and commitment from both parties, the rights of the parties are identified, payment terms are identified, the contract has commercial substance and collectability of consideration is probable. For certain contracts that meet the foregoing requirements, primarily international direct commercial sale contracts, we are required to obtain certain regulatory approvals. In these cases, we recognize revenue when it is probable that we will receive regulatory approvals based upon all known facts and circumstances. We provide our products and services under fixed-price and cost-reimbursable </w:t>
      </w:r>
      <w:r>
        <w:rPr>
          <w:spacing w:val="-2"/>
        </w:rPr>
        <w:t>contracts.</w:t>
      </w:r>
    </w:p>
    <w:p w14:paraId="33940BAB" w14:textId="77777777" w:rsidR="00AE2255" w:rsidRDefault="00AE2255">
      <w:pPr>
        <w:pStyle w:val="BodyText"/>
        <w:rPr>
          <w:sz w:val="18"/>
        </w:rPr>
      </w:pPr>
    </w:p>
    <w:p w14:paraId="51906361" w14:textId="77777777" w:rsidR="00AE2255" w:rsidRDefault="00000000">
      <w:pPr>
        <w:pStyle w:val="BodyText"/>
        <w:spacing w:line="249" w:lineRule="auto"/>
        <w:ind w:left="610" w:right="429" w:firstLine="360"/>
        <w:jc w:val="both"/>
      </w:pPr>
      <w:r>
        <w:t xml:space="preserve">Under fixed-price contracts, we agree to perform the specified work for a pre-determined price. To the extent our actual costs vary from the estimates upon which the price was negotiated, we will generate </w:t>
      </w:r>
      <w:proofErr w:type="gramStart"/>
      <w:r>
        <w:t>more or less profit</w:t>
      </w:r>
      <w:proofErr w:type="gramEnd"/>
      <w:r>
        <w:t xml:space="preserve"> or could incur a loss. Some fixed-price contracts have a performance-based component under which we may earn incentive payments or incur financial penalties based on our performance.</w:t>
      </w:r>
    </w:p>
    <w:p w14:paraId="2B416C49" w14:textId="77777777" w:rsidR="00AE2255" w:rsidRDefault="00AE2255">
      <w:pPr>
        <w:pStyle w:val="BodyText"/>
        <w:spacing w:before="8"/>
        <w:rPr>
          <w:sz w:val="17"/>
        </w:rPr>
      </w:pPr>
    </w:p>
    <w:p w14:paraId="07E40384" w14:textId="77777777" w:rsidR="00AE2255" w:rsidRDefault="00000000">
      <w:pPr>
        <w:pStyle w:val="BodyText"/>
        <w:spacing w:line="249" w:lineRule="auto"/>
        <w:ind w:left="610" w:right="427" w:firstLine="450"/>
        <w:jc w:val="both"/>
      </w:pPr>
      <w:r>
        <w:t>Cost-reimbursable</w:t>
      </w:r>
      <w:r>
        <w:rPr>
          <w:spacing w:val="-2"/>
        </w:rPr>
        <w:t xml:space="preserve"> </w:t>
      </w:r>
      <w:r>
        <w:t>contracts</w:t>
      </w:r>
      <w:r>
        <w:rPr>
          <w:spacing w:val="-2"/>
        </w:rPr>
        <w:t xml:space="preserve"> </w:t>
      </w:r>
      <w:r>
        <w:t>provide</w:t>
      </w:r>
      <w:r>
        <w:rPr>
          <w:spacing w:val="-2"/>
        </w:rPr>
        <w:t xml:space="preserve"> </w:t>
      </w:r>
      <w:r>
        <w:t>for</w:t>
      </w:r>
      <w:r>
        <w:rPr>
          <w:spacing w:val="-2"/>
        </w:rPr>
        <w:t xml:space="preserve"> </w:t>
      </w:r>
      <w:r>
        <w:t>the</w:t>
      </w:r>
      <w:r>
        <w:rPr>
          <w:spacing w:val="-2"/>
        </w:rPr>
        <w:t xml:space="preserve"> </w:t>
      </w:r>
      <w:r>
        <w:t>payment</w:t>
      </w:r>
      <w:r>
        <w:rPr>
          <w:spacing w:val="-2"/>
        </w:rPr>
        <w:t xml:space="preserve"> </w:t>
      </w:r>
      <w:r>
        <w:t>of</w:t>
      </w:r>
      <w:r>
        <w:rPr>
          <w:spacing w:val="-2"/>
        </w:rPr>
        <w:t xml:space="preserve"> </w:t>
      </w:r>
      <w:r>
        <w:t>allowable</w:t>
      </w:r>
      <w:r>
        <w:rPr>
          <w:spacing w:val="-2"/>
        </w:rPr>
        <w:t xml:space="preserve"> </w:t>
      </w:r>
      <w:r>
        <w:t>costs</w:t>
      </w:r>
      <w:r>
        <w:rPr>
          <w:spacing w:val="-2"/>
        </w:rPr>
        <w:t xml:space="preserve"> </w:t>
      </w:r>
      <w:r>
        <w:t>incurred</w:t>
      </w:r>
      <w:r>
        <w:rPr>
          <w:spacing w:val="-2"/>
        </w:rPr>
        <w:t xml:space="preserve"> </w:t>
      </w:r>
      <w:r>
        <w:t>during</w:t>
      </w:r>
      <w:r>
        <w:rPr>
          <w:spacing w:val="-2"/>
        </w:rPr>
        <w:t xml:space="preserve"> </w:t>
      </w:r>
      <w:r>
        <w:t>performance</w:t>
      </w:r>
      <w:r>
        <w:rPr>
          <w:spacing w:val="-2"/>
        </w:rPr>
        <w:t xml:space="preserve"> </w:t>
      </w:r>
      <w:r>
        <w:t>of</w:t>
      </w:r>
      <w:r>
        <w:rPr>
          <w:spacing w:val="-2"/>
        </w:rPr>
        <w:t xml:space="preserve"> </w:t>
      </w:r>
      <w:r>
        <w:t>the</w:t>
      </w:r>
      <w:r>
        <w:rPr>
          <w:spacing w:val="-2"/>
        </w:rPr>
        <w:t xml:space="preserve"> </w:t>
      </w:r>
      <w:r>
        <w:t>contract</w:t>
      </w:r>
      <w:r>
        <w:rPr>
          <w:spacing w:val="-2"/>
        </w:rPr>
        <w:t xml:space="preserve"> </w:t>
      </w:r>
      <w:r>
        <w:t>plus</w:t>
      </w:r>
      <w:r>
        <w:rPr>
          <w:spacing w:val="-2"/>
        </w:rPr>
        <w:t xml:space="preserve"> </w:t>
      </w:r>
      <w:r>
        <w:t xml:space="preserve">a fee up to a ceiling based on the amount that has been funded. Typically, we </w:t>
      </w:r>
      <w:proofErr w:type="gramStart"/>
      <w:r>
        <w:t>enter into</w:t>
      </w:r>
      <w:proofErr w:type="gramEnd"/>
      <w:r>
        <w:t xml:space="preserve"> three types of cost-reimbursable</w:t>
      </w:r>
      <w:r>
        <w:rPr>
          <w:spacing w:val="40"/>
        </w:rPr>
        <w:t xml:space="preserve"> </w:t>
      </w:r>
      <w:r>
        <w:t>contracts: cost-plus-award-fee, cost-plus-incentive-fee, and cost-plus-fixed-fee. Cost-plus-award-fee contracts provide for an award</w:t>
      </w:r>
      <w:r>
        <w:rPr>
          <w:spacing w:val="-1"/>
        </w:rPr>
        <w:t xml:space="preserve"> </w:t>
      </w:r>
      <w:r>
        <w:t>fee</w:t>
      </w:r>
      <w:r>
        <w:rPr>
          <w:spacing w:val="-2"/>
        </w:rPr>
        <w:t xml:space="preserve"> </w:t>
      </w:r>
      <w:r>
        <w:t>that</w:t>
      </w:r>
      <w:r>
        <w:rPr>
          <w:spacing w:val="-1"/>
        </w:rPr>
        <w:t xml:space="preserve"> </w:t>
      </w:r>
      <w:r>
        <w:t>varies</w:t>
      </w:r>
      <w:r>
        <w:rPr>
          <w:spacing w:val="-2"/>
        </w:rPr>
        <w:t xml:space="preserve"> </w:t>
      </w:r>
      <w:r>
        <w:t>within</w:t>
      </w:r>
      <w:r>
        <w:rPr>
          <w:spacing w:val="-1"/>
        </w:rPr>
        <w:t xml:space="preserve"> </w:t>
      </w:r>
      <w:r>
        <w:t>specified</w:t>
      </w:r>
      <w:r>
        <w:rPr>
          <w:spacing w:val="-2"/>
        </w:rPr>
        <w:t xml:space="preserve"> </w:t>
      </w:r>
      <w:r>
        <w:t>limits</w:t>
      </w:r>
      <w:r>
        <w:rPr>
          <w:spacing w:val="-1"/>
        </w:rPr>
        <w:t xml:space="preserve"> </w:t>
      </w:r>
      <w:r>
        <w:t>based</w:t>
      </w:r>
      <w:r>
        <w:rPr>
          <w:spacing w:val="-2"/>
        </w:rPr>
        <w:t xml:space="preserve"> </w:t>
      </w:r>
      <w:r>
        <w:t>on</w:t>
      </w:r>
      <w:r>
        <w:rPr>
          <w:spacing w:val="-1"/>
        </w:rPr>
        <w:t xml:space="preserve"> </w:t>
      </w:r>
      <w:r>
        <w:t>the</w:t>
      </w:r>
      <w:r>
        <w:rPr>
          <w:spacing w:val="-2"/>
        </w:rPr>
        <w:t xml:space="preserve"> </w:t>
      </w:r>
      <w:r>
        <w:t>customer’s</w:t>
      </w:r>
      <w:r>
        <w:rPr>
          <w:spacing w:val="-1"/>
        </w:rPr>
        <w:t xml:space="preserve"> </w:t>
      </w:r>
      <w:r>
        <w:t>assessment</w:t>
      </w:r>
      <w:r>
        <w:rPr>
          <w:spacing w:val="-2"/>
        </w:rPr>
        <w:t xml:space="preserve"> </w:t>
      </w:r>
      <w:r>
        <w:t>of</w:t>
      </w:r>
      <w:r>
        <w:rPr>
          <w:spacing w:val="-1"/>
        </w:rPr>
        <w:t xml:space="preserve"> </w:t>
      </w:r>
      <w:r>
        <w:t>our</w:t>
      </w:r>
      <w:r>
        <w:rPr>
          <w:spacing w:val="-2"/>
        </w:rPr>
        <w:t xml:space="preserve"> </w:t>
      </w:r>
      <w:r>
        <w:t>performance</w:t>
      </w:r>
      <w:r>
        <w:rPr>
          <w:spacing w:val="-1"/>
        </w:rPr>
        <w:t xml:space="preserve"> </w:t>
      </w:r>
      <w:r>
        <w:t>against</w:t>
      </w:r>
      <w:r>
        <w:rPr>
          <w:spacing w:val="-2"/>
        </w:rPr>
        <w:t xml:space="preserve"> </w:t>
      </w:r>
      <w:r>
        <w:t>a</w:t>
      </w:r>
      <w:r>
        <w:rPr>
          <w:spacing w:val="-1"/>
        </w:rPr>
        <w:t xml:space="preserve"> </w:t>
      </w:r>
      <w:r>
        <w:t>predetermined</w:t>
      </w:r>
      <w:r>
        <w:rPr>
          <w:spacing w:val="-2"/>
        </w:rPr>
        <w:t xml:space="preserve"> </w:t>
      </w:r>
      <w:r>
        <w:t>set of criteria, such as targets based on cost, quality, technical and schedule criteria. Cost-plus-incentive-fee contracts provide for reimbursement</w:t>
      </w:r>
      <w:r>
        <w:rPr>
          <w:spacing w:val="20"/>
        </w:rPr>
        <w:t xml:space="preserve"> </w:t>
      </w:r>
      <w:r>
        <w:t>of</w:t>
      </w:r>
      <w:r>
        <w:rPr>
          <w:spacing w:val="20"/>
        </w:rPr>
        <w:t xml:space="preserve"> </w:t>
      </w:r>
      <w:r>
        <w:t>costs</w:t>
      </w:r>
      <w:r>
        <w:rPr>
          <w:spacing w:val="20"/>
        </w:rPr>
        <w:t xml:space="preserve"> </w:t>
      </w:r>
      <w:r>
        <w:t>plus</w:t>
      </w:r>
      <w:r>
        <w:rPr>
          <w:spacing w:val="20"/>
        </w:rPr>
        <w:t xml:space="preserve"> </w:t>
      </w:r>
      <w:r>
        <w:t>a</w:t>
      </w:r>
      <w:r>
        <w:rPr>
          <w:spacing w:val="20"/>
        </w:rPr>
        <w:t xml:space="preserve"> </w:t>
      </w:r>
      <w:r>
        <w:t>fee,</w:t>
      </w:r>
      <w:r>
        <w:rPr>
          <w:spacing w:val="20"/>
        </w:rPr>
        <w:t xml:space="preserve"> </w:t>
      </w:r>
      <w:r>
        <w:t>which</w:t>
      </w:r>
      <w:r>
        <w:rPr>
          <w:spacing w:val="20"/>
        </w:rPr>
        <w:t xml:space="preserve"> </w:t>
      </w:r>
      <w:r>
        <w:t>is</w:t>
      </w:r>
      <w:r>
        <w:rPr>
          <w:spacing w:val="20"/>
        </w:rPr>
        <w:t xml:space="preserve"> </w:t>
      </w:r>
      <w:r>
        <w:t>adjusted</w:t>
      </w:r>
      <w:r>
        <w:rPr>
          <w:spacing w:val="20"/>
        </w:rPr>
        <w:t xml:space="preserve"> </w:t>
      </w:r>
      <w:r>
        <w:t>by</w:t>
      </w:r>
      <w:r>
        <w:rPr>
          <w:spacing w:val="20"/>
        </w:rPr>
        <w:t xml:space="preserve"> </w:t>
      </w:r>
      <w:r>
        <w:t>a</w:t>
      </w:r>
      <w:r>
        <w:rPr>
          <w:spacing w:val="20"/>
        </w:rPr>
        <w:t xml:space="preserve"> </w:t>
      </w:r>
      <w:r>
        <w:t>formula</w:t>
      </w:r>
      <w:r>
        <w:rPr>
          <w:spacing w:val="20"/>
        </w:rPr>
        <w:t xml:space="preserve"> </w:t>
      </w:r>
      <w:r>
        <w:t>based</w:t>
      </w:r>
      <w:r>
        <w:rPr>
          <w:spacing w:val="20"/>
        </w:rPr>
        <w:t xml:space="preserve"> </w:t>
      </w:r>
      <w:r>
        <w:t>on</w:t>
      </w:r>
      <w:r>
        <w:rPr>
          <w:spacing w:val="20"/>
        </w:rPr>
        <w:t xml:space="preserve"> </w:t>
      </w:r>
      <w:r>
        <w:t>the</w:t>
      </w:r>
      <w:r>
        <w:rPr>
          <w:spacing w:val="20"/>
        </w:rPr>
        <w:t xml:space="preserve"> </w:t>
      </w:r>
      <w:r>
        <w:t>relationship</w:t>
      </w:r>
      <w:r>
        <w:rPr>
          <w:spacing w:val="20"/>
        </w:rPr>
        <w:t xml:space="preserve"> </w:t>
      </w:r>
      <w:r>
        <w:t>of</w:t>
      </w:r>
      <w:r>
        <w:rPr>
          <w:spacing w:val="20"/>
        </w:rPr>
        <w:t xml:space="preserve"> </w:t>
      </w:r>
      <w:r>
        <w:t>total</w:t>
      </w:r>
      <w:r>
        <w:rPr>
          <w:spacing w:val="20"/>
        </w:rPr>
        <w:t xml:space="preserve"> </w:t>
      </w:r>
      <w:r>
        <w:t>allowable</w:t>
      </w:r>
      <w:r>
        <w:rPr>
          <w:spacing w:val="20"/>
        </w:rPr>
        <w:t xml:space="preserve"> </w:t>
      </w:r>
      <w:r>
        <w:t>costs</w:t>
      </w:r>
      <w:r>
        <w:rPr>
          <w:spacing w:val="20"/>
        </w:rPr>
        <w:t xml:space="preserve"> </w:t>
      </w:r>
      <w:r>
        <w:t>to</w:t>
      </w:r>
      <w:r>
        <w:rPr>
          <w:spacing w:val="20"/>
        </w:rPr>
        <w:t xml:space="preserve"> </w:t>
      </w:r>
      <w:r>
        <w:t>total</w:t>
      </w:r>
    </w:p>
    <w:p w14:paraId="51678E02" w14:textId="77777777" w:rsidR="00AE2255" w:rsidRDefault="00AE2255">
      <w:pPr>
        <w:spacing w:line="249" w:lineRule="auto"/>
        <w:jc w:val="both"/>
        <w:sectPr w:rsidR="00AE2255">
          <w:pgSz w:w="12240" w:h="15840"/>
          <w:pgMar w:top="440" w:right="560" w:bottom="720" w:left="380" w:header="230" w:footer="531" w:gutter="0"/>
          <w:cols w:space="720"/>
        </w:sectPr>
      </w:pPr>
    </w:p>
    <w:p w14:paraId="0CBFBF44" w14:textId="77777777" w:rsidR="00AE2255" w:rsidRDefault="00AE2255">
      <w:pPr>
        <w:pStyle w:val="BodyText"/>
        <w:spacing w:before="10"/>
        <w:rPr>
          <w:sz w:val="22"/>
        </w:rPr>
      </w:pPr>
    </w:p>
    <w:p w14:paraId="331953B1" w14:textId="77777777" w:rsidR="00AE2255" w:rsidRDefault="00000000">
      <w:pPr>
        <w:pStyle w:val="BodyText"/>
        <w:spacing w:before="92" w:line="249" w:lineRule="auto"/>
        <w:ind w:left="610" w:right="430"/>
        <w:jc w:val="both"/>
      </w:pPr>
      <w:r>
        <w:t>target costs (i.e., incentive based on cost) or reimbursement of costs plus an incentive to exceed stated performance targets (i.e., incentive based on performance). Cost-plus-fixed-fee contracts provide a fixed fee that is negotiated at the inception of the contract and does not vary with actual costs.</w:t>
      </w:r>
    </w:p>
    <w:p w14:paraId="6DAC8BC8" w14:textId="77777777" w:rsidR="00AE2255" w:rsidRDefault="00AE2255">
      <w:pPr>
        <w:pStyle w:val="BodyText"/>
        <w:spacing w:before="7"/>
        <w:rPr>
          <w:sz w:val="17"/>
        </w:rPr>
      </w:pPr>
    </w:p>
    <w:p w14:paraId="0F7B79BC" w14:textId="77777777" w:rsidR="00AE2255" w:rsidRDefault="00000000">
      <w:pPr>
        <w:pStyle w:val="BodyText"/>
        <w:spacing w:line="249" w:lineRule="auto"/>
        <w:ind w:left="610" w:right="428" w:firstLine="450"/>
        <w:jc w:val="both"/>
      </w:pPr>
      <w:r>
        <w:t>We assess each contract at its inception to determine whether it should be combined with other contracts. When making this determination, we consider factors such as whether two or more contracts were negotiated and executed at or near the same time or were negotiated with an overall profit objective. If combined, we treat the combined contracts as a single contract for revenue recognition purposes.</w:t>
      </w:r>
    </w:p>
    <w:p w14:paraId="0EF9E15D" w14:textId="77777777" w:rsidR="00AE2255" w:rsidRDefault="00AE2255">
      <w:pPr>
        <w:pStyle w:val="BodyText"/>
        <w:spacing w:before="7"/>
        <w:rPr>
          <w:sz w:val="17"/>
        </w:rPr>
      </w:pPr>
    </w:p>
    <w:p w14:paraId="23476BE0" w14:textId="77777777" w:rsidR="00AE2255" w:rsidRDefault="00000000">
      <w:pPr>
        <w:pStyle w:val="BodyText"/>
        <w:spacing w:before="1" w:line="249" w:lineRule="auto"/>
        <w:ind w:left="610" w:right="428" w:firstLine="450"/>
        <w:jc w:val="both"/>
      </w:pPr>
      <w:r>
        <w:t xml:space="preserve">We evaluate the products or services promised in each contract at inception to determine whether the contract should be accounted for as having one or more performance obligations. The products and services in our contracts are typically not distinct from one another due to their complex relationships and the significant contract management functions required to perform under the contract. Accordingly, our contracts are typically accounted for as one performance obligation. In limited cases, our contracts have more than one distinct performance obligation, which occurs when we perform activities that are not highly complex or interrelated or involve different product lifecycles. Significant judgment is required in determining performance obligations, and these decisions could change the amount of revenue and profit recorded </w:t>
      </w:r>
      <w:proofErr w:type="gramStart"/>
      <w:r>
        <w:t>in a given</w:t>
      </w:r>
      <w:proofErr w:type="gramEnd"/>
      <w:r>
        <w:t xml:space="preserve"> period. We classify net sales as products or services on our consolidated statements of earnings based on the predominant attributes of the performance obligations.</w:t>
      </w:r>
    </w:p>
    <w:p w14:paraId="060247F8" w14:textId="77777777" w:rsidR="00AE2255" w:rsidRDefault="00AE2255">
      <w:pPr>
        <w:pStyle w:val="BodyText"/>
        <w:rPr>
          <w:sz w:val="18"/>
        </w:rPr>
      </w:pPr>
    </w:p>
    <w:p w14:paraId="208FB589" w14:textId="77777777" w:rsidR="00AE2255" w:rsidRDefault="00000000">
      <w:pPr>
        <w:pStyle w:val="BodyText"/>
        <w:spacing w:line="249" w:lineRule="auto"/>
        <w:ind w:left="610" w:right="428" w:firstLine="450"/>
        <w:jc w:val="both"/>
      </w:pPr>
      <w:r>
        <w:t>We determine the transaction price for each contract based on the consideration we expect to receive for the products or services being provided under the contract. For contracts where a portion of the price may vary (</w:t>
      </w:r>
      <w:proofErr w:type="gramStart"/>
      <w:r>
        <w:t>e.g.</w:t>
      </w:r>
      <w:proofErr w:type="gramEnd"/>
      <w:r>
        <w:t xml:space="preserve"> awards, incentive fees and claims), we estimate variable consideration at the most likely amount, which is included in the transaction price to the extent it is probable that a significant reversal of cumulative revenue recognized will not occur. We analyze the risk of a significant revenue reversal and if </w:t>
      </w:r>
      <w:proofErr w:type="gramStart"/>
      <w:r>
        <w:t>necessary</w:t>
      </w:r>
      <w:proofErr w:type="gramEnd"/>
      <w:r>
        <w:t xml:space="preserve"> constrain the amount of variable consideration recognized in order to mitigate this risk.</w:t>
      </w:r>
    </w:p>
    <w:p w14:paraId="44340456" w14:textId="77777777" w:rsidR="00AE2255" w:rsidRDefault="00AE2255">
      <w:pPr>
        <w:pStyle w:val="BodyText"/>
        <w:spacing w:before="8"/>
        <w:rPr>
          <w:sz w:val="17"/>
        </w:rPr>
      </w:pPr>
    </w:p>
    <w:p w14:paraId="1A974098" w14:textId="77777777" w:rsidR="00AE2255" w:rsidRDefault="00000000">
      <w:pPr>
        <w:pStyle w:val="BodyText"/>
        <w:spacing w:before="1" w:line="249" w:lineRule="auto"/>
        <w:ind w:left="610" w:right="428" w:firstLine="450"/>
        <w:jc w:val="both"/>
      </w:pPr>
      <w:r>
        <w:t xml:space="preserve">At the inception of a </w:t>
      </w:r>
      <w:proofErr w:type="gramStart"/>
      <w:r>
        <w:t>contract</w:t>
      </w:r>
      <w:proofErr w:type="gramEnd"/>
      <w:r>
        <w:t xml:space="preserve"> we estimate the transaction price based on our current rights and do not contemplate future modifications (including unexercised options) or follow-on contracts until they become legally enforceable. Contracts are often subsequently modified to include changes in specifications, </w:t>
      </w:r>
      <w:proofErr w:type="gramStart"/>
      <w:r>
        <w:t>requirements</w:t>
      </w:r>
      <w:proofErr w:type="gramEnd"/>
      <w:r>
        <w:t xml:space="preserve"> or price, which may create new or change existing enforceable rights and obligations. Depending on the nature of the modification, we consider whether to account for the modification</w:t>
      </w:r>
      <w:r>
        <w:rPr>
          <w:spacing w:val="-1"/>
        </w:rPr>
        <w:t xml:space="preserve"> </w:t>
      </w:r>
      <w:r>
        <w:t>as</w:t>
      </w:r>
      <w:r>
        <w:rPr>
          <w:spacing w:val="-1"/>
        </w:rPr>
        <w:t xml:space="preserve"> </w:t>
      </w:r>
      <w:r>
        <w:t>an</w:t>
      </w:r>
      <w:r>
        <w:rPr>
          <w:spacing w:val="-1"/>
        </w:rPr>
        <w:t xml:space="preserve"> </w:t>
      </w:r>
      <w:r>
        <w:t>adjustment</w:t>
      </w:r>
      <w:r>
        <w:rPr>
          <w:spacing w:val="-1"/>
        </w:rPr>
        <w:t xml:space="preserve"> </w:t>
      </w:r>
      <w:r>
        <w:t>to</w:t>
      </w:r>
      <w:r>
        <w:rPr>
          <w:spacing w:val="-1"/>
        </w:rPr>
        <w:t xml:space="preserve"> </w:t>
      </w:r>
      <w:r>
        <w:t>the</w:t>
      </w:r>
      <w:r>
        <w:rPr>
          <w:spacing w:val="-1"/>
        </w:rPr>
        <w:t xml:space="preserve"> </w:t>
      </w:r>
      <w:r>
        <w:t>existing</w:t>
      </w:r>
      <w:r>
        <w:rPr>
          <w:spacing w:val="-1"/>
        </w:rPr>
        <w:t xml:space="preserve"> </w:t>
      </w:r>
      <w:r>
        <w:t>contract</w:t>
      </w:r>
      <w:r>
        <w:rPr>
          <w:spacing w:val="-1"/>
        </w:rPr>
        <w:t xml:space="preserve"> </w:t>
      </w:r>
      <w:r>
        <w:t>or</w:t>
      </w:r>
      <w:r>
        <w:rPr>
          <w:spacing w:val="-1"/>
        </w:rPr>
        <w:t xml:space="preserve"> </w:t>
      </w:r>
      <w:r>
        <w:t>as</w:t>
      </w:r>
      <w:r>
        <w:rPr>
          <w:spacing w:val="-1"/>
        </w:rPr>
        <w:t xml:space="preserve"> </w:t>
      </w:r>
      <w:r>
        <w:t>a</w:t>
      </w:r>
      <w:r>
        <w:rPr>
          <w:spacing w:val="-1"/>
        </w:rPr>
        <w:t xml:space="preserve"> </w:t>
      </w:r>
      <w:r>
        <w:t>separate</w:t>
      </w:r>
      <w:r>
        <w:rPr>
          <w:spacing w:val="-1"/>
        </w:rPr>
        <w:t xml:space="preserve"> </w:t>
      </w:r>
      <w:r>
        <w:t>contract.</w:t>
      </w:r>
      <w:r>
        <w:rPr>
          <w:spacing w:val="-1"/>
        </w:rPr>
        <w:t xml:space="preserve"> </w:t>
      </w:r>
      <w:r>
        <w:t>Generally,</w:t>
      </w:r>
      <w:r>
        <w:rPr>
          <w:spacing w:val="-1"/>
        </w:rPr>
        <w:t xml:space="preserve"> </w:t>
      </w:r>
      <w:r>
        <w:t>modifications</w:t>
      </w:r>
      <w:r>
        <w:rPr>
          <w:spacing w:val="-1"/>
        </w:rPr>
        <w:t xml:space="preserve"> </w:t>
      </w:r>
      <w:r>
        <w:t>to</w:t>
      </w:r>
      <w:r>
        <w:rPr>
          <w:spacing w:val="-1"/>
        </w:rPr>
        <w:t xml:space="preserve"> </w:t>
      </w:r>
      <w:r>
        <w:t>our</w:t>
      </w:r>
      <w:r>
        <w:rPr>
          <w:spacing w:val="-1"/>
        </w:rPr>
        <w:t xml:space="preserve"> </w:t>
      </w:r>
      <w:r>
        <w:t>contracts</w:t>
      </w:r>
      <w:r>
        <w:rPr>
          <w:spacing w:val="-1"/>
        </w:rPr>
        <w:t xml:space="preserve"> </w:t>
      </w:r>
      <w:r>
        <w:t>are</w:t>
      </w:r>
      <w:r>
        <w:rPr>
          <w:spacing w:val="-1"/>
        </w:rPr>
        <w:t xml:space="preserve"> </w:t>
      </w:r>
      <w:r>
        <w:t>not distinct</w:t>
      </w:r>
      <w:r>
        <w:rPr>
          <w:spacing w:val="-2"/>
        </w:rPr>
        <w:t xml:space="preserve"> </w:t>
      </w:r>
      <w:r>
        <w:t>from</w:t>
      </w:r>
      <w:r>
        <w:rPr>
          <w:spacing w:val="-2"/>
        </w:rPr>
        <w:t xml:space="preserve"> </w:t>
      </w:r>
      <w:r>
        <w:t>the</w:t>
      </w:r>
      <w:r>
        <w:rPr>
          <w:spacing w:val="-2"/>
        </w:rPr>
        <w:t xml:space="preserve"> </w:t>
      </w:r>
      <w:r>
        <w:t>existing</w:t>
      </w:r>
      <w:r>
        <w:rPr>
          <w:spacing w:val="-2"/>
        </w:rPr>
        <w:t xml:space="preserve"> </w:t>
      </w:r>
      <w:r>
        <w:t>contract</w:t>
      </w:r>
      <w:r>
        <w:rPr>
          <w:spacing w:val="-2"/>
        </w:rPr>
        <w:t xml:space="preserve"> </w:t>
      </w:r>
      <w:r>
        <w:t>due</w:t>
      </w:r>
      <w:r>
        <w:rPr>
          <w:spacing w:val="-2"/>
        </w:rPr>
        <w:t xml:space="preserve"> </w:t>
      </w:r>
      <w:r>
        <w:t>to</w:t>
      </w:r>
      <w:r>
        <w:rPr>
          <w:spacing w:val="-2"/>
        </w:rPr>
        <w:t xml:space="preserve"> </w:t>
      </w:r>
      <w:r>
        <w:t>the</w:t>
      </w:r>
      <w:r>
        <w:rPr>
          <w:spacing w:val="-2"/>
        </w:rPr>
        <w:t xml:space="preserve"> </w:t>
      </w:r>
      <w:r>
        <w:t>significant</w:t>
      </w:r>
      <w:r>
        <w:rPr>
          <w:spacing w:val="-2"/>
        </w:rPr>
        <w:t xml:space="preserve"> </w:t>
      </w:r>
      <w:r>
        <w:t>integration</w:t>
      </w:r>
      <w:r>
        <w:rPr>
          <w:spacing w:val="-2"/>
        </w:rPr>
        <w:t xml:space="preserve"> </w:t>
      </w:r>
      <w:r>
        <w:t>and</w:t>
      </w:r>
      <w:r>
        <w:rPr>
          <w:spacing w:val="-2"/>
        </w:rPr>
        <w:t xml:space="preserve"> </w:t>
      </w:r>
      <w:r>
        <w:t>interrelated</w:t>
      </w:r>
      <w:r>
        <w:rPr>
          <w:spacing w:val="-2"/>
        </w:rPr>
        <w:t xml:space="preserve"> </w:t>
      </w:r>
      <w:r>
        <w:t>tasks</w:t>
      </w:r>
      <w:r>
        <w:rPr>
          <w:spacing w:val="-2"/>
        </w:rPr>
        <w:t xml:space="preserve"> </w:t>
      </w:r>
      <w:r>
        <w:t>provided</w:t>
      </w:r>
      <w:r>
        <w:rPr>
          <w:spacing w:val="-2"/>
        </w:rPr>
        <w:t xml:space="preserve"> </w:t>
      </w:r>
      <w:r>
        <w:t>in</w:t>
      </w:r>
      <w:r>
        <w:rPr>
          <w:spacing w:val="-2"/>
        </w:rPr>
        <w:t xml:space="preserve"> </w:t>
      </w:r>
      <w:r>
        <w:t>the</w:t>
      </w:r>
      <w:r>
        <w:rPr>
          <w:spacing w:val="-2"/>
        </w:rPr>
        <w:t xml:space="preserve"> </w:t>
      </w:r>
      <w:r>
        <w:t>context</w:t>
      </w:r>
      <w:r>
        <w:rPr>
          <w:spacing w:val="-2"/>
        </w:rPr>
        <w:t xml:space="preserve"> </w:t>
      </w:r>
      <w:r>
        <w:t>of</w:t>
      </w:r>
      <w:r>
        <w:rPr>
          <w:spacing w:val="-2"/>
        </w:rPr>
        <w:t xml:space="preserve"> </w:t>
      </w:r>
      <w:r>
        <w:t>the</w:t>
      </w:r>
      <w:r>
        <w:rPr>
          <w:spacing w:val="-2"/>
        </w:rPr>
        <w:t xml:space="preserve"> </w:t>
      </w:r>
      <w:r>
        <w:t>contract. Therefore, such modifications are accounted for as if they were part of the existing contract and recognized as a cumulative adjustment to revenue.</w:t>
      </w:r>
    </w:p>
    <w:p w14:paraId="3795C988" w14:textId="77777777" w:rsidR="00AE2255" w:rsidRDefault="00AE2255">
      <w:pPr>
        <w:pStyle w:val="BodyText"/>
        <w:spacing w:before="10"/>
        <w:rPr>
          <w:sz w:val="17"/>
        </w:rPr>
      </w:pPr>
    </w:p>
    <w:p w14:paraId="086136BC" w14:textId="77777777" w:rsidR="00AE2255" w:rsidRDefault="00000000">
      <w:pPr>
        <w:pStyle w:val="BodyText"/>
        <w:spacing w:before="1" w:line="249" w:lineRule="auto"/>
        <w:ind w:left="610" w:right="428" w:firstLine="450"/>
        <w:jc w:val="both"/>
      </w:pPr>
      <w:r>
        <w:t>For contracts with multiple performance obligations, we allocate the transaction price to each performance obligation based on the estimated standalone selling price of the product or service underlying each performance obligation. The standalone</w:t>
      </w:r>
      <w:r>
        <w:rPr>
          <w:spacing w:val="-1"/>
        </w:rPr>
        <w:t xml:space="preserve"> </w:t>
      </w:r>
      <w:r>
        <w:t>selling</w:t>
      </w:r>
      <w:r>
        <w:rPr>
          <w:spacing w:val="-1"/>
        </w:rPr>
        <w:t xml:space="preserve"> </w:t>
      </w:r>
      <w:r>
        <w:t>price</w:t>
      </w:r>
      <w:r>
        <w:rPr>
          <w:spacing w:val="-1"/>
        </w:rPr>
        <w:t xml:space="preserve"> </w:t>
      </w:r>
      <w:r>
        <w:t>represents</w:t>
      </w:r>
      <w:r>
        <w:rPr>
          <w:spacing w:val="-1"/>
        </w:rPr>
        <w:t xml:space="preserve"> </w:t>
      </w:r>
      <w:r>
        <w:t>the</w:t>
      </w:r>
      <w:r>
        <w:rPr>
          <w:spacing w:val="-1"/>
        </w:rPr>
        <w:t xml:space="preserve"> </w:t>
      </w:r>
      <w:r>
        <w:t>amount</w:t>
      </w:r>
      <w:r>
        <w:rPr>
          <w:spacing w:val="-1"/>
        </w:rPr>
        <w:t xml:space="preserve"> </w:t>
      </w:r>
      <w:r>
        <w:t>we</w:t>
      </w:r>
      <w:r>
        <w:rPr>
          <w:spacing w:val="-1"/>
        </w:rPr>
        <w:t xml:space="preserve"> </w:t>
      </w:r>
      <w:r>
        <w:t>would</w:t>
      </w:r>
      <w:r>
        <w:rPr>
          <w:spacing w:val="-1"/>
        </w:rPr>
        <w:t xml:space="preserve"> </w:t>
      </w:r>
      <w:r>
        <w:t>sell</w:t>
      </w:r>
      <w:r>
        <w:rPr>
          <w:spacing w:val="-1"/>
        </w:rPr>
        <w:t xml:space="preserve"> </w:t>
      </w:r>
      <w:r>
        <w:t>the</w:t>
      </w:r>
      <w:r>
        <w:rPr>
          <w:spacing w:val="-1"/>
        </w:rPr>
        <w:t xml:space="preserve"> </w:t>
      </w:r>
      <w:r>
        <w:t>product</w:t>
      </w:r>
      <w:r>
        <w:rPr>
          <w:spacing w:val="-1"/>
        </w:rPr>
        <w:t xml:space="preserve"> </w:t>
      </w:r>
      <w:r>
        <w:t>or</w:t>
      </w:r>
      <w:r>
        <w:rPr>
          <w:spacing w:val="-1"/>
        </w:rPr>
        <w:t xml:space="preserve"> </w:t>
      </w:r>
      <w:r>
        <w:t>service</w:t>
      </w:r>
      <w:r>
        <w:rPr>
          <w:spacing w:val="-1"/>
        </w:rPr>
        <w:t xml:space="preserve"> </w:t>
      </w:r>
      <w:r>
        <w:t>to</w:t>
      </w:r>
      <w:r>
        <w:rPr>
          <w:spacing w:val="-1"/>
        </w:rPr>
        <w:t xml:space="preserve"> </w:t>
      </w:r>
      <w:r>
        <w:t>a</w:t>
      </w:r>
      <w:r>
        <w:rPr>
          <w:spacing w:val="-1"/>
        </w:rPr>
        <w:t xml:space="preserve"> </w:t>
      </w:r>
      <w:r>
        <w:t>customer</w:t>
      </w:r>
      <w:r>
        <w:rPr>
          <w:spacing w:val="-1"/>
        </w:rPr>
        <w:t xml:space="preserve"> </w:t>
      </w:r>
      <w:r>
        <w:t>on</w:t>
      </w:r>
      <w:r>
        <w:rPr>
          <w:spacing w:val="-1"/>
        </w:rPr>
        <w:t xml:space="preserve"> </w:t>
      </w:r>
      <w:r>
        <w:t>a</w:t>
      </w:r>
      <w:r>
        <w:rPr>
          <w:spacing w:val="-1"/>
        </w:rPr>
        <w:t xml:space="preserve"> </w:t>
      </w:r>
      <w:r>
        <w:t>standalone</w:t>
      </w:r>
      <w:r>
        <w:rPr>
          <w:spacing w:val="-1"/>
        </w:rPr>
        <w:t xml:space="preserve"> </w:t>
      </w:r>
      <w:r>
        <w:t>basis</w:t>
      </w:r>
      <w:r>
        <w:rPr>
          <w:spacing w:val="-1"/>
        </w:rPr>
        <w:t xml:space="preserve"> </w:t>
      </w:r>
      <w:r>
        <w:t>(i.e.,</w:t>
      </w:r>
      <w:r>
        <w:rPr>
          <w:spacing w:val="-1"/>
        </w:rPr>
        <w:t xml:space="preserve"> </w:t>
      </w:r>
      <w:r>
        <w:t>not bundled with any other products or services). Our contracts with the U.S. Government, including FMS contracts, are subject to the Federal Acquisition Regulations (FAR) and the price is typically based on estimated or actual costs plus a reasonable profit margin. As a result of these regulations, the standalone selling price of products or services in our contracts with the U.S. Government and FMS contracts are typically equal to the selling price stated in the contract.</w:t>
      </w:r>
    </w:p>
    <w:p w14:paraId="147D72FC" w14:textId="77777777" w:rsidR="00AE2255" w:rsidRDefault="00AE2255">
      <w:pPr>
        <w:pStyle w:val="BodyText"/>
        <w:spacing w:before="10"/>
        <w:rPr>
          <w:sz w:val="17"/>
        </w:rPr>
      </w:pPr>
    </w:p>
    <w:p w14:paraId="2BB0F93A" w14:textId="77777777" w:rsidR="00AE2255" w:rsidRDefault="00000000">
      <w:pPr>
        <w:pStyle w:val="BodyText"/>
        <w:spacing w:line="249" w:lineRule="auto"/>
        <w:ind w:left="610" w:right="427" w:firstLine="450"/>
        <w:jc w:val="both"/>
      </w:pPr>
      <w:r>
        <w:t>For non-U.S. Government contracts with multiple performance obligations, we evaluate whether the stated selling prices for the products or services represent their standalone selling prices. We primarily sell customized solutions unique to a customer’s specifications. When it is necessary to allocate the transaction price to multiple performance obligations, we typically use the expected cost plus a reasonable profit margin to estimate the standalone selling price of each product or service.</w:t>
      </w:r>
      <w:r>
        <w:rPr>
          <w:spacing w:val="-3"/>
        </w:rPr>
        <w:t xml:space="preserve"> </w:t>
      </w:r>
      <w:r>
        <w:t>We</w:t>
      </w:r>
      <w:r>
        <w:rPr>
          <w:spacing w:val="-3"/>
        </w:rPr>
        <w:t xml:space="preserve"> </w:t>
      </w:r>
      <w:r>
        <w:t>occasionally</w:t>
      </w:r>
      <w:r>
        <w:rPr>
          <w:spacing w:val="-3"/>
        </w:rPr>
        <w:t xml:space="preserve"> </w:t>
      </w:r>
      <w:r>
        <w:t>sell</w:t>
      </w:r>
      <w:r>
        <w:rPr>
          <w:spacing w:val="-3"/>
        </w:rPr>
        <w:t xml:space="preserve"> </w:t>
      </w:r>
      <w:r>
        <w:t>standard</w:t>
      </w:r>
      <w:r>
        <w:rPr>
          <w:spacing w:val="-3"/>
        </w:rPr>
        <w:t xml:space="preserve"> </w:t>
      </w:r>
      <w:r>
        <w:t>products</w:t>
      </w:r>
      <w:r>
        <w:rPr>
          <w:spacing w:val="-3"/>
        </w:rPr>
        <w:t xml:space="preserve"> </w:t>
      </w:r>
      <w:r>
        <w:t>or</w:t>
      </w:r>
      <w:r>
        <w:rPr>
          <w:spacing w:val="-3"/>
        </w:rPr>
        <w:t xml:space="preserve"> </w:t>
      </w:r>
      <w:r>
        <w:t>services</w:t>
      </w:r>
      <w:r>
        <w:rPr>
          <w:spacing w:val="-3"/>
        </w:rPr>
        <w:t xml:space="preserve"> </w:t>
      </w:r>
      <w:r>
        <w:t>with</w:t>
      </w:r>
      <w:r>
        <w:rPr>
          <w:spacing w:val="-3"/>
        </w:rPr>
        <w:t xml:space="preserve"> </w:t>
      </w:r>
      <w:r>
        <w:t>observable</w:t>
      </w:r>
      <w:r>
        <w:rPr>
          <w:spacing w:val="-3"/>
        </w:rPr>
        <w:t xml:space="preserve"> </w:t>
      </w:r>
      <w:r>
        <w:t>standalone</w:t>
      </w:r>
      <w:r>
        <w:rPr>
          <w:spacing w:val="-3"/>
        </w:rPr>
        <w:t xml:space="preserve"> </w:t>
      </w:r>
      <w:r>
        <w:t>sales</w:t>
      </w:r>
      <w:r>
        <w:rPr>
          <w:spacing w:val="-3"/>
        </w:rPr>
        <w:t xml:space="preserve"> </w:t>
      </w:r>
      <w:r>
        <w:t>transactions.</w:t>
      </w:r>
      <w:r>
        <w:rPr>
          <w:spacing w:val="-3"/>
        </w:rPr>
        <w:t xml:space="preserve"> </w:t>
      </w:r>
      <w:r>
        <w:t>In</w:t>
      </w:r>
      <w:r>
        <w:rPr>
          <w:spacing w:val="-3"/>
        </w:rPr>
        <w:t xml:space="preserve"> </w:t>
      </w:r>
      <w:r>
        <w:t>these</w:t>
      </w:r>
      <w:r>
        <w:rPr>
          <w:spacing w:val="-3"/>
        </w:rPr>
        <w:t xml:space="preserve"> </w:t>
      </w:r>
      <w:r>
        <w:t>situations,</w:t>
      </w:r>
      <w:r>
        <w:rPr>
          <w:spacing w:val="-3"/>
        </w:rPr>
        <w:t xml:space="preserve"> </w:t>
      </w:r>
      <w:r>
        <w:t>the observable standalone sales transactions are used to determine the standalone selling price.</w:t>
      </w:r>
    </w:p>
    <w:p w14:paraId="3F55EB14" w14:textId="77777777" w:rsidR="00AE2255" w:rsidRDefault="00AE2255">
      <w:pPr>
        <w:pStyle w:val="BodyText"/>
        <w:spacing w:before="9"/>
        <w:rPr>
          <w:sz w:val="17"/>
        </w:rPr>
      </w:pPr>
    </w:p>
    <w:p w14:paraId="5E284344" w14:textId="77777777" w:rsidR="00AE2255" w:rsidRDefault="00000000">
      <w:pPr>
        <w:pStyle w:val="BodyText"/>
        <w:spacing w:line="249" w:lineRule="auto"/>
        <w:ind w:left="610" w:right="428" w:firstLine="450"/>
        <w:jc w:val="both"/>
      </w:pPr>
      <w:r>
        <w:t xml:space="preserve">We recognize revenue as performance obligations are satisfied and the customer obtains control of the products and services. In determining when performance obligations are satisfied, we consider factors such as contract terms, payment terms and whether there is an alternative future use of the product or service. Substantially </w:t>
      </w:r>
      <w:proofErr w:type="gramStart"/>
      <w:r>
        <w:t>all of</w:t>
      </w:r>
      <w:proofErr w:type="gramEnd"/>
      <w:r>
        <w:t xml:space="preserve"> our revenue is recognized over time as we perform under the contract because control of the work in process transfers continuously to the customer. For most contracts with the U.S. Government and FMS contracts, this continuous transfer of control of the work in process to the customer is supported by clauses in the contract that give the customer ownership of work in process and allow the customer to unilaterally terminate the contract for convenience and pay us for costs incurred plus a reasonable profit. For most non-U.S. Government contracts, primarily international direct commercial contracts, continuous transfer of control to our customer is supported because we deliver products that do not have an alternative use to us and if our customer were to terminate the contract for reasons other than our non-performance we would have the right to recover damages which would include, among other potential damages, the right to payment for our work performed to date plus a reasonable profit.</w:t>
      </w:r>
    </w:p>
    <w:p w14:paraId="49A98236" w14:textId="77777777" w:rsidR="00AE2255" w:rsidRDefault="00AE2255">
      <w:pPr>
        <w:spacing w:line="249" w:lineRule="auto"/>
        <w:jc w:val="both"/>
        <w:sectPr w:rsidR="00AE2255">
          <w:pgSz w:w="12240" w:h="15840"/>
          <w:pgMar w:top="440" w:right="560" w:bottom="720" w:left="380" w:header="230" w:footer="531" w:gutter="0"/>
          <w:cols w:space="720"/>
        </w:sectPr>
      </w:pPr>
    </w:p>
    <w:p w14:paraId="06F52AC9" w14:textId="77777777" w:rsidR="00AE2255" w:rsidRDefault="00AE2255">
      <w:pPr>
        <w:pStyle w:val="BodyText"/>
        <w:spacing w:before="10"/>
        <w:rPr>
          <w:sz w:val="22"/>
        </w:rPr>
      </w:pPr>
    </w:p>
    <w:p w14:paraId="06771A58" w14:textId="77777777" w:rsidR="00AE2255" w:rsidRDefault="00000000">
      <w:pPr>
        <w:pStyle w:val="BodyText"/>
        <w:spacing w:before="92" w:line="249" w:lineRule="auto"/>
        <w:ind w:left="610" w:right="427" w:firstLine="450"/>
        <w:jc w:val="both"/>
      </w:pPr>
      <w:r>
        <w:t>For</w:t>
      </w:r>
      <w:r>
        <w:rPr>
          <w:spacing w:val="-1"/>
        </w:rPr>
        <w:t xml:space="preserve"> </w:t>
      </w:r>
      <w:r>
        <w:t>performance</w:t>
      </w:r>
      <w:r>
        <w:rPr>
          <w:spacing w:val="-1"/>
        </w:rPr>
        <w:t xml:space="preserve"> </w:t>
      </w:r>
      <w:r>
        <w:t>obligations</w:t>
      </w:r>
      <w:r>
        <w:rPr>
          <w:spacing w:val="-1"/>
        </w:rPr>
        <w:t xml:space="preserve"> </w:t>
      </w:r>
      <w:r>
        <w:t>to</w:t>
      </w:r>
      <w:r>
        <w:rPr>
          <w:spacing w:val="-1"/>
        </w:rPr>
        <w:t xml:space="preserve"> </w:t>
      </w:r>
      <w:r>
        <w:t>deliver</w:t>
      </w:r>
      <w:r>
        <w:rPr>
          <w:spacing w:val="-1"/>
        </w:rPr>
        <w:t xml:space="preserve"> </w:t>
      </w:r>
      <w:r>
        <w:t>products</w:t>
      </w:r>
      <w:r>
        <w:rPr>
          <w:spacing w:val="-1"/>
        </w:rPr>
        <w:t xml:space="preserve"> </w:t>
      </w:r>
      <w:r>
        <w:t>with</w:t>
      </w:r>
      <w:r>
        <w:rPr>
          <w:spacing w:val="-1"/>
        </w:rPr>
        <w:t xml:space="preserve"> </w:t>
      </w:r>
      <w:r>
        <w:t>continuous</w:t>
      </w:r>
      <w:r>
        <w:rPr>
          <w:spacing w:val="-1"/>
        </w:rPr>
        <w:t xml:space="preserve"> </w:t>
      </w:r>
      <w:r>
        <w:t>transfer</w:t>
      </w:r>
      <w:r>
        <w:rPr>
          <w:spacing w:val="-1"/>
        </w:rPr>
        <w:t xml:space="preserve"> </w:t>
      </w:r>
      <w:r>
        <w:t>of</w:t>
      </w:r>
      <w:r>
        <w:rPr>
          <w:spacing w:val="-1"/>
        </w:rPr>
        <w:t xml:space="preserve"> </w:t>
      </w:r>
      <w:r>
        <w:t>control</w:t>
      </w:r>
      <w:r>
        <w:rPr>
          <w:spacing w:val="-1"/>
        </w:rPr>
        <w:t xml:space="preserve"> </w:t>
      </w:r>
      <w:r>
        <w:t>to</w:t>
      </w:r>
      <w:r>
        <w:rPr>
          <w:spacing w:val="-1"/>
        </w:rPr>
        <w:t xml:space="preserve"> </w:t>
      </w:r>
      <w:r>
        <w:t>the</w:t>
      </w:r>
      <w:r>
        <w:rPr>
          <w:spacing w:val="-1"/>
        </w:rPr>
        <w:t xml:space="preserve"> </w:t>
      </w:r>
      <w:r>
        <w:t>customer,</w:t>
      </w:r>
      <w:r>
        <w:rPr>
          <w:spacing w:val="-1"/>
        </w:rPr>
        <w:t xml:space="preserve"> </w:t>
      </w:r>
      <w:r>
        <w:t>revenue</w:t>
      </w:r>
      <w:r>
        <w:rPr>
          <w:spacing w:val="-1"/>
        </w:rPr>
        <w:t xml:space="preserve"> </w:t>
      </w:r>
      <w:r>
        <w:t>is</w:t>
      </w:r>
      <w:r>
        <w:rPr>
          <w:spacing w:val="-1"/>
        </w:rPr>
        <w:t xml:space="preserve"> </w:t>
      </w:r>
      <w:r>
        <w:t>recognized based on the extent of progress towards completion of the performance obligation, generally using the percentage-of- completion cost-to-cost measure of progress for our contracts because it best depicts the transfer of control to the customer as we incur costs on our contracts. Under the percentage-of-completion cost-to-cost measure of progress, the extent of progress towards completion is measured based on the ratio of costs incurred to date to the total estimated costs to complete the performance obligation(s). For performance obligations to provide services to the customer, revenue is recognized over time based on costs incurred or the right to invoice method (in situations where the value transferred matches our billing rights) as our customer receives and consumes the benefits.</w:t>
      </w:r>
    </w:p>
    <w:p w14:paraId="223A53B9" w14:textId="77777777" w:rsidR="00AE2255" w:rsidRDefault="00AE2255">
      <w:pPr>
        <w:pStyle w:val="BodyText"/>
        <w:spacing w:before="11"/>
        <w:rPr>
          <w:sz w:val="17"/>
        </w:rPr>
      </w:pPr>
    </w:p>
    <w:p w14:paraId="32AAAB10" w14:textId="77777777" w:rsidR="00AE2255" w:rsidRDefault="00000000">
      <w:pPr>
        <w:pStyle w:val="BodyText"/>
        <w:spacing w:line="249" w:lineRule="auto"/>
        <w:ind w:left="610" w:right="427" w:firstLine="450"/>
        <w:jc w:val="both"/>
      </w:pPr>
      <w:r>
        <w:t>For performance obligations in which control does not continuously transfer to the customer, we recognize revenue at the point in time in which each performance obligation is fully satisfied. This coincides with the point in time the customer obtains control of the product or service, which typically occurs upon customer acceptance or receipt of the product or service, given that we maintain control of the product or service until that point.</w:t>
      </w:r>
    </w:p>
    <w:p w14:paraId="587149E5" w14:textId="77777777" w:rsidR="00AE2255" w:rsidRDefault="00AE2255">
      <w:pPr>
        <w:pStyle w:val="BodyText"/>
        <w:spacing w:before="7"/>
        <w:rPr>
          <w:sz w:val="17"/>
        </w:rPr>
      </w:pPr>
    </w:p>
    <w:p w14:paraId="0D2CC22B" w14:textId="77777777" w:rsidR="00AE2255" w:rsidRDefault="00000000">
      <w:pPr>
        <w:pStyle w:val="BodyText"/>
        <w:spacing w:before="1" w:line="249" w:lineRule="auto"/>
        <w:ind w:left="610" w:right="427" w:firstLine="450"/>
        <w:jc w:val="both"/>
      </w:pPr>
      <w:r>
        <w:t xml:space="preserve">Backlog (i.e., </w:t>
      </w:r>
      <w:proofErr w:type="gramStart"/>
      <w:r>
        <w:t>unfulfilled</w:t>
      </w:r>
      <w:proofErr w:type="gramEnd"/>
      <w:r>
        <w:t xml:space="preserve"> or remaining performance obligations) represents the sales we expect to recognize for our products and services for which control has not yet transferred to the customer. It is converted into sales in future periods as work is performed or deliveries are made. For our cost-reimbursable and fixed-priced-incentive contracts, the estimated consideration we expect to receive pursuant to the terms of the contract may exceed the contractual award amount. The estimated consideration is determined at the outset of the contract and is continuously reviewed throughout the contract period. In</w:t>
      </w:r>
      <w:r>
        <w:rPr>
          <w:spacing w:val="-2"/>
        </w:rPr>
        <w:t xml:space="preserve"> </w:t>
      </w:r>
      <w:r>
        <w:t>determining</w:t>
      </w:r>
      <w:r>
        <w:rPr>
          <w:spacing w:val="-2"/>
        </w:rPr>
        <w:t xml:space="preserve"> </w:t>
      </w:r>
      <w:r>
        <w:t>the</w:t>
      </w:r>
      <w:r>
        <w:rPr>
          <w:spacing w:val="-2"/>
        </w:rPr>
        <w:t xml:space="preserve"> </w:t>
      </w:r>
      <w:r>
        <w:t>estimated</w:t>
      </w:r>
      <w:r>
        <w:rPr>
          <w:spacing w:val="-2"/>
        </w:rPr>
        <w:t xml:space="preserve"> </w:t>
      </w:r>
      <w:r>
        <w:t>consideration,</w:t>
      </w:r>
      <w:r>
        <w:rPr>
          <w:spacing w:val="-2"/>
        </w:rPr>
        <w:t xml:space="preserve"> </w:t>
      </w:r>
      <w:r>
        <w:t>we</w:t>
      </w:r>
      <w:r>
        <w:rPr>
          <w:spacing w:val="-2"/>
        </w:rPr>
        <w:t xml:space="preserve"> </w:t>
      </w:r>
      <w:r>
        <w:t>consider</w:t>
      </w:r>
      <w:r>
        <w:rPr>
          <w:spacing w:val="-2"/>
        </w:rPr>
        <w:t xml:space="preserve"> </w:t>
      </w:r>
      <w:r>
        <w:t>the</w:t>
      </w:r>
      <w:r>
        <w:rPr>
          <w:spacing w:val="-2"/>
        </w:rPr>
        <w:t xml:space="preserve"> </w:t>
      </w:r>
      <w:r>
        <w:t>risks</w:t>
      </w:r>
      <w:r>
        <w:rPr>
          <w:spacing w:val="-2"/>
        </w:rPr>
        <w:t xml:space="preserve"> </w:t>
      </w:r>
      <w:r>
        <w:t>related</w:t>
      </w:r>
      <w:r>
        <w:rPr>
          <w:spacing w:val="-2"/>
        </w:rPr>
        <w:t xml:space="preserve"> </w:t>
      </w:r>
      <w:r>
        <w:t>to</w:t>
      </w:r>
      <w:r>
        <w:rPr>
          <w:spacing w:val="-2"/>
        </w:rPr>
        <w:t xml:space="preserve"> </w:t>
      </w:r>
      <w:r>
        <w:t>the</w:t>
      </w:r>
      <w:r>
        <w:rPr>
          <w:spacing w:val="-2"/>
        </w:rPr>
        <w:t xml:space="preserve"> </w:t>
      </w:r>
      <w:r>
        <w:t>technical,</w:t>
      </w:r>
      <w:r>
        <w:rPr>
          <w:spacing w:val="-2"/>
        </w:rPr>
        <w:t xml:space="preserve"> </w:t>
      </w:r>
      <w:r>
        <w:t>schedule</w:t>
      </w:r>
      <w:r>
        <w:rPr>
          <w:spacing w:val="-2"/>
        </w:rPr>
        <w:t xml:space="preserve"> </w:t>
      </w:r>
      <w:r>
        <w:t>and</w:t>
      </w:r>
      <w:r>
        <w:rPr>
          <w:spacing w:val="-2"/>
        </w:rPr>
        <w:t xml:space="preserve"> </w:t>
      </w:r>
      <w:r>
        <w:t>cost</w:t>
      </w:r>
      <w:r>
        <w:rPr>
          <w:spacing w:val="-2"/>
        </w:rPr>
        <w:t xml:space="preserve"> </w:t>
      </w:r>
      <w:r>
        <w:t>impacts</w:t>
      </w:r>
      <w:r>
        <w:rPr>
          <w:spacing w:val="-2"/>
        </w:rPr>
        <w:t xml:space="preserve"> </w:t>
      </w:r>
      <w:r>
        <w:t>to</w:t>
      </w:r>
      <w:r>
        <w:rPr>
          <w:spacing w:val="-2"/>
        </w:rPr>
        <w:t xml:space="preserve"> </w:t>
      </w:r>
      <w:r>
        <w:t>complete the contract and an estimate of any variable consideration. Periodically, we review these risks and may increase or decrease backlog</w:t>
      </w:r>
      <w:r>
        <w:rPr>
          <w:spacing w:val="-1"/>
        </w:rPr>
        <w:t xml:space="preserve"> </w:t>
      </w:r>
      <w:r>
        <w:t>accordingly.</w:t>
      </w:r>
      <w:r>
        <w:rPr>
          <w:spacing w:val="-1"/>
        </w:rPr>
        <w:t xml:space="preserve"> </w:t>
      </w:r>
      <w:r>
        <w:t>As</w:t>
      </w:r>
      <w:r>
        <w:rPr>
          <w:spacing w:val="-1"/>
        </w:rPr>
        <w:t xml:space="preserve"> </w:t>
      </w:r>
      <w:r>
        <w:t>the</w:t>
      </w:r>
      <w:r>
        <w:rPr>
          <w:spacing w:val="-1"/>
        </w:rPr>
        <w:t xml:space="preserve"> </w:t>
      </w:r>
      <w:r>
        <w:t>risks</w:t>
      </w:r>
      <w:r>
        <w:rPr>
          <w:spacing w:val="-1"/>
        </w:rPr>
        <w:t xml:space="preserve"> </w:t>
      </w:r>
      <w:r>
        <w:t>on</w:t>
      </w:r>
      <w:r>
        <w:rPr>
          <w:spacing w:val="-1"/>
        </w:rPr>
        <w:t xml:space="preserve"> </w:t>
      </w:r>
      <w:r>
        <w:t>such</w:t>
      </w:r>
      <w:r>
        <w:rPr>
          <w:spacing w:val="-1"/>
        </w:rPr>
        <w:t xml:space="preserve"> </w:t>
      </w:r>
      <w:r>
        <w:t>contracts</w:t>
      </w:r>
      <w:r>
        <w:rPr>
          <w:spacing w:val="-1"/>
        </w:rPr>
        <w:t xml:space="preserve"> </w:t>
      </w:r>
      <w:r>
        <w:t>are</w:t>
      </w:r>
      <w:r>
        <w:rPr>
          <w:spacing w:val="-1"/>
        </w:rPr>
        <w:t xml:space="preserve"> </w:t>
      </w:r>
      <w:r>
        <w:t>successfully</w:t>
      </w:r>
      <w:r>
        <w:rPr>
          <w:spacing w:val="-1"/>
        </w:rPr>
        <w:t xml:space="preserve"> </w:t>
      </w:r>
      <w:r>
        <w:t>retired,</w:t>
      </w:r>
      <w:r>
        <w:rPr>
          <w:spacing w:val="-1"/>
        </w:rPr>
        <w:t xml:space="preserve"> </w:t>
      </w:r>
      <w:r>
        <w:t>the</w:t>
      </w:r>
      <w:r>
        <w:rPr>
          <w:spacing w:val="-1"/>
        </w:rPr>
        <w:t xml:space="preserve"> </w:t>
      </w:r>
      <w:r>
        <w:t>estimated</w:t>
      </w:r>
      <w:r>
        <w:rPr>
          <w:spacing w:val="-1"/>
        </w:rPr>
        <w:t xml:space="preserve"> </w:t>
      </w:r>
      <w:r>
        <w:t>consideration</w:t>
      </w:r>
      <w:r>
        <w:rPr>
          <w:spacing w:val="-1"/>
        </w:rPr>
        <w:t xml:space="preserve"> </w:t>
      </w:r>
      <w:r>
        <w:t>from</w:t>
      </w:r>
      <w:r>
        <w:rPr>
          <w:spacing w:val="-1"/>
        </w:rPr>
        <w:t xml:space="preserve"> </w:t>
      </w:r>
      <w:r>
        <w:t>customers</w:t>
      </w:r>
      <w:r>
        <w:rPr>
          <w:spacing w:val="-1"/>
        </w:rPr>
        <w:t xml:space="preserve"> </w:t>
      </w:r>
      <w:r>
        <w:t>may</w:t>
      </w:r>
      <w:r>
        <w:rPr>
          <w:spacing w:val="-1"/>
        </w:rPr>
        <w:t xml:space="preserve"> </w:t>
      </w:r>
      <w:r>
        <w:t>be reduced, resulting in a reduction of backlog without a corresponding recognition of sales. As of December 31, 2022, our ending backlog was $150.0 billion. We expect to recognize approximately 37% of our backlog over the next 12 months and approximately 61% over the next 24 months as revenue, with the remainder recognized thereafter.</w:t>
      </w:r>
    </w:p>
    <w:p w14:paraId="09219549" w14:textId="77777777" w:rsidR="00AE2255" w:rsidRDefault="00AE2255">
      <w:pPr>
        <w:pStyle w:val="BodyText"/>
        <w:spacing w:before="1"/>
        <w:rPr>
          <w:sz w:val="18"/>
        </w:rPr>
      </w:pPr>
    </w:p>
    <w:p w14:paraId="6868C4B2" w14:textId="77777777" w:rsidR="00AE2255" w:rsidRDefault="00000000">
      <w:pPr>
        <w:pStyle w:val="BodyText"/>
        <w:spacing w:before="1" w:line="249" w:lineRule="auto"/>
        <w:ind w:left="610" w:right="428" w:firstLine="450"/>
        <w:jc w:val="both"/>
      </w:pPr>
      <w:r>
        <w:t xml:space="preserve">For arrangements with the U.S. Government and FMS contracts, we generally do not begin work on contracts until funding is appropriated by the customer. Billing timetables and payment terms on our contracts vary based on </w:t>
      </w:r>
      <w:proofErr w:type="gramStart"/>
      <w:r>
        <w:t>a number of</w:t>
      </w:r>
      <w:proofErr w:type="gramEnd"/>
      <w:r>
        <w:t xml:space="preserve"> factors, including the contract type. Typical payment terms under fixed-price contracts with the U.S. Government provide that the customer pays either performance-based payments (PBPs) based on the achievement of contract milestones or progress payments based on a percentage of costs we incur. Typical payment terms under cost-reimbursable contracts with the U.S Government provide for billing of allowable costs incurred plus applicable fee on a monthly or semi-monthly basis. For </w:t>
      </w:r>
      <w:proofErr w:type="gramStart"/>
      <w:r>
        <w:t>the majority of</w:t>
      </w:r>
      <w:proofErr w:type="gramEnd"/>
      <w:r>
        <w:t xml:space="preserve"> our international direct commercial contracts to deliver complex systems, we typically receive advance payments prior to commencement</w:t>
      </w:r>
      <w:r>
        <w:rPr>
          <w:spacing w:val="-1"/>
        </w:rPr>
        <w:t xml:space="preserve"> </w:t>
      </w:r>
      <w:r>
        <w:t>of work, as</w:t>
      </w:r>
      <w:r>
        <w:rPr>
          <w:spacing w:val="-1"/>
        </w:rPr>
        <w:t xml:space="preserve"> </w:t>
      </w:r>
      <w:r>
        <w:t>well</w:t>
      </w:r>
      <w:r>
        <w:rPr>
          <w:spacing w:val="-1"/>
        </w:rPr>
        <w:t xml:space="preserve"> </w:t>
      </w:r>
      <w:r>
        <w:t>as</w:t>
      </w:r>
      <w:r>
        <w:rPr>
          <w:spacing w:val="-1"/>
        </w:rPr>
        <w:t xml:space="preserve"> </w:t>
      </w:r>
      <w:r>
        <w:t>milestone</w:t>
      </w:r>
      <w:r>
        <w:rPr>
          <w:spacing w:val="-1"/>
        </w:rPr>
        <w:t xml:space="preserve"> </w:t>
      </w:r>
      <w:r>
        <w:t>payments</w:t>
      </w:r>
      <w:r>
        <w:rPr>
          <w:spacing w:val="-1"/>
        </w:rPr>
        <w:t xml:space="preserve"> </w:t>
      </w:r>
      <w:r>
        <w:t>that</w:t>
      </w:r>
      <w:r>
        <w:rPr>
          <w:spacing w:val="-1"/>
        </w:rPr>
        <w:t xml:space="preserve"> </w:t>
      </w:r>
      <w:r>
        <w:t>are</w:t>
      </w:r>
      <w:r>
        <w:rPr>
          <w:spacing w:val="-1"/>
        </w:rPr>
        <w:t xml:space="preserve"> </w:t>
      </w:r>
      <w:r>
        <w:t>paid in accordance</w:t>
      </w:r>
      <w:r>
        <w:rPr>
          <w:spacing w:val="-1"/>
        </w:rPr>
        <w:t xml:space="preserve"> </w:t>
      </w:r>
      <w:r>
        <w:t>with the</w:t>
      </w:r>
      <w:r>
        <w:rPr>
          <w:spacing w:val="-1"/>
        </w:rPr>
        <w:t xml:space="preserve"> </w:t>
      </w:r>
      <w:r>
        <w:t>terms</w:t>
      </w:r>
      <w:r>
        <w:rPr>
          <w:spacing w:val="-1"/>
        </w:rPr>
        <w:t xml:space="preserve"> </w:t>
      </w:r>
      <w:r>
        <w:t>of our contract</w:t>
      </w:r>
      <w:r>
        <w:rPr>
          <w:spacing w:val="-1"/>
        </w:rPr>
        <w:t xml:space="preserve"> </w:t>
      </w:r>
      <w:r>
        <w:t>as</w:t>
      </w:r>
      <w:r>
        <w:rPr>
          <w:spacing w:val="-1"/>
        </w:rPr>
        <w:t xml:space="preserve"> </w:t>
      </w:r>
      <w:r>
        <w:t xml:space="preserve">we perform. We recognize a liability for payments </w:t>
      </w:r>
      <w:proofErr w:type="gramStart"/>
      <w:r>
        <w:t>in excess of</w:t>
      </w:r>
      <w:proofErr w:type="gramEnd"/>
      <w:r>
        <w:t xml:space="preserve"> revenue recognized, which is presented as a contract liability on the balance sheet. The portion of payments retained by the customer until final contract settlement is not considered a significant financing component because the intent is to protect the customer from our failure to adequately complete some or </w:t>
      </w:r>
      <w:proofErr w:type="gramStart"/>
      <w:r>
        <w:t>all of</w:t>
      </w:r>
      <w:proofErr w:type="gramEnd"/>
      <w:r>
        <w:t xml:space="preserve"> the obligations under the contract. Payments received from customers in advance of revenue recognition are not considered to be significant financing components because they are used to meet working capital demands that can be higher in the early stages of a contract.</w:t>
      </w:r>
    </w:p>
    <w:p w14:paraId="164EBCD4" w14:textId="77777777" w:rsidR="00AE2255" w:rsidRDefault="00AE2255">
      <w:pPr>
        <w:pStyle w:val="BodyText"/>
        <w:spacing w:before="4"/>
        <w:rPr>
          <w:sz w:val="18"/>
        </w:rPr>
      </w:pPr>
    </w:p>
    <w:p w14:paraId="65AED486" w14:textId="77777777" w:rsidR="00AE2255" w:rsidRDefault="00000000">
      <w:pPr>
        <w:pStyle w:val="BodyText"/>
        <w:spacing w:line="249" w:lineRule="auto"/>
        <w:ind w:left="610" w:right="429" w:firstLine="450"/>
        <w:jc w:val="both"/>
      </w:pPr>
      <w:r>
        <w:t>For fixed-price</w:t>
      </w:r>
      <w:r>
        <w:rPr>
          <w:spacing w:val="-1"/>
        </w:rPr>
        <w:t xml:space="preserve"> </w:t>
      </w:r>
      <w:r>
        <w:t>and cost-reimbursable</w:t>
      </w:r>
      <w:r>
        <w:rPr>
          <w:spacing w:val="-1"/>
        </w:rPr>
        <w:t xml:space="preserve"> </w:t>
      </w:r>
      <w:r>
        <w:t>contracts, we</w:t>
      </w:r>
      <w:r>
        <w:rPr>
          <w:spacing w:val="-1"/>
        </w:rPr>
        <w:t xml:space="preserve"> </w:t>
      </w:r>
      <w:r>
        <w:t>present</w:t>
      </w:r>
      <w:r>
        <w:rPr>
          <w:spacing w:val="-1"/>
        </w:rPr>
        <w:t xml:space="preserve"> </w:t>
      </w:r>
      <w:r>
        <w:t>revenues</w:t>
      </w:r>
      <w:r>
        <w:rPr>
          <w:spacing w:val="-1"/>
        </w:rPr>
        <w:t xml:space="preserve"> </w:t>
      </w:r>
      <w:r>
        <w:t xml:space="preserve">recognized </w:t>
      </w:r>
      <w:proofErr w:type="gramStart"/>
      <w:r>
        <w:t>in excess</w:t>
      </w:r>
      <w:r>
        <w:rPr>
          <w:spacing w:val="-1"/>
        </w:rPr>
        <w:t xml:space="preserve"> </w:t>
      </w:r>
      <w:r>
        <w:t>of</w:t>
      </w:r>
      <w:proofErr w:type="gramEnd"/>
      <w:r>
        <w:t xml:space="preserve"> billings</w:t>
      </w:r>
      <w:r>
        <w:rPr>
          <w:spacing w:val="-1"/>
        </w:rPr>
        <w:t xml:space="preserve"> </w:t>
      </w:r>
      <w:r>
        <w:t>as</w:t>
      </w:r>
      <w:r>
        <w:rPr>
          <w:spacing w:val="-1"/>
        </w:rPr>
        <w:t xml:space="preserve"> </w:t>
      </w:r>
      <w:r>
        <w:t>contract</w:t>
      </w:r>
      <w:r>
        <w:rPr>
          <w:spacing w:val="-1"/>
        </w:rPr>
        <w:t xml:space="preserve"> </w:t>
      </w:r>
      <w:r>
        <w:t>assets</w:t>
      </w:r>
      <w:r>
        <w:rPr>
          <w:spacing w:val="-1"/>
        </w:rPr>
        <w:t xml:space="preserve"> </w:t>
      </w:r>
      <w:r>
        <w:t>on the balance sheet. Amounts billed and due from our customers under both contract types are classified as receivables on the balance sheet.</w:t>
      </w:r>
    </w:p>
    <w:p w14:paraId="7F1C0BC4" w14:textId="77777777" w:rsidR="00AE2255" w:rsidRDefault="00AE2255">
      <w:pPr>
        <w:pStyle w:val="BodyText"/>
        <w:spacing w:before="7"/>
        <w:rPr>
          <w:sz w:val="17"/>
        </w:rPr>
      </w:pPr>
    </w:p>
    <w:p w14:paraId="71FC5E67" w14:textId="77777777" w:rsidR="00AE2255" w:rsidRDefault="00000000">
      <w:pPr>
        <w:pStyle w:val="BodyText"/>
        <w:spacing w:line="249" w:lineRule="auto"/>
        <w:ind w:left="610" w:right="428" w:firstLine="450"/>
        <w:jc w:val="both"/>
      </w:pPr>
      <w:r>
        <w:t>Significant estimates and assumptions are made in estimating contract sales, costs, and profit. We estimate profit as the difference between estimated revenues and total estimated costs to complete the contract. At the outset of a long-term contract, we identify and monitor risks to the achievement of the technical, schedule and cost aspects of the contract, as well as our</w:t>
      </w:r>
      <w:r>
        <w:rPr>
          <w:spacing w:val="40"/>
        </w:rPr>
        <w:t xml:space="preserve"> </w:t>
      </w:r>
      <w:r>
        <w:t xml:space="preserve">ability to earn variable consideration, and assess the effects of those risks on our estimates of sales and total costs to complete the contract. The estimates consider the technical requirements (e.g., a </w:t>
      </w:r>
      <w:proofErr w:type="gramStart"/>
      <w:r>
        <w:t>newly-developed</w:t>
      </w:r>
      <w:proofErr w:type="gramEnd"/>
      <w:r>
        <w:t xml:space="preserve"> product versus a mature product), the schedule and associated tasks (e.g., the number and type of milestone events) and costs (e.g., material, labor, subcontractor, overhead, general and administrative and the estimated costs to fulfill our industrial cooperation agreements, sometimes</w:t>
      </w:r>
      <w:r>
        <w:rPr>
          <w:spacing w:val="40"/>
        </w:rPr>
        <w:t xml:space="preserve"> </w:t>
      </w:r>
      <w:r>
        <w:t>referred to as offset or localization agreements, required under certain contracts with international customers). The initial profit booking</w:t>
      </w:r>
      <w:r>
        <w:rPr>
          <w:spacing w:val="-2"/>
        </w:rPr>
        <w:t xml:space="preserve"> </w:t>
      </w:r>
      <w:r>
        <w:t>rate</w:t>
      </w:r>
      <w:r>
        <w:rPr>
          <w:spacing w:val="-2"/>
        </w:rPr>
        <w:t xml:space="preserve"> </w:t>
      </w:r>
      <w:r>
        <w:t>of</w:t>
      </w:r>
      <w:r>
        <w:rPr>
          <w:spacing w:val="-2"/>
        </w:rPr>
        <w:t xml:space="preserve"> </w:t>
      </w:r>
      <w:r>
        <w:t>each</w:t>
      </w:r>
      <w:r>
        <w:rPr>
          <w:spacing w:val="-2"/>
        </w:rPr>
        <w:t xml:space="preserve"> </w:t>
      </w:r>
      <w:r>
        <w:t>contract</w:t>
      </w:r>
      <w:r>
        <w:rPr>
          <w:spacing w:val="-2"/>
        </w:rPr>
        <w:t xml:space="preserve"> </w:t>
      </w:r>
      <w:r>
        <w:t>considers</w:t>
      </w:r>
      <w:r>
        <w:rPr>
          <w:spacing w:val="-2"/>
        </w:rPr>
        <w:t xml:space="preserve"> </w:t>
      </w:r>
      <w:r>
        <w:t>risks</w:t>
      </w:r>
      <w:r>
        <w:rPr>
          <w:spacing w:val="-2"/>
        </w:rPr>
        <w:t xml:space="preserve"> </w:t>
      </w:r>
      <w:r>
        <w:t>surrounding</w:t>
      </w:r>
      <w:r>
        <w:rPr>
          <w:spacing w:val="-2"/>
        </w:rPr>
        <w:t xml:space="preserve"> </w:t>
      </w:r>
      <w:r>
        <w:t>the</w:t>
      </w:r>
      <w:r>
        <w:rPr>
          <w:spacing w:val="-2"/>
        </w:rPr>
        <w:t xml:space="preserve"> </w:t>
      </w:r>
      <w:r>
        <w:t>ability</w:t>
      </w:r>
      <w:r>
        <w:rPr>
          <w:spacing w:val="-2"/>
        </w:rPr>
        <w:t xml:space="preserve"> </w:t>
      </w:r>
      <w:r>
        <w:t>to</w:t>
      </w:r>
      <w:r>
        <w:rPr>
          <w:spacing w:val="-2"/>
        </w:rPr>
        <w:t xml:space="preserve"> </w:t>
      </w:r>
      <w:r>
        <w:t>achieve</w:t>
      </w:r>
      <w:r>
        <w:rPr>
          <w:spacing w:val="-2"/>
        </w:rPr>
        <w:t xml:space="preserve"> </w:t>
      </w:r>
      <w:r>
        <w:t>the</w:t>
      </w:r>
      <w:r>
        <w:rPr>
          <w:spacing w:val="-2"/>
        </w:rPr>
        <w:t xml:space="preserve"> </w:t>
      </w:r>
      <w:r>
        <w:t>technical</w:t>
      </w:r>
      <w:r>
        <w:rPr>
          <w:spacing w:val="-2"/>
        </w:rPr>
        <w:t xml:space="preserve"> </w:t>
      </w:r>
      <w:r>
        <w:t>requirements,</w:t>
      </w:r>
      <w:r>
        <w:rPr>
          <w:spacing w:val="-3"/>
        </w:rPr>
        <w:t xml:space="preserve"> </w:t>
      </w:r>
      <w:proofErr w:type="gramStart"/>
      <w:r>
        <w:t>schedule</w:t>
      </w:r>
      <w:proofErr w:type="gramEnd"/>
      <w:r>
        <w:rPr>
          <w:spacing w:val="-2"/>
        </w:rPr>
        <w:t xml:space="preserve"> </w:t>
      </w:r>
      <w:r>
        <w:t>and</w:t>
      </w:r>
      <w:r>
        <w:rPr>
          <w:spacing w:val="-2"/>
        </w:rPr>
        <w:t xml:space="preserve"> </w:t>
      </w:r>
      <w:r>
        <w:t>costs</w:t>
      </w:r>
      <w:r>
        <w:rPr>
          <w:spacing w:val="-2"/>
        </w:rPr>
        <w:t xml:space="preserve"> </w:t>
      </w:r>
      <w:r>
        <w:t>in the initial estimated total costs to complete the contract. Profit booking rates may increase during the performance of the contract if we successfully retire risks related to technical, schedule and cost aspects of the contract, which decreases the estimated total costs to complete the contract or may increase the variable consideration we expect to receive on the contract. Conversely, our profit booking rates may decrease if the estimated total costs to complete the contract increase or our estimates of</w:t>
      </w:r>
      <w:r>
        <w:rPr>
          <w:spacing w:val="-2"/>
        </w:rPr>
        <w:t xml:space="preserve"> </w:t>
      </w:r>
      <w:r>
        <w:t>variable</w:t>
      </w:r>
      <w:r>
        <w:rPr>
          <w:spacing w:val="-2"/>
        </w:rPr>
        <w:t xml:space="preserve"> </w:t>
      </w:r>
      <w:proofErr w:type="gramStart"/>
      <w:r>
        <w:t>consideration</w:t>
      </w:r>
      <w:proofErr w:type="gramEnd"/>
      <w:r>
        <w:rPr>
          <w:spacing w:val="-2"/>
        </w:rPr>
        <w:t xml:space="preserve"> </w:t>
      </w:r>
      <w:r>
        <w:t>we</w:t>
      </w:r>
      <w:r>
        <w:rPr>
          <w:spacing w:val="-2"/>
        </w:rPr>
        <w:t xml:space="preserve"> </w:t>
      </w:r>
      <w:r>
        <w:t>expect</w:t>
      </w:r>
      <w:r>
        <w:rPr>
          <w:spacing w:val="-2"/>
        </w:rPr>
        <w:t xml:space="preserve"> </w:t>
      </w:r>
      <w:r>
        <w:t>to</w:t>
      </w:r>
      <w:r>
        <w:rPr>
          <w:spacing w:val="-2"/>
        </w:rPr>
        <w:t xml:space="preserve"> </w:t>
      </w:r>
      <w:r>
        <w:t>receive</w:t>
      </w:r>
      <w:r>
        <w:rPr>
          <w:spacing w:val="-2"/>
        </w:rPr>
        <w:t xml:space="preserve"> </w:t>
      </w:r>
      <w:r>
        <w:t>decrease.</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estimates</w:t>
      </w:r>
      <w:r>
        <w:rPr>
          <w:spacing w:val="-2"/>
        </w:rPr>
        <w:t xml:space="preserve"> </w:t>
      </w:r>
      <w:r>
        <w:t>are</w:t>
      </w:r>
      <w:r>
        <w:rPr>
          <w:spacing w:val="-2"/>
        </w:rPr>
        <w:t xml:space="preserve"> </w:t>
      </w:r>
      <w:r>
        <w:t>subject</w:t>
      </w:r>
      <w:r>
        <w:rPr>
          <w:spacing w:val="-2"/>
        </w:rPr>
        <w:t xml:space="preserve"> </w:t>
      </w:r>
      <w:r>
        <w:t>to</w:t>
      </w:r>
      <w:r>
        <w:rPr>
          <w:spacing w:val="-2"/>
        </w:rPr>
        <w:t xml:space="preserve"> </w:t>
      </w:r>
      <w:r>
        <w:t>change</w:t>
      </w:r>
      <w:r>
        <w:rPr>
          <w:spacing w:val="-2"/>
        </w:rPr>
        <w:t xml:space="preserve"> </w:t>
      </w:r>
      <w:r>
        <w:t>during</w:t>
      </w:r>
      <w:r>
        <w:rPr>
          <w:spacing w:val="-2"/>
        </w:rPr>
        <w:t xml:space="preserve"> </w:t>
      </w:r>
      <w:r>
        <w:t>the</w:t>
      </w:r>
      <w:r>
        <w:rPr>
          <w:spacing w:val="-2"/>
        </w:rPr>
        <w:t xml:space="preserve"> </w:t>
      </w:r>
      <w:r>
        <w:t>performance</w:t>
      </w:r>
      <w:r>
        <w:rPr>
          <w:spacing w:val="-2"/>
        </w:rPr>
        <w:t xml:space="preserve"> </w:t>
      </w:r>
      <w:r>
        <w:t>of</w:t>
      </w:r>
      <w:r>
        <w:rPr>
          <w:spacing w:val="-2"/>
        </w:rPr>
        <w:t xml:space="preserve"> </w:t>
      </w:r>
      <w:r>
        <w:t>the</w:t>
      </w:r>
    </w:p>
    <w:p w14:paraId="79BE8D86" w14:textId="77777777" w:rsidR="00AE2255" w:rsidRDefault="00AE2255">
      <w:pPr>
        <w:spacing w:line="249" w:lineRule="auto"/>
        <w:jc w:val="both"/>
        <w:sectPr w:rsidR="00AE2255">
          <w:pgSz w:w="12240" w:h="15840"/>
          <w:pgMar w:top="440" w:right="560" w:bottom="720" w:left="380" w:header="230" w:footer="531" w:gutter="0"/>
          <w:cols w:space="720"/>
        </w:sectPr>
      </w:pPr>
    </w:p>
    <w:p w14:paraId="1E48547A" w14:textId="77777777" w:rsidR="00AE2255" w:rsidRDefault="00AE2255">
      <w:pPr>
        <w:pStyle w:val="BodyText"/>
        <w:spacing w:before="10"/>
        <w:rPr>
          <w:sz w:val="22"/>
        </w:rPr>
      </w:pPr>
    </w:p>
    <w:p w14:paraId="57DD9D77" w14:textId="77777777" w:rsidR="00AE2255" w:rsidRDefault="00000000">
      <w:pPr>
        <w:pStyle w:val="BodyText"/>
        <w:spacing w:before="92" w:line="249" w:lineRule="auto"/>
        <w:ind w:left="610" w:right="428"/>
        <w:jc w:val="both"/>
      </w:pPr>
      <w:r>
        <w:t>contract and may affect the profit booking rate. When estimates of total costs to be incurred on a contract exceed total estimates of the transaction price, a provision for the entire loss is determined at the contract level and is recorded in the period in which the loss is evident, which we refer to as a reach-forward loss.</w:t>
      </w:r>
    </w:p>
    <w:p w14:paraId="6BEED391" w14:textId="77777777" w:rsidR="00AE2255" w:rsidRDefault="00AE2255">
      <w:pPr>
        <w:pStyle w:val="BodyText"/>
        <w:spacing w:before="7"/>
        <w:rPr>
          <w:sz w:val="17"/>
        </w:rPr>
      </w:pPr>
    </w:p>
    <w:p w14:paraId="44374CC0" w14:textId="77777777" w:rsidR="00AE2255" w:rsidRDefault="00000000">
      <w:pPr>
        <w:pStyle w:val="BodyText"/>
        <w:spacing w:line="249" w:lineRule="auto"/>
        <w:ind w:left="610" w:right="429" w:firstLine="450"/>
        <w:jc w:val="both"/>
      </w:pPr>
      <w:r>
        <w:t>Comparability of our segment sales, operating profit and operating margin may be impacted favorably or unfavorably by changes in profit booking rates on our contracts for which we recognize revenue over time using the percentage-of-completion cost-to-cost method to measure progress towards completion. Increases in the profit booking rates, typically referred to as favorable profit adjustments, usually relate to revisions in the estimated total costs to fulfill the performance obligations that reflect</w:t>
      </w:r>
      <w:r>
        <w:rPr>
          <w:spacing w:val="-3"/>
        </w:rPr>
        <w:t xml:space="preserve"> </w:t>
      </w:r>
      <w:r>
        <w:t>improved</w:t>
      </w:r>
      <w:r>
        <w:rPr>
          <w:spacing w:val="-3"/>
        </w:rPr>
        <w:t xml:space="preserve"> </w:t>
      </w:r>
      <w:r>
        <w:t>conditions</w:t>
      </w:r>
      <w:r>
        <w:rPr>
          <w:spacing w:val="-3"/>
        </w:rPr>
        <w:t xml:space="preserve"> </w:t>
      </w:r>
      <w:r>
        <w:t>on</w:t>
      </w:r>
      <w:r>
        <w:rPr>
          <w:spacing w:val="-3"/>
        </w:rPr>
        <w:t xml:space="preserve"> </w:t>
      </w:r>
      <w:r>
        <w:t>a</w:t>
      </w:r>
      <w:r>
        <w:rPr>
          <w:spacing w:val="-3"/>
        </w:rPr>
        <w:t xml:space="preserve"> </w:t>
      </w:r>
      <w:r>
        <w:t>particular</w:t>
      </w:r>
      <w:r>
        <w:rPr>
          <w:spacing w:val="-3"/>
        </w:rPr>
        <w:t xml:space="preserve"> </w:t>
      </w:r>
      <w:r>
        <w:t>contract.</w:t>
      </w:r>
      <w:r>
        <w:rPr>
          <w:spacing w:val="-3"/>
        </w:rPr>
        <w:t xml:space="preserve"> </w:t>
      </w:r>
      <w:r>
        <w:t>Conversely,</w:t>
      </w:r>
      <w:r>
        <w:rPr>
          <w:spacing w:val="-3"/>
        </w:rPr>
        <w:t xml:space="preserve"> </w:t>
      </w:r>
      <w:r>
        <w:t>conditions</w:t>
      </w:r>
      <w:r>
        <w:rPr>
          <w:spacing w:val="-3"/>
        </w:rPr>
        <w:t xml:space="preserve"> </w:t>
      </w:r>
      <w:r>
        <w:t>on</w:t>
      </w:r>
      <w:r>
        <w:rPr>
          <w:spacing w:val="-3"/>
        </w:rPr>
        <w:t xml:space="preserve"> </w:t>
      </w:r>
      <w:r>
        <w:t>a</w:t>
      </w:r>
      <w:r>
        <w:rPr>
          <w:spacing w:val="-3"/>
        </w:rPr>
        <w:t xml:space="preserve"> </w:t>
      </w:r>
      <w:r>
        <w:t>particular</w:t>
      </w:r>
      <w:r>
        <w:rPr>
          <w:spacing w:val="-3"/>
        </w:rPr>
        <w:t xml:space="preserve"> </w:t>
      </w:r>
      <w:r>
        <w:t>contract</w:t>
      </w:r>
      <w:r>
        <w:rPr>
          <w:spacing w:val="-3"/>
        </w:rPr>
        <w:t xml:space="preserve"> </w:t>
      </w:r>
      <w:r>
        <w:t>may</w:t>
      </w:r>
      <w:r>
        <w:rPr>
          <w:spacing w:val="-3"/>
        </w:rPr>
        <w:t xml:space="preserve"> </w:t>
      </w:r>
      <w:r>
        <w:t>deteriorate,</w:t>
      </w:r>
      <w:r>
        <w:rPr>
          <w:spacing w:val="-3"/>
        </w:rPr>
        <w:t xml:space="preserve"> </w:t>
      </w:r>
      <w:r>
        <w:t>resulting</w:t>
      </w:r>
      <w:r>
        <w:rPr>
          <w:spacing w:val="-3"/>
        </w:rPr>
        <w:t xml:space="preserve"> </w:t>
      </w:r>
      <w:r>
        <w:t>in an increase in the estimated total costs to fulfill the performance obligations and a reduction in the profit booking rate and are typically referred to as unfavorable profit adjustments. Increases or decreases in profit booking rates are recognized in the current</w:t>
      </w:r>
      <w:r>
        <w:rPr>
          <w:spacing w:val="-3"/>
        </w:rPr>
        <w:t xml:space="preserve"> </w:t>
      </w:r>
      <w:r>
        <w:t>period</w:t>
      </w:r>
      <w:r>
        <w:rPr>
          <w:spacing w:val="-3"/>
        </w:rPr>
        <w:t xml:space="preserve"> </w:t>
      </w:r>
      <w:r>
        <w:t>they</w:t>
      </w:r>
      <w:r>
        <w:rPr>
          <w:spacing w:val="-3"/>
        </w:rPr>
        <w:t xml:space="preserve"> </w:t>
      </w:r>
      <w:r>
        <w:t>are</w:t>
      </w:r>
      <w:r>
        <w:rPr>
          <w:spacing w:val="-3"/>
        </w:rPr>
        <w:t xml:space="preserve"> </w:t>
      </w:r>
      <w:r>
        <w:t>determined</w:t>
      </w:r>
      <w:r>
        <w:rPr>
          <w:spacing w:val="-3"/>
        </w:rPr>
        <w:t xml:space="preserve"> </w:t>
      </w:r>
      <w:r>
        <w:t>and</w:t>
      </w:r>
      <w:r>
        <w:rPr>
          <w:spacing w:val="-3"/>
        </w:rPr>
        <w:t xml:space="preserve"> </w:t>
      </w:r>
      <w:r>
        <w:t>reflect</w:t>
      </w:r>
      <w:r>
        <w:rPr>
          <w:spacing w:val="-3"/>
        </w:rPr>
        <w:t xml:space="preserve"> </w:t>
      </w:r>
      <w:r>
        <w:t>the</w:t>
      </w:r>
      <w:r>
        <w:rPr>
          <w:spacing w:val="-3"/>
        </w:rPr>
        <w:t xml:space="preserve"> </w:t>
      </w:r>
      <w:r>
        <w:t>inception-to-date</w:t>
      </w:r>
      <w:r>
        <w:rPr>
          <w:spacing w:val="-3"/>
        </w:rPr>
        <w:t xml:space="preserve"> </w:t>
      </w:r>
      <w:r>
        <w:t>effect</w:t>
      </w:r>
      <w:r>
        <w:rPr>
          <w:spacing w:val="-3"/>
        </w:rPr>
        <w:t xml:space="preserve"> </w:t>
      </w:r>
      <w:r>
        <w:t>of</w:t>
      </w:r>
      <w:r>
        <w:rPr>
          <w:spacing w:val="-3"/>
        </w:rPr>
        <w:t xml:space="preserve"> </w:t>
      </w:r>
      <w:r>
        <w:t>such</w:t>
      </w:r>
      <w:r>
        <w:rPr>
          <w:spacing w:val="-3"/>
        </w:rPr>
        <w:t xml:space="preserve"> </w:t>
      </w:r>
      <w:r>
        <w:t>changes.</w:t>
      </w:r>
      <w:r>
        <w:rPr>
          <w:spacing w:val="-3"/>
        </w:rPr>
        <w:t xml:space="preserve"> </w:t>
      </w:r>
      <w:r>
        <w:t>Segment</w:t>
      </w:r>
      <w:r>
        <w:rPr>
          <w:spacing w:val="-3"/>
        </w:rPr>
        <w:t xml:space="preserve"> </w:t>
      </w:r>
      <w:r>
        <w:t>operating</w:t>
      </w:r>
      <w:r>
        <w:rPr>
          <w:spacing w:val="-3"/>
        </w:rPr>
        <w:t xml:space="preserve"> </w:t>
      </w:r>
      <w:r>
        <w:t>profit</w:t>
      </w:r>
      <w:r>
        <w:rPr>
          <w:spacing w:val="-3"/>
        </w:rPr>
        <w:t xml:space="preserve"> </w:t>
      </w:r>
      <w:r>
        <w:t>and</w:t>
      </w:r>
      <w:r>
        <w:rPr>
          <w:spacing w:val="-3"/>
        </w:rPr>
        <w:t xml:space="preserve"> </w:t>
      </w:r>
      <w:r>
        <w:t>margin may also be impacted favorably or unfavorably by other items, which may or may not impact sales. Favorable items may include the positive resolution of contractual matters, cost recoveries on severance and restructuring, insurance recoveries and gains on sales of assets. Unfavorable items may include the adverse resolution of contractual matters; COVID-19 impacts or supply chain disruptions; restructuring charges (except for significant severance actions, which are excluded from segment operating results); reserves for disputes; certain asset impairments; and losses on sales of certain assets.</w:t>
      </w:r>
    </w:p>
    <w:p w14:paraId="18882AF5" w14:textId="77777777" w:rsidR="00AE2255" w:rsidRDefault="00AE2255">
      <w:pPr>
        <w:pStyle w:val="BodyText"/>
        <w:spacing w:before="3"/>
        <w:rPr>
          <w:sz w:val="18"/>
        </w:rPr>
      </w:pPr>
    </w:p>
    <w:p w14:paraId="3AE4BE3D" w14:textId="77777777" w:rsidR="00AE2255" w:rsidRDefault="00000000">
      <w:pPr>
        <w:pStyle w:val="BodyText"/>
        <w:spacing w:line="249" w:lineRule="auto"/>
        <w:ind w:left="610" w:right="428" w:firstLine="495"/>
        <w:jc w:val="both"/>
      </w:pPr>
      <w:r>
        <w:t>Our consolidated net profit booking rate adjustments increased segment operating profit by approximately $1.8 billion in 2022, $2.0 billion in 2021 and $1.8 billion in 2020. These adjustments increased net earnings by approximately $1.4 billion ($5.40 per share) in 2022 and $1.6 billion ($5.81 per share) in 2021 and $1.5 billion ($5.33 per share) in 2020. We recognized net</w:t>
      </w:r>
      <w:r>
        <w:rPr>
          <w:spacing w:val="26"/>
        </w:rPr>
        <w:t xml:space="preserve"> </w:t>
      </w:r>
      <w:r>
        <w:t>sales</w:t>
      </w:r>
      <w:r>
        <w:rPr>
          <w:spacing w:val="26"/>
        </w:rPr>
        <w:t xml:space="preserve"> </w:t>
      </w:r>
      <w:r>
        <w:t>from</w:t>
      </w:r>
      <w:r>
        <w:rPr>
          <w:spacing w:val="26"/>
        </w:rPr>
        <w:t xml:space="preserve"> </w:t>
      </w:r>
      <w:r>
        <w:t>performance</w:t>
      </w:r>
      <w:r>
        <w:rPr>
          <w:spacing w:val="26"/>
        </w:rPr>
        <w:t xml:space="preserve"> </w:t>
      </w:r>
      <w:r>
        <w:t>obligations</w:t>
      </w:r>
      <w:r>
        <w:rPr>
          <w:spacing w:val="26"/>
        </w:rPr>
        <w:t xml:space="preserve"> </w:t>
      </w:r>
      <w:r>
        <w:t>satisfied</w:t>
      </w:r>
      <w:r>
        <w:rPr>
          <w:spacing w:val="26"/>
        </w:rPr>
        <w:t xml:space="preserve"> </w:t>
      </w:r>
      <w:r>
        <w:t>in</w:t>
      </w:r>
      <w:r>
        <w:rPr>
          <w:spacing w:val="26"/>
        </w:rPr>
        <w:t xml:space="preserve"> </w:t>
      </w:r>
      <w:r>
        <w:t>prior</w:t>
      </w:r>
      <w:r>
        <w:rPr>
          <w:spacing w:val="26"/>
        </w:rPr>
        <w:t xml:space="preserve"> </w:t>
      </w:r>
      <w:r>
        <w:t>periods</w:t>
      </w:r>
      <w:r>
        <w:rPr>
          <w:spacing w:val="26"/>
        </w:rPr>
        <w:t xml:space="preserve"> </w:t>
      </w:r>
      <w:r>
        <w:t>of</w:t>
      </w:r>
      <w:r>
        <w:rPr>
          <w:spacing w:val="26"/>
        </w:rPr>
        <w:t xml:space="preserve"> </w:t>
      </w:r>
      <w:r>
        <w:t>approximately</w:t>
      </w:r>
      <w:r>
        <w:rPr>
          <w:spacing w:val="26"/>
        </w:rPr>
        <w:t xml:space="preserve"> </w:t>
      </w:r>
      <w:r>
        <w:t>$2.0</w:t>
      </w:r>
      <w:r>
        <w:rPr>
          <w:spacing w:val="26"/>
        </w:rPr>
        <w:t xml:space="preserve"> </w:t>
      </w:r>
      <w:r>
        <w:t>billion</w:t>
      </w:r>
      <w:r>
        <w:rPr>
          <w:spacing w:val="26"/>
        </w:rPr>
        <w:t xml:space="preserve"> </w:t>
      </w:r>
      <w:r>
        <w:t>in</w:t>
      </w:r>
      <w:r>
        <w:rPr>
          <w:spacing w:val="26"/>
        </w:rPr>
        <w:t xml:space="preserve"> </w:t>
      </w:r>
      <w:r>
        <w:t>both</w:t>
      </w:r>
      <w:r>
        <w:rPr>
          <w:spacing w:val="26"/>
        </w:rPr>
        <w:t xml:space="preserve"> </w:t>
      </w:r>
      <w:r>
        <w:t>2022</w:t>
      </w:r>
      <w:r>
        <w:rPr>
          <w:spacing w:val="26"/>
        </w:rPr>
        <w:t xml:space="preserve"> </w:t>
      </w:r>
      <w:r>
        <w:t>and</w:t>
      </w:r>
      <w:r>
        <w:rPr>
          <w:spacing w:val="26"/>
        </w:rPr>
        <w:t xml:space="preserve"> </w:t>
      </w:r>
      <w:r>
        <w:t>2020,</w:t>
      </w:r>
      <w:r>
        <w:rPr>
          <w:spacing w:val="26"/>
        </w:rPr>
        <w:t xml:space="preserve"> </w:t>
      </w:r>
      <w:r>
        <w:t>and</w:t>
      </w:r>
    </w:p>
    <w:p w14:paraId="7462FDB4" w14:textId="77777777" w:rsidR="00AE2255" w:rsidRDefault="00000000">
      <w:pPr>
        <w:pStyle w:val="BodyText"/>
        <w:spacing w:before="4"/>
        <w:ind w:left="610"/>
        <w:jc w:val="both"/>
      </w:pPr>
      <w:r>
        <w:t>$2.2</w:t>
      </w:r>
      <w:r>
        <w:rPr>
          <w:spacing w:val="-5"/>
        </w:rPr>
        <w:t xml:space="preserve"> </w:t>
      </w:r>
      <w:r>
        <w:t>billion</w:t>
      </w:r>
      <w:r>
        <w:rPr>
          <w:spacing w:val="-2"/>
        </w:rPr>
        <w:t xml:space="preserve"> </w:t>
      </w:r>
      <w:r>
        <w:t>in</w:t>
      </w:r>
      <w:r>
        <w:rPr>
          <w:spacing w:val="-3"/>
        </w:rPr>
        <w:t xml:space="preserve"> </w:t>
      </w:r>
      <w:r>
        <w:t>2021,</w:t>
      </w:r>
      <w:r>
        <w:rPr>
          <w:spacing w:val="-2"/>
        </w:rPr>
        <w:t xml:space="preserve"> </w:t>
      </w:r>
      <w:r>
        <w:t>which</w:t>
      </w:r>
      <w:r>
        <w:rPr>
          <w:spacing w:val="-2"/>
        </w:rPr>
        <w:t xml:space="preserve"> </w:t>
      </w:r>
      <w:r>
        <w:t>primarily</w:t>
      </w:r>
      <w:r>
        <w:rPr>
          <w:spacing w:val="-3"/>
        </w:rPr>
        <w:t xml:space="preserve"> </w:t>
      </w:r>
      <w:r>
        <w:t>relate</w:t>
      </w:r>
      <w:r>
        <w:rPr>
          <w:spacing w:val="-3"/>
        </w:rPr>
        <w:t xml:space="preserve"> </w:t>
      </w:r>
      <w:r>
        <w:t>to</w:t>
      </w:r>
      <w:r>
        <w:rPr>
          <w:spacing w:val="-2"/>
        </w:rPr>
        <w:t xml:space="preserve"> </w:t>
      </w:r>
      <w:r>
        <w:t>changes</w:t>
      </w:r>
      <w:r>
        <w:rPr>
          <w:spacing w:val="-4"/>
        </w:rPr>
        <w:t xml:space="preserve"> </w:t>
      </w:r>
      <w:r>
        <w:t>in</w:t>
      </w:r>
      <w:r>
        <w:rPr>
          <w:spacing w:val="-2"/>
        </w:rPr>
        <w:t xml:space="preserve"> </w:t>
      </w:r>
      <w:r>
        <w:t>profit</w:t>
      </w:r>
      <w:r>
        <w:rPr>
          <w:spacing w:val="-3"/>
        </w:rPr>
        <w:t xml:space="preserve"> </w:t>
      </w:r>
      <w:r>
        <w:t>booking</w:t>
      </w:r>
      <w:r>
        <w:rPr>
          <w:spacing w:val="-3"/>
        </w:rPr>
        <w:t xml:space="preserve"> </w:t>
      </w:r>
      <w:r>
        <w:t>rates</w:t>
      </w:r>
      <w:r>
        <w:rPr>
          <w:spacing w:val="-3"/>
        </w:rPr>
        <w:t xml:space="preserve"> </w:t>
      </w:r>
      <w:r>
        <w:t>that</w:t>
      </w:r>
      <w:r>
        <w:rPr>
          <w:spacing w:val="-3"/>
        </w:rPr>
        <w:t xml:space="preserve"> </w:t>
      </w:r>
      <w:r>
        <w:t>impacted</w:t>
      </w:r>
      <w:r>
        <w:rPr>
          <w:spacing w:val="-2"/>
        </w:rPr>
        <w:t xml:space="preserve"> revenue.</w:t>
      </w:r>
    </w:p>
    <w:p w14:paraId="14ABD08A" w14:textId="77777777" w:rsidR="00AE2255" w:rsidRDefault="00AE2255">
      <w:pPr>
        <w:pStyle w:val="BodyText"/>
        <w:spacing w:before="3"/>
        <w:rPr>
          <w:sz w:val="18"/>
        </w:rPr>
      </w:pPr>
    </w:p>
    <w:p w14:paraId="1E6BF236" w14:textId="77777777" w:rsidR="00AE2255" w:rsidRDefault="00000000">
      <w:pPr>
        <w:pStyle w:val="BodyText"/>
        <w:spacing w:line="249" w:lineRule="auto"/>
        <w:ind w:left="610" w:right="429" w:firstLine="450"/>
        <w:jc w:val="both"/>
      </w:pPr>
      <w:r>
        <w:t>We have various development programs for new and upgraded products, services, and related technologies which have complex</w:t>
      </w:r>
      <w:r>
        <w:rPr>
          <w:spacing w:val="-1"/>
        </w:rPr>
        <w:t xml:space="preserve"> </w:t>
      </w:r>
      <w:r>
        <w:t>design</w:t>
      </w:r>
      <w:r>
        <w:rPr>
          <w:spacing w:val="-1"/>
        </w:rPr>
        <w:t xml:space="preserve"> </w:t>
      </w:r>
      <w:r>
        <w:t>and</w:t>
      </w:r>
      <w:r>
        <w:rPr>
          <w:spacing w:val="-1"/>
        </w:rPr>
        <w:t xml:space="preserve"> </w:t>
      </w:r>
      <w:r>
        <w:t>technical</w:t>
      </w:r>
      <w:r>
        <w:rPr>
          <w:spacing w:val="-2"/>
        </w:rPr>
        <w:t xml:space="preserve"> </w:t>
      </w:r>
      <w:r>
        <w:t>challenges.</w:t>
      </w:r>
      <w:r>
        <w:rPr>
          <w:spacing w:val="-1"/>
        </w:rPr>
        <w:t xml:space="preserve"> </w:t>
      </w:r>
      <w:r>
        <w:t>This</w:t>
      </w:r>
      <w:r>
        <w:rPr>
          <w:spacing w:val="-2"/>
        </w:rPr>
        <w:t xml:space="preserve"> </w:t>
      </w:r>
      <w:r>
        <w:t>development</w:t>
      </w:r>
      <w:r>
        <w:rPr>
          <w:spacing w:val="-2"/>
        </w:rPr>
        <w:t xml:space="preserve"> </w:t>
      </w:r>
      <w:r>
        <w:t>work</w:t>
      </w:r>
      <w:r>
        <w:rPr>
          <w:spacing w:val="-1"/>
        </w:rPr>
        <w:t xml:space="preserve"> </w:t>
      </w:r>
      <w:r>
        <w:t>is</w:t>
      </w:r>
      <w:r>
        <w:rPr>
          <w:spacing w:val="-2"/>
        </w:rPr>
        <w:t xml:space="preserve"> </w:t>
      </w:r>
      <w:r>
        <w:t>inherently</w:t>
      </w:r>
      <w:r>
        <w:rPr>
          <w:spacing w:val="-1"/>
        </w:rPr>
        <w:t xml:space="preserve"> </w:t>
      </w:r>
      <w:r>
        <w:t>uncertain</w:t>
      </w:r>
      <w:r>
        <w:rPr>
          <w:spacing w:val="-1"/>
        </w:rPr>
        <w:t xml:space="preserve"> </w:t>
      </w:r>
      <w:r>
        <w:t>and</w:t>
      </w:r>
      <w:r>
        <w:rPr>
          <w:spacing w:val="-1"/>
        </w:rPr>
        <w:t xml:space="preserve"> </w:t>
      </w:r>
      <w:r>
        <w:t>subject</w:t>
      </w:r>
      <w:r>
        <w:rPr>
          <w:spacing w:val="-2"/>
        </w:rPr>
        <w:t xml:space="preserve"> </w:t>
      </w:r>
      <w:r>
        <w:t>to</w:t>
      </w:r>
      <w:r>
        <w:rPr>
          <w:spacing w:val="-1"/>
        </w:rPr>
        <w:t xml:space="preserve"> </w:t>
      </w:r>
      <w:r>
        <w:t>significant</w:t>
      </w:r>
      <w:r>
        <w:rPr>
          <w:spacing w:val="-2"/>
        </w:rPr>
        <w:t xml:space="preserve"> </w:t>
      </w:r>
      <w:r>
        <w:t>variability</w:t>
      </w:r>
      <w:r>
        <w:rPr>
          <w:spacing w:val="-1"/>
        </w:rPr>
        <w:t xml:space="preserve"> </w:t>
      </w:r>
      <w:r>
        <w:t>in estimates of the cost and time required to complete the work by us and our suppliers. Many of these programs have cost-type contracting arrangements (</w:t>
      </w:r>
      <w:proofErr w:type="gramStart"/>
      <w:r>
        <w:t>e.g.</w:t>
      </w:r>
      <w:proofErr w:type="gramEnd"/>
      <w:r>
        <w:t xml:space="preserve"> cost-reimbursable or cost-plus-fee). In such cases, the associated financial risks are primarily in reduced fees, lower profit rates, or program cancellation if cost, schedule, or technical performance issues arise.</w:t>
      </w:r>
    </w:p>
    <w:p w14:paraId="2E37BE4F" w14:textId="77777777" w:rsidR="00AE2255" w:rsidRDefault="00AE2255">
      <w:pPr>
        <w:pStyle w:val="BodyText"/>
        <w:spacing w:before="8"/>
        <w:rPr>
          <w:sz w:val="17"/>
        </w:rPr>
      </w:pPr>
    </w:p>
    <w:p w14:paraId="2B8CBB7C" w14:textId="77777777" w:rsidR="00AE2255" w:rsidRDefault="00000000">
      <w:pPr>
        <w:pStyle w:val="BodyText"/>
        <w:spacing w:line="249" w:lineRule="auto"/>
        <w:ind w:left="610" w:right="429" w:firstLine="450"/>
        <w:jc w:val="both"/>
      </w:pPr>
      <w:r>
        <w:t>However, some of our existing development programs are contracted on a fixed-price basis or include cost-type contracting for the development phase with fixed-price production options and our customers are increasingly implementing procurement</w:t>
      </w:r>
      <w:r>
        <w:rPr>
          <w:spacing w:val="-3"/>
        </w:rPr>
        <w:t xml:space="preserve"> </w:t>
      </w:r>
      <w:r>
        <w:t>policies</w:t>
      </w:r>
      <w:r>
        <w:rPr>
          <w:spacing w:val="-3"/>
        </w:rPr>
        <w:t xml:space="preserve"> </w:t>
      </w:r>
      <w:r>
        <w:t>such</w:t>
      </w:r>
      <w:r>
        <w:rPr>
          <w:spacing w:val="-3"/>
        </w:rPr>
        <w:t xml:space="preserve"> </w:t>
      </w:r>
      <w:r>
        <w:t>as</w:t>
      </w:r>
      <w:r>
        <w:rPr>
          <w:spacing w:val="-3"/>
        </w:rPr>
        <w:t xml:space="preserve"> </w:t>
      </w:r>
      <w:r>
        <w:t>these</w:t>
      </w:r>
      <w:r>
        <w:rPr>
          <w:spacing w:val="-3"/>
        </w:rPr>
        <w:t xml:space="preserve"> </w:t>
      </w:r>
      <w:r>
        <w:t>that</w:t>
      </w:r>
      <w:r>
        <w:rPr>
          <w:spacing w:val="-3"/>
        </w:rPr>
        <w:t xml:space="preserve"> </w:t>
      </w:r>
      <w:r>
        <w:t>shift</w:t>
      </w:r>
      <w:r>
        <w:rPr>
          <w:spacing w:val="-3"/>
        </w:rPr>
        <w:t xml:space="preserve"> </w:t>
      </w:r>
      <w:r>
        <w:t>risk</w:t>
      </w:r>
      <w:r>
        <w:rPr>
          <w:spacing w:val="-3"/>
        </w:rPr>
        <w:t xml:space="preserve"> </w:t>
      </w:r>
      <w:r>
        <w:t>to</w:t>
      </w:r>
      <w:r>
        <w:rPr>
          <w:spacing w:val="-3"/>
        </w:rPr>
        <w:t xml:space="preserve"> </w:t>
      </w:r>
      <w:r>
        <w:t>contractors.</w:t>
      </w:r>
      <w:r>
        <w:rPr>
          <w:spacing w:val="-3"/>
        </w:rPr>
        <w:t xml:space="preserve"> </w:t>
      </w:r>
      <w:r>
        <w:t>Competitively</w:t>
      </w:r>
      <w:r>
        <w:rPr>
          <w:spacing w:val="-3"/>
        </w:rPr>
        <w:t xml:space="preserve"> </w:t>
      </w:r>
      <w:r>
        <w:t>bid</w:t>
      </w:r>
      <w:r>
        <w:rPr>
          <w:spacing w:val="-3"/>
        </w:rPr>
        <w:t xml:space="preserve"> </w:t>
      </w:r>
      <w:r>
        <w:t>programs</w:t>
      </w:r>
      <w:r>
        <w:rPr>
          <w:spacing w:val="-3"/>
        </w:rPr>
        <w:t xml:space="preserve"> </w:t>
      </w:r>
      <w:r>
        <w:t>with</w:t>
      </w:r>
      <w:r>
        <w:rPr>
          <w:spacing w:val="-3"/>
        </w:rPr>
        <w:t xml:space="preserve"> </w:t>
      </w:r>
      <w:r>
        <w:t>fixed-price</w:t>
      </w:r>
      <w:r>
        <w:rPr>
          <w:spacing w:val="-3"/>
        </w:rPr>
        <w:t xml:space="preserve"> </w:t>
      </w:r>
      <w:r>
        <w:t>development</w:t>
      </w:r>
      <w:r>
        <w:rPr>
          <w:spacing w:val="-3"/>
        </w:rPr>
        <w:t xml:space="preserve"> </w:t>
      </w:r>
      <w:r>
        <w:t>work or</w:t>
      </w:r>
      <w:r>
        <w:rPr>
          <w:spacing w:val="-2"/>
        </w:rPr>
        <w:t xml:space="preserve"> </w:t>
      </w:r>
      <w:r>
        <w:t>fixed-price</w:t>
      </w:r>
      <w:r>
        <w:rPr>
          <w:spacing w:val="-2"/>
        </w:rPr>
        <w:t xml:space="preserve"> </w:t>
      </w:r>
      <w:r>
        <w:t>production</w:t>
      </w:r>
      <w:r>
        <w:rPr>
          <w:spacing w:val="-2"/>
        </w:rPr>
        <w:t xml:space="preserve"> </w:t>
      </w:r>
      <w:r>
        <w:t>options</w:t>
      </w:r>
      <w:r>
        <w:rPr>
          <w:spacing w:val="-2"/>
        </w:rPr>
        <w:t xml:space="preserve"> </w:t>
      </w:r>
      <w:r>
        <w:t>increase</w:t>
      </w:r>
      <w:r>
        <w:rPr>
          <w:spacing w:val="-2"/>
        </w:rPr>
        <w:t xml:space="preserve"> </w:t>
      </w:r>
      <w:r>
        <w:t>the</w:t>
      </w:r>
      <w:r>
        <w:rPr>
          <w:spacing w:val="-2"/>
        </w:rPr>
        <w:t xml:space="preserve"> </w:t>
      </w:r>
      <w:r>
        <w:t>risk</w:t>
      </w:r>
      <w:r>
        <w:rPr>
          <w:spacing w:val="-2"/>
        </w:rPr>
        <w:t xml:space="preserve"> </w:t>
      </w:r>
      <w:r>
        <w:t>of</w:t>
      </w:r>
      <w:r>
        <w:rPr>
          <w:spacing w:val="-2"/>
        </w:rPr>
        <w:t xml:space="preserve"> </w:t>
      </w:r>
      <w:r>
        <w:t>a</w:t>
      </w:r>
      <w:r>
        <w:rPr>
          <w:spacing w:val="-2"/>
        </w:rPr>
        <w:t xml:space="preserve"> </w:t>
      </w:r>
      <w:r>
        <w:t>reach-forward</w:t>
      </w:r>
      <w:r>
        <w:rPr>
          <w:spacing w:val="-2"/>
        </w:rPr>
        <w:t xml:space="preserve"> </w:t>
      </w:r>
      <w:r>
        <w:t>loss</w:t>
      </w:r>
      <w:r>
        <w:rPr>
          <w:spacing w:val="-2"/>
        </w:rPr>
        <w:t xml:space="preserve"> </w:t>
      </w:r>
      <w:r>
        <w:t>upon</w:t>
      </w:r>
      <w:r>
        <w:rPr>
          <w:spacing w:val="-2"/>
        </w:rPr>
        <w:t xml:space="preserve"> </w:t>
      </w:r>
      <w:r>
        <w:t>contract</w:t>
      </w:r>
      <w:r>
        <w:rPr>
          <w:spacing w:val="-2"/>
        </w:rPr>
        <w:t xml:space="preserve"> </w:t>
      </w:r>
      <w:r>
        <w:t>award</w:t>
      </w:r>
      <w:r>
        <w:rPr>
          <w:spacing w:val="-2"/>
        </w:rPr>
        <w:t xml:space="preserve"> </w:t>
      </w:r>
      <w:r>
        <w:t>and</w:t>
      </w:r>
      <w:r>
        <w:rPr>
          <w:spacing w:val="-2"/>
        </w:rPr>
        <w:t xml:space="preserve"> </w:t>
      </w:r>
      <w:r>
        <w:t>during</w:t>
      </w:r>
      <w:r>
        <w:rPr>
          <w:spacing w:val="-2"/>
        </w:rPr>
        <w:t xml:space="preserve"> </w:t>
      </w:r>
      <w:r>
        <w:t>the</w:t>
      </w:r>
      <w:r>
        <w:rPr>
          <w:spacing w:val="-2"/>
        </w:rPr>
        <w:t xml:space="preserve"> </w:t>
      </w:r>
      <w:r>
        <w:t>period</w:t>
      </w:r>
      <w:r>
        <w:rPr>
          <w:spacing w:val="-2"/>
        </w:rPr>
        <w:t xml:space="preserve"> </w:t>
      </w:r>
      <w:r>
        <w:t>of</w:t>
      </w:r>
      <w:r>
        <w:rPr>
          <w:spacing w:val="-2"/>
        </w:rPr>
        <w:t xml:space="preserve"> </w:t>
      </w:r>
      <w:r>
        <w:t>contract performance. Due to the complex and often experimental nature of development programs, we may experience (and have experienced in the past) technical and quality issues during the development of new products or technologies for a variety of reasons. Our development programs are ongoing, and while we believe the cost and fee estimates incorporated in the financial statements are appropriate, the technical complexity of these programs and fixed-price contract structure creates financial risk</w:t>
      </w:r>
      <w:r>
        <w:rPr>
          <w:spacing w:val="40"/>
        </w:rPr>
        <w:t xml:space="preserve"> </w:t>
      </w:r>
      <w:r>
        <w:t>as estimated completion costs may exceed the current contract value, which could trigger earnings charges, termination provisions, or other financially significant exposures. These programs have risk for reach-forward losses if our estimated costs exceed our estimated contract revenues, and such losses could be significant to our financial results, cash flows, or financial condition. Any such losses are recorded in the period in which the loss is evident.</w:t>
      </w:r>
    </w:p>
    <w:p w14:paraId="51015545" w14:textId="77777777" w:rsidR="00AE2255" w:rsidRDefault="00AE2255">
      <w:pPr>
        <w:pStyle w:val="BodyText"/>
        <w:spacing w:before="3"/>
        <w:rPr>
          <w:sz w:val="18"/>
        </w:rPr>
      </w:pPr>
    </w:p>
    <w:p w14:paraId="3B310E03" w14:textId="77777777" w:rsidR="00AE2255" w:rsidRDefault="00000000">
      <w:pPr>
        <w:pStyle w:val="BodyText"/>
        <w:spacing w:line="249" w:lineRule="auto"/>
        <w:ind w:left="610" w:right="429" w:firstLine="450"/>
        <w:jc w:val="both"/>
      </w:pPr>
      <w:r>
        <w:t>We have experienced performance issues on a classified fixed-price incentive fee contract that involves highly complex design and systems integration at our Aeronautics business segment and have periodically recognized reach-forward losses. We continue</w:t>
      </w:r>
      <w:r>
        <w:rPr>
          <w:spacing w:val="-2"/>
        </w:rPr>
        <w:t xml:space="preserve"> </w:t>
      </w:r>
      <w:r>
        <w:t>to</w:t>
      </w:r>
      <w:r>
        <w:rPr>
          <w:spacing w:val="-2"/>
        </w:rPr>
        <w:t xml:space="preserve"> </w:t>
      </w:r>
      <w:r>
        <w:t>monitor</w:t>
      </w:r>
      <w:r>
        <w:rPr>
          <w:spacing w:val="-2"/>
        </w:rPr>
        <w:t xml:space="preserve"> </w:t>
      </w:r>
      <w:r>
        <w:t>the</w:t>
      </w:r>
      <w:r>
        <w:rPr>
          <w:spacing w:val="-2"/>
        </w:rPr>
        <w:t xml:space="preserve"> </w:t>
      </w:r>
      <w:r>
        <w:t>technical</w:t>
      </w:r>
      <w:r>
        <w:rPr>
          <w:spacing w:val="-2"/>
        </w:rPr>
        <w:t xml:space="preserve"> </w:t>
      </w:r>
      <w:r>
        <w:t>requirements,</w:t>
      </w:r>
      <w:r>
        <w:rPr>
          <w:spacing w:val="-2"/>
        </w:rPr>
        <w:t xml:space="preserve"> </w:t>
      </w:r>
      <w:r>
        <w:t>remaining</w:t>
      </w:r>
      <w:r>
        <w:rPr>
          <w:spacing w:val="-2"/>
        </w:rPr>
        <w:t xml:space="preserve"> </w:t>
      </w:r>
      <w:r>
        <w:t>work,</w:t>
      </w:r>
      <w:r>
        <w:rPr>
          <w:spacing w:val="-2"/>
        </w:rPr>
        <w:t xml:space="preserve"> </w:t>
      </w:r>
      <w:r>
        <w:t>schedule,</w:t>
      </w:r>
      <w:r>
        <w:rPr>
          <w:spacing w:val="-2"/>
        </w:rPr>
        <w:t xml:space="preserve"> </w:t>
      </w:r>
      <w:r>
        <w:t>and</w:t>
      </w:r>
      <w:r>
        <w:rPr>
          <w:spacing w:val="-2"/>
        </w:rPr>
        <w:t xml:space="preserve"> </w:t>
      </w:r>
      <w:r>
        <w:t>estimated</w:t>
      </w:r>
      <w:r>
        <w:rPr>
          <w:spacing w:val="-2"/>
        </w:rPr>
        <w:t xml:space="preserve"> </w:t>
      </w:r>
      <w:r>
        <w:t>costs</w:t>
      </w:r>
      <w:r>
        <w:rPr>
          <w:spacing w:val="-2"/>
        </w:rPr>
        <w:t xml:space="preserve"> </w:t>
      </w:r>
      <w:r>
        <w:t>to</w:t>
      </w:r>
      <w:r>
        <w:rPr>
          <w:spacing w:val="-2"/>
        </w:rPr>
        <w:t xml:space="preserve"> </w:t>
      </w:r>
      <w:r>
        <w:t>complete</w:t>
      </w:r>
      <w:r>
        <w:rPr>
          <w:spacing w:val="-2"/>
        </w:rPr>
        <w:t xml:space="preserve"> </w:t>
      </w:r>
      <w:r>
        <w:t>the</w:t>
      </w:r>
      <w:r>
        <w:rPr>
          <w:spacing w:val="-2"/>
        </w:rPr>
        <w:t xml:space="preserve"> </w:t>
      </w:r>
      <w:r>
        <w:t>program.</w:t>
      </w:r>
      <w:r>
        <w:rPr>
          <w:spacing w:val="-2"/>
        </w:rPr>
        <w:t xml:space="preserve"> </w:t>
      </w:r>
      <w:r>
        <w:t>During the fourth quarter of 2022, we revised our estimated costs to complete the program by reviewing the design and system integration requirements, remaining work, and schedule and recorded an additional charge of approximately $20 million. Based on this and the revised schedule, which was agreed to in 2021, cumulative losses were approximately $270 million as of December 31, 2022. We will continue to monitor our performance, any future changes in scope, and estimated costs to</w:t>
      </w:r>
      <w:r>
        <w:rPr>
          <w:spacing w:val="40"/>
        </w:rPr>
        <w:t xml:space="preserve"> </w:t>
      </w:r>
      <w:r>
        <w:t xml:space="preserve">complete the program and may have to record additional losses in future periods if we experience further performance issues, increases in scope, or cost growth, which could be material to our financial results. In addition, we and our industry team will incur advanced procurement costs (also referred to as pre-contract costs) </w:t>
      </w:r>
      <w:proofErr w:type="gramStart"/>
      <w:r>
        <w:t>in order to</w:t>
      </w:r>
      <w:proofErr w:type="gramEnd"/>
      <w:r>
        <w:t xml:space="preserve"> enhance our ability to achieve the revised schedule and certain milestones. We will monitor the recoverability of pre-contract costs, which could be impacted by the customer’s decision regarding future phases of the program.</w:t>
      </w:r>
    </w:p>
    <w:p w14:paraId="63F349AD" w14:textId="77777777" w:rsidR="00AE2255" w:rsidRDefault="00AE2255">
      <w:pPr>
        <w:pStyle w:val="BodyText"/>
        <w:spacing w:before="3"/>
        <w:rPr>
          <w:sz w:val="18"/>
        </w:rPr>
      </w:pPr>
    </w:p>
    <w:p w14:paraId="075E61B8" w14:textId="77777777" w:rsidR="00AE2255" w:rsidRDefault="00000000">
      <w:pPr>
        <w:pStyle w:val="BodyText"/>
        <w:spacing w:line="249" w:lineRule="auto"/>
        <w:ind w:left="610" w:right="428" w:firstLine="450"/>
        <w:jc w:val="both"/>
      </w:pPr>
      <w:r>
        <w:t>We are responsible for a program to design, develop and construct a ground-based radar at our RMS business segment. The program has experienced performance issues for which we have periodically recognized reach-forward losses. As of December 31, 2022, cumulative losses remained at approximately $280 million. We will continue to monitor our performance, any</w:t>
      </w:r>
      <w:r>
        <w:rPr>
          <w:spacing w:val="15"/>
        </w:rPr>
        <w:t xml:space="preserve"> </w:t>
      </w:r>
      <w:r>
        <w:t>future</w:t>
      </w:r>
      <w:r>
        <w:rPr>
          <w:spacing w:val="14"/>
        </w:rPr>
        <w:t xml:space="preserve"> </w:t>
      </w:r>
      <w:r>
        <w:t>changes</w:t>
      </w:r>
      <w:r>
        <w:rPr>
          <w:spacing w:val="14"/>
        </w:rPr>
        <w:t xml:space="preserve"> </w:t>
      </w:r>
      <w:r>
        <w:t>in</w:t>
      </w:r>
      <w:r>
        <w:rPr>
          <w:spacing w:val="15"/>
        </w:rPr>
        <w:t xml:space="preserve"> </w:t>
      </w:r>
      <w:r>
        <w:t>scope,</w:t>
      </w:r>
      <w:r>
        <w:rPr>
          <w:spacing w:val="15"/>
        </w:rPr>
        <w:t xml:space="preserve"> </w:t>
      </w:r>
      <w:r>
        <w:t>and</w:t>
      </w:r>
      <w:r>
        <w:rPr>
          <w:spacing w:val="15"/>
        </w:rPr>
        <w:t xml:space="preserve"> </w:t>
      </w:r>
      <w:r>
        <w:t>estimated</w:t>
      </w:r>
      <w:r>
        <w:rPr>
          <w:spacing w:val="15"/>
        </w:rPr>
        <w:t xml:space="preserve"> </w:t>
      </w:r>
      <w:r>
        <w:t>costs</w:t>
      </w:r>
      <w:r>
        <w:rPr>
          <w:spacing w:val="14"/>
        </w:rPr>
        <w:t xml:space="preserve"> </w:t>
      </w:r>
      <w:r>
        <w:t>to</w:t>
      </w:r>
      <w:r>
        <w:rPr>
          <w:spacing w:val="15"/>
        </w:rPr>
        <w:t xml:space="preserve"> </w:t>
      </w:r>
      <w:r>
        <w:t>complete</w:t>
      </w:r>
      <w:r>
        <w:rPr>
          <w:spacing w:val="14"/>
        </w:rPr>
        <w:t xml:space="preserve"> </w:t>
      </w:r>
      <w:r>
        <w:t>the</w:t>
      </w:r>
      <w:r>
        <w:rPr>
          <w:spacing w:val="14"/>
        </w:rPr>
        <w:t xml:space="preserve"> </w:t>
      </w:r>
      <w:r>
        <w:t>program</w:t>
      </w:r>
      <w:r>
        <w:rPr>
          <w:spacing w:val="14"/>
        </w:rPr>
        <w:t xml:space="preserve"> </w:t>
      </w:r>
      <w:r>
        <w:t>and</w:t>
      </w:r>
      <w:r>
        <w:rPr>
          <w:spacing w:val="15"/>
        </w:rPr>
        <w:t xml:space="preserve"> </w:t>
      </w:r>
      <w:r>
        <w:t>may</w:t>
      </w:r>
      <w:r>
        <w:rPr>
          <w:spacing w:val="15"/>
        </w:rPr>
        <w:t xml:space="preserve"> </w:t>
      </w:r>
      <w:r>
        <w:t>have</w:t>
      </w:r>
      <w:r>
        <w:rPr>
          <w:spacing w:val="14"/>
        </w:rPr>
        <w:t xml:space="preserve"> </w:t>
      </w:r>
      <w:r>
        <w:t>to</w:t>
      </w:r>
      <w:r>
        <w:rPr>
          <w:spacing w:val="15"/>
        </w:rPr>
        <w:t xml:space="preserve"> </w:t>
      </w:r>
      <w:r>
        <w:t>record</w:t>
      </w:r>
      <w:r>
        <w:rPr>
          <w:spacing w:val="15"/>
        </w:rPr>
        <w:t xml:space="preserve"> </w:t>
      </w:r>
      <w:r>
        <w:t>additional</w:t>
      </w:r>
      <w:r>
        <w:rPr>
          <w:spacing w:val="14"/>
        </w:rPr>
        <w:t xml:space="preserve"> </w:t>
      </w:r>
      <w:r>
        <w:t>losses</w:t>
      </w:r>
      <w:r>
        <w:rPr>
          <w:spacing w:val="14"/>
        </w:rPr>
        <w:t xml:space="preserve"> </w:t>
      </w:r>
      <w:r>
        <w:t>in</w:t>
      </w:r>
      <w:r>
        <w:rPr>
          <w:spacing w:val="15"/>
        </w:rPr>
        <w:t xml:space="preserve"> </w:t>
      </w:r>
      <w:r>
        <w:t>future</w:t>
      </w:r>
    </w:p>
    <w:p w14:paraId="4AD78A96" w14:textId="77777777" w:rsidR="00AE2255" w:rsidRDefault="00AE2255">
      <w:pPr>
        <w:spacing w:line="249" w:lineRule="auto"/>
        <w:jc w:val="both"/>
        <w:sectPr w:rsidR="00AE2255">
          <w:pgSz w:w="12240" w:h="15840"/>
          <w:pgMar w:top="440" w:right="560" w:bottom="720" w:left="380" w:header="230" w:footer="531" w:gutter="0"/>
          <w:cols w:space="720"/>
        </w:sectPr>
      </w:pPr>
    </w:p>
    <w:p w14:paraId="49EC85EA" w14:textId="77777777" w:rsidR="00AE2255" w:rsidRDefault="00AE2255">
      <w:pPr>
        <w:pStyle w:val="BodyText"/>
        <w:spacing w:before="10"/>
        <w:rPr>
          <w:sz w:val="22"/>
        </w:rPr>
      </w:pPr>
    </w:p>
    <w:p w14:paraId="11DA51A7" w14:textId="77777777" w:rsidR="00AE2255" w:rsidRDefault="00000000">
      <w:pPr>
        <w:pStyle w:val="BodyText"/>
        <w:spacing w:before="92" w:line="249" w:lineRule="auto"/>
        <w:ind w:left="610" w:right="428"/>
        <w:jc w:val="both"/>
      </w:pPr>
      <w:r>
        <w:t>periods if we experience further performance issues, increases in scope, or cost growth. However, based on the losses</w:t>
      </w:r>
      <w:r>
        <w:rPr>
          <w:spacing w:val="40"/>
        </w:rPr>
        <w:t xml:space="preserve"> </w:t>
      </w:r>
      <w:r>
        <w:t>previously recorded and our current estimate of the sales and costs to complete the program, at this time we do not anticipate that additional losses, if any, would be material to our financial results or financial condition.</w:t>
      </w:r>
    </w:p>
    <w:p w14:paraId="7F7B3FDE" w14:textId="77777777" w:rsidR="00AE2255" w:rsidRDefault="00AE2255">
      <w:pPr>
        <w:pStyle w:val="BodyText"/>
        <w:spacing w:before="7"/>
        <w:rPr>
          <w:sz w:val="17"/>
        </w:rPr>
      </w:pPr>
    </w:p>
    <w:p w14:paraId="364E1D70" w14:textId="77777777" w:rsidR="00AE2255" w:rsidRDefault="00000000">
      <w:pPr>
        <w:pStyle w:val="BodyText"/>
        <w:spacing w:line="249" w:lineRule="auto"/>
        <w:ind w:left="610" w:right="427" w:firstLine="360"/>
        <w:jc w:val="both"/>
      </w:pPr>
      <w:r>
        <w:rPr>
          <w:b/>
        </w:rPr>
        <w:t xml:space="preserve">Research and development and similar costs </w:t>
      </w:r>
      <w:r>
        <w:t xml:space="preserve">– We conduct research and development (R&amp;D) activities using our own funds (referred to as company-funded R&amp;D or independent research and development (IR&amp;D)) and under contractual arrangements with our customers (referred to as customer-funded R&amp;D) to enhance existing products and services and to develop future technologies. R&amp;D costs include basic research, applied research, concept formulation studies, design, development, and related test activities. Company-funded R&amp;D costs are allocated to customer contracts as part of the general and administrative overhead costs and are generally recoverable to the extent allocable to our cost-reimbursable customer contracts with the U.S. Government. These costs also may be recoverable to the extent allocable to certain fixed-price incentive contracts with the U.S. Government. Customer-funded R&amp;D costs are charged directly to the related customer contracts. Substantially all R&amp;D costs are charged to cost of sales as incurred. Company-funded R&amp;D costs charged to cost of sales totaled $1.7 billion, $1.5 </w:t>
      </w:r>
      <w:proofErr w:type="gramStart"/>
      <w:r>
        <w:t>billion</w:t>
      </w:r>
      <w:proofErr w:type="gramEnd"/>
      <w:r>
        <w:t xml:space="preserve"> and $1.3 billion in 2022, 2021 and 2020.</w:t>
      </w:r>
    </w:p>
    <w:p w14:paraId="6DCC19D7" w14:textId="77777777" w:rsidR="00AE2255" w:rsidRDefault="00AE2255">
      <w:pPr>
        <w:pStyle w:val="BodyText"/>
        <w:spacing w:before="1"/>
        <w:rPr>
          <w:sz w:val="18"/>
        </w:rPr>
      </w:pPr>
    </w:p>
    <w:p w14:paraId="4A084A3C" w14:textId="77777777" w:rsidR="00AE2255" w:rsidRDefault="00000000">
      <w:pPr>
        <w:pStyle w:val="BodyText"/>
        <w:spacing w:line="249" w:lineRule="auto"/>
        <w:ind w:left="610" w:right="428" w:firstLine="360"/>
        <w:jc w:val="both"/>
      </w:pPr>
      <w:r>
        <w:rPr>
          <w:b/>
        </w:rPr>
        <w:t xml:space="preserve">Stock-based compensation </w:t>
      </w:r>
      <w:r>
        <w:t>– We issue stock-based compensation awards in the form of restricted stock units (RSUs) and performance stock units (PSUs) that generally vest three years from the grant date and are settled in shares. Compensation cost related</w:t>
      </w:r>
      <w:r>
        <w:rPr>
          <w:spacing w:val="-2"/>
        </w:rPr>
        <w:t xml:space="preserve"> </w:t>
      </w:r>
      <w:r>
        <w:t>to</w:t>
      </w:r>
      <w:r>
        <w:rPr>
          <w:spacing w:val="-2"/>
        </w:rPr>
        <w:t xml:space="preserve"> </w:t>
      </w:r>
      <w:r>
        <w:t>all</w:t>
      </w:r>
      <w:r>
        <w:rPr>
          <w:spacing w:val="-2"/>
        </w:rPr>
        <w:t xml:space="preserve"> </w:t>
      </w:r>
      <w:r>
        <w:t>stock-based</w:t>
      </w:r>
      <w:r>
        <w:rPr>
          <w:spacing w:val="-2"/>
        </w:rPr>
        <w:t xml:space="preserve"> </w:t>
      </w:r>
      <w:r>
        <w:t>awards</w:t>
      </w:r>
      <w:r>
        <w:rPr>
          <w:spacing w:val="-2"/>
        </w:rPr>
        <w:t xml:space="preserve"> </w:t>
      </w:r>
      <w:r>
        <w:t>is</w:t>
      </w:r>
      <w:r>
        <w:rPr>
          <w:spacing w:val="-2"/>
        </w:rPr>
        <w:t xml:space="preserve"> </w:t>
      </w:r>
      <w:r>
        <w:t>measured</w:t>
      </w:r>
      <w:r>
        <w:rPr>
          <w:spacing w:val="-2"/>
        </w:rPr>
        <w:t xml:space="preserve"> </w:t>
      </w:r>
      <w:r>
        <w:t>at</w:t>
      </w:r>
      <w:r>
        <w:rPr>
          <w:spacing w:val="-2"/>
        </w:rPr>
        <w:t xml:space="preserve"> </w:t>
      </w:r>
      <w:r>
        <w:t>the</w:t>
      </w:r>
      <w:r>
        <w:rPr>
          <w:spacing w:val="-2"/>
        </w:rPr>
        <w:t xml:space="preserve"> </w:t>
      </w:r>
      <w:r>
        <w:t>grant</w:t>
      </w:r>
      <w:r>
        <w:rPr>
          <w:spacing w:val="-2"/>
        </w:rPr>
        <w:t xml:space="preserve"> </w:t>
      </w:r>
      <w:r>
        <w:t>date</w:t>
      </w:r>
      <w:r>
        <w:rPr>
          <w:spacing w:val="-2"/>
        </w:rPr>
        <w:t xml:space="preserve"> </w:t>
      </w:r>
      <w:r>
        <w:t>based</w:t>
      </w:r>
      <w:r>
        <w:rPr>
          <w:spacing w:val="-2"/>
        </w:rPr>
        <w:t xml:space="preserve"> </w:t>
      </w:r>
      <w:r>
        <w:t>on</w:t>
      </w:r>
      <w:r>
        <w:rPr>
          <w:spacing w:val="-2"/>
        </w:rPr>
        <w:t xml:space="preserve"> </w:t>
      </w:r>
      <w:r>
        <w:t>the</w:t>
      </w:r>
      <w:r>
        <w:rPr>
          <w:spacing w:val="-2"/>
        </w:rPr>
        <w:t xml:space="preserve"> </w:t>
      </w:r>
      <w:r>
        <w:t>estimated</w:t>
      </w:r>
      <w:r>
        <w:rPr>
          <w:spacing w:val="-2"/>
        </w:rPr>
        <w:t xml:space="preserve"> </w:t>
      </w:r>
      <w:r>
        <w:t>fair</w:t>
      </w:r>
      <w:r>
        <w:rPr>
          <w:spacing w:val="-2"/>
        </w:rPr>
        <w:t xml:space="preserve"> </w:t>
      </w:r>
      <w:r>
        <w:t>value</w:t>
      </w:r>
      <w:r>
        <w:rPr>
          <w:spacing w:val="-2"/>
        </w:rPr>
        <w:t xml:space="preserve"> </w:t>
      </w:r>
      <w:r>
        <w:t>of</w:t>
      </w:r>
      <w:r>
        <w:rPr>
          <w:spacing w:val="-2"/>
        </w:rPr>
        <w:t xml:space="preserve"> </w:t>
      </w:r>
      <w:r>
        <w:t>the</w:t>
      </w:r>
      <w:r>
        <w:rPr>
          <w:spacing w:val="-2"/>
        </w:rPr>
        <w:t xml:space="preserve"> </w:t>
      </w:r>
      <w:r>
        <w:t>award.</w:t>
      </w:r>
      <w:r>
        <w:rPr>
          <w:spacing w:val="-2"/>
        </w:rPr>
        <w:t xml:space="preserve"> </w:t>
      </w:r>
      <w:r>
        <w:t>The</w:t>
      </w:r>
      <w:r>
        <w:rPr>
          <w:spacing w:val="-2"/>
        </w:rPr>
        <w:t xml:space="preserve"> </w:t>
      </w:r>
      <w:r>
        <w:t>grant</w:t>
      </w:r>
      <w:r>
        <w:rPr>
          <w:spacing w:val="-2"/>
        </w:rPr>
        <w:t xml:space="preserve"> </w:t>
      </w:r>
      <w:r>
        <w:t>date</w:t>
      </w:r>
      <w:r>
        <w:rPr>
          <w:spacing w:val="-2"/>
        </w:rPr>
        <w:t xml:space="preserve"> </w:t>
      </w:r>
      <w:r>
        <w:t xml:space="preserve">fair value of RSUs is equal to the closing market price of our common stock on the grant date less a discount to reflect the delay in payment of dividend-equivalent cash payments that are made only upon vesting. The grant date fair value of PSUs is measured in a manner </w:t>
      </w:r>
      <w:proofErr w:type="gramStart"/>
      <w:r>
        <w:t>similar to</w:t>
      </w:r>
      <w:proofErr w:type="gramEnd"/>
      <w:r>
        <w:t xml:space="preserve"> RSUs for awards that vest based on service and performance conditions or using a Monte Carlo model</w:t>
      </w:r>
      <w:r>
        <w:rPr>
          <w:spacing w:val="40"/>
        </w:rPr>
        <w:t xml:space="preserve"> </w:t>
      </w:r>
      <w:r>
        <w:t>for awards that vest based on service and market conditions.</w:t>
      </w:r>
    </w:p>
    <w:p w14:paraId="3B14C6D3" w14:textId="77777777" w:rsidR="00AE2255" w:rsidRDefault="00AE2255">
      <w:pPr>
        <w:pStyle w:val="BodyText"/>
        <w:spacing w:before="10"/>
        <w:rPr>
          <w:sz w:val="17"/>
        </w:rPr>
      </w:pPr>
    </w:p>
    <w:p w14:paraId="271C5D21" w14:textId="77777777" w:rsidR="00AE2255" w:rsidRDefault="00000000">
      <w:pPr>
        <w:pStyle w:val="BodyText"/>
        <w:spacing w:line="249" w:lineRule="auto"/>
        <w:ind w:left="610" w:right="428" w:firstLine="360"/>
        <w:jc w:val="both"/>
      </w:pPr>
      <w:r>
        <w:t>For all RSUs, we recognize the grant date fair value, less estimated forfeitures, as compensation expense ratably over the requisite service period, which is shorter than the vesting period if the employee is retirement eligible on the date of grant or will become retirement eligible before the end of the vesting period. For PSUs that vest based on service and performance conditions, we recognize the grant date fair value, less estimated forfeitures, as compensation expense ratably over the vesting period based on the number of awards expected to ultimately vest. For PSUs that vest based on service and market conditions, we recognize the grant date fair value, less estimated forfeitures, as compensation expense ratably over the vesting period. At each reporting date, estimated forfeitures for all stock-based compensation awards and the number of PSUs expected to vest based on service and performance conditions is adjusted.</w:t>
      </w:r>
    </w:p>
    <w:p w14:paraId="062D719D" w14:textId="77777777" w:rsidR="00AE2255" w:rsidRDefault="00AE2255">
      <w:pPr>
        <w:pStyle w:val="BodyText"/>
        <w:spacing w:before="1"/>
        <w:rPr>
          <w:sz w:val="19"/>
        </w:rPr>
      </w:pPr>
    </w:p>
    <w:p w14:paraId="186C5779" w14:textId="77777777" w:rsidR="00AE2255" w:rsidRDefault="00000000">
      <w:pPr>
        <w:pStyle w:val="BodyText"/>
        <w:spacing w:line="223" w:lineRule="auto"/>
        <w:ind w:left="610" w:right="428" w:firstLine="360"/>
        <w:jc w:val="both"/>
      </w:pPr>
      <w:r>
        <w:rPr>
          <w:b/>
        </w:rPr>
        <w:t xml:space="preserve">Income taxes </w:t>
      </w:r>
      <w:r>
        <w:t>– We calculate our provision for income taxes using the asset and liability method, under which deferred tax assets and liabilities are recognized based on the future tax consequences attributable to temporary differences that exist between the financial statement carrying amount of assets and liabilities and their respective tax bases, as well as from</w:t>
      </w:r>
      <w:r>
        <w:rPr>
          <w:spacing w:val="40"/>
        </w:rPr>
        <w:t xml:space="preserve"> </w:t>
      </w:r>
      <w:r>
        <w:t xml:space="preserve">operating loss and tax credit </w:t>
      </w:r>
      <w:proofErr w:type="gramStart"/>
      <w:r>
        <w:t>carry-forwards</w:t>
      </w:r>
      <w:proofErr w:type="gramEnd"/>
      <w:r>
        <w:t>. The provision for income taxes differs from the amounts currently receivable or payable because certain items of income and expense are recognized in different periods for financial reporting purposes than for income tax purposes. We measure deferred tax assets and liabilities using enacted tax rates that will apply in the years in which we expect the temporary differences to be recovered or paid.</w:t>
      </w:r>
    </w:p>
    <w:p w14:paraId="0F6482B8" w14:textId="77777777" w:rsidR="00AE2255" w:rsidRDefault="00AE2255">
      <w:pPr>
        <w:pStyle w:val="BodyText"/>
        <w:spacing w:before="6"/>
        <w:rPr>
          <w:sz w:val="17"/>
        </w:rPr>
      </w:pPr>
    </w:p>
    <w:p w14:paraId="1DF78471" w14:textId="77777777" w:rsidR="00AE2255" w:rsidRDefault="00000000">
      <w:pPr>
        <w:pStyle w:val="BodyText"/>
        <w:spacing w:before="1" w:line="249" w:lineRule="auto"/>
        <w:ind w:left="610" w:right="428" w:firstLine="360"/>
        <w:jc w:val="both"/>
      </w:pPr>
      <w:r>
        <w:t>We periodically assess our tax exposures related to periods that are open to examination. Based on the latest available information, we evaluate our tax positions to determine whether the position will more likely than not be sustained upon examination by the Internal Revenue Service (IRS) or other taxing authorities. If we cannot reach a more-likely-than-not determination, no benefit</w:t>
      </w:r>
      <w:r>
        <w:rPr>
          <w:spacing w:val="-1"/>
        </w:rPr>
        <w:t xml:space="preserve"> </w:t>
      </w:r>
      <w:r>
        <w:t>is</w:t>
      </w:r>
      <w:r>
        <w:rPr>
          <w:spacing w:val="-1"/>
        </w:rPr>
        <w:t xml:space="preserve"> </w:t>
      </w:r>
      <w:r>
        <w:t>recorded. If we</w:t>
      </w:r>
      <w:r>
        <w:rPr>
          <w:spacing w:val="-1"/>
        </w:rPr>
        <w:t xml:space="preserve"> </w:t>
      </w:r>
      <w:r>
        <w:t>determine</w:t>
      </w:r>
      <w:r>
        <w:rPr>
          <w:spacing w:val="-1"/>
        </w:rPr>
        <w:t xml:space="preserve"> </w:t>
      </w:r>
      <w:r>
        <w:t>that</w:t>
      </w:r>
      <w:r>
        <w:rPr>
          <w:spacing w:val="-1"/>
        </w:rPr>
        <w:t xml:space="preserve"> </w:t>
      </w:r>
      <w:r>
        <w:t>the</w:t>
      </w:r>
      <w:r>
        <w:rPr>
          <w:spacing w:val="-1"/>
        </w:rPr>
        <w:t xml:space="preserve"> </w:t>
      </w:r>
      <w:r>
        <w:t>tax position is</w:t>
      </w:r>
      <w:r>
        <w:rPr>
          <w:spacing w:val="-1"/>
        </w:rPr>
        <w:t xml:space="preserve"> </w:t>
      </w:r>
      <w:r>
        <w:t>more</w:t>
      </w:r>
      <w:r>
        <w:rPr>
          <w:spacing w:val="-1"/>
        </w:rPr>
        <w:t xml:space="preserve"> </w:t>
      </w:r>
      <w:r>
        <w:t>likely than not</w:t>
      </w:r>
      <w:r>
        <w:rPr>
          <w:spacing w:val="-1"/>
        </w:rPr>
        <w:t xml:space="preserve"> </w:t>
      </w:r>
      <w:r>
        <w:t>to be</w:t>
      </w:r>
      <w:r>
        <w:rPr>
          <w:spacing w:val="-1"/>
        </w:rPr>
        <w:t xml:space="preserve"> </w:t>
      </w:r>
      <w:r>
        <w:t>sustained, we</w:t>
      </w:r>
      <w:r>
        <w:rPr>
          <w:spacing w:val="-1"/>
        </w:rPr>
        <w:t xml:space="preserve"> </w:t>
      </w:r>
      <w:r>
        <w:t>record the largest amount of benefit that is more likely than not to be realized when the tax position is settled. We record interest and penalties</w:t>
      </w:r>
      <w:r>
        <w:rPr>
          <w:spacing w:val="-2"/>
        </w:rPr>
        <w:t xml:space="preserve"> </w:t>
      </w:r>
      <w:r>
        <w:t>related</w:t>
      </w:r>
      <w:r>
        <w:rPr>
          <w:spacing w:val="-2"/>
        </w:rPr>
        <w:t xml:space="preserve"> </w:t>
      </w:r>
      <w:r>
        <w:t>to</w:t>
      </w:r>
      <w:r>
        <w:rPr>
          <w:spacing w:val="-2"/>
        </w:rPr>
        <w:t xml:space="preserve"> </w:t>
      </w:r>
      <w:r>
        <w:t>income</w:t>
      </w:r>
      <w:r>
        <w:rPr>
          <w:spacing w:val="-2"/>
        </w:rPr>
        <w:t xml:space="preserve"> </w:t>
      </w:r>
      <w:r>
        <w:t>taxes</w:t>
      </w:r>
      <w:r>
        <w:rPr>
          <w:spacing w:val="-2"/>
        </w:rPr>
        <w:t xml:space="preserve"> </w:t>
      </w:r>
      <w:r>
        <w:t>as</w:t>
      </w:r>
      <w:r>
        <w:rPr>
          <w:spacing w:val="-2"/>
        </w:rPr>
        <w:t xml:space="preserve"> </w:t>
      </w:r>
      <w:r>
        <w:t>a</w:t>
      </w:r>
      <w:r>
        <w:rPr>
          <w:spacing w:val="-2"/>
        </w:rPr>
        <w:t xml:space="preserve"> </w:t>
      </w:r>
      <w:r>
        <w:t>component</w:t>
      </w:r>
      <w:r>
        <w:rPr>
          <w:spacing w:val="-2"/>
        </w:rPr>
        <w:t xml:space="preserve"> </w:t>
      </w:r>
      <w:r>
        <w:t>of</w:t>
      </w:r>
      <w:r>
        <w:rPr>
          <w:spacing w:val="-2"/>
        </w:rPr>
        <w:t xml:space="preserve"> </w:t>
      </w:r>
      <w:r>
        <w:t>income</w:t>
      </w:r>
      <w:r>
        <w:rPr>
          <w:spacing w:val="-2"/>
        </w:rPr>
        <w:t xml:space="preserve"> </w:t>
      </w:r>
      <w:r>
        <w:t>tax</w:t>
      </w:r>
      <w:r>
        <w:rPr>
          <w:spacing w:val="-2"/>
        </w:rPr>
        <w:t xml:space="preserve"> </w:t>
      </w:r>
      <w:r>
        <w:t>expense</w:t>
      </w:r>
      <w:r>
        <w:rPr>
          <w:spacing w:val="-2"/>
        </w:rPr>
        <w:t xml:space="preserve"> </w:t>
      </w:r>
      <w:r>
        <w:t>on</w:t>
      </w:r>
      <w:r>
        <w:rPr>
          <w:spacing w:val="-2"/>
        </w:rPr>
        <w:t xml:space="preserve"> </w:t>
      </w:r>
      <w:r>
        <w:t>our</w:t>
      </w:r>
      <w:r>
        <w:rPr>
          <w:spacing w:val="-2"/>
        </w:rPr>
        <w:t xml:space="preserve"> </w:t>
      </w:r>
      <w:r>
        <w:t>consolidated</w:t>
      </w:r>
      <w:r>
        <w:rPr>
          <w:spacing w:val="-2"/>
        </w:rPr>
        <w:t xml:space="preserve"> </w:t>
      </w:r>
      <w:r>
        <w:t>statements</w:t>
      </w:r>
      <w:r>
        <w:rPr>
          <w:spacing w:val="-2"/>
        </w:rPr>
        <w:t xml:space="preserve"> </w:t>
      </w:r>
      <w:r>
        <w:t>of</w:t>
      </w:r>
      <w:r>
        <w:rPr>
          <w:spacing w:val="-2"/>
        </w:rPr>
        <w:t xml:space="preserve"> </w:t>
      </w:r>
      <w:r>
        <w:t>earnings.</w:t>
      </w:r>
      <w:r>
        <w:rPr>
          <w:spacing w:val="-2"/>
        </w:rPr>
        <w:t xml:space="preserve"> </w:t>
      </w:r>
      <w:r>
        <w:t>Interest</w:t>
      </w:r>
      <w:r>
        <w:rPr>
          <w:spacing w:val="-2"/>
        </w:rPr>
        <w:t xml:space="preserve"> </w:t>
      </w:r>
      <w:r>
        <w:t>and penalties were not material during 2022, 2021 or 2020.</w:t>
      </w:r>
    </w:p>
    <w:p w14:paraId="3BA0B459" w14:textId="77777777" w:rsidR="00AE2255" w:rsidRDefault="00AE2255">
      <w:pPr>
        <w:pStyle w:val="BodyText"/>
        <w:spacing w:before="4"/>
        <w:rPr>
          <w:sz w:val="18"/>
        </w:rPr>
      </w:pPr>
    </w:p>
    <w:p w14:paraId="1F33973F" w14:textId="77777777" w:rsidR="00AE2255" w:rsidRDefault="00000000">
      <w:pPr>
        <w:pStyle w:val="BodyText"/>
        <w:spacing w:line="232" w:lineRule="auto"/>
        <w:ind w:left="610" w:right="430" w:firstLine="360"/>
        <w:jc w:val="both"/>
      </w:pPr>
      <w:r>
        <w:t>In accordance with the regulations that govern cost accounting requirements for government contracts, current state and local income and franchise taxes are generally considered allowable and allocable costs and, consistent with industry practice, are</w:t>
      </w:r>
      <w:r>
        <w:rPr>
          <w:spacing w:val="-1"/>
        </w:rPr>
        <w:t xml:space="preserve"> </w:t>
      </w:r>
      <w:r>
        <w:t>recorded</w:t>
      </w:r>
      <w:r>
        <w:rPr>
          <w:spacing w:val="-1"/>
        </w:rPr>
        <w:t xml:space="preserve"> </w:t>
      </w:r>
      <w:r>
        <w:t>in</w:t>
      </w:r>
      <w:r>
        <w:rPr>
          <w:spacing w:val="-1"/>
        </w:rPr>
        <w:t xml:space="preserve"> </w:t>
      </w:r>
      <w:r>
        <w:t>operating</w:t>
      </w:r>
      <w:r>
        <w:rPr>
          <w:spacing w:val="-1"/>
        </w:rPr>
        <w:t xml:space="preserve"> </w:t>
      </w:r>
      <w:r>
        <w:t>costs</w:t>
      </w:r>
      <w:r>
        <w:rPr>
          <w:spacing w:val="-1"/>
        </w:rPr>
        <w:t xml:space="preserve"> </w:t>
      </w:r>
      <w:r>
        <w:t>and</w:t>
      </w:r>
      <w:r>
        <w:rPr>
          <w:spacing w:val="-1"/>
        </w:rPr>
        <w:t xml:space="preserve"> </w:t>
      </w:r>
      <w:r>
        <w:t>expenses.</w:t>
      </w:r>
      <w:r>
        <w:rPr>
          <w:spacing w:val="-1"/>
        </w:rPr>
        <w:t xml:space="preserve"> </w:t>
      </w:r>
      <w:r>
        <w:t>We</w:t>
      </w:r>
      <w:r>
        <w:rPr>
          <w:spacing w:val="-1"/>
        </w:rPr>
        <w:t xml:space="preserve"> </w:t>
      </w:r>
      <w:r>
        <w:t>generally</w:t>
      </w:r>
      <w:r>
        <w:rPr>
          <w:spacing w:val="-1"/>
        </w:rPr>
        <w:t xml:space="preserve"> </w:t>
      </w:r>
      <w:r>
        <w:t>recognize</w:t>
      </w:r>
      <w:r>
        <w:rPr>
          <w:spacing w:val="-1"/>
        </w:rPr>
        <w:t xml:space="preserve"> </w:t>
      </w:r>
      <w:r>
        <w:t>changes</w:t>
      </w:r>
      <w:r>
        <w:rPr>
          <w:spacing w:val="-1"/>
        </w:rPr>
        <w:t xml:space="preserve"> </w:t>
      </w:r>
      <w:r>
        <w:t>in</w:t>
      </w:r>
      <w:r>
        <w:rPr>
          <w:spacing w:val="-1"/>
        </w:rPr>
        <w:t xml:space="preserve"> </w:t>
      </w:r>
      <w:r>
        <w:t>deferred</w:t>
      </w:r>
      <w:r>
        <w:rPr>
          <w:spacing w:val="-1"/>
        </w:rPr>
        <w:t xml:space="preserve"> </w:t>
      </w:r>
      <w:r>
        <w:t>state</w:t>
      </w:r>
      <w:r>
        <w:rPr>
          <w:spacing w:val="-1"/>
        </w:rPr>
        <w:t xml:space="preserve"> </w:t>
      </w:r>
      <w:r>
        <w:t>taxes</w:t>
      </w:r>
      <w:r>
        <w:rPr>
          <w:spacing w:val="-1"/>
        </w:rPr>
        <w:t xml:space="preserve"> </w:t>
      </w:r>
      <w:r>
        <w:t>and</w:t>
      </w:r>
      <w:r>
        <w:rPr>
          <w:spacing w:val="-1"/>
        </w:rPr>
        <w:t xml:space="preserve"> </w:t>
      </w:r>
      <w:r>
        <w:t>unrecognized</w:t>
      </w:r>
      <w:r>
        <w:rPr>
          <w:spacing w:val="-1"/>
        </w:rPr>
        <w:t xml:space="preserve"> </w:t>
      </w:r>
      <w:r>
        <w:t>state</w:t>
      </w:r>
      <w:r>
        <w:rPr>
          <w:spacing w:val="-1"/>
        </w:rPr>
        <w:t xml:space="preserve"> </w:t>
      </w:r>
      <w:r>
        <w:t>tax benefits in unallocated corporate expenses.</w:t>
      </w:r>
    </w:p>
    <w:p w14:paraId="193E085B" w14:textId="77777777" w:rsidR="00AE2255" w:rsidRDefault="00AE2255">
      <w:pPr>
        <w:pStyle w:val="BodyText"/>
        <w:spacing w:before="3"/>
        <w:rPr>
          <w:sz w:val="15"/>
        </w:rPr>
      </w:pPr>
    </w:p>
    <w:p w14:paraId="7BD354EF" w14:textId="77777777" w:rsidR="00AE2255" w:rsidRDefault="00AE2255">
      <w:pPr>
        <w:rPr>
          <w:sz w:val="15"/>
        </w:rPr>
        <w:sectPr w:rsidR="00AE2255">
          <w:pgSz w:w="12240" w:h="15840"/>
          <w:pgMar w:top="440" w:right="560" w:bottom="720" w:left="380" w:header="230" w:footer="531" w:gutter="0"/>
          <w:cols w:space="720"/>
        </w:sectPr>
      </w:pPr>
    </w:p>
    <w:p w14:paraId="756E58C5" w14:textId="77777777" w:rsidR="00AE2255" w:rsidRDefault="00AE2255">
      <w:pPr>
        <w:pStyle w:val="BodyText"/>
        <w:spacing w:before="9"/>
        <w:rPr>
          <w:sz w:val="28"/>
        </w:rPr>
      </w:pPr>
    </w:p>
    <w:p w14:paraId="255078D3" w14:textId="77777777" w:rsidR="00AE2255" w:rsidRDefault="00000000">
      <w:pPr>
        <w:pStyle w:val="BodyText"/>
        <w:ind w:left="610"/>
      </w:pPr>
      <w:r>
        <w:rPr>
          <w:spacing w:val="-2"/>
        </w:rPr>
        <w:t>less.</w:t>
      </w:r>
    </w:p>
    <w:p w14:paraId="1B3808DA" w14:textId="77777777" w:rsidR="00AE2255" w:rsidRDefault="00000000">
      <w:pPr>
        <w:spacing w:before="91"/>
        <w:ind w:left="-30"/>
        <w:rPr>
          <w:sz w:val="20"/>
        </w:rPr>
      </w:pPr>
      <w:r>
        <w:br w:type="column"/>
      </w:r>
      <w:r>
        <w:rPr>
          <w:b/>
          <w:sz w:val="20"/>
        </w:rPr>
        <w:t>Cash</w:t>
      </w:r>
      <w:r>
        <w:rPr>
          <w:b/>
          <w:spacing w:val="18"/>
          <w:sz w:val="20"/>
        </w:rPr>
        <w:t xml:space="preserve"> </w:t>
      </w:r>
      <w:r>
        <w:rPr>
          <w:b/>
          <w:sz w:val="20"/>
        </w:rPr>
        <w:t>and</w:t>
      </w:r>
      <w:r>
        <w:rPr>
          <w:b/>
          <w:spacing w:val="18"/>
          <w:sz w:val="20"/>
        </w:rPr>
        <w:t xml:space="preserve"> </w:t>
      </w:r>
      <w:r>
        <w:rPr>
          <w:b/>
          <w:sz w:val="20"/>
        </w:rPr>
        <w:t>cash</w:t>
      </w:r>
      <w:r>
        <w:rPr>
          <w:b/>
          <w:spacing w:val="18"/>
          <w:sz w:val="20"/>
        </w:rPr>
        <w:t xml:space="preserve"> </w:t>
      </w:r>
      <w:r>
        <w:rPr>
          <w:b/>
          <w:sz w:val="20"/>
        </w:rPr>
        <w:t>equivalents</w:t>
      </w:r>
      <w:r>
        <w:rPr>
          <w:b/>
          <w:spacing w:val="18"/>
          <w:sz w:val="20"/>
        </w:rPr>
        <w:t xml:space="preserve"> </w:t>
      </w:r>
      <w:r>
        <w:rPr>
          <w:sz w:val="20"/>
        </w:rPr>
        <w:t>–</w:t>
      </w:r>
      <w:r>
        <w:rPr>
          <w:spacing w:val="18"/>
          <w:sz w:val="20"/>
        </w:rPr>
        <w:t xml:space="preserve"> </w:t>
      </w:r>
      <w:r>
        <w:rPr>
          <w:sz w:val="20"/>
        </w:rPr>
        <w:t>Cash</w:t>
      </w:r>
      <w:r>
        <w:rPr>
          <w:spacing w:val="18"/>
          <w:sz w:val="20"/>
        </w:rPr>
        <w:t xml:space="preserve"> </w:t>
      </w:r>
      <w:r>
        <w:rPr>
          <w:sz w:val="20"/>
        </w:rPr>
        <w:t>equivalents</w:t>
      </w:r>
      <w:r>
        <w:rPr>
          <w:spacing w:val="18"/>
          <w:sz w:val="20"/>
        </w:rPr>
        <w:t xml:space="preserve"> </w:t>
      </w:r>
      <w:r>
        <w:rPr>
          <w:sz w:val="20"/>
        </w:rPr>
        <w:t>include</w:t>
      </w:r>
      <w:r>
        <w:rPr>
          <w:spacing w:val="18"/>
          <w:sz w:val="20"/>
        </w:rPr>
        <w:t xml:space="preserve"> </w:t>
      </w:r>
      <w:r>
        <w:rPr>
          <w:sz w:val="20"/>
        </w:rPr>
        <w:t>highly</w:t>
      </w:r>
      <w:r>
        <w:rPr>
          <w:spacing w:val="19"/>
          <w:sz w:val="20"/>
        </w:rPr>
        <w:t xml:space="preserve"> </w:t>
      </w:r>
      <w:r>
        <w:rPr>
          <w:sz w:val="20"/>
        </w:rPr>
        <w:t>liquid</w:t>
      </w:r>
      <w:r>
        <w:rPr>
          <w:spacing w:val="18"/>
          <w:sz w:val="20"/>
        </w:rPr>
        <w:t xml:space="preserve"> </w:t>
      </w:r>
      <w:r>
        <w:rPr>
          <w:sz w:val="20"/>
        </w:rPr>
        <w:t>instruments</w:t>
      </w:r>
      <w:r>
        <w:rPr>
          <w:spacing w:val="18"/>
          <w:sz w:val="20"/>
        </w:rPr>
        <w:t xml:space="preserve"> </w:t>
      </w:r>
      <w:r>
        <w:rPr>
          <w:sz w:val="20"/>
        </w:rPr>
        <w:t>with</w:t>
      </w:r>
      <w:r>
        <w:rPr>
          <w:spacing w:val="18"/>
          <w:sz w:val="20"/>
        </w:rPr>
        <w:t xml:space="preserve"> </w:t>
      </w:r>
      <w:r>
        <w:rPr>
          <w:sz w:val="20"/>
        </w:rPr>
        <w:t>original</w:t>
      </w:r>
      <w:r>
        <w:rPr>
          <w:spacing w:val="18"/>
          <w:sz w:val="20"/>
        </w:rPr>
        <w:t xml:space="preserve"> </w:t>
      </w:r>
      <w:r>
        <w:rPr>
          <w:sz w:val="20"/>
        </w:rPr>
        <w:t>maturities</w:t>
      </w:r>
      <w:r>
        <w:rPr>
          <w:spacing w:val="18"/>
          <w:sz w:val="20"/>
        </w:rPr>
        <w:t xml:space="preserve"> </w:t>
      </w:r>
      <w:r>
        <w:rPr>
          <w:sz w:val="20"/>
        </w:rPr>
        <w:t>of</w:t>
      </w:r>
      <w:r>
        <w:rPr>
          <w:spacing w:val="18"/>
          <w:sz w:val="20"/>
        </w:rPr>
        <w:t xml:space="preserve"> </w:t>
      </w:r>
      <w:r>
        <w:rPr>
          <w:sz w:val="20"/>
        </w:rPr>
        <w:t>90</w:t>
      </w:r>
      <w:r>
        <w:rPr>
          <w:spacing w:val="18"/>
          <w:sz w:val="20"/>
        </w:rPr>
        <w:t xml:space="preserve"> </w:t>
      </w:r>
      <w:r>
        <w:rPr>
          <w:sz w:val="20"/>
        </w:rPr>
        <w:t>days</w:t>
      </w:r>
      <w:r>
        <w:rPr>
          <w:spacing w:val="19"/>
          <w:sz w:val="20"/>
        </w:rPr>
        <w:t xml:space="preserve"> </w:t>
      </w:r>
      <w:r>
        <w:rPr>
          <w:spacing w:val="-5"/>
          <w:sz w:val="20"/>
        </w:rPr>
        <w:t>or</w:t>
      </w:r>
    </w:p>
    <w:p w14:paraId="4FB850A3" w14:textId="77777777" w:rsidR="00AE2255" w:rsidRDefault="00AE2255">
      <w:pPr>
        <w:pStyle w:val="BodyText"/>
        <w:rPr>
          <w:sz w:val="22"/>
        </w:rPr>
      </w:pPr>
    </w:p>
    <w:p w14:paraId="6CFA54F4" w14:textId="77777777" w:rsidR="00AE2255" w:rsidRDefault="00000000">
      <w:pPr>
        <w:pStyle w:val="BodyText"/>
        <w:spacing w:before="197"/>
        <w:ind w:left="-30"/>
      </w:pPr>
      <w:r>
        <w:rPr>
          <w:b/>
        </w:rPr>
        <w:t>Receivables</w:t>
      </w:r>
      <w:r>
        <w:rPr>
          <w:b/>
          <w:spacing w:val="8"/>
        </w:rPr>
        <w:t xml:space="preserve"> </w:t>
      </w:r>
      <w:r>
        <w:t>–</w:t>
      </w:r>
      <w:r>
        <w:rPr>
          <w:spacing w:val="9"/>
        </w:rPr>
        <w:t xml:space="preserve"> </w:t>
      </w:r>
      <w:r>
        <w:t>Receivables,</w:t>
      </w:r>
      <w:r>
        <w:rPr>
          <w:spacing w:val="9"/>
        </w:rPr>
        <w:t xml:space="preserve"> </w:t>
      </w:r>
      <w:r>
        <w:t>net</w:t>
      </w:r>
      <w:r>
        <w:rPr>
          <w:spacing w:val="9"/>
        </w:rPr>
        <w:t xml:space="preserve"> </w:t>
      </w:r>
      <w:r>
        <w:t>represent</w:t>
      </w:r>
      <w:r>
        <w:rPr>
          <w:spacing w:val="9"/>
        </w:rPr>
        <w:t xml:space="preserve"> </w:t>
      </w:r>
      <w:r>
        <w:t>our</w:t>
      </w:r>
      <w:r>
        <w:rPr>
          <w:spacing w:val="9"/>
        </w:rPr>
        <w:t xml:space="preserve"> </w:t>
      </w:r>
      <w:r>
        <w:t>unconditional</w:t>
      </w:r>
      <w:r>
        <w:rPr>
          <w:spacing w:val="9"/>
        </w:rPr>
        <w:t xml:space="preserve"> </w:t>
      </w:r>
      <w:r>
        <w:t>right</w:t>
      </w:r>
      <w:r>
        <w:rPr>
          <w:spacing w:val="9"/>
        </w:rPr>
        <w:t xml:space="preserve"> </w:t>
      </w:r>
      <w:r>
        <w:t>to</w:t>
      </w:r>
      <w:r>
        <w:rPr>
          <w:spacing w:val="9"/>
        </w:rPr>
        <w:t xml:space="preserve"> </w:t>
      </w:r>
      <w:r>
        <w:t>consideration</w:t>
      </w:r>
      <w:r>
        <w:rPr>
          <w:spacing w:val="9"/>
        </w:rPr>
        <w:t xml:space="preserve"> </w:t>
      </w:r>
      <w:r>
        <w:t>under</w:t>
      </w:r>
      <w:r>
        <w:rPr>
          <w:spacing w:val="9"/>
        </w:rPr>
        <w:t xml:space="preserve"> </w:t>
      </w:r>
      <w:r>
        <w:t>the</w:t>
      </w:r>
      <w:r>
        <w:rPr>
          <w:spacing w:val="9"/>
        </w:rPr>
        <w:t xml:space="preserve"> </w:t>
      </w:r>
      <w:r>
        <w:t>contract</w:t>
      </w:r>
      <w:r>
        <w:rPr>
          <w:spacing w:val="9"/>
        </w:rPr>
        <w:t xml:space="preserve"> </w:t>
      </w:r>
      <w:r>
        <w:t>and</w:t>
      </w:r>
      <w:r>
        <w:rPr>
          <w:spacing w:val="9"/>
        </w:rPr>
        <w:t xml:space="preserve"> </w:t>
      </w:r>
      <w:r>
        <w:t>include</w:t>
      </w:r>
      <w:r>
        <w:rPr>
          <w:spacing w:val="9"/>
        </w:rPr>
        <w:t xml:space="preserve"> </w:t>
      </w:r>
      <w:r>
        <w:rPr>
          <w:spacing w:val="-2"/>
        </w:rPr>
        <w:t>amounts</w:t>
      </w:r>
    </w:p>
    <w:p w14:paraId="5A9A0961" w14:textId="77777777" w:rsidR="00AE2255" w:rsidRDefault="00AE2255">
      <w:pPr>
        <w:sectPr w:rsidR="00AE2255">
          <w:type w:val="continuous"/>
          <w:pgSz w:w="12240" w:h="15840"/>
          <w:pgMar w:top="440" w:right="560" w:bottom="280" w:left="380" w:header="230" w:footer="531" w:gutter="0"/>
          <w:cols w:num="2" w:space="720" w:equalWidth="0">
            <w:col w:w="960" w:space="40"/>
            <w:col w:w="10300"/>
          </w:cols>
        </w:sectPr>
      </w:pPr>
    </w:p>
    <w:p w14:paraId="6266A813" w14:textId="77777777" w:rsidR="00AE2255" w:rsidRDefault="00000000">
      <w:pPr>
        <w:pStyle w:val="BodyText"/>
        <w:spacing w:before="10" w:line="249" w:lineRule="auto"/>
        <w:ind w:left="610" w:right="430"/>
      </w:pPr>
      <w:r>
        <w:t>billed and currently due from customers. Receivables, net are recorded at the net amount expected to be collected. There were no significant impairment losses related to our receivables in 2022, 2021 or 2020.</w:t>
      </w:r>
    </w:p>
    <w:p w14:paraId="174AD8F1" w14:textId="77777777" w:rsidR="00AE2255" w:rsidRDefault="00AE2255">
      <w:pPr>
        <w:spacing w:line="249" w:lineRule="auto"/>
        <w:sectPr w:rsidR="00AE2255">
          <w:type w:val="continuous"/>
          <w:pgSz w:w="12240" w:h="15840"/>
          <w:pgMar w:top="440" w:right="560" w:bottom="280" w:left="380" w:header="230" w:footer="531" w:gutter="0"/>
          <w:cols w:space="720"/>
        </w:sectPr>
      </w:pPr>
    </w:p>
    <w:p w14:paraId="2D714894" w14:textId="77777777" w:rsidR="00AE2255" w:rsidRDefault="00AE2255">
      <w:pPr>
        <w:pStyle w:val="BodyText"/>
        <w:spacing w:before="10"/>
        <w:rPr>
          <w:sz w:val="22"/>
        </w:rPr>
      </w:pPr>
    </w:p>
    <w:p w14:paraId="6DFA23FD" w14:textId="77777777" w:rsidR="00AE2255" w:rsidRDefault="00000000">
      <w:pPr>
        <w:pStyle w:val="BodyText"/>
        <w:spacing w:before="92" w:line="249" w:lineRule="auto"/>
        <w:ind w:left="610" w:right="428" w:firstLine="360"/>
        <w:jc w:val="both"/>
      </w:pPr>
      <w:r>
        <w:rPr>
          <w:b/>
        </w:rPr>
        <w:t xml:space="preserve">Contract assets </w:t>
      </w:r>
      <w:r>
        <w:t xml:space="preserve">– Contract assets include unbilled amounts typically resulting from sales under contracts when the percentage-of-completion cost-to-cost method of revenue recognition is </w:t>
      </w:r>
      <w:proofErr w:type="gramStart"/>
      <w:r>
        <w:t>utilized</w:t>
      </w:r>
      <w:proofErr w:type="gramEnd"/>
      <w:r>
        <w:t xml:space="preserve"> and revenue recognized exceeds the amount billed to the customer. Contract assets are recorded at the net amount expected to be billed and collected. Contract assets are classified as current based on our contract operating </w:t>
      </w:r>
      <w:proofErr w:type="gramStart"/>
      <w:r>
        <w:t>cycle, and</w:t>
      </w:r>
      <w:proofErr w:type="gramEnd"/>
      <w:r>
        <w:t xml:space="preserve"> include amounts that may be billed and collected beyond one year due to the long-cycle nature of our contracts.</w:t>
      </w:r>
    </w:p>
    <w:p w14:paraId="30439307" w14:textId="77777777" w:rsidR="00AE2255" w:rsidRDefault="00AE2255">
      <w:pPr>
        <w:pStyle w:val="BodyText"/>
        <w:spacing w:before="8"/>
        <w:rPr>
          <w:sz w:val="17"/>
        </w:rPr>
      </w:pPr>
    </w:p>
    <w:p w14:paraId="2B6C3F99" w14:textId="77777777" w:rsidR="00AE2255" w:rsidRDefault="00000000">
      <w:pPr>
        <w:pStyle w:val="BodyText"/>
        <w:spacing w:line="249" w:lineRule="auto"/>
        <w:ind w:left="610" w:right="429" w:firstLine="360"/>
        <w:jc w:val="both"/>
      </w:pPr>
      <w:r>
        <w:rPr>
          <w:b/>
        </w:rPr>
        <w:t xml:space="preserve">Inventories </w:t>
      </w:r>
      <w:r>
        <w:t xml:space="preserve">– We record inventories at the lower of cost or estimated net realizable value. </w:t>
      </w:r>
      <w:proofErr w:type="gramStart"/>
      <w:r>
        <w:t>The majority of</w:t>
      </w:r>
      <w:proofErr w:type="gramEnd"/>
      <w:r>
        <w:t xml:space="preserve"> our inventory represents work-in-process for contracts where control has not yet passed to the customer. Work-in-process primarily consists</w:t>
      </w:r>
      <w:r>
        <w:rPr>
          <w:spacing w:val="40"/>
        </w:rPr>
        <w:t xml:space="preserve"> </w:t>
      </w:r>
      <w:r>
        <w:t xml:space="preserve">of labor, material, subcontractor, and overhead costs. In addition, costs incurred to fulfill a contract in advance of the contract being awarded are recorded in inventories as work-in-process if we determine that those costs relate directly to a contract or to an anticipated contract that we can specifically identify and contract award is probable, the costs generate or enhance resources that will be used in satisfying performance obligations, and the costs are recoverable (referred to as pre-contract costs). Pre- contract costs that are initially capitalized in inventory are generally recognized as cost of sales consistent with the transfer of products and services to the customer upon the receipt of the anticipated contract. All other pre-contract costs, including start- up costs, are expensed as incurred. We determine the costs of other inventories such as materials, </w:t>
      </w:r>
      <w:proofErr w:type="gramStart"/>
      <w:r>
        <w:t>spares</w:t>
      </w:r>
      <w:proofErr w:type="gramEnd"/>
      <w:r>
        <w:t xml:space="preserve"> and supplies by using the first-in first-out or average cost methods. If events or changes in circumstances indicate that pre-contract costs are no longer recoverable or the utility of our inventories have diminished through damage, deterioration, obsolescence, changes in price or other causes, a loss is recognized in the period in which it occurs.</w:t>
      </w:r>
    </w:p>
    <w:p w14:paraId="72D09211" w14:textId="77777777" w:rsidR="00AE2255" w:rsidRDefault="00AE2255">
      <w:pPr>
        <w:pStyle w:val="BodyText"/>
        <w:spacing w:before="3"/>
        <w:rPr>
          <w:sz w:val="18"/>
        </w:rPr>
      </w:pPr>
    </w:p>
    <w:p w14:paraId="46808CF0" w14:textId="77777777" w:rsidR="00AE2255" w:rsidRDefault="00000000">
      <w:pPr>
        <w:pStyle w:val="BodyText"/>
        <w:spacing w:line="249" w:lineRule="auto"/>
        <w:ind w:left="610" w:right="428" w:firstLine="360"/>
        <w:jc w:val="both"/>
      </w:pPr>
      <w:r>
        <w:rPr>
          <w:b/>
        </w:rPr>
        <w:t xml:space="preserve">Contract liabilities </w:t>
      </w:r>
      <w:r>
        <w:t xml:space="preserve">– Contract liabilities include advance payments and billings </w:t>
      </w:r>
      <w:proofErr w:type="gramStart"/>
      <w:r>
        <w:t>in excess of</w:t>
      </w:r>
      <w:proofErr w:type="gramEnd"/>
      <w:r>
        <w:t xml:space="preserve"> revenue recognized. Contract liabilities are classified as current based on our contract operating cycle and reported on a contract-by-contract basis, net of revenue recognized, at the end of each reporting period.</w:t>
      </w:r>
    </w:p>
    <w:p w14:paraId="4CABA948" w14:textId="77777777" w:rsidR="00AE2255" w:rsidRDefault="00AE2255">
      <w:pPr>
        <w:pStyle w:val="BodyText"/>
        <w:spacing w:before="7"/>
        <w:rPr>
          <w:sz w:val="17"/>
        </w:rPr>
      </w:pPr>
    </w:p>
    <w:p w14:paraId="7089FDAE" w14:textId="77777777" w:rsidR="00AE2255" w:rsidRDefault="00000000">
      <w:pPr>
        <w:pStyle w:val="BodyText"/>
        <w:spacing w:line="249" w:lineRule="auto"/>
        <w:ind w:left="610" w:right="428" w:firstLine="360"/>
        <w:jc w:val="both"/>
      </w:pPr>
      <w:r>
        <w:rPr>
          <w:b/>
        </w:rPr>
        <w:t xml:space="preserve">Property, </w:t>
      </w:r>
      <w:proofErr w:type="gramStart"/>
      <w:r>
        <w:rPr>
          <w:b/>
        </w:rPr>
        <w:t>plant</w:t>
      </w:r>
      <w:proofErr w:type="gramEnd"/>
      <w:r>
        <w:rPr>
          <w:b/>
        </w:rPr>
        <w:t xml:space="preserve"> and equipment </w:t>
      </w:r>
      <w:r>
        <w:t>– Property, plant and equipment are initially recorded at cost. The cost of plant and equipment are depreciated generally using accelerated methods during the first half of the estimated useful lives of the assets and the straight-line method thereafter. The estimated useful lives of our plant and equipment generally range from 10 to 40 years for buildings and five to 15 years for machinery and equipment. No depreciation expense is recorded on construction in progress until such assets are placed into operation.</w:t>
      </w:r>
    </w:p>
    <w:p w14:paraId="78D5E3D5" w14:textId="77777777" w:rsidR="00AE2255" w:rsidRDefault="00AE2255">
      <w:pPr>
        <w:pStyle w:val="BodyText"/>
        <w:spacing w:before="9"/>
        <w:rPr>
          <w:sz w:val="17"/>
        </w:rPr>
      </w:pPr>
    </w:p>
    <w:p w14:paraId="40926AAC" w14:textId="77777777" w:rsidR="00AE2255" w:rsidRDefault="00000000">
      <w:pPr>
        <w:pStyle w:val="BodyText"/>
        <w:spacing w:line="249" w:lineRule="auto"/>
        <w:ind w:left="610" w:right="428" w:firstLine="360"/>
        <w:jc w:val="both"/>
      </w:pPr>
      <w:r>
        <w:t xml:space="preserve">We review the carrying amounts of long-lived assets for impairment if events or changes in the facts and circumstances indicate that their carrying amounts may not be recoverable. We assess impairment by comparing the estimated undiscounted future cash flows of the related asset grouping to </w:t>
      </w:r>
      <w:proofErr w:type="gramStart"/>
      <w:r>
        <w:t>its</w:t>
      </w:r>
      <w:proofErr w:type="gramEnd"/>
      <w:r>
        <w:t xml:space="preserve"> carrying amount. If an asset is determined to be impaired, we recognize an impairment charge in the current period for the difference between the fair value of the asset and </w:t>
      </w:r>
      <w:proofErr w:type="gramStart"/>
      <w:r>
        <w:t>its</w:t>
      </w:r>
      <w:proofErr w:type="gramEnd"/>
      <w:r>
        <w:t xml:space="preserve"> carrying amount.</w:t>
      </w:r>
    </w:p>
    <w:p w14:paraId="4C1331E8" w14:textId="77777777" w:rsidR="00AE2255" w:rsidRDefault="00AE2255">
      <w:pPr>
        <w:pStyle w:val="BodyText"/>
        <w:spacing w:before="7"/>
        <w:rPr>
          <w:sz w:val="17"/>
        </w:rPr>
      </w:pPr>
    </w:p>
    <w:p w14:paraId="176E80ED" w14:textId="77777777" w:rsidR="00AE2255" w:rsidRDefault="00000000">
      <w:pPr>
        <w:pStyle w:val="BodyText"/>
        <w:spacing w:before="1" w:line="249" w:lineRule="auto"/>
        <w:ind w:left="610" w:right="428" w:firstLine="360"/>
        <w:jc w:val="both"/>
      </w:pPr>
      <w:r>
        <w:rPr>
          <w:b/>
        </w:rPr>
        <w:t xml:space="preserve">Capitalized software </w:t>
      </w:r>
      <w:r>
        <w:t>– We capitalize certain costs associated with the development or purchase of internal-use software. The amounts capitalized are included in other noncurrent assets on our consolidated balance sheets and are amortized on a straight-line</w:t>
      </w:r>
      <w:r>
        <w:rPr>
          <w:spacing w:val="40"/>
        </w:rPr>
        <w:t xml:space="preserve"> </w:t>
      </w:r>
      <w:r>
        <w:t>basis</w:t>
      </w:r>
      <w:r>
        <w:rPr>
          <w:spacing w:val="40"/>
        </w:rPr>
        <w:t xml:space="preserve"> </w:t>
      </w:r>
      <w:r>
        <w:t>over</w:t>
      </w:r>
      <w:r>
        <w:rPr>
          <w:spacing w:val="40"/>
        </w:rPr>
        <w:t xml:space="preserve"> </w:t>
      </w:r>
      <w:r>
        <w:t>the</w:t>
      </w:r>
      <w:r>
        <w:rPr>
          <w:spacing w:val="40"/>
        </w:rPr>
        <w:t xml:space="preserve"> </w:t>
      </w:r>
      <w:r>
        <w:t>estimated</w:t>
      </w:r>
      <w:r>
        <w:rPr>
          <w:spacing w:val="40"/>
        </w:rPr>
        <w:t xml:space="preserve"> </w:t>
      </w:r>
      <w:r>
        <w:t>useful</w:t>
      </w:r>
      <w:r>
        <w:rPr>
          <w:spacing w:val="40"/>
        </w:rPr>
        <w:t xml:space="preserve"> </w:t>
      </w:r>
      <w:r>
        <w:t>life</w:t>
      </w:r>
      <w:r>
        <w:rPr>
          <w:spacing w:val="40"/>
        </w:rPr>
        <w:t xml:space="preserve"> </w:t>
      </w:r>
      <w:r>
        <w:t>of</w:t>
      </w:r>
      <w:r>
        <w:rPr>
          <w:spacing w:val="40"/>
        </w:rPr>
        <w:t xml:space="preserve"> </w:t>
      </w:r>
      <w:r>
        <w:t>the</w:t>
      </w:r>
      <w:r>
        <w:rPr>
          <w:spacing w:val="40"/>
        </w:rPr>
        <w:t xml:space="preserve"> </w:t>
      </w:r>
      <w:r>
        <w:t>resulting</w:t>
      </w:r>
      <w:r>
        <w:rPr>
          <w:spacing w:val="40"/>
        </w:rPr>
        <w:t xml:space="preserve"> </w:t>
      </w:r>
      <w:r>
        <w:t>software,</w:t>
      </w:r>
      <w:r>
        <w:rPr>
          <w:spacing w:val="40"/>
        </w:rPr>
        <w:t xml:space="preserve"> </w:t>
      </w:r>
      <w:r>
        <w:t>which</w:t>
      </w:r>
      <w:r>
        <w:rPr>
          <w:spacing w:val="40"/>
        </w:rPr>
        <w:t xml:space="preserve"> </w:t>
      </w:r>
      <w:r>
        <w:t>ranges</w:t>
      </w:r>
      <w:r>
        <w:rPr>
          <w:spacing w:val="40"/>
        </w:rPr>
        <w:t xml:space="preserve"> </w:t>
      </w:r>
      <w:r>
        <w:t>from</w:t>
      </w:r>
      <w:r>
        <w:rPr>
          <w:spacing w:val="40"/>
        </w:rPr>
        <w:t xml:space="preserve"> </w:t>
      </w:r>
      <w:r>
        <w:t>two</w:t>
      </w:r>
      <w:r>
        <w:rPr>
          <w:spacing w:val="40"/>
        </w:rPr>
        <w:t xml:space="preserve"> </w:t>
      </w:r>
      <w:r>
        <w:t>to</w:t>
      </w:r>
      <w:r>
        <w:rPr>
          <w:spacing w:val="40"/>
        </w:rPr>
        <w:t xml:space="preserve"> </w:t>
      </w:r>
      <w:r>
        <w:t>15</w:t>
      </w:r>
      <w:r>
        <w:rPr>
          <w:spacing w:val="40"/>
        </w:rPr>
        <w:t xml:space="preserve"> </w:t>
      </w:r>
      <w:r>
        <w:t>years.</w:t>
      </w:r>
      <w:r>
        <w:rPr>
          <w:spacing w:val="40"/>
        </w:rPr>
        <w:t xml:space="preserve"> </w:t>
      </w:r>
      <w:r>
        <w:t>As</w:t>
      </w:r>
      <w:r>
        <w:rPr>
          <w:spacing w:val="40"/>
        </w:rPr>
        <w:t xml:space="preserve"> </w:t>
      </w:r>
      <w:r>
        <w:t xml:space="preserve">of December 31, </w:t>
      </w:r>
      <w:proofErr w:type="gramStart"/>
      <w:r>
        <w:t>2022</w:t>
      </w:r>
      <w:proofErr w:type="gramEnd"/>
      <w:r>
        <w:t xml:space="preserve"> and 2021, capitalized software totaled $919 million and $777 million, net of accumulated amortization of</w:t>
      </w:r>
    </w:p>
    <w:p w14:paraId="0554D04E" w14:textId="77777777" w:rsidR="00AE2255" w:rsidRDefault="00000000">
      <w:pPr>
        <w:pStyle w:val="BodyText"/>
        <w:spacing w:before="3" w:line="249" w:lineRule="auto"/>
        <w:ind w:left="610" w:right="430"/>
        <w:jc w:val="both"/>
      </w:pPr>
      <w:r>
        <w:t>$2.6 billion and $2.3 billion. No amortization expense is recorded until the software is ready for its intended use. Amortization expense related to capitalized software was $253 million in 2022, $175 million in 2021 and $166 million in 2020.</w:t>
      </w:r>
    </w:p>
    <w:p w14:paraId="21C7E966" w14:textId="77777777" w:rsidR="00AE2255" w:rsidRDefault="00AE2255">
      <w:pPr>
        <w:pStyle w:val="BodyText"/>
        <w:rPr>
          <w:sz w:val="18"/>
        </w:rPr>
      </w:pPr>
    </w:p>
    <w:p w14:paraId="0D51B637" w14:textId="77777777" w:rsidR="00AE2255" w:rsidRDefault="00000000">
      <w:pPr>
        <w:pStyle w:val="BodyText"/>
        <w:spacing w:line="232" w:lineRule="auto"/>
        <w:ind w:left="610" w:right="427" w:firstLine="360"/>
        <w:jc w:val="both"/>
      </w:pPr>
      <w:r>
        <w:rPr>
          <w:b/>
        </w:rPr>
        <w:t xml:space="preserve">Fair value of financial instruments </w:t>
      </w:r>
      <w:r>
        <w:t>– We measure the fair value of our financial instruments using observable and unobservable inputs. Observable inputs reflect market data obtained from independent sources, while unobservable inputs reflect internal market assumptions. The following hierarchy classifies the inputs used to determine fair value into three levels:</w:t>
      </w:r>
    </w:p>
    <w:p w14:paraId="12C80C63" w14:textId="77777777" w:rsidR="00AE2255" w:rsidRDefault="00000000">
      <w:pPr>
        <w:pStyle w:val="BodyText"/>
        <w:spacing w:before="197"/>
        <w:ind w:left="970"/>
        <w:jc w:val="both"/>
      </w:pPr>
      <w:r>
        <w:t>Level</w:t>
      </w:r>
      <w:r>
        <w:rPr>
          <w:spacing w:val="-6"/>
        </w:rPr>
        <w:t xml:space="preserve"> </w:t>
      </w:r>
      <w:r>
        <w:t>1</w:t>
      </w:r>
      <w:r>
        <w:rPr>
          <w:spacing w:val="-2"/>
        </w:rPr>
        <w:t xml:space="preserve"> </w:t>
      </w:r>
      <w:r>
        <w:t>–</w:t>
      </w:r>
      <w:r>
        <w:rPr>
          <w:spacing w:val="-3"/>
        </w:rPr>
        <w:t xml:space="preserve"> </w:t>
      </w:r>
      <w:r>
        <w:t>quoted</w:t>
      </w:r>
      <w:r>
        <w:rPr>
          <w:spacing w:val="-2"/>
        </w:rPr>
        <w:t xml:space="preserve"> </w:t>
      </w:r>
      <w:r>
        <w:t>prices</w:t>
      </w:r>
      <w:r>
        <w:rPr>
          <w:spacing w:val="-3"/>
        </w:rPr>
        <w:t xml:space="preserve"> </w:t>
      </w:r>
      <w:r>
        <w:t>in</w:t>
      </w:r>
      <w:r>
        <w:rPr>
          <w:spacing w:val="-3"/>
        </w:rPr>
        <w:t xml:space="preserve"> </w:t>
      </w:r>
      <w:r>
        <w:t>active</w:t>
      </w:r>
      <w:r>
        <w:rPr>
          <w:spacing w:val="-3"/>
        </w:rPr>
        <w:t xml:space="preserve"> </w:t>
      </w:r>
      <w:r>
        <w:t>markets</w:t>
      </w:r>
      <w:r>
        <w:rPr>
          <w:spacing w:val="-3"/>
        </w:rPr>
        <w:t xml:space="preserve"> </w:t>
      </w:r>
      <w:r>
        <w:t>for</w:t>
      </w:r>
      <w:r>
        <w:rPr>
          <w:spacing w:val="-3"/>
        </w:rPr>
        <w:t xml:space="preserve"> </w:t>
      </w:r>
      <w:r>
        <w:t>identical</w:t>
      </w:r>
      <w:r>
        <w:rPr>
          <w:spacing w:val="-3"/>
        </w:rPr>
        <w:t xml:space="preserve"> </w:t>
      </w:r>
      <w:r>
        <w:t>assets</w:t>
      </w:r>
      <w:r>
        <w:rPr>
          <w:spacing w:val="-3"/>
        </w:rPr>
        <w:t xml:space="preserve"> </w:t>
      </w:r>
      <w:r>
        <w:t>or</w:t>
      </w:r>
      <w:r>
        <w:rPr>
          <w:spacing w:val="-2"/>
        </w:rPr>
        <w:t xml:space="preserve"> liabilities.</w:t>
      </w:r>
    </w:p>
    <w:p w14:paraId="1F8FF27B" w14:textId="77777777" w:rsidR="00AE2255" w:rsidRDefault="00000000">
      <w:pPr>
        <w:pStyle w:val="BodyText"/>
        <w:spacing w:before="70" w:line="312" w:lineRule="auto"/>
        <w:ind w:left="970" w:right="1478"/>
        <w:jc w:val="both"/>
      </w:pPr>
      <w:r>
        <w:t>Level</w:t>
      </w:r>
      <w:r>
        <w:rPr>
          <w:spacing w:val="-4"/>
        </w:rPr>
        <w:t xml:space="preserve"> </w:t>
      </w:r>
      <w:r>
        <w:t>2</w:t>
      </w:r>
      <w:r>
        <w:rPr>
          <w:spacing w:val="-3"/>
        </w:rPr>
        <w:t xml:space="preserve"> </w:t>
      </w:r>
      <w:r>
        <w:t>–</w:t>
      </w:r>
      <w:r>
        <w:rPr>
          <w:spacing w:val="-3"/>
        </w:rPr>
        <w:t xml:space="preserve"> </w:t>
      </w:r>
      <w:r>
        <w:t>inputs,</w:t>
      </w:r>
      <w:r>
        <w:rPr>
          <w:spacing w:val="-3"/>
        </w:rPr>
        <w:t xml:space="preserve"> </w:t>
      </w:r>
      <w:r>
        <w:t>other</w:t>
      </w:r>
      <w:r>
        <w:rPr>
          <w:spacing w:val="-3"/>
        </w:rPr>
        <w:t xml:space="preserve"> </w:t>
      </w:r>
      <w:r>
        <w:t>than</w:t>
      </w:r>
      <w:r>
        <w:rPr>
          <w:spacing w:val="-3"/>
        </w:rPr>
        <w:t xml:space="preserve"> </w:t>
      </w:r>
      <w:r>
        <w:t>quoted</w:t>
      </w:r>
      <w:r>
        <w:rPr>
          <w:spacing w:val="-3"/>
        </w:rPr>
        <w:t xml:space="preserve"> </w:t>
      </w:r>
      <w:r>
        <w:t>prices,</w:t>
      </w:r>
      <w:r>
        <w:rPr>
          <w:spacing w:val="-3"/>
        </w:rPr>
        <w:t xml:space="preserve"> </w:t>
      </w:r>
      <w:r>
        <w:t>observable</w:t>
      </w:r>
      <w:r>
        <w:rPr>
          <w:spacing w:val="-4"/>
        </w:rPr>
        <w:t xml:space="preserve"> </w:t>
      </w:r>
      <w:r>
        <w:t>by</w:t>
      </w:r>
      <w:r>
        <w:rPr>
          <w:spacing w:val="-3"/>
        </w:rPr>
        <w:t xml:space="preserve"> </w:t>
      </w:r>
      <w:r>
        <w:t>a</w:t>
      </w:r>
      <w:r>
        <w:rPr>
          <w:spacing w:val="-4"/>
        </w:rPr>
        <w:t xml:space="preserve"> </w:t>
      </w:r>
      <w:r>
        <w:t>marketplace</w:t>
      </w:r>
      <w:r>
        <w:rPr>
          <w:spacing w:val="-4"/>
        </w:rPr>
        <w:t xml:space="preserve"> </w:t>
      </w:r>
      <w:r>
        <w:t>participant</w:t>
      </w:r>
      <w:r>
        <w:rPr>
          <w:spacing w:val="-4"/>
        </w:rPr>
        <w:t xml:space="preserve"> </w:t>
      </w:r>
      <w:r>
        <w:t>either</w:t>
      </w:r>
      <w:r>
        <w:rPr>
          <w:spacing w:val="-3"/>
        </w:rPr>
        <w:t xml:space="preserve"> </w:t>
      </w:r>
      <w:r>
        <w:t>directly</w:t>
      </w:r>
      <w:r>
        <w:rPr>
          <w:spacing w:val="-3"/>
        </w:rPr>
        <w:t xml:space="preserve"> </w:t>
      </w:r>
      <w:r>
        <w:t>or</w:t>
      </w:r>
      <w:r>
        <w:rPr>
          <w:spacing w:val="-3"/>
        </w:rPr>
        <w:t xml:space="preserve"> </w:t>
      </w:r>
      <w:r>
        <w:t>indirectly. Level 3 – unobservable inputs significant to the fair value measurement.</w:t>
      </w:r>
    </w:p>
    <w:p w14:paraId="70561B38" w14:textId="77777777" w:rsidR="00AE2255" w:rsidRDefault="00000000">
      <w:pPr>
        <w:pStyle w:val="BodyText"/>
        <w:spacing w:before="142" w:line="249" w:lineRule="auto"/>
        <w:ind w:left="610" w:right="428" w:firstLine="360"/>
        <w:jc w:val="both"/>
      </w:pPr>
      <w:r>
        <w:rPr>
          <w:b/>
        </w:rPr>
        <w:t xml:space="preserve">Investments </w:t>
      </w:r>
      <w:r>
        <w:t>– We hold a portfolio of marketable securities to fund our non-qualified employee benefit plans. A portion of these securities are held in common/collective trust funds and are measured at fair value using Net Asset Value (NAV) per</w:t>
      </w:r>
      <w:r>
        <w:rPr>
          <w:spacing w:val="40"/>
        </w:rPr>
        <w:t xml:space="preserve"> </w:t>
      </w:r>
      <w:r>
        <w:t>share as a practical expedient. Marketable securities accounted for as trading are recorded at fair value on a recurring basis and are included in other noncurrent assets on our consolidated balance sheets. Gains and losses on these investments are included</w:t>
      </w:r>
      <w:r>
        <w:rPr>
          <w:spacing w:val="40"/>
        </w:rPr>
        <w:t xml:space="preserve"> </w:t>
      </w:r>
      <w:r>
        <w:t>in other unallocated, net within cost of sales on our consolidated statements of earnings.</w:t>
      </w:r>
    </w:p>
    <w:p w14:paraId="325F1893" w14:textId="77777777" w:rsidR="00AE2255" w:rsidRDefault="00AE2255">
      <w:pPr>
        <w:pStyle w:val="BodyText"/>
        <w:spacing w:before="9"/>
        <w:rPr>
          <w:sz w:val="17"/>
        </w:rPr>
      </w:pPr>
    </w:p>
    <w:p w14:paraId="053E822B" w14:textId="77777777" w:rsidR="00AE2255" w:rsidRDefault="00000000">
      <w:pPr>
        <w:pStyle w:val="BodyText"/>
        <w:spacing w:line="249" w:lineRule="auto"/>
        <w:ind w:left="610" w:right="428" w:firstLine="360"/>
        <w:jc w:val="both"/>
      </w:pPr>
      <w:r>
        <w:t>We</w:t>
      </w:r>
      <w:r>
        <w:rPr>
          <w:spacing w:val="-3"/>
        </w:rPr>
        <w:t xml:space="preserve"> </w:t>
      </w:r>
      <w:r>
        <w:t>make</w:t>
      </w:r>
      <w:r>
        <w:rPr>
          <w:spacing w:val="-3"/>
        </w:rPr>
        <w:t xml:space="preserve"> </w:t>
      </w:r>
      <w:r>
        <w:t>investments</w:t>
      </w:r>
      <w:r>
        <w:rPr>
          <w:spacing w:val="-3"/>
        </w:rPr>
        <w:t xml:space="preserve"> </w:t>
      </w:r>
      <w:r>
        <w:t>in</w:t>
      </w:r>
      <w:r>
        <w:rPr>
          <w:spacing w:val="-2"/>
        </w:rPr>
        <w:t xml:space="preserve"> </w:t>
      </w:r>
      <w:r>
        <w:t>certain</w:t>
      </w:r>
      <w:r>
        <w:rPr>
          <w:spacing w:val="-2"/>
        </w:rPr>
        <w:t xml:space="preserve"> </w:t>
      </w:r>
      <w:r>
        <w:t>companies</w:t>
      </w:r>
      <w:r>
        <w:rPr>
          <w:spacing w:val="-3"/>
        </w:rPr>
        <w:t xml:space="preserve"> </w:t>
      </w:r>
      <w:r>
        <w:t>that</w:t>
      </w:r>
      <w:r>
        <w:rPr>
          <w:spacing w:val="-3"/>
        </w:rPr>
        <w:t xml:space="preserve"> </w:t>
      </w:r>
      <w:r>
        <w:t>we</w:t>
      </w:r>
      <w:r>
        <w:rPr>
          <w:spacing w:val="-3"/>
        </w:rPr>
        <w:t xml:space="preserve"> </w:t>
      </w:r>
      <w:r>
        <w:t>believe</w:t>
      </w:r>
      <w:r>
        <w:rPr>
          <w:spacing w:val="-3"/>
        </w:rPr>
        <w:t xml:space="preserve"> </w:t>
      </w:r>
      <w:r>
        <w:t>are</w:t>
      </w:r>
      <w:r>
        <w:rPr>
          <w:spacing w:val="-3"/>
        </w:rPr>
        <w:t xml:space="preserve"> </w:t>
      </w:r>
      <w:r>
        <w:t>advancing</w:t>
      </w:r>
      <w:r>
        <w:rPr>
          <w:spacing w:val="-2"/>
        </w:rPr>
        <w:t xml:space="preserve"> </w:t>
      </w:r>
      <w:r>
        <w:t>or</w:t>
      </w:r>
      <w:r>
        <w:rPr>
          <w:spacing w:val="-2"/>
        </w:rPr>
        <w:t xml:space="preserve"> </w:t>
      </w:r>
      <w:r>
        <w:t>developing</w:t>
      </w:r>
      <w:r>
        <w:rPr>
          <w:spacing w:val="-2"/>
        </w:rPr>
        <w:t xml:space="preserve"> </w:t>
      </w:r>
      <w:r>
        <w:t>new</w:t>
      </w:r>
      <w:r>
        <w:rPr>
          <w:spacing w:val="-3"/>
        </w:rPr>
        <w:t xml:space="preserve"> </w:t>
      </w:r>
      <w:r>
        <w:t>technologies</w:t>
      </w:r>
      <w:r>
        <w:rPr>
          <w:spacing w:val="-3"/>
        </w:rPr>
        <w:t xml:space="preserve"> </w:t>
      </w:r>
      <w:r>
        <w:t>applicable</w:t>
      </w:r>
      <w:r>
        <w:rPr>
          <w:spacing w:val="-3"/>
        </w:rPr>
        <w:t xml:space="preserve"> </w:t>
      </w:r>
      <w:r>
        <w:t>to</w:t>
      </w:r>
      <w:r>
        <w:rPr>
          <w:spacing w:val="-2"/>
        </w:rPr>
        <w:t xml:space="preserve"> </w:t>
      </w:r>
      <w:r>
        <w:t>our business. These investments may be in the form of common or preferred stock, warrants, convertible debt securities or investments in funds. Most of the investments are in equity securities without readily determinable fair values, which are measured initially at cost and are then adjusted to fair value only if there is an observable price change or reduced for impairment,</w:t>
      </w:r>
      <w:r>
        <w:rPr>
          <w:spacing w:val="13"/>
        </w:rPr>
        <w:t xml:space="preserve"> </w:t>
      </w:r>
      <w:r>
        <w:t>if</w:t>
      </w:r>
      <w:r>
        <w:rPr>
          <w:spacing w:val="13"/>
        </w:rPr>
        <w:t xml:space="preserve"> </w:t>
      </w:r>
      <w:r>
        <w:t>applicable.</w:t>
      </w:r>
      <w:r>
        <w:rPr>
          <w:spacing w:val="13"/>
        </w:rPr>
        <w:t xml:space="preserve"> </w:t>
      </w:r>
      <w:r>
        <w:t>Investments</w:t>
      </w:r>
      <w:r>
        <w:rPr>
          <w:spacing w:val="13"/>
        </w:rPr>
        <w:t xml:space="preserve"> </w:t>
      </w:r>
      <w:r>
        <w:t>with</w:t>
      </w:r>
      <w:r>
        <w:rPr>
          <w:spacing w:val="13"/>
        </w:rPr>
        <w:t xml:space="preserve"> </w:t>
      </w:r>
      <w:r>
        <w:t>quoted</w:t>
      </w:r>
      <w:r>
        <w:rPr>
          <w:spacing w:val="13"/>
        </w:rPr>
        <w:t xml:space="preserve"> </w:t>
      </w:r>
      <w:r>
        <w:t>market</w:t>
      </w:r>
      <w:r>
        <w:rPr>
          <w:spacing w:val="13"/>
        </w:rPr>
        <w:t xml:space="preserve"> </w:t>
      </w:r>
      <w:r>
        <w:t>prices</w:t>
      </w:r>
      <w:r>
        <w:rPr>
          <w:spacing w:val="13"/>
        </w:rPr>
        <w:t xml:space="preserve"> </w:t>
      </w:r>
      <w:r>
        <w:t>in</w:t>
      </w:r>
      <w:r>
        <w:rPr>
          <w:spacing w:val="13"/>
        </w:rPr>
        <w:t xml:space="preserve"> </w:t>
      </w:r>
      <w:r>
        <w:t>active</w:t>
      </w:r>
      <w:r>
        <w:rPr>
          <w:spacing w:val="13"/>
        </w:rPr>
        <w:t xml:space="preserve"> </w:t>
      </w:r>
      <w:r>
        <w:t>markets</w:t>
      </w:r>
      <w:r>
        <w:rPr>
          <w:spacing w:val="13"/>
        </w:rPr>
        <w:t xml:space="preserve"> </w:t>
      </w:r>
      <w:r>
        <w:t>(Level</w:t>
      </w:r>
      <w:r>
        <w:rPr>
          <w:spacing w:val="13"/>
        </w:rPr>
        <w:t xml:space="preserve"> </w:t>
      </w:r>
      <w:r>
        <w:t>1)</w:t>
      </w:r>
      <w:r>
        <w:rPr>
          <w:spacing w:val="13"/>
        </w:rPr>
        <w:t xml:space="preserve"> </w:t>
      </w:r>
      <w:r>
        <w:t>are</w:t>
      </w:r>
      <w:r>
        <w:rPr>
          <w:spacing w:val="13"/>
        </w:rPr>
        <w:t xml:space="preserve"> </w:t>
      </w:r>
      <w:r>
        <w:t>recorded</w:t>
      </w:r>
      <w:r>
        <w:rPr>
          <w:spacing w:val="13"/>
        </w:rPr>
        <w:t xml:space="preserve"> </w:t>
      </w:r>
      <w:r>
        <w:t>at</w:t>
      </w:r>
      <w:r>
        <w:rPr>
          <w:spacing w:val="13"/>
        </w:rPr>
        <w:t xml:space="preserve"> </w:t>
      </w:r>
      <w:r>
        <w:t>fair</w:t>
      </w:r>
      <w:r>
        <w:rPr>
          <w:spacing w:val="13"/>
        </w:rPr>
        <w:t xml:space="preserve"> </w:t>
      </w:r>
      <w:r>
        <w:t>value</w:t>
      </w:r>
      <w:r>
        <w:rPr>
          <w:spacing w:val="13"/>
        </w:rPr>
        <w:t xml:space="preserve"> </w:t>
      </w:r>
      <w:r>
        <w:t>at</w:t>
      </w:r>
      <w:r>
        <w:rPr>
          <w:spacing w:val="13"/>
        </w:rPr>
        <w:t xml:space="preserve"> </w:t>
      </w:r>
      <w:r>
        <w:t>the</w:t>
      </w:r>
    </w:p>
    <w:p w14:paraId="4A145907" w14:textId="77777777" w:rsidR="00AE2255" w:rsidRDefault="00AE2255">
      <w:pPr>
        <w:spacing w:line="249" w:lineRule="auto"/>
        <w:jc w:val="both"/>
        <w:sectPr w:rsidR="00AE2255">
          <w:pgSz w:w="12240" w:h="15840"/>
          <w:pgMar w:top="440" w:right="560" w:bottom="720" w:left="380" w:header="230" w:footer="531" w:gutter="0"/>
          <w:cols w:space="720"/>
        </w:sectPr>
      </w:pPr>
    </w:p>
    <w:p w14:paraId="09A83E3C" w14:textId="77777777" w:rsidR="00AE2255" w:rsidRDefault="00AE2255">
      <w:pPr>
        <w:pStyle w:val="BodyText"/>
        <w:spacing w:before="10"/>
        <w:rPr>
          <w:sz w:val="22"/>
        </w:rPr>
      </w:pPr>
    </w:p>
    <w:p w14:paraId="16682B5D" w14:textId="77777777" w:rsidR="00AE2255" w:rsidRDefault="00000000">
      <w:pPr>
        <w:pStyle w:val="BodyText"/>
        <w:spacing w:before="92" w:line="249" w:lineRule="auto"/>
        <w:ind w:left="610" w:right="428"/>
        <w:jc w:val="both"/>
      </w:pPr>
      <w:r>
        <w:t xml:space="preserve">end of each reporting period. The carrying amounts of these were $589 million and $577 million </w:t>
      </w:r>
      <w:proofErr w:type="gramStart"/>
      <w:r>
        <w:t>at</w:t>
      </w:r>
      <w:proofErr w:type="gramEnd"/>
      <w:r>
        <w:t xml:space="preserve"> December 31, 2022 and December 31, 2021 and are included on our consolidated balance sheets within other assets, both current and noncurrent. During</w:t>
      </w:r>
      <w:r>
        <w:rPr>
          <w:spacing w:val="25"/>
        </w:rPr>
        <w:t xml:space="preserve"> </w:t>
      </w:r>
      <w:r>
        <w:t>2022,</w:t>
      </w:r>
      <w:r>
        <w:rPr>
          <w:spacing w:val="25"/>
        </w:rPr>
        <w:t xml:space="preserve"> </w:t>
      </w:r>
      <w:r>
        <w:t>we</w:t>
      </w:r>
      <w:r>
        <w:rPr>
          <w:spacing w:val="24"/>
        </w:rPr>
        <w:t xml:space="preserve"> </w:t>
      </w:r>
      <w:r>
        <w:t>recorded</w:t>
      </w:r>
      <w:r>
        <w:rPr>
          <w:spacing w:val="25"/>
        </w:rPr>
        <w:t xml:space="preserve"> </w:t>
      </w:r>
      <w:r>
        <w:t>$114</w:t>
      </w:r>
      <w:r>
        <w:rPr>
          <w:spacing w:val="25"/>
        </w:rPr>
        <w:t xml:space="preserve"> </w:t>
      </w:r>
      <w:r>
        <w:t>million</w:t>
      </w:r>
      <w:r>
        <w:rPr>
          <w:spacing w:val="25"/>
        </w:rPr>
        <w:t xml:space="preserve"> </w:t>
      </w:r>
      <w:r>
        <w:t>($86</w:t>
      </w:r>
      <w:r>
        <w:rPr>
          <w:spacing w:val="25"/>
        </w:rPr>
        <w:t xml:space="preserve"> </w:t>
      </w:r>
      <w:r>
        <w:t>million,</w:t>
      </w:r>
      <w:r>
        <w:rPr>
          <w:spacing w:val="25"/>
        </w:rPr>
        <w:t xml:space="preserve"> </w:t>
      </w:r>
      <w:r>
        <w:t>or</w:t>
      </w:r>
      <w:r>
        <w:rPr>
          <w:spacing w:val="25"/>
        </w:rPr>
        <w:t xml:space="preserve"> </w:t>
      </w:r>
      <w:r>
        <w:t>$0.33</w:t>
      </w:r>
      <w:r>
        <w:rPr>
          <w:spacing w:val="25"/>
        </w:rPr>
        <w:t xml:space="preserve"> </w:t>
      </w:r>
      <w:r>
        <w:t>per</w:t>
      </w:r>
      <w:r>
        <w:rPr>
          <w:spacing w:val="25"/>
        </w:rPr>
        <w:t xml:space="preserve"> </w:t>
      </w:r>
      <w:r>
        <w:t>share,</w:t>
      </w:r>
      <w:r>
        <w:rPr>
          <w:spacing w:val="25"/>
        </w:rPr>
        <w:t xml:space="preserve"> </w:t>
      </w:r>
      <w:r>
        <w:t>after-tax)</w:t>
      </w:r>
      <w:r>
        <w:rPr>
          <w:spacing w:val="25"/>
        </w:rPr>
        <w:t xml:space="preserve"> </w:t>
      </w:r>
      <w:r>
        <w:t>of</w:t>
      </w:r>
      <w:r>
        <w:rPr>
          <w:spacing w:val="25"/>
        </w:rPr>
        <w:t xml:space="preserve"> </w:t>
      </w:r>
      <w:r>
        <w:t>net</w:t>
      </w:r>
      <w:r>
        <w:rPr>
          <w:spacing w:val="24"/>
        </w:rPr>
        <w:t xml:space="preserve"> </w:t>
      </w:r>
      <w:r>
        <w:t>losses,</w:t>
      </w:r>
      <w:r>
        <w:rPr>
          <w:spacing w:val="25"/>
        </w:rPr>
        <w:t xml:space="preserve"> </w:t>
      </w:r>
      <w:r>
        <w:t>compared</w:t>
      </w:r>
      <w:r>
        <w:rPr>
          <w:spacing w:val="25"/>
        </w:rPr>
        <w:t xml:space="preserve"> </w:t>
      </w:r>
      <w:r>
        <w:t>to</w:t>
      </w:r>
      <w:r>
        <w:rPr>
          <w:spacing w:val="25"/>
        </w:rPr>
        <w:t xml:space="preserve"> </w:t>
      </w:r>
      <w:r>
        <w:t>net</w:t>
      </w:r>
      <w:r>
        <w:rPr>
          <w:spacing w:val="24"/>
        </w:rPr>
        <w:t xml:space="preserve"> </w:t>
      </w:r>
      <w:r>
        <w:t>gains</w:t>
      </w:r>
      <w:r>
        <w:rPr>
          <w:spacing w:val="25"/>
        </w:rPr>
        <w:t xml:space="preserve"> </w:t>
      </w:r>
      <w:r>
        <w:rPr>
          <w:spacing w:val="-5"/>
        </w:rPr>
        <w:t>of</w:t>
      </w:r>
    </w:p>
    <w:p w14:paraId="35543EAA" w14:textId="77777777" w:rsidR="00AE2255" w:rsidRDefault="00000000">
      <w:pPr>
        <w:pStyle w:val="BodyText"/>
        <w:spacing w:before="2" w:line="249" w:lineRule="auto"/>
        <w:ind w:left="610" w:right="430"/>
        <w:jc w:val="both"/>
      </w:pPr>
      <w:r>
        <w:t>$265 million ($199 million, or $0.72 per share, after-tax) during 2021, due to changes in fair value and/or sales of investments which are reflected in the other non-operating income, net account on our consolidated statements of earnings.</w:t>
      </w:r>
    </w:p>
    <w:p w14:paraId="7BF4DC37" w14:textId="77777777" w:rsidR="00AE2255" w:rsidRDefault="00AE2255">
      <w:pPr>
        <w:pStyle w:val="BodyText"/>
        <w:rPr>
          <w:sz w:val="18"/>
        </w:rPr>
      </w:pPr>
    </w:p>
    <w:p w14:paraId="7BB12FB9" w14:textId="77777777" w:rsidR="00AE2255" w:rsidRDefault="00000000">
      <w:pPr>
        <w:pStyle w:val="BodyText"/>
        <w:spacing w:line="232" w:lineRule="auto"/>
        <w:ind w:left="610" w:right="428" w:firstLine="360"/>
        <w:jc w:val="both"/>
      </w:pPr>
      <w:r>
        <w:rPr>
          <w:b/>
        </w:rPr>
        <w:t xml:space="preserve">Equity method investments </w:t>
      </w:r>
      <w:r>
        <w:t xml:space="preserve">– Investments where we </w:t>
      </w:r>
      <w:proofErr w:type="gramStart"/>
      <w:r>
        <w:t>have the ability to</w:t>
      </w:r>
      <w:proofErr w:type="gramEnd"/>
      <w:r>
        <w:t xml:space="preserve"> exercise significant influence, but do not control, are accounted for under the equity method of accounting and are included in other noncurrent assets on our consolidated</w:t>
      </w:r>
      <w:r>
        <w:rPr>
          <w:spacing w:val="40"/>
        </w:rPr>
        <w:t xml:space="preserve"> </w:t>
      </w:r>
      <w:r>
        <w:t>balance sheets. Significant influence typically exists if we have a 20% to 50% ownership interest in the investee. Under this method of accounting, our share of the net earnings or losses of the investee is included in operating profit in other income, net on our consolidated statements of earnings since the activities of the investee are closely aligned with the operations of the business segment holding the investment. We evaluate our equity method investments for impairment whenever events or changes in circumstances indicate that the carrying amounts of such investments may be impaired. If a decline in the value of</w:t>
      </w:r>
      <w:r>
        <w:rPr>
          <w:spacing w:val="40"/>
        </w:rPr>
        <w:t xml:space="preserve"> </w:t>
      </w:r>
      <w:r>
        <w:t>an</w:t>
      </w:r>
      <w:r>
        <w:rPr>
          <w:spacing w:val="-2"/>
        </w:rPr>
        <w:t xml:space="preserve"> </w:t>
      </w:r>
      <w:r>
        <w:t>equity</w:t>
      </w:r>
      <w:r>
        <w:rPr>
          <w:spacing w:val="-2"/>
        </w:rPr>
        <w:t xml:space="preserve"> </w:t>
      </w:r>
      <w:r>
        <w:t>method</w:t>
      </w:r>
      <w:r>
        <w:rPr>
          <w:spacing w:val="-2"/>
        </w:rPr>
        <w:t xml:space="preserve"> </w:t>
      </w:r>
      <w:r>
        <w:t>investment</w:t>
      </w:r>
      <w:r>
        <w:rPr>
          <w:spacing w:val="-2"/>
        </w:rPr>
        <w:t xml:space="preserve"> </w:t>
      </w:r>
      <w:r>
        <w:t>is</w:t>
      </w:r>
      <w:r>
        <w:rPr>
          <w:spacing w:val="-2"/>
        </w:rPr>
        <w:t xml:space="preserve"> </w:t>
      </w:r>
      <w:r>
        <w:t>determined</w:t>
      </w:r>
      <w:r>
        <w:rPr>
          <w:spacing w:val="-2"/>
        </w:rPr>
        <w:t xml:space="preserve"> </w:t>
      </w:r>
      <w:r>
        <w:t>to</w:t>
      </w:r>
      <w:r>
        <w:rPr>
          <w:spacing w:val="-2"/>
        </w:rPr>
        <w:t xml:space="preserve"> </w:t>
      </w:r>
      <w:r>
        <w:t>be</w:t>
      </w:r>
      <w:r>
        <w:rPr>
          <w:spacing w:val="-2"/>
        </w:rPr>
        <w:t xml:space="preserve"> </w:t>
      </w:r>
      <w:r>
        <w:t>other</w:t>
      </w:r>
      <w:r>
        <w:rPr>
          <w:spacing w:val="-2"/>
        </w:rPr>
        <w:t xml:space="preserve"> </w:t>
      </w:r>
      <w:r>
        <w:t>than</w:t>
      </w:r>
      <w:r>
        <w:rPr>
          <w:spacing w:val="-2"/>
        </w:rPr>
        <w:t xml:space="preserve"> </w:t>
      </w:r>
      <w:r>
        <w:t>temporary,</w:t>
      </w:r>
      <w:r>
        <w:rPr>
          <w:spacing w:val="-2"/>
        </w:rPr>
        <w:t xml:space="preserve"> </w:t>
      </w:r>
      <w:r>
        <w:t>a</w:t>
      </w:r>
      <w:r>
        <w:rPr>
          <w:spacing w:val="-2"/>
        </w:rPr>
        <w:t xml:space="preserve"> </w:t>
      </w:r>
      <w:r>
        <w:t>loss</w:t>
      </w:r>
      <w:r>
        <w:rPr>
          <w:spacing w:val="-2"/>
        </w:rPr>
        <w:t xml:space="preserve"> </w:t>
      </w:r>
      <w:r>
        <w:t>is</w:t>
      </w:r>
      <w:r>
        <w:rPr>
          <w:spacing w:val="-2"/>
        </w:rPr>
        <w:t xml:space="preserve"> </w:t>
      </w:r>
      <w:r>
        <w:t>recorded</w:t>
      </w:r>
      <w:r>
        <w:rPr>
          <w:spacing w:val="-2"/>
        </w:rPr>
        <w:t xml:space="preserve"> </w:t>
      </w:r>
      <w:r>
        <w:t>in</w:t>
      </w:r>
      <w:r>
        <w:rPr>
          <w:spacing w:val="-2"/>
        </w:rPr>
        <w:t xml:space="preserve"> </w:t>
      </w:r>
      <w:r>
        <w:t>earnings</w:t>
      </w:r>
      <w:r>
        <w:rPr>
          <w:spacing w:val="-2"/>
        </w:rPr>
        <w:t xml:space="preserve"> </w:t>
      </w:r>
      <w:r>
        <w:t>in</w:t>
      </w:r>
      <w:r>
        <w:rPr>
          <w:spacing w:val="-2"/>
        </w:rPr>
        <w:t xml:space="preserve"> </w:t>
      </w:r>
      <w:r>
        <w:t>the</w:t>
      </w:r>
      <w:r>
        <w:rPr>
          <w:spacing w:val="-2"/>
        </w:rPr>
        <w:t xml:space="preserve"> </w:t>
      </w:r>
      <w:r>
        <w:t>current</w:t>
      </w:r>
      <w:r>
        <w:rPr>
          <w:spacing w:val="-2"/>
        </w:rPr>
        <w:t xml:space="preserve"> </w:t>
      </w:r>
      <w:r>
        <w:t>period.</w:t>
      </w:r>
      <w:r>
        <w:rPr>
          <w:spacing w:val="-2"/>
        </w:rPr>
        <w:t xml:space="preserve"> </w:t>
      </w:r>
      <w:r>
        <w:t>As</w:t>
      </w:r>
      <w:r>
        <w:rPr>
          <w:spacing w:val="-2"/>
        </w:rPr>
        <w:t xml:space="preserve"> </w:t>
      </w:r>
      <w:r>
        <w:t xml:space="preserve">of December 31, </w:t>
      </w:r>
      <w:proofErr w:type="gramStart"/>
      <w:r>
        <w:t>2022</w:t>
      </w:r>
      <w:proofErr w:type="gramEnd"/>
      <w:r>
        <w:t xml:space="preserve"> and December 31, 2021, our equity method investments totaled $685 million and $689 million, which was primarily composed of our investment in the United Launch Alliance (ULA) joint venture. Our share of net earnings related to our equity method investees was $114 million in 2022, $97 million in 2021 and $163 million in 2020, of which approximately</w:t>
      </w:r>
    </w:p>
    <w:p w14:paraId="5780D540" w14:textId="77777777" w:rsidR="00AE2255" w:rsidRDefault="00000000">
      <w:pPr>
        <w:pStyle w:val="BodyText"/>
        <w:spacing w:before="5"/>
        <w:ind w:left="610"/>
        <w:jc w:val="both"/>
      </w:pPr>
      <w:r>
        <w:t>$100</w:t>
      </w:r>
      <w:r>
        <w:rPr>
          <w:spacing w:val="-5"/>
        </w:rPr>
        <w:t xml:space="preserve"> </w:t>
      </w:r>
      <w:r>
        <w:t>million,</w:t>
      </w:r>
      <w:r>
        <w:rPr>
          <w:spacing w:val="-3"/>
        </w:rPr>
        <w:t xml:space="preserve"> </w:t>
      </w:r>
      <w:r>
        <w:t>$65</w:t>
      </w:r>
      <w:r>
        <w:rPr>
          <w:spacing w:val="-2"/>
        </w:rPr>
        <w:t xml:space="preserve"> </w:t>
      </w:r>
      <w:proofErr w:type="gramStart"/>
      <w:r>
        <w:t>million</w:t>
      </w:r>
      <w:proofErr w:type="gramEnd"/>
      <w:r>
        <w:rPr>
          <w:spacing w:val="-3"/>
        </w:rPr>
        <w:t xml:space="preserve"> </w:t>
      </w:r>
      <w:r>
        <w:t>and</w:t>
      </w:r>
      <w:r>
        <w:rPr>
          <w:spacing w:val="-2"/>
        </w:rPr>
        <w:t xml:space="preserve"> </w:t>
      </w:r>
      <w:r>
        <w:t>$135</w:t>
      </w:r>
      <w:r>
        <w:rPr>
          <w:spacing w:val="-3"/>
        </w:rPr>
        <w:t xml:space="preserve"> </w:t>
      </w:r>
      <w:r>
        <w:t>million</w:t>
      </w:r>
      <w:r>
        <w:rPr>
          <w:spacing w:val="-2"/>
        </w:rPr>
        <w:t xml:space="preserve"> </w:t>
      </w:r>
      <w:r>
        <w:t>was</w:t>
      </w:r>
      <w:r>
        <w:rPr>
          <w:spacing w:val="-4"/>
        </w:rPr>
        <w:t xml:space="preserve"> </w:t>
      </w:r>
      <w:r>
        <w:t>included</w:t>
      </w:r>
      <w:r>
        <w:rPr>
          <w:spacing w:val="-2"/>
        </w:rPr>
        <w:t xml:space="preserve"> </w:t>
      </w:r>
      <w:r>
        <w:t>in</w:t>
      </w:r>
      <w:r>
        <w:rPr>
          <w:spacing w:val="-3"/>
        </w:rPr>
        <w:t xml:space="preserve"> </w:t>
      </w:r>
      <w:r>
        <w:t>our</w:t>
      </w:r>
      <w:r>
        <w:rPr>
          <w:spacing w:val="-2"/>
        </w:rPr>
        <w:t xml:space="preserve"> </w:t>
      </w:r>
      <w:r>
        <w:t>Space</w:t>
      </w:r>
      <w:r>
        <w:rPr>
          <w:spacing w:val="-4"/>
        </w:rPr>
        <w:t xml:space="preserve"> </w:t>
      </w:r>
      <w:r>
        <w:t>business</w:t>
      </w:r>
      <w:r>
        <w:rPr>
          <w:spacing w:val="-3"/>
        </w:rPr>
        <w:t xml:space="preserve"> </w:t>
      </w:r>
      <w:r>
        <w:t>segment</w:t>
      </w:r>
      <w:r>
        <w:rPr>
          <w:spacing w:val="-4"/>
        </w:rPr>
        <w:t xml:space="preserve"> </w:t>
      </w:r>
      <w:r>
        <w:t>operating</w:t>
      </w:r>
      <w:r>
        <w:rPr>
          <w:spacing w:val="-2"/>
        </w:rPr>
        <w:t xml:space="preserve"> profit.</w:t>
      </w:r>
    </w:p>
    <w:p w14:paraId="0481DAA3" w14:textId="77777777" w:rsidR="00AE2255" w:rsidRDefault="00000000">
      <w:pPr>
        <w:pStyle w:val="BodyText"/>
        <w:spacing w:before="194" w:line="249" w:lineRule="auto"/>
        <w:ind w:left="610" w:right="429" w:firstLine="360"/>
        <w:jc w:val="both"/>
      </w:pPr>
      <w:r>
        <w:t>In July 2020, we entered into an agreement to sell our ownership interest in Advanced Military Maintenance, Repair and Overhaul Center (AMMROC) to our joint venture partner for $307 million. As a result, we adjusted the carrying value of our investment</w:t>
      </w:r>
      <w:r>
        <w:rPr>
          <w:spacing w:val="52"/>
        </w:rPr>
        <w:t xml:space="preserve"> </w:t>
      </w:r>
      <w:r>
        <w:t>to</w:t>
      </w:r>
      <w:r>
        <w:rPr>
          <w:spacing w:val="52"/>
        </w:rPr>
        <w:t xml:space="preserve"> </w:t>
      </w:r>
      <w:r>
        <w:t>the</w:t>
      </w:r>
      <w:r>
        <w:rPr>
          <w:spacing w:val="52"/>
        </w:rPr>
        <w:t xml:space="preserve"> </w:t>
      </w:r>
      <w:r>
        <w:t>selling</w:t>
      </w:r>
      <w:r>
        <w:rPr>
          <w:spacing w:val="52"/>
        </w:rPr>
        <w:t xml:space="preserve"> </w:t>
      </w:r>
      <w:r>
        <w:t>price</w:t>
      </w:r>
      <w:r>
        <w:rPr>
          <w:spacing w:val="52"/>
        </w:rPr>
        <w:t xml:space="preserve"> </w:t>
      </w:r>
      <w:r>
        <w:t>of</w:t>
      </w:r>
      <w:r>
        <w:rPr>
          <w:spacing w:val="52"/>
        </w:rPr>
        <w:t xml:space="preserve"> </w:t>
      </w:r>
      <w:r>
        <w:t>$307</w:t>
      </w:r>
      <w:r>
        <w:rPr>
          <w:spacing w:val="52"/>
        </w:rPr>
        <w:t xml:space="preserve"> </w:t>
      </w:r>
      <w:r>
        <w:t>million,</w:t>
      </w:r>
      <w:r>
        <w:rPr>
          <w:spacing w:val="52"/>
        </w:rPr>
        <w:t xml:space="preserve"> </w:t>
      </w:r>
      <w:r>
        <w:t>which</w:t>
      </w:r>
      <w:r>
        <w:rPr>
          <w:spacing w:val="52"/>
        </w:rPr>
        <w:t xml:space="preserve"> </w:t>
      </w:r>
      <w:r>
        <w:t>resulted</w:t>
      </w:r>
      <w:r>
        <w:rPr>
          <w:spacing w:val="52"/>
        </w:rPr>
        <w:t xml:space="preserve"> </w:t>
      </w:r>
      <w:r>
        <w:t>in</w:t>
      </w:r>
      <w:r>
        <w:rPr>
          <w:spacing w:val="52"/>
        </w:rPr>
        <w:t xml:space="preserve"> </w:t>
      </w:r>
      <w:r>
        <w:t>the</w:t>
      </w:r>
      <w:r>
        <w:rPr>
          <w:spacing w:val="52"/>
        </w:rPr>
        <w:t xml:space="preserve"> </w:t>
      </w:r>
      <w:r>
        <w:t>recognition</w:t>
      </w:r>
      <w:r>
        <w:rPr>
          <w:spacing w:val="52"/>
        </w:rPr>
        <w:t xml:space="preserve"> </w:t>
      </w:r>
      <w:r>
        <w:t>of</w:t>
      </w:r>
      <w:r>
        <w:rPr>
          <w:spacing w:val="52"/>
        </w:rPr>
        <w:t xml:space="preserve"> </w:t>
      </w:r>
      <w:r>
        <w:t>a</w:t>
      </w:r>
      <w:r>
        <w:rPr>
          <w:spacing w:val="52"/>
        </w:rPr>
        <w:t xml:space="preserve"> </w:t>
      </w:r>
      <w:r>
        <w:t>noncash</w:t>
      </w:r>
      <w:r>
        <w:rPr>
          <w:spacing w:val="52"/>
        </w:rPr>
        <w:t xml:space="preserve"> </w:t>
      </w:r>
      <w:r>
        <w:t>impairment</w:t>
      </w:r>
      <w:r>
        <w:rPr>
          <w:spacing w:val="52"/>
        </w:rPr>
        <w:t xml:space="preserve"> </w:t>
      </w:r>
      <w:r>
        <w:t>charge</w:t>
      </w:r>
      <w:r>
        <w:rPr>
          <w:spacing w:val="52"/>
        </w:rPr>
        <w:t xml:space="preserve"> </w:t>
      </w:r>
      <w:r>
        <w:t>of</w:t>
      </w:r>
    </w:p>
    <w:p w14:paraId="04AD3F4A" w14:textId="77777777" w:rsidR="00AE2255" w:rsidRDefault="00000000">
      <w:pPr>
        <w:pStyle w:val="BodyText"/>
        <w:spacing w:before="2"/>
        <w:ind w:left="610"/>
        <w:jc w:val="both"/>
      </w:pPr>
      <w:r>
        <w:t>$128</w:t>
      </w:r>
      <w:r>
        <w:rPr>
          <w:spacing w:val="-5"/>
        </w:rPr>
        <w:t xml:space="preserve"> </w:t>
      </w:r>
      <w:r>
        <w:t>million</w:t>
      </w:r>
      <w:r>
        <w:rPr>
          <w:spacing w:val="-2"/>
        </w:rPr>
        <w:t xml:space="preserve"> </w:t>
      </w:r>
      <w:r>
        <w:t>($96</w:t>
      </w:r>
      <w:r>
        <w:rPr>
          <w:spacing w:val="-2"/>
        </w:rPr>
        <w:t xml:space="preserve"> </w:t>
      </w:r>
      <w:r>
        <w:t>million,</w:t>
      </w:r>
      <w:r>
        <w:rPr>
          <w:spacing w:val="-2"/>
        </w:rPr>
        <w:t xml:space="preserve"> </w:t>
      </w:r>
      <w:r>
        <w:t>or</w:t>
      </w:r>
      <w:r>
        <w:rPr>
          <w:spacing w:val="-2"/>
        </w:rPr>
        <w:t xml:space="preserve"> </w:t>
      </w:r>
      <w:r>
        <w:t>$0.34</w:t>
      </w:r>
      <w:r>
        <w:rPr>
          <w:spacing w:val="-3"/>
        </w:rPr>
        <w:t xml:space="preserve"> </w:t>
      </w:r>
      <w:r>
        <w:t>per</w:t>
      </w:r>
      <w:r>
        <w:rPr>
          <w:spacing w:val="-2"/>
        </w:rPr>
        <w:t xml:space="preserve"> </w:t>
      </w:r>
      <w:r>
        <w:t>share,</w:t>
      </w:r>
      <w:r>
        <w:rPr>
          <w:spacing w:val="-2"/>
        </w:rPr>
        <w:t xml:space="preserve"> </w:t>
      </w:r>
      <w:r>
        <w:t>after-tax)</w:t>
      </w:r>
      <w:r>
        <w:rPr>
          <w:spacing w:val="-2"/>
        </w:rPr>
        <w:t xml:space="preserve"> </w:t>
      </w:r>
      <w:r>
        <w:t>in</w:t>
      </w:r>
      <w:r>
        <w:rPr>
          <w:spacing w:val="-2"/>
        </w:rPr>
        <w:t xml:space="preserve"> </w:t>
      </w:r>
      <w:r>
        <w:t>our</w:t>
      </w:r>
      <w:r>
        <w:rPr>
          <w:spacing w:val="-3"/>
        </w:rPr>
        <w:t xml:space="preserve"> </w:t>
      </w:r>
      <w:r>
        <w:t>results</w:t>
      </w:r>
      <w:r>
        <w:rPr>
          <w:spacing w:val="-3"/>
        </w:rPr>
        <w:t xml:space="preserve"> </w:t>
      </w:r>
      <w:r>
        <w:t>of</w:t>
      </w:r>
      <w:r>
        <w:rPr>
          <w:spacing w:val="-2"/>
        </w:rPr>
        <w:t xml:space="preserve"> </w:t>
      </w:r>
      <w:r>
        <w:t>operations</w:t>
      </w:r>
      <w:r>
        <w:rPr>
          <w:spacing w:val="-3"/>
        </w:rPr>
        <w:t xml:space="preserve"> </w:t>
      </w:r>
      <w:r>
        <w:t>disclosed</w:t>
      </w:r>
      <w:r>
        <w:rPr>
          <w:spacing w:val="-2"/>
        </w:rPr>
        <w:t xml:space="preserve"> </w:t>
      </w:r>
      <w:r>
        <w:t>in</w:t>
      </w:r>
      <w:r>
        <w:rPr>
          <w:spacing w:val="-2"/>
        </w:rPr>
        <w:t xml:space="preserve"> 2020.</w:t>
      </w:r>
    </w:p>
    <w:p w14:paraId="0561A379" w14:textId="77777777" w:rsidR="00AE2255" w:rsidRDefault="00AE2255">
      <w:pPr>
        <w:pStyle w:val="BodyText"/>
        <w:spacing w:before="9"/>
        <w:rPr>
          <w:sz w:val="18"/>
        </w:rPr>
      </w:pPr>
    </w:p>
    <w:p w14:paraId="0DC9052B" w14:textId="77777777" w:rsidR="00AE2255" w:rsidRDefault="00000000">
      <w:pPr>
        <w:pStyle w:val="BodyText"/>
        <w:spacing w:line="232" w:lineRule="auto"/>
        <w:ind w:left="610" w:right="430" w:firstLine="360"/>
        <w:jc w:val="both"/>
      </w:pPr>
      <w:r>
        <w:rPr>
          <w:b/>
        </w:rPr>
        <w:t xml:space="preserve">Goodwill and Intangible Assets </w:t>
      </w:r>
      <w:r>
        <w:t xml:space="preserve">– The assets and liabilities of acquired businesses are recorded under the acquisition method of accounting at their estimated fair values at the date of acquisition. Goodwill represents costs </w:t>
      </w:r>
      <w:proofErr w:type="gramStart"/>
      <w:r>
        <w:t>in excess of</w:t>
      </w:r>
      <w:proofErr w:type="gramEnd"/>
      <w:r>
        <w:t xml:space="preserve"> fair values assigned to the underlying identifiable net assets of acquired businesses. Intangible assets from acquired businesses are recognized at fair value on the acquisition date and consist of customer programs, trademarks, customer relationships, </w:t>
      </w:r>
      <w:proofErr w:type="gramStart"/>
      <w:r>
        <w:t>technology</w:t>
      </w:r>
      <w:proofErr w:type="gramEnd"/>
      <w:r>
        <w:t xml:space="preserve"> and other intangible assets. Customer programs include values assigned to major programs of acquired businesses and represent the aggregate value associated with the customer relationships, contracts, </w:t>
      </w:r>
      <w:proofErr w:type="gramStart"/>
      <w:r>
        <w:t>technology</w:t>
      </w:r>
      <w:proofErr w:type="gramEnd"/>
      <w:r>
        <w:t xml:space="preserve"> and trademarks underlying the associated program. Intangible assets are amortized over a period of expected cash flows used to measure fair value, which typically ranges from five to 20 years.</w:t>
      </w:r>
    </w:p>
    <w:p w14:paraId="73D7FC8A" w14:textId="77777777" w:rsidR="00AE2255" w:rsidRDefault="00AE2255">
      <w:pPr>
        <w:pStyle w:val="BodyText"/>
        <w:spacing w:before="6"/>
        <w:rPr>
          <w:sz w:val="17"/>
        </w:rPr>
      </w:pPr>
    </w:p>
    <w:p w14:paraId="400023A2" w14:textId="77777777" w:rsidR="00AE2255" w:rsidRDefault="00000000">
      <w:pPr>
        <w:pStyle w:val="BodyText"/>
        <w:spacing w:line="249" w:lineRule="auto"/>
        <w:ind w:left="610" w:right="427" w:firstLine="360"/>
        <w:jc w:val="both"/>
      </w:pPr>
      <w:r>
        <w:t>We perform an impairment test of our goodwill at least annually in the fourth quarter or more frequently whenever events or changes in circumstances indicate the carrying value of goodwill may be impaired. Such events or changes in circumstances may include a significant deterioration in overall economic conditions, changes in the business climate of our industry, a</w:t>
      </w:r>
      <w:r>
        <w:rPr>
          <w:spacing w:val="40"/>
        </w:rPr>
        <w:t xml:space="preserve"> </w:t>
      </w:r>
      <w:r>
        <w:t>decline in our market capitalization, operating performance indicators, competition, reorganizations of our business, U.S. Government budget restrictions or the disposal of all or a portion of a reporting unit. Our goodwill has been allocated to and is tested for impairment at a level referred to as the reporting unit, which is typically a level below our business segments. The level at which we test goodwill for impairment requires us to determine whether the operations below the business segment constitute a self-sustaining business for which discrete financial information is available and segment management regularly reviews the operating results.</w:t>
      </w:r>
    </w:p>
    <w:p w14:paraId="6063CE19" w14:textId="77777777" w:rsidR="00AE2255" w:rsidRDefault="00AE2255">
      <w:pPr>
        <w:pStyle w:val="BodyText"/>
        <w:spacing w:before="1"/>
        <w:rPr>
          <w:sz w:val="18"/>
        </w:rPr>
      </w:pPr>
    </w:p>
    <w:p w14:paraId="6FE68386" w14:textId="77777777" w:rsidR="00AE2255" w:rsidRDefault="00000000">
      <w:pPr>
        <w:pStyle w:val="BodyText"/>
        <w:spacing w:line="249" w:lineRule="auto"/>
        <w:ind w:left="610" w:right="428" w:firstLine="360"/>
        <w:jc w:val="both"/>
      </w:pPr>
      <w:r>
        <w:t>We may use either a qualitative or quantitative approach when testing a reporting unit’s goodwill for impairment. For selected reporting units</w:t>
      </w:r>
      <w:r>
        <w:rPr>
          <w:spacing w:val="-1"/>
        </w:rPr>
        <w:t xml:space="preserve"> </w:t>
      </w:r>
      <w:r>
        <w:t>where</w:t>
      </w:r>
      <w:r>
        <w:rPr>
          <w:spacing w:val="-1"/>
        </w:rPr>
        <w:t xml:space="preserve"> </w:t>
      </w:r>
      <w:r>
        <w:t>we</w:t>
      </w:r>
      <w:r>
        <w:rPr>
          <w:spacing w:val="-1"/>
        </w:rPr>
        <w:t xml:space="preserve"> </w:t>
      </w:r>
      <w:r>
        <w:t>use</w:t>
      </w:r>
      <w:r>
        <w:rPr>
          <w:spacing w:val="-1"/>
        </w:rPr>
        <w:t xml:space="preserve"> </w:t>
      </w:r>
      <w:r>
        <w:t>the</w:t>
      </w:r>
      <w:r>
        <w:rPr>
          <w:spacing w:val="-1"/>
        </w:rPr>
        <w:t xml:space="preserve"> </w:t>
      </w:r>
      <w:r>
        <w:t>qualitative</w:t>
      </w:r>
      <w:r>
        <w:rPr>
          <w:spacing w:val="-1"/>
        </w:rPr>
        <w:t xml:space="preserve"> </w:t>
      </w:r>
      <w:r>
        <w:t>approach, we</w:t>
      </w:r>
      <w:r>
        <w:rPr>
          <w:spacing w:val="-1"/>
        </w:rPr>
        <w:t xml:space="preserve"> </w:t>
      </w:r>
      <w:r>
        <w:t>perform</w:t>
      </w:r>
      <w:r>
        <w:rPr>
          <w:spacing w:val="-1"/>
        </w:rPr>
        <w:t xml:space="preserve"> </w:t>
      </w:r>
      <w:r>
        <w:t>a</w:t>
      </w:r>
      <w:r>
        <w:rPr>
          <w:spacing w:val="-1"/>
        </w:rPr>
        <w:t xml:space="preserve"> </w:t>
      </w:r>
      <w:r>
        <w:t>qualitative</w:t>
      </w:r>
      <w:r>
        <w:rPr>
          <w:spacing w:val="-1"/>
        </w:rPr>
        <w:t xml:space="preserve"> </w:t>
      </w:r>
      <w:r>
        <w:t>evaluation of events</w:t>
      </w:r>
      <w:r>
        <w:rPr>
          <w:spacing w:val="-1"/>
        </w:rPr>
        <w:t xml:space="preserve"> </w:t>
      </w:r>
      <w:r>
        <w:t xml:space="preserve">and circumstances impacting the reporting unit to determine the likelihood of goodwill impairment. Based on that qualitative evaluation, if we determine it is more likely than not that the fair value of a reporting unit exceeds </w:t>
      </w:r>
      <w:proofErr w:type="gramStart"/>
      <w:r>
        <w:t>its</w:t>
      </w:r>
      <w:proofErr w:type="gramEnd"/>
      <w:r>
        <w:t xml:space="preserve"> carrying amount, no further evaluation is necessary. </w:t>
      </w:r>
      <w:proofErr w:type="gramStart"/>
      <w:r>
        <w:t>Otherwise</w:t>
      </w:r>
      <w:proofErr w:type="gramEnd"/>
      <w:r>
        <w:t xml:space="preserve"> we perform a quantitative impairment test. We perform quantitative tests for most reporting units at least once every three years. However, for certain reporting units we may perform a quantitative impairment test every year.</w:t>
      </w:r>
    </w:p>
    <w:p w14:paraId="7950A1D7" w14:textId="77777777" w:rsidR="00AE2255" w:rsidRDefault="00AE2255">
      <w:pPr>
        <w:pStyle w:val="BodyText"/>
        <w:spacing w:before="9"/>
        <w:rPr>
          <w:sz w:val="17"/>
        </w:rPr>
      </w:pPr>
    </w:p>
    <w:p w14:paraId="255DA02E" w14:textId="77777777" w:rsidR="00AE2255" w:rsidRDefault="00000000">
      <w:pPr>
        <w:pStyle w:val="BodyText"/>
        <w:spacing w:line="249" w:lineRule="auto"/>
        <w:ind w:left="610" w:right="427" w:firstLine="360"/>
        <w:jc w:val="both"/>
      </w:pPr>
      <w:r>
        <w:t xml:space="preserve">For the quantitative impairment test we compare the fair value of a reporting unit to </w:t>
      </w:r>
      <w:proofErr w:type="gramStart"/>
      <w:r>
        <w:t>its</w:t>
      </w:r>
      <w:proofErr w:type="gramEnd"/>
      <w:r>
        <w:t xml:space="preserve"> carrying value, including goodwill. If the fair value of a reporting unit exceeds </w:t>
      </w:r>
      <w:proofErr w:type="gramStart"/>
      <w:r>
        <w:t>its</w:t>
      </w:r>
      <w:proofErr w:type="gramEnd"/>
      <w:r>
        <w:t xml:space="preserve"> carrying value, goodwill of the reporting unit is not impaired. If the carrying</w:t>
      </w:r>
      <w:r>
        <w:rPr>
          <w:spacing w:val="40"/>
        </w:rPr>
        <w:t xml:space="preserve"> </w:t>
      </w:r>
      <w:r>
        <w:t xml:space="preserve">value of the reporting unit, including goodwill, exceeds its fair value, a goodwill impairment loss is recognized in an amount equal to that excess. We generally estimate the fair value of each reporting unit using a combination of a discounted cash flow (DCF) analysis and market-based valuation methodologies such as comparable public company trading values and values observed in recent business acquisitions. Determining fair value requires the exercise of significant judgments, including the amount and timing of expected future cash flows, long-term growth rates, discount rates and relevant comparable public company earnings multiples and relevant transaction multiples. The cash flows employed in the DCF analysis are based on our best estimate of future sales, </w:t>
      </w:r>
      <w:proofErr w:type="gramStart"/>
      <w:r>
        <w:t>earnings</w:t>
      </w:r>
      <w:proofErr w:type="gramEnd"/>
      <w:r>
        <w:t xml:space="preserve"> and cash flows after considering factors such as general market conditions, U.S. Government budgets, existing firm orders, expected future orders, contracts with suppliers, labor agreements, changes in working capital, long term business plans and recent operating performance. The discount rates utilized in the DCF analysis are</w:t>
      </w:r>
    </w:p>
    <w:p w14:paraId="13D6CDEB" w14:textId="77777777" w:rsidR="00AE2255" w:rsidRDefault="00AE2255">
      <w:pPr>
        <w:spacing w:line="249" w:lineRule="auto"/>
        <w:jc w:val="both"/>
        <w:sectPr w:rsidR="00AE2255">
          <w:pgSz w:w="12240" w:h="15840"/>
          <w:pgMar w:top="440" w:right="560" w:bottom="720" w:left="380" w:header="230" w:footer="531" w:gutter="0"/>
          <w:cols w:space="720"/>
        </w:sectPr>
      </w:pPr>
    </w:p>
    <w:p w14:paraId="32A6759B" w14:textId="77777777" w:rsidR="00AE2255" w:rsidRDefault="00AE2255">
      <w:pPr>
        <w:pStyle w:val="BodyText"/>
        <w:spacing w:before="10"/>
        <w:rPr>
          <w:sz w:val="22"/>
        </w:rPr>
      </w:pPr>
    </w:p>
    <w:p w14:paraId="36FA8EDB" w14:textId="77777777" w:rsidR="00AE2255" w:rsidRDefault="00000000">
      <w:pPr>
        <w:pStyle w:val="BodyText"/>
        <w:spacing w:before="92" w:line="249" w:lineRule="auto"/>
        <w:ind w:left="610" w:right="429"/>
        <w:jc w:val="both"/>
      </w:pPr>
      <w:r>
        <w:t xml:space="preserve">based on the respective reporting unit’s weighted average cost of capital, which </w:t>
      </w:r>
      <w:proofErr w:type="gramStart"/>
      <w:r>
        <w:t>takes into account</w:t>
      </w:r>
      <w:proofErr w:type="gramEnd"/>
      <w:r>
        <w:t xml:space="preserve"> the relative weights of each component of capital structure (equity and debt) and represents the expected cost of new capital, adjusted as appropriate to consider the risk inherent in future cash flows of the respective reporting unit. The carrying value of each reporting unit</w:t>
      </w:r>
      <w:r>
        <w:rPr>
          <w:spacing w:val="40"/>
        </w:rPr>
        <w:t xml:space="preserve"> </w:t>
      </w:r>
      <w:r>
        <w:t>includes the assets and liabilities employed in its operations, goodwill and allocations of certain assets and liabilities held at the business segment and corporate levels.</w:t>
      </w:r>
    </w:p>
    <w:p w14:paraId="45472F57" w14:textId="77777777" w:rsidR="00AE2255" w:rsidRDefault="00AE2255">
      <w:pPr>
        <w:pStyle w:val="BodyText"/>
        <w:spacing w:before="8"/>
        <w:rPr>
          <w:sz w:val="17"/>
        </w:rPr>
      </w:pPr>
    </w:p>
    <w:p w14:paraId="56EFF6E5" w14:textId="77777777" w:rsidR="00AE2255" w:rsidRDefault="00000000">
      <w:pPr>
        <w:pStyle w:val="BodyText"/>
        <w:spacing w:line="249" w:lineRule="auto"/>
        <w:ind w:left="610" w:firstLine="360"/>
      </w:pPr>
      <w:r>
        <w:t>During</w:t>
      </w:r>
      <w:r>
        <w:rPr>
          <w:spacing w:val="21"/>
        </w:rPr>
        <w:t xml:space="preserve"> </w:t>
      </w:r>
      <w:r>
        <w:t>the</w:t>
      </w:r>
      <w:r>
        <w:rPr>
          <w:spacing w:val="21"/>
        </w:rPr>
        <w:t xml:space="preserve"> </w:t>
      </w:r>
      <w:r>
        <w:t>fourth</w:t>
      </w:r>
      <w:r>
        <w:rPr>
          <w:spacing w:val="21"/>
        </w:rPr>
        <w:t xml:space="preserve"> </w:t>
      </w:r>
      <w:r>
        <w:t>quarters</w:t>
      </w:r>
      <w:r>
        <w:rPr>
          <w:spacing w:val="21"/>
        </w:rPr>
        <w:t xml:space="preserve"> </w:t>
      </w:r>
      <w:r>
        <w:t>of</w:t>
      </w:r>
      <w:r>
        <w:rPr>
          <w:spacing w:val="21"/>
        </w:rPr>
        <w:t xml:space="preserve"> </w:t>
      </w:r>
      <w:r>
        <w:t>2022,</w:t>
      </w:r>
      <w:r>
        <w:rPr>
          <w:spacing w:val="21"/>
        </w:rPr>
        <w:t xml:space="preserve"> </w:t>
      </w:r>
      <w:r>
        <w:t>2021</w:t>
      </w:r>
      <w:r>
        <w:rPr>
          <w:spacing w:val="21"/>
        </w:rPr>
        <w:t xml:space="preserve"> </w:t>
      </w:r>
      <w:r>
        <w:t>and</w:t>
      </w:r>
      <w:r>
        <w:rPr>
          <w:spacing w:val="21"/>
        </w:rPr>
        <w:t xml:space="preserve"> </w:t>
      </w:r>
      <w:r>
        <w:t>2020,</w:t>
      </w:r>
      <w:r>
        <w:rPr>
          <w:spacing w:val="21"/>
        </w:rPr>
        <w:t xml:space="preserve"> </w:t>
      </w:r>
      <w:r>
        <w:t>we</w:t>
      </w:r>
      <w:r>
        <w:rPr>
          <w:spacing w:val="21"/>
        </w:rPr>
        <w:t xml:space="preserve"> </w:t>
      </w:r>
      <w:r>
        <w:t>performed</w:t>
      </w:r>
      <w:r>
        <w:rPr>
          <w:spacing w:val="21"/>
        </w:rPr>
        <w:t xml:space="preserve"> </w:t>
      </w:r>
      <w:r>
        <w:t>our</w:t>
      </w:r>
      <w:r>
        <w:rPr>
          <w:spacing w:val="21"/>
        </w:rPr>
        <w:t xml:space="preserve"> </w:t>
      </w:r>
      <w:r>
        <w:t>annual</w:t>
      </w:r>
      <w:r>
        <w:rPr>
          <w:spacing w:val="21"/>
        </w:rPr>
        <w:t xml:space="preserve"> </w:t>
      </w:r>
      <w:r>
        <w:t>goodwill</w:t>
      </w:r>
      <w:r>
        <w:rPr>
          <w:spacing w:val="21"/>
        </w:rPr>
        <w:t xml:space="preserve"> </w:t>
      </w:r>
      <w:r>
        <w:t>impairment</w:t>
      </w:r>
      <w:r>
        <w:rPr>
          <w:spacing w:val="21"/>
        </w:rPr>
        <w:t xml:space="preserve"> </w:t>
      </w:r>
      <w:r>
        <w:t>test</w:t>
      </w:r>
      <w:r>
        <w:rPr>
          <w:spacing w:val="21"/>
        </w:rPr>
        <w:t xml:space="preserve"> </w:t>
      </w:r>
      <w:r>
        <w:t>for</w:t>
      </w:r>
      <w:r>
        <w:rPr>
          <w:spacing w:val="21"/>
        </w:rPr>
        <w:t xml:space="preserve"> </w:t>
      </w:r>
      <w:r>
        <w:t>each</w:t>
      </w:r>
      <w:r>
        <w:rPr>
          <w:spacing w:val="21"/>
        </w:rPr>
        <w:t xml:space="preserve"> </w:t>
      </w:r>
      <w:r>
        <w:t>of</w:t>
      </w:r>
      <w:r>
        <w:rPr>
          <w:spacing w:val="21"/>
        </w:rPr>
        <w:t xml:space="preserve"> </w:t>
      </w:r>
      <w:r>
        <w:t>our reporting units. The results of our annual impairment tests of goodwill indicated that no impairment existed.</w:t>
      </w:r>
    </w:p>
    <w:p w14:paraId="4EDF844F" w14:textId="77777777" w:rsidR="00AE2255" w:rsidRDefault="00AE2255">
      <w:pPr>
        <w:pStyle w:val="BodyText"/>
        <w:rPr>
          <w:sz w:val="18"/>
        </w:rPr>
      </w:pPr>
    </w:p>
    <w:p w14:paraId="6FE3B1B9" w14:textId="77777777" w:rsidR="00AE2255" w:rsidRDefault="00000000">
      <w:pPr>
        <w:pStyle w:val="BodyText"/>
        <w:spacing w:before="1" w:line="232" w:lineRule="auto"/>
        <w:ind w:left="610" w:right="620" w:firstLine="360"/>
      </w:pPr>
      <w:r>
        <w:t>Acquired</w:t>
      </w:r>
      <w:r>
        <w:rPr>
          <w:spacing w:val="-3"/>
        </w:rPr>
        <w:t xml:space="preserve"> </w:t>
      </w:r>
      <w:r>
        <w:t>intangible</w:t>
      </w:r>
      <w:r>
        <w:rPr>
          <w:spacing w:val="-4"/>
        </w:rPr>
        <w:t xml:space="preserve"> </w:t>
      </w:r>
      <w:r>
        <w:t>assets</w:t>
      </w:r>
      <w:r>
        <w:rPr>
          <w:spacing w:val="-4"/>
        </w:rPr>
        <w:t xml:space="preserve"> </w:t>
      </w:r>
      <w:r>
        <w:t>deemed</w:t>
      </w:r>
      <w:r>
        <w:rPr>
          <w:spacing w:val="-3"/>
        </w:rPr>
        <w:t xml:space="preserve"> </w:t>
      </w:r>
      <w:r>
        <w:t>to</w:t>
      </w:r>
      <w:r>
        <w:rPr>
          <w:spacing w:val="-3"/>
        </w:rPr>
        <w:t xml:space="preserve"> </w:t>
      </w:r>
      <w:r>
        <w:t>have</w:t>
      </w:r>
      <w:r>
        <w:rPr>
          <w:spacing w:val="-4"/>
        </w:rPr>
        <w:t xml:space="preserve"> </w:t>
      </w:r>
      <w:r>
        <w:t>indefinite</w:t>
      </w:r>
      <w:r>
        <w:rPr>
          <w:spacing w:val="-4"/>
        </w:rPr>
        <w:t xml:space="preserve"> </w:t>
      </w:r>
      <w:r>
        <w:t>lives</w:t>
      </w:r>
      <w:r>
        <w:rPr>
          <w:spacing w:val="-4"/>
        </w:rPr>
        <w:t xml:space="preserve"> </w:t>
      </w:r>
      <w:r>
        <w:t>are</w:t>
      </w:r>
      <w:r>
        <w:rPr>
          <w:spacing w:val="-4"/>
        </w:rPr>
        <w:t xml:space="preserve"> </w:t>
      </w:r>
      <w:r>
        <w:t>not</w:t>
      </w:r>
      <w:r>
        <w:rPr>
          <w:spacing w:val="-4"/>
        </w:rPr>
        <w:t xml:space="preserve"> </w:t>
      </w:r>
      <w:proofErr w:type="gramStart"/>
      <w:r>
        <w:t>amortized,</w:t>
      </w:r>
      <w:r>
        <w:rPr>
          <w:spacing w:val="-3"/>
        </w:rPr>
        <w:t xml:space="preserve"> </w:t>
      </w:r>
      <w:r>
        <w:t>but</w:t>
      </w:r>
      <w:proofErr w:type="gramEnd"/>
      <w:r>
        <w:rPr>
          <w:spacing w:val="-4"/>
        </w:rPr>
        <w:t xml:space="preserve"> </w:t>
      </w:r>
      <w:r>
        <w:t>are</w:t>
      </w:r>
      <w:r>
        <w:rPr>
          <w:spacing w:val="-4"/>
        </w:rPr>
        <w:t xml:space="preserve"> </w:t>
      </w:r>
      <w:r>
        <w:t>subject</w:t>
      </w:r>
      <w:r>
        <w:rPr>
          <w:spacing w:val="-4"/>
        </w:rPr>
        <w:t xml:space="preserve"> </w:t>
      </w:r>
      <w:r>
        <w:t>to</w:t>
      </w:r>
      <w:r>
        <w:rPr>
          <w:spacing w:val="-3"/>
        </w:rPr>
        <w:t xml:space="preserve"> </w:t>
      </w:r>
      <w:r>
        <w:t>annual</w:t>
      </w:r>
      <w:r>
        <w:rPr>
          <w:spacing w:val="-4"/>
        </w:rPr>
        <w:t xml:space="preserve"> </w:t>
      </w:r>
      <w:r>
        <w:t>impairment</w:t>
      </w:r>
      <w:r>
        <w:rPr>
          <w:spacing w:val="-4"/>
        </w:rPr>
        <w:t xml:space="preserve"> </w:t>
      </w:r>
      <w:r>
        <w:t>testing or more frequently if events or change in circumstance indicate that it is more likely than not that the asset is impaired. This testing</w:t>
      </w:r>
      <w:r>
        <w:rPr>
          <w:spacing w:val="-2"/>
        </w:rPr>
        <w:t xml:space="preserve"> </w:t>
      </w:r>
      <w:r>
        <w:t>compares</w:t>
      </w:r>
      <w:r>
        <w:rPr>
          <w:spacing w:val="-3"/>
        </w:rPr>
        <w:t xml:space="preserve"> </w:t>
      </w:r>
      <w:r>
        <w:t>carrying</w:t>
      </w:r>
      <w:r>
        <w:rPr>
          <w:spacing w:val="-2"/>
        </w:rPr>
        <w:t xml:space="preserve"> </w:t>
      </w:r>
      <w:r>
        <w:t>value</w:t>
      </w:r>
      <w:r>
        <w:rPr>
          <w:spacing w:val="-3"/>
        </w:rPr>
        <w:t xml:space="preserve"> </w:t>
      </w:r>
      <w:r>
        <w:t>to</w:t>
      </w:r>
      <w:r>
        <w:rPr>
          <w:spacing w:val="-2"/>
        </w:rPr>
        <w:t xml:space="preserve"> </w:t>
      </w:r>
      <w:r>
        <w:t>fair</w:t>
      </w:r>
      <w:r>
        <w:rPr>
          <w:spacing w:val="-2"/>
        </w:rPr>
        <w:t xml:space="preserve"> </w:t>
      </w:r>
      <w:r>
        <w:t>value</w:t>
      </w:r>
      <w:r>
        <w:rPr>
          <w:spacing w:val="-3"/>
        </w:rPr>
        <w:t xml:space="preserve"> </w:t>
      </w:r>
      <w:r>
        <w:t>and,</w:t>
      </w:r>
      <w:r>
        <w:rPr>
          <w:spacing w:val="-2"/>
        </w:rPr>
        <w:t xml:space="preserve"> </w:t>
      </w:r>
      <w:r>
        <w:t>when</w:t>
      </w:r>
      <w:r>
        <w:rPr>
          <w:spacing w:val="-2"/>
        </w:rPr>
        <w:t xml:space="preserve"> </w:t>
      </w:r>
      <w:r>
        <w:t>appropriate,</w:t>
      </w:r>
      <w:r>
        <w:rPr>
          <w:spacing w:val="-2"/>
        </w:rPr>
        <w:t xml:space="preserve"> </w:t>
      </w:r>
      <w:r>
        <w:t>the</w:t>
      </w:r>
      <w:r>
        <w:rPr>
          <w:spacing w:val="-3"/>
        </w:rPr>
        <w:t xml:space="preserve"> </w:t>
      </w:r>
      <w:r>
        <w:t>carrying</w:t>
      </w:r>
      <w:r>
        <w:rPr>
          <w:spacing w:val="-2"/>
        </w:rPr>
        <w:t xml:space="preserve"> </w:t>
      </w:r>
      <w:r>
        <w:t>value</w:t>
      </w:r>
      <w:r>
        <w:rPr>
          <w:spacing w:val="-3"/>
        </w:rPr>
        <w:t xml:space="preserve"> </w:t>
      </w:r>
      <w:r>
        <w:t>of</w:t>
      </w:r>
      <w:r>
        <w:rPr>
          <w:spacing w:val="-2"/>
        </w:rPr>
        <w:t xml:space="preserve"> </w:t>
      </w:r>
      <w:r>
        <w:t>these</w:t>
      </w:r>
      <w:r>
        <w:rPr>
          <w:spacing w:val="-3"/>
        </w:rPr>
        <w:t xml:space="preserve"> </w:t>
      </w:r>
      <w:r>
        <w:t>assets</w:t>
      </w:r>
      <w:r>
        <w:rPr>
          <w:spacing w:val="-3"/>
        </w:rPr>
        <w:t xml:space="preserve"> </w:t>
      </w:r>
      <w:r>
        <w:t>is</w:t>
      </w:r>
      <w:r>
        <w:rPr>
          <w:spacing w:val="-3"/>
        </w:rPr>
        <w:t xml:space="preserve"> </w:t>
      </w:r>
      <w:r>
        <w:t>reduced</w:t>
      </w:r>
      <w:r>
        <w:rPr>
          <w:spacing w:val="-2"/>
        </w:rPr>
        <w:t xml:space="preserve"> </w:t>
      </w:r>
      <w:r>
        <w:t>to</w:t>
      </w:r>
      <w:r>
        <w:rPr>
          <w:spacing w:val="-2"/>
        </w:rPr>
        <w:t xml:space="preserve"> </w:t>
      </w:r>
      <w:r>
        <w:t>fair</w:t>
      </w:r>
      <w:r>
        <w:rPr>
          <w:spacing w:val="-2"/>
        </w:rPr>
        <w:t xml:space="preserve"> </w:t>
      </w:r>
      <w:r>
        <w:t xml:space="preserve">value. Finite-lived intangibles are amortized to expense over the applicable useful lives, ranging from five to 20 years, based on the nature of the asset and the underlying pattern of economic benefit as reflected by future net cash inflows. We perform an impairment test of finite-lived intangibles whenever events or changes in circumstances indicate their carrying value may be </w:t>
      </w:r>
      <w:r>
        <w:rPr>
          <w:spacing w:val="-2"/>
        </w:rPr>
        <w:t>impaired.</w:t>
      </w:r>
    </w:p>
    <w:p w14:paraId="0D25FD0C" w14:textId="77777777" w:rsidR="00AE2255" w:rsidRDefault="00AE2255">
      <w:pPr>
        <w:pStyle w:val="BodyText"/>
        <w:spacing w:before="5"/>
        <w:rPr>
          <w:sz w:val="17"/>
        </w:rPr>
      </w:pPr>
    </w:p>
    <w:p w14:paraId="05696C23" w14:textId="77777777" w:rsidR="00AE2255" w:rsidRDefault="00000000">
      <w:pPr>
        <w:pStyle w:val="BodyText"/>
        <w:ind w:left="610" w:right="428" w:firstLine="360"/>
        <w:jc w:val="both"/>
      </w:pPr>
      <w:r>
        <w:rPr>
          <w:b/>
        </w:rPr>
        <w:t xml:space="preserve">Leases </w:t>
      </w:r>
      <w:r>
        <w:t xml:space="preserve">– We evaluate whether our contractual arrangements contain leases at the inception of such arrangements. Specifically, we consider whether we can control the underlying asset and have the right to obtain substantially </w:t>
      </w:r>
      <w:proofErr w:type="gramStart"/>
      <w:r>
        <w:t>all of</w:t>
      </w:r>
      <w:proofErr w:type="gramEnd"/>
      <w:r>
        <w:t xml:space="preserve"> the economic benefits or outputs from the asset. Substantially </w:t>
      </w:r>
      <w:proofErr w:type="gramStart"/>
      <w:r>
        <w:t>all of</w:t>
      </w:r>
      <w:proofErr w:type="gramEnd"/>
      <w:r>
        <w:t xml:space="preserve"> our leases are long-term operating leases with fixed payment terms. We do not have significant financing leases. Our right-of-use (ROU) operating lease assets represent our right to use an underlying asset for the lease term, and our operating lease liabilities represent our obligation to make lease payments. ROU operating lease assets are recorded in other noncurrent assets in our consolidated balance sheet. Operating lease liabilities are recorded in other current liabilities or other noncurrent liabilities in our consolidated balance sheet based on their contractual due dates.</w:t>
      </w:r>
    </w:p>
    <w:p w14:paraId="386625B9" w14:textId="77777777" w:rsidR="00AE2255" w:rsidRDefault="00AE2255">
      <w:pPr>
        <w:pStyle w:val="BodyText"/>
        <w:spacing w:before="4"/>
        <w:rPr>
          <w:sz w:val="17"/>
        </w:rPr>
      </w:pPr>
    </w:p>
    <w:p w14:paraId="41C20E16" w14:textId="77777777" w:rsidR="00AE2255" w:rsidRDefault="00000000">
      <w:pPr>
        <w:pStyle w:val="BodyText"/>
        <w:spacing w:before="1" w:line="249" w:lineRule="auto"/>
        <w:ind w:left="610" w:right="428" w:firstLine="360"/>
        <w:jc w:val="both"/>
      </w:pPr>
      <w:r>
        <w:t>Both the ROU operating lease asset and liability are recognized as of the lease commencement date at the present value of the lease payments over the lease term. Most of our leases do not provide an implicit rate that can readily be determined. Therefore, we use a discount rate based on our incremental borrowing rate, which is determined using our credit rating and information available as of the commencement date. ROU operating lease assets include lease payments made at or before the lease commencement date, net of any lease incentives.</w:t>
      </w:r>
    </w:p>
    <w:p w14:paraId="4CA340B3" w14:textId="77777777" w:rsidR="00AE2255" w:rsidRDefault="00AE2255">
      <w:pPr>
        <w:pStyle w:val="BodyText"/>
        <w:spacing w:before="2"/>
        <w:rPr>
          <w:sz w:val="21"/>
        </w:rPr>
      </w:pPr>
    </w:p>
    <w:p w14:paraId="2DF603A5" w14:textId="77777777" w:rsidR="00AE2255" w:rsidRDefault="00000000">
      <w:pPr>
        <w:pStyle w:val="BodyText"/>
        <w:spacing w:line="249" w:lineRule="auto"/>
        <w:ind w:left="610" w:right="428" w:firstLine="360"/>
        <w:jc w:val="both"/>
      </w:pPr>
      <w:r>
        <w:t>Our operating lease agreements may include options to extend the lease term or terminate it early. We include options to extend or terminate leases in the ROU operating lease asset and liability when it is reasonably certain we will exercise these options. Operating lease</w:t>
      </w:r>
      <w:r>
        <w:rPr>
          <w:spacing w:val="-1"/>
        </w:rPr>
        <w:t xml:space="preserve"> </w:t>
      </w:r>
      <w:r>
        <w:t>expense</w:t>
      </w:r>
      <w:r>
        <w:rPr>
          <w:spacing w:val="-1"/>
        </w:rPr>
        <w:t xml:space="preserve"> </w:t>
      </w:r>
      <w:r>
        <w:t>is</w:t>
      </w:r>
      <w:r>
        <w:rPr>
          <w:spacing w:val="-1"/>
        </w:rPr>
        <w:t xml:space="preserve"> </w:t>
      </w:r>
      <w:r>
        <w:t>recognized on a</w:t>
      </w:r>
      <w:r>
        <w:rPr>
          <w:spacing w:val="-1"/>
        </w:rPr>
        <w:t xml:space="preserve"> </w:t>
      </w:r>
      <w:r>
        <w:t>straight-line</w:t>
      </w:r>
      <w:r>
        <w:rPr>
          <w:spacing w:val="-1"/>
        </w:rPr>
        <w:t xml:space="preserve"> </w:t>
      </w:r>
      <w:r>
        <w:t>basis</w:t>
      </w:r>
      <w:r>
        <w:rPr>
          <w:spacing w:val="-1"/>
        </w:rPr>
        <w:t xml:space="preserve"> </w:t>
      </w:r>
      <w:r>
        <w:t>over the</w:t>
      </w:r>
      <w:r>
        <w:rPr>
          <w:spacing w:val="-1"/>
        </w:rPr>
        <w:t xml:space="preserve"> </w:t>
      </w:r>
      <w:r>
        <w:t>lease</w:t>
      </w:r>
      <w:r>
        <w:rPr>
          <w:spacing w:val="-1"/>
        </w:rPr>
        <w:t xml:space="preserve"> </w:t>
      </w:r>
      <w:r>
        <w:t>term</w:t>
      </w:r>
      <w:r>
        <w:rPr>
          <w:spacing w:val="-1"/>
        </w:rPr>
        <w:t xml:space="preserve"> </w:t>
      </w:r>
      <w:r>
        <w:t>and is</w:t>
      </w:r>
      <w:r>
        <w:rPr>
          <w:spacing w:val="-1"/>
        </w:rPr>
        <w:t xml:space="preserve"> </w:t>
      </w:r>
      <w:r>
        <w:t>included in cost</w:t>
      </w:r>
      <w:r>
        <w:rPr>
          <w:spacing w:val="-1"/>
        </w:rPr>
        <w:t xml:space="preserve"> </w:t>
      </w:r>
      <w:r>
        <w:t>of sales</w:t>
      </w:r>
      <w:r>
        <w:rPr>
          <w:spacing w:val="-1"/>
        </w:rPr>
        <w:t xml:space="preserve"> </w:t>
      </w:r>
      <w:r>
        <w:t>on our consolidated statement of earnings.</w:t>
      </w:r>
    </w:p>
    <w:p w14:paraId="51F6AB01" w14:textId="77777777" w:rsidR="00AE2255" w:rsidRDefault="00AE2255">
      <w:pPr>
        <w:pStyle w:val="BodyText"/>
        <w:spacing w:before="2"/>
        <w:rPr>
          <w:sz w:val="21"/>
        </w:rPr>
      </w:pPr>
    </w:p>
    <w:p w14:paraId="7F0B2BF0" w14:textId="77777777" w:rsidR="00AE2255" w:rsidRDefault="00000000">
      <w:pPr>
        <w:pStyle w:val="BodyText"/>
        <w:spacing w:line="249" w:lineRule="auto"/>
        <w:ind w:left="610" w:right="429" w:firstLine="360"/>
        <w:jc w:val="both"/>
      </w:pPr>
      <w:r>
        <w:t>We have operating lease arrangements with lease and non-lease components. The non-lease components in our arrangements are not significant when compared to the lease components. For all operating leases, we account for the lease and non-lease components as a single component. Additionally, for certain equipment leases, we apply a portfolio approach to recognize operating lease ROU assets and liabilities. We evaluate ROU assets for impairment consistent with our property,</w:t>
      </w:r>
      <w:r>
        <w:rPr>
          <w:spacing w:val="40"/>
        </w:rPr>
        <w:t xml:space="preserve"> </w:t>
      </w:r>
      <w:proofErr w:type="gramStart"/>
      <w:r>
        <w:t>plant</w:t>
      </w:r>
      <w:proofErr w:type="gramEnd"/>
      <w:r>
        <w:t xml:space="preserve"> and equipment policy.</w:t>
      </w:r>
    </w:p>
    <w:p w14:paraId="6AA18993" w14:textId="77777777" w:rsidR="00AE2255" w:rsidRDefault="00AE2255">
      <w:pPr>
        <w:pStyle w:val="BodyText"/>
        <w:spacing w:before="2"/>
        <w:rPr>
          <w:sz w:val="21"/>
        </w:rPr>
      </w:pPr>
    </w:p>
    <w:p w14:paraId="5227C21D" w14:textId="77777777" w:rsidR="00AE2255" w:rsidRDefault="00000000">
      <w:pPr>
        <w:pStyle w:val="BodyText"/>
        <w:spacing w:before="1" w:line="249" w:lineRule="auto"/>
        <w:ind w:left="610" w:right="428" w:firstLine="360"/>
        <w:jc w:val="both"/>
      </w:pPr>
      <w:r>
        <w:rPr>
          <w:b/>
        </w:rPr>
        <w:t xml:space="preserve">Postretirement benefit plans </w:t>
      </w:r>
      <w:r>
        <w:t>– Many of our employees and retirees participate in defined benefit pension plans, retiree medical and life insurance plans, and other postemployment plans (collectively, postretirement benefit plans). Obligation amounts we record related to our postretirement benefit plans are computed based on service to date, using actuarial valuations that are based in part on certain key economic assumptions we make, including the discount rate, the expected long-term rate of return on plan assets and other actuarial assumptions including participant longevity (also known as mortality) and health care cost trend rates, each as appropriate based on the nature of the plans.</w:t>
      </w:r>
    </w:p>
    <w:p w14:paraId="5A4EBA16" w14:textId="77777777" w:rsidR="00AE2255" w:rsidRDefault="00AE2255">
      <w:pPr>
        <w:pStyle w:val="BodyText"/>
        <w:spacing w:before="9"/>
        <w:rPr>
          <w:sz w:val="17"/>
        </w:rPr>
      </w:pPr>
    </w:p>
    <w:p w14:paraId="1945B8E2" w14:textId="77777777" w:rsidR="00AE2255" w:rsidRDefault="00000000">
      <w:pPr>
        <w:pStyle w:val="BodyText"/>
        <w:spacing w:line="249" w:lineRule="auto"/>
        <w:ind w:left="610" w:right="429" w:firstLine="360"/>
        <w:jc w:val="both"/>
      </w:pPr>
      <w:proofErr w:type="gramStart"/>
      <w:r>
        <w:t>A market-related value of our plan assets,</w:t>
      </w:r>
      <w:proofErr w:type="gramEnd"/>
      <w:r>
        <w:t xml:space="preserve"> determined using actual asset gains or losses over the prior three year period, is used to calculate the amount of deferred asset gains or losses to be amortized. These asset gains or losses, along with those resulting from adjustments to our benefit obligation, will be amortized to expense using the corridor method, where gains and losses are recognized over a period of years to the </w:t>
      </w:r>
      <w:proofErr w:type="gramStart"/>
      <w:r>
        <w:t>extent</w:t>
      </w:r>
      <w:proofErr w:type="gramEnd"/>
      <w:r>
        <w:t xml:space="preserve"> they exceed 10% of the greater of plan assets or benefit obligations.</w:t>
      </w:r>
    </w:p>
    <w:p w14:paraId="22D2763E" w14:textId="77777777" w:rsidR="00AE2255" w:rsidRDefault="00AE2255">
      <w:pPr>
        <w:pStyle w:val="BodyText"/>
        <w:spacing w:before="8"/>
        <w:rPr>
          <w:sz w:val="17"/>
        </w:rPr>
      </w:pPr>
    </w:p>
    <w:p w14:paraId="7F0EEE94" w14:textId="77777777" w:rsidR="00AE2255" w:rsidRDefault="00000000">
      <w:pPr>
        <w:pStyle w:val="BodyText"/>
        <w:spacing w:line="249" w:lineRule="auto"/>
        <w:ind w:left="610" w:right="428" w:firstLine="360"/>
        <w:jc w:val="both"/>
      </w:pPr>
      <w:r>
        <w:t xml:space="preserve">We recognize on a plan-by-plan basis the funded status of our postretirement benefit plans as either an asset recorded within other noncurrent </w:t>
      </w:r>
      <w:proofErr w:type="gramStart"/>
      <w:r>
        <w:t>assets</w:t>
      </w:r>
      <w:proofErr w:type="gramEnd"/>
      <w:r>
        <w:t xml:space="preserve"> or a liability recorded within noncurrent liabilities on our consolidated balance sheets. The</w:t>
      </w:r>
      <w:r>
        <w:rPr>
          <w:spacing w:val="40"/>
        </w:rPr>
        <w:t xml:space="preserve"> </w:t>
      </w:r>
      <w:r>
        <w:t>GAAP funded status is measured as the difference between the fair value of the plan’s assets and the benefit obligation of the plan. The funded status under the Employee Retirement Income Security Act of 1974 (ERISA), as amended, is calculated on a different basis than under GAAP.</w:t>
      </w:r>
    </w:p>
    <w:p w14:paraId="7AE39D99" w14:textId="77777777" w:rsidR="00AE2255" w:rsidRDefault="00AE2255">
      <w:pPr>
        <w:spacing w:line="249" w:lineRule="auto"/>
        <w:jc w:val="both"/>
        <w:sectPr w:rsidR="00AE2255">
          <w:pgSz w:w="12240" w:h="15840"/>
          <w:pgMar w:top="440" w:right="560" w:bottom="720" w:left="380" w:header="230" w:footer="531" w:gutter="0"/>
          <w:cols w:space="720"/>
        </w:sectPr>
      </w:pPr>
    </w:p>
    <w:p w14:paraId="0921DDE9" w14:textId="77777777" w:rsidR="00AE2255" w:rsidRDefault="00AE2255">
      <w:pPr>
        <w:pStyle w:val="BodyText"/>
        <w:spacing w:before="10"/>
        <w:rPr>
          <w:sz w:val="22"/>
        </w:rPr>
      </w:pPr>
    </w:p>
    <w:p w14:paraId="734AF9B3" w14:textId="77777777" w:rsidR="00AE2255" w:rsidRDefault="00000000">
      <w:pPr>
        <w:pStyle w:val="BodyText"/>
        <w:spacing w:before="92" w:line="249" w:lineRule="auto"/>
        <w:ind w:left="610" w:right="429" w:firstLine="360"/>
        <w:jc w:val="both"/>
      </w:pPr>
      <w:r>
        <w:rPr>
          <w:b/>
        </w:rPr>
        <w:t xml:space="preserve">Postemployment plans </w:t>
      </w:r>
      <w:r>
        <w:t xml:space="preserve">– We record a liability for postemployment benefits, such as severance or job training, typically when payment is probable, the amount is reasonably estimable, and the obligation relates to rights that have vested or </w:t>
      </w:r>
      <w:r>
        <w:rPr>
          <w:spacing w:val="-2"/>
        </w:rPr>
        <w:t>accumulated.</w:t>
      </w:r>
    </w:p>
    <w:p w14:paraId="1E5A41DD" w14:textId="77777777" w:rsidR="00AE2255" w:rsidRDefault="00AE2255">
      <w:pPr>
        <w:pStyle w:val="BodyText"/>
        <w:spacing w:before="7"/>
        <w:rPr>
          <w:sz w:val="17"/>
        </w:rPr>
      </w:pPr>
    </w:p>
    <w:p w14:paraId="079D7C40" w14:textId="77777777" w:rsidR="00AE2255" w:rsidRDefault="00000000">
      <w:pPr>
        <w:pStyle w:val="BodyText"/>
        <w:spacing w:line="249" w:lineRule="auto"/>
        <w:ind w:left="610" w:right="429" w:firstLine="360"/>
        <w:jc w:val="both"/>
      </w:pPr>
      <w:r>
        <w:rPr>
          <w:b/>
        </w:rPr>
        <w:t xml:space="preserve">Environmental matters </w:t>
      </w:r>
      <w:r>
        <w:t>– We record a liability for environmental matters when it is probable that a liability has been incurred and the amount can be reasonably estimated. The amount of liability recorded is based on our estimate of the costs to be incurred for remediation at a particular site. We do not discount the recorded liabilities, as the amount and timing of future cash payments are not fixed or cannot be reliably determined. Our environmental liabilities are recorded on our consolidated balance sheets within other liabilities, both current and noncurrent. We expect to include a substantial portion of environmental costs in our net sales and cost of sales in future periods pursuant to U.S. Government regulation. At the time a liability is recorded for future environmental costs, we record assets for estimated future recovery considered probable through the pricing of products and services to agencies of the U.S. Government, regardless of the contract form (e.g., cost-reimbursable, fixed- price). We</w:t>
      </w:r>
      <w:r>
        <w:rPr>
          <w:spacing w:val="-1"/>
        </w:rPr>
        <w:t xml:space="preserve"> </w:t>
      </w:r>
      <w:r>
        <w:t>continually evaluate</w:t>
      </w:r>
      <w:r>
        <w:rPr>
          <w:spacing w:val="-1"/>
        </w:rPr>
        <w:t xml:space="preserve"> </w:t>
      </w:r>
      <w:r>
        <w:t>the</w:t>
      </w:r>
      <w:r>
        <w:rPr>
          <w:spacing w:val="-1"/>
        </w:rPr>
        <w:t xml:space="preserve"> </w:t>
      </w:r>
      <w:r>
        <w:t>recoverability of our assets</w:t>
      </w:r>
      <w:r>
        <w:rPr>
          <w:spacing w:val="-1"/>
        </w:rPr>
        <w:t xml:space="preserve"> </w:t>
      </w:r>
      <w:r>
        <w:t>for the</w:t>
      </w:r>
      <w:r>
        <w:rPr>
          <w:spacing w:val="-1"/>
        </w:rPr>
        <w:t xml:space="preserve"> </w:t>
      </w:r>
      <w:r>
        <w:t>portion of environmental</w:t>
      </w:r>
      <w:r>
        <w:rPr>
          <w:spacing w:val="-1"/>
        </w:rPr>
        <w:t xml:space="preserve"> </w:t>
      </w:r>
      <w:r>
        <w:t>costs</w:t>
      </w:r>
      <w:r>
        <w:rPr>
          <w:spacing w:val="-1"/>
        </w:rPr>
        <w:t xml:space="preserve"> </w:t>
      </w:r>
      <w:r>
        <w:t>that</w:t>
      </w:r>
      <w:r>
        <w:rPr>
          <w:spacing w:val="-1"/>
        </w:rPr>
        <w:t xml:space="preserve"> </w:t>
      </w:r>
      <w:r>
        <w:t>are</w:t>
      </w:r>
      <w:r>
        <w:rPr>
          <w:spacing w:val="-1"/>
        </w:rPr>
        <w:t xml:space="preserve"> </w:t>
      </w:r>
      <w:r>
        <w:t>probable</w:t>
      </w:r>
      <w:r>
        <w:rPr>
          <w:spacing w:val="-1"/>
        </w:rPr>
        <w:t xml:space="preserve"> </w:t>
      </w:r>
      <w:r>
        <w:t>of future recovery by assessing, among other factors, U.S. Government regulations, our U.S. Government business base and contract</w:t>
      </w:r>
      <w:r>
        <w:rPr>
          <w:spacing w:val="40"/>
        </w:rPr>
        <w:t xml:space="preserve"> </w:t>
      </w:r>
      <w:r>
        <w:t xml:space="preserve">mix, our history of receiving reimbursement of such costs, and efforts by some U.S. Government representatives to limit such reimbursement. We include the portions of those environmental costs expected to be allocated to our non-U.S. Government </w:t>
      </w:r>
      <w:proofErr w:type="gramStart"/>
      <w:r>
        <w:t>contracts, or</w:t>
      </w:r>
      <w:proofErr w:type="gramEnd"/>
      <w:r>
        <w:t xml:space="preserve"> determined not to be recoverable under U.S. Government contracts, in our cost of sales at the time the liability is established or adjusted. Our assets for the portion of environmental costs that are probable of future recovery are recorded on our consolidated balance sheets within other assets, both current and noncurrent. We project costs and recovery of costs over approximately 20 years.</w:t>
      </w:r>
    </w:p>
    <w:p w14:paraId="3FB4693C" w14:textId="77777777" w:rsidR="00AE2255" w:rsidRDefault="00AE2255">
      <w:pPr>
        <w:pStyle w:val="BodyText"/>
        <w:spacing w:before="6"/>
        <w:rPr>
          <w:sz w:val="18"/>
        </w:rPr>
      </w:pPr>
    </w:p>
    <w:p w14:paraId="0735EF4D" w14:textId="77777777" w:rsidR="00AE2255" w:rsidRDefault="00000000">
      <w:pPr>
        <w:pStyle w:val="BodyText"/>
        <w:ind w:left="610" w:right="428" w:firstLine="360"/>
        <w:jc w:val="both"/>
      </w:pPr>
      <w:r>
        <w:rPr>
          <w:b/>
        </w:rPr>
        <w:t xml:space="preserve">Derivative financial instruments </w:t>
      </w:r>
      <w:r>
        <w:t>– Derivatives are recorded at their fair value and included in other current and noncurrent assets and liabilities on our consolidated balance sheets. The classification of gains and losses resulting from</w:t>
      </w:r>
      <w:r>
        <w:rPr>
          <w:spacing w:val="40"/>
        </w:rPr>
        <w:t xml:space="preserve"> </w:t>
      </w:r>
      <w:r>
        <w:t>changes in the fair values of derivatives is dependent on our intended use of the derivative and its resulting designation. Adjustments to reflect changes in fair values of derivatives attributable to highly effective hedges are either reflected in</w:t>
      </w:r>
      <w:r>
        <w:rPr>
          <w:spacing w:val="40"/>
        </w:rPr>
        <w:t xml:space="preserve"> </w:t>
      </w:r>
      <w:r>
        <w:t>earnings and largely offset by corresponding adjustments to the hedged items or reflected net of income taxes in accumulated other comprehensive</w:t>
      </w:r>
      <w:r>
        <w:rPr>
          <w:spacing w:val="-1"/>
        </w:rPr>
        <w:t xml:space="preserve"> </w:t>
      </w:r>
      <w:r>
        <w:t>loss</w:t>
      </w:r>
      <w:r>
        <w:rPr>
          <w:spacing w:val="-1"/>
        </w:rPr>
        <w:t xml:space="preserve"> </w:t>
      </w:r>
      <w:r>
        <w:t>until</w:t>
      </w:r>
      <w:r>
        <w:rPr>
          <w:spacing w:val="-1"/>
        </w:rPr>
        <w:t xml:space="preserve"> </w:t>
      </w:r>
      <w:r>
        <w:t>the</w:t>
      </w:r>
      <w:r>
        <w:rPr>
          <w:spacing w:val="-1"/>
        </w:rPr>
        <w:t xml:space="preserve"> </w:t>
      </w:r>
      <w:r>
        <w:t>hedged transaction is</w:t>
      </w:r>
      <w:r>
        <w:rPr>
          <w:spacing w:val="-1"/>
        </w:rPr>
        <w:t xml:space="preserve"> </w:t>
      </w:r>
      <w:r>
        <w:t>recognized in earnings. Changes</w:t>
      </w:r>
      <w:r>
        <w:rPr>
          <w:spacing w:val="-1"/>
        </w:rPr>
        <w:t xml:space="preserve"> </w:t>
      </w:r>
      <w:r>
        <w:t>in the</w:t>
      </w:r>
      <w:r>
        <w:rPr>
          <w:spacing w:val="-1"/>
        </w:rPr>
        <w:t xml:space="preserve"> </w:t>
      </w:r>
      <w:r>
        <w:t>fair value</w:t>
      </w:r>
      <w:r>
        <w:rPr>
          <w:spacing w:val="-1"/>
        </w:rPr>
        <w:t xml:space="preserve"> </w:t>
      </w:r>
      <w:r>
        <w:t>of the</w:t>
      </w:r>
      <w:r>
        <w:rPr>
          <w:spacing w:val="-1"/>
        </w:rPr>
        <w:t xml:space="preserve"> </w:t>
      </w:r>
      <w:r>
        <w:t>derivatives</w:t>
      </w:r>
      <w:r>
        <w:rPr>
          <w:spacing w:val="-1"/>
        </w:rPr>
        <w:t xml:space="preserve"> </w:t>
      </w:r>
      <w:r>
        <w:t>that are not highly effective, if any, are immediately recognized in earnings.</w:t>
      </w:r>
    </w:p>
    <w:p w14:paraId="3B2A21E8" w14:textId="77777777" w:rsidR="00AE2255" w:rsidRDefault="00AE2255">
      <w:pPr>
        <w:pStyle w:val="BodyText"/>
        <w:rPr>
          <w:sz w:val="22"/>
        </w:rPr>
      </w:pPr>
    </w:p>
    <w:p w14:paraId="5A639F51" w14:textId="77777777" w:rsidR="00AE2255" w:rsidRDefault="00000000">
      <w:pPr>
        <w:pStyle w:val="Heading2"/>
        <w:spacing w:before="184"/>
      </w:pPr>
      <w:bookmarkStart w:id="49" w:name="Note_2_–_Earnings_Per_Share"/>
      <w:bookmarkEnd w:id="49"/>
      <w:r>
        <w:t>Note</w:t>
      </w:r>
      <w:r>
        <w:rPr>
          <w:spacing w:val="-3"/>
        </w:rPr>
        <w:t xml:space="preserve"> </w:t>
      </w:r>
      <w:r>
        <w:t>2</w:t>
      </w:r>
      <w:r>
        <w:rPr>
          <w:spacing w:val="-2"/>
        </w:rPr>
        <w:t xml:space="preserve"> </w:t>
      </w:r>
      <w:r>
        <w:t>–</w:t>
      </w:r>
      <w:r>
        <w:rPr>
          <w:spacing w:val="-1"/>
        </w:rPr>
        <w:t xml:space="preserve"> </w:t>
      </w:r>
      <w:r>
        <w:t>Earnings</w:t>
      </w:r>
      <w:r>
        <w:rPr>
          <w:spacing w:val="-3"/>
        </w:rPr>
        <w:t xml:space="preserve"> </w:t>
      </w:r>
      <w:r>
        <w:t>Per</w:t>
      </w:r>
      <w:r>
        <w:rPr>
          <w:spacing w:val="-2"/>
        </w:rPr>
        <w:t xml:space="preserve"> </w:t>
      </w:r>
      <w:r>
        <w:rPr>
          <w:spacing w:val="-4"/>
        </w:rPr>
        <w:t>Share</w:t>
      </w:r>
    </w:p>
    <w:p w14:paraId="3AE3BEB1" w14:textId="77777777" w:rsidR="00AE2255" w:rsidRDefault="00AE2255">
      <w:pPr>
        <w:pStyle w:val="BodyText"/>
        <w:spacing w:before="6"/>
        <w:rPr>
          <w:b/>
          <w:sz w:val="18"/>
        </w:rPr>
      </w:pPr>
    </w:p>
    <w:p w14:paraId="4E176517" w14:textId="77777777" w:rsidR="00AE2255" w:rsidRDefault="00000000">
      <w:pPr>
        <w:pStyle w:val="BodyText"/>
        <w:spacing w:line="249" w:lineRule="auto"/>
        <w:ind w:left="610" w:right="1086" w:firstLine="360"/>
      </w:pPr>
      <w:r>
        <w:t>The</w:t>
      </w:r>
      <w:r>
        <w:rPr>
          <w:spacing w:val="-4"/>
        </w:rPr>
        <w:t xml:space="preserve"> </w:t>
      </w:r>
      <w:r>
        <w:t>weighted</w:t>
      </w:r>
      <w:r>
        <w:rPr>
          <w:spacing w:val="-3"/>
        </w:rPr>
        <w:t xml:space="preserve"> </w:t>
      </w:r>
      <w:r>
        <w:t>average</w:t>
      </w:r>
      <w:r>
        <w:rPr>
          <w:spacing w:val="-4"/>
        </w:rPr>
        <w:t xml:space="preserve"> </w:t>
      </w:r>
      <w:r>
        <w:t>number</w:t>
      </w:r>
      <w:r>
        <w:rPr>
          <w:spacing w:val="-3"/>
        </w:rPr>
        <w:t xml:space="preserve"> </w:t>
      </w:r>
      <w:r>
        <w:t>of</w:t>
      </w:r>
      <w:r>
        <w:rPr>
          <w:spacing w:val="-3"/>
        </w:rPr>
        <w:t xml:space="preserve"> </w:t>
      </w:r>
      <w:r>
        <w:t>shares</w:t>
      </w:r>
      <w:r>
        <w:rPr>
          <w:spacing w:val="-4"/>
        </w:rPr>
        <w:t xml:space="preserve"> </w:t>
      </w:r>
      <w:r>
        <w:t>outstanding</w:t>
      </w:r>
      <w:r>
        <w:rPr>
          <w:spacing w:val="-3"/>
        </w:rPr>
        <w:t xml:space="preserve"> </w:t>
      </w:r>
      <w:r>
        <w:t>used</w:t>
      </w:r>
      <w:r>
        <w:rPr>
          <w:spacing w:val="-3"/>
        </w:rPr>
        <w:t xml:space="preserve"> </w:t>
      </w:r>
      <w:r>
        <w:t>to</w:t>
      </w:r>
      <w:r>
        <w:rPr>
          <w:spacing w:val="-3"/>
        </w:rPr>
        <w:t xml:space="preserve"> </w:t>
      </w:r>
      <w:r>
        <w:t>compute</w:t>
      </w:r>
      <w:r>
        <w:rPr>
          <w:spacing w:val="-4"/>
        </w:rPr>
        <w:t xml:space="preserve"> </w:t>
      </w:r>
      <w:r>
        <w:t>earnings</w:t>
      </w:r>
      <w:r>
        <w:rPr>
          <w:spacing w:val="-4"/>
        </w:rPr>
        <w:t xml:space="preserve"> </w:t>
      </w:r>
      <w:r>
        <w:t>per</w:t>
      </w:r>
      <w:r>
        <w:rPr>
          <w:spacing w:val="-3"/>
        </w:rPr>
        <w:t xml:space="preserve"> </w:t>
      </w:r>
      <w:r>
        <w:t>common</w:t>
      </w:r>
      <w:r>
        <w:rPr>
          <w:spacing w:val="-3"/>
        </w:rPr>
        <w:t xml:space="preserve"> </w:t>
      </w:r>
      <w:r>
        <w:t>share</w:t>
      </w:r>
      <w:r>
        <w:rPr>
          <w:spacing w:val="-4"/>
        </w:rPr>
        <w:t xml:space="preserve"> </w:t>
      </w:r>
      <w:r>
        <w:t>were</w:t>
      </w:r>
      <w:r>
        <w:rPr>
          <w:spacing w:val="-4"/>
        </w:rPr>
        <w:t xml:space="preserve"> </w:t>
      </w:r>
      <w:r>
        <w:t>as</w:t>
      </w:r>
      <w:r>
        <w:rPr>
          <w:spacing w:val="-4"/>
        </w:rPr>
        <w:t xml:space="preserve"> </w:t>
      </w:r>
      <w:r>
        <w:t>follows (in millions):</w:t>
      </w:r>
    </w:p>
    <w:p w14:paraId="728E068F" w14:textId="77777777" w:rsidR="00AE2255" w:rsidRDefault="00AE2255">
      <w:pPr>
        <w:pStyle w:val="BodyText"/>
        <w:spacing w:before="3"/>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6787"/>
        <w:gridCol w:w="1718"/>
        <w:gridCol w:w="975"/>
        <w:gridCol w:w="780"/>
      </w:tblGrid>
      <w:tr w:rsidR="00AE2255" w14:paraId="57F70FCD" w14:textId="77777777">
        <w:trPr>
          <w:trHeight w:val="241"/>
        </w:trPr>
        <w:tc>
          <w:tcPr>
            <w:tcW w:w="6787" w:type="dxa"/>
            <w:tcBorders>
              <w:bottom w:val="single" w:sz="8" w:space="0" w:color="000000"/>
            </w:tcBorders>
          </w:tcPr>
          <w:p w14:paraId="4D9E88AB" w14:textId="77777777" w:rsidR="00AE2255" w:rsidRDefault="00AE2255">
            <w:pPr>
              <w:pStyle w:val="TableParagraph"/>
              <w:spacing w:before="0"/>
              <w:jc w:val="left"/>
              <w:rPr>
                <w:sz w:val="16"/>
              </w:rPr>
            </w:pPr>
          </w:p>
        </w:tc>
        <w:tc>
          <w:tcPr>
            <w:tcW w:w="1718" w:type="dxa"/>
            <w:tcBorders>
              <w:bottom w:val="single" w:sz="8" w:space="0" w:color="000000"/>
            </w:tcBorders>
          </w:tcPr>
          <w:p w14:paraId="55EDF78A" w14:textId="77777777" w:rsidR="00AE2255" w:rsidRDefault="00000000">
            <w:pPr>
              <w:pStyle w:val="TableParagraph"/>
              <w:spacing w:before="0" w:line="221" w:lineRule="exact"/>
              <w:ind w:right="245"/>
              <w:rPr>
                <w:b/>
                <w:sz w:val="20"/>
              </w:rPr>
            </w:pPr>
            <w:r>
              <w:rPr>
                <w:b/>
                <w:spacing w:val="-4"/>
                <w:sz w:val="20"/>
              </w:rPr>
              <w:t>2022</w:t>
            </w:r>
          </w:p>
        </w:tc>
        <w:tc>
          <w:tcPr>
            <w:tcW w:w="975" w:type="dxa"/>
            <w:tcBorders>
              <w:bottom w:val="single" w:sz="8" w:space="0" w:color="000000"/>
            </w:tcBorders>
          </w:tcPr>
          <w:p w14:paraId="253E46CC" w14:textId="77777777" w:rsidR="00AE2255" w:rsidRDefault="00000000">
            <w:pPr>
              <w:pStyle w:val="TableParagraph"/>
              <w:spacing w:before="0" w:line="221" w:lineRule="exact"/>
              <w:ind w:right="245"/>
              <w:rPr>
                <w:b/>
                <w:sz w:val="20"/>
              </w:rPr>
            </w:pPr>
            <w:r>
              <w:rPr>
                <w:b/>
                <w:spacing w:val="-4"/>
                <w:sz w:val="20"/>
              </w:rPr>
              <w:t>2021</w:t>
            </w:r>
          </w:p>
        </w:tc>
        <w:tc>
          <w:tcPr>
            <w:tcW w:w="780" w:type="dxa"/>
            <w:tcBorders>
              <w:bottom w:val="single" w:sz="8" w:space="0" w:color="000000"/>
            </w:tcBorders>
          </w:tcPr>
          <w:p w14:paraId="612EB588" w14:textId="77777777" w:rsidR="00AE2255" w:rsidRDefault="00000000">
            <w:pPr>
              <w:pStyle w:val="TableParagraph"/>
              <w:spacing w:before="0" w:line="221" w:lineRule="exact"/>
              <w:ind w:right="50"/>
              <w:rPr>
                <w:b/>
                <w:sz w:val="20"/>
              </w:rPr>
            </w:pPr>
            <w:r>
              <w:rPr>
                <w:b/>
                <w:spacing w:val="-4"/>
                <w:sz w:val="20"/>
              </w:rPr>
              <w:t>2020</w:t>
            </w:r>
          </w:p>
        </w:tc>
      </w:tr>
      <w:tr w:rsidR="00AE2255" w14:paraId="7055F5E8" w14:textId="77777777">
        <w:trPr>
          <w:trHeight w:val="275"/>
        </w:trPr>
        <w:tc>
          <w:tcPr>
            <w:tcW w:w="6787" w:type="dxa"/>
            <w:tcBorders>
              <w:top w:val="single" w:sz="8" w:space="0" w:color="000000"/>
            </w:tcBorders>
            <w:shd w:val="clear" w:color="auto" w:fill="CCEDFF"/>
          </w:tcPr>
          <w:p w14:paraId="3C260CCE" w14:textId="77777777" w:rsidR="00AE2255" w:rsidRDefault="00000000">
            <w:pPr>
              <w:pStyle w:val="TableParagraph"/>
              <w:spacing w:before="17"/>
              <w:ind w:left="52"/>
              <w:jc w:val="left"/>
              <w:rPr>
                <w:sz w:val="20"/>
              </w:rPr>
            </w:pPr>
            <w:r>
              <w:rPr>
                <w:sz w:val="20"/>
              </w:rPr>
              <w:t>Weighted</w:t>
            </w:r>
            <w:r>
              <w:rPr>
                <w:spacing w:val="-6"/>
                <w:sz w:val="20"/>
              </w:rPr>
              <w:t xml:space="preserve"> </w:t>
            </w:r>
            <w:r>
              <w:rPr>
                <w:sz w:val="20"/>
              </w:rPr>
              <w:t>average</w:t>
            </w:r>
            <w:r>
              <w:rPr>
                <w:spacing w:val="-4"/>
                <w:sz w:val="20"/>
              </w:rPr>
              <w:t xml:space="preserve"> </w:t>
            </w:r>
            <w:r>
              <w:rPr>
                <w:sz w:val="20"/>
              </w:rPr>
              <w:t>common</w:t>
            </w:r>
            <w:r>
              <w:rPr>
                <w:spacing w:val="-3"/>
                <w:sz w:val="20"/>
              </w:rPr>
              <w:t xml:space="preserve"> </w:t>
            </w:r>
            <w:r>
              <w:rPr>
                <w:sz w:val="20"/>
              </w:rPr>
              <w:t>shares</w:t>
            </w:r>
            <w:r>
              <w:rPr>
                <w:spacing w:val="-4"/>
                <w:sz w:val="20"/>
              </w:rPr>
              <w:t xml:space="preserve"> </w:t>
            </w:r>
            <w:r>
              <w:rPr>
                <w:sz w:val="20"/>
              </w:rPr>
              <w:t>outstanding</w:t>
            </w:r>
            <w:r>
              <w:rPr>
                <w:spacing w:val="-3"/>
                <w:sz w:val="20"/>
              </w:rPr>
              <w:t xml:space="preserve"> </w:t>
            </w:r>
            <w:r>
              <w:rPr>
                <w:sz w:val="20"/>
              </w:rPr>
              <w:t>for</w:t>
            </w:r>
            <w:r>
              <w:rPr>
                <w:spacing w:val="-3"/>
                <w:sz w:val="20"/>
              </w:rPr>
              <w:t xml:space="preserve"> </w:t>
            </w:r>
            <w:r>
              <w:rPr>
                <w:sz w:val="20"/>
              </w:rPr>
              <w:t>basic</w:t>
            </w:r>
            <w:r>
              <w:rPr>
                <w:spacing w:val="-4"/>
                <w:sz w:val="20"/>
              </w:rPr>
              <w:t xml:space="preserve"> </w:t>
            </w:r>
            <w:r>
              <w:rPr>
                <w:spacing w:val="-2"/>
                <w:sz w:val="20"/>
              </w:rPr>
              <w:t>computations</w:t>
            </w:r>
          </w:p>
        </w:tc>
        <w:tc>
          <w:tcPr>
            <w:tcW w:w="1718" w:type="dxa"/>
            <w:tcBorders>
              <w:top w:val="single" w:sz="8" w:space="0" w:color="000000"/>
            </w:tcBorders>
            <w:shd w:val="clear" w:color="auto" w:fill="CCEDFF"/>
          </w:tcPr>
          <w:p w14:paraId="1AC612CE" w14:textId="77777777" w:rsidR="00AE2255" w:rsidRDefault="00000000">
            <w:pPr>
              <w:pStyle w:val="TableParagraph"/>
              <w:spacing w:before="15"/>
              <w:ind w:right="274"/>
              <w:rPr>
                <w:b/>
                <w:sz w:val="20"/>
              </w:rPr>
            </w:pPr>
            <w:r>
              <w:rPr>
                <w:b/>
                <w:spacing w:val="-2"/>
                <w:sz w:val="20"/>
              </w:rPr>
              <w:t>263.7</w:t>
            </w:r>
          </w:p>
        </w:tc>
        <w:tc>
          <w:tcPr>
            <w:tcW w:w="975" w:type="dxa"/>
            <w:tcBorders>
              <w:top w:val="single" w:sz="8" w:space="0" w:color="000000"/>
            </w:tcBorders>
            <w:shd w:val="clear" w:color="auto" w:fill="CCEDFF"/>
          </w:tcPr>
          <w:p w14:paraId="3BCC25C1" w14:textId="77777777" w:rsidR="00AE2255" w:rsidRDefault="00000000">
            <w:pPr>
              <w:pStyle w:val="TableParagraph"/>
              <w:spacing w:before="15"/>
              <w:ind w:right="274"/>
              <w:rPr>
                <w:sz w:val="20"/>
              </w:rPr>
            </w:pPr>
            <w:r>
              <w:rPr>
                <w:spacing w:val="-2"/>
                <w:sz w:val="20"/>
              </w:rPr>
              <w:t>276.4</w:t>
            </w:r>
          </w:p>
        </w:tc>
        <w:tc>
          <w:tcPr>
            <w:tcW w:w="780" w:type="dxa"/>
            <w:tcBorders>
              <w:top w:val="single" w:sz="8" w:space="0" w:color="000000"/>
            </w:tcBorders>
            <w:shd w:val="clear" w:color="auto" w:fill="CCEDFF"/>
          </w:tcPr>
          <w:p w14:paraId="21D12A71" w14:textId="77777777" w:rsidR="00AE2255" w:rsidRDefault="00000000">
            <w:pPr>
              <w:pStyle w:val="TableParagraph"/>
              <w:spacing w:before="15"/>
              <w:ind w:right="79"/>
              <w:rPr>
                <w:sz w:val="20"/>
              </w:rPr>
            </w:pPr>
            <w:r>
              <w:rPr>
                <w:spacing w:val="-2"/>
                <w:sz w:val="20"/>
              </w:rPr>
              <w:t>280.0</w:t>
            </w:r>
          </w:p>
        </w:tc>
      </w:tr>
      <w:tr w:rsidR="00AE2255" w14:paraId="2EBAECB0" w14:textId="77777777">
        <w:trPr>
          <w:trHeight w:val="275"/>
        </w:trPr>
        <w:tc>
          <w:tcPr>
            <w:tcW w:w="6787" w:type="dxa"/>
            <w:tcBorders>
              <w:bottom w:val="single" w:sz="8" w:space="0" w:color="000000"/>
            </w:tcBorders>
          </w:tcPr>
          <w:p w14:paraId="2CC7C2B6" w14:textId="77777777" w:rsidR="00AE2255" w:rsidRDefault="00000000">
            <w:pPr>
              <w:pStyle w:val="TableParagraph"/>
              <w:spacing w:before="27" w:line="228" w:lineRule="exact"/>
              <w:ind w:left="52"/>
              <w:jc w:val="left"/>
              <w:rPr>
                <w:sz w:val="20"/>
              </w:rPr>
            </w:pPr>
            <w:r>
              <w:rPr>
                <w:sz w:val="20"/>
              </w:rPr>
              <w:t>Weighted</w:t>
            </w:r>
            <w:r>
              <w:rPr>
                <w:spacing w:val="-4"/>
                <w:sz w:val="20"/>
              </w:rPr>
              <w:t xml:space="preserve"> </w:t>
            </w:r>
            <w:r>
              <w:rPr>
                <w:sz w:val="20"/>
              </w:rPr>
              <w:t>average</w:t>
            </w:r>
            <w:r>
              <w:rPr>
                <w:spacing w:val="-3"/>
                <w:sz w:val="20"/>
              </w:rPr>
              <w:t xml:space="preserve"> </w:t>
            </w:r>
            <w:r>
              <w:rPr>
                <w:sz w:val="20"/>
              </w:rPr>
              <w:t>dilutive</w:t>
            </w:r>
            <w:r>
              <w:rPr>
                <w:spacing w:val="-4"/>
                <w:sz w:val="20"/>
              </w:rPr>
              <w:t xml:space="preserve"> </w:t>
            </w:r>
            <w:r>
              <w:rPr>
                <w:sz w:val="20"/>
              </w:rPr>
              <w:t>effect</w:t>
            </w:r>
            <w:r>
              <w:rPr>
                <w:spacing w:val="-4"/>
                <w:sz w:val="20"/>
              </w:rPr>
              <w:t xml:space="preserve"> </w:t>
            </w:r>
            <w:r>
              <w:rPr>
                <w:sz w:val="20"/>
              </w:rPr>
              <w:t>of</w:t>
            </w:r>
            <w:r>
              <w:rPr>
                <w:spacing w:val="-3"/>
                <w:sz w:val="20"/>
              </w:rPr>
              <w:t xml:space="preserve"> </w:t>
            </w:r>
            <w:r>
              <w:rPr>
                <w:sz w:val="20"/>
              </w:rPr>
              <w:t>equity</w:t>
            </w:r>
            <w:r>
              <w:rPr>
                <w:spacing w:val="-3"/>
                <w:sz w:val="20"/>
              </w:rPr>
              <w:t xml:space="preserve"> </w:t>
            </w:r>
            <w:r>
              <w:rPr>
                <w:spacing w:val="-2"/>
                <w:sz w:val="20"/>
              </w:rPr>
              <w:t>awards</w:t>
            </w:r>
          </w:p>
        </w:tc>
        <w:tc>
          <w:tcPr>
            <w:tcW w:w="1718" w:type="dxa"/>
            <w:tcBorders>
              <w:bottom w:val="single" w:sz="8" w:space="0" w:color="000000"/>
            </w:tcBorders>
          </w:tcPr>
          <w:p w14:paraId="06859CA8" w14:textId="77777777" w:rsidR="00AE2255" w:rsidRDefault="00000000">
            <w:pPr>
              <w:pStyle w:val="TableParagraph"/>
              <w:spacing w:line="230" w:lineRule="exact"/>
              <w:ind w:right="274"/>
              <w:rPr>
                <w:b/>
                <w:sz w:val="20"/>
              </w:rPr>
            </w:pPr>
            <w:r>
              <w:rPr>
                <w:b/>
                <w:spacing w:val="-5"/>
                <w:sz w:val="20"/>
              </w:rPr>
              <w:t>0.9</w:t>
            </w:r>
          </w:p>
        </w:tc>
        <w:tc>
          <w:tcPr>
            <w:tcW w:w="975" w:type="dxa"/>
            <w:tcBorders>
              <w:bottom w:val="single" w:sz="8" w:space="0" w:color="000000"/>
            </w:tcBorders>
          </w:tcPr>
          <w:p w14:paraId="4ED79905" w14:textId="77777777" w:rsidR="00AE2255" w:rsidRDefault="00000000">
            <w:pPr>
              <w:pStyle w:val="TableParagraph"/>
              <w:spacing w:line="230" w:lineRule="exact"/>
              <w:ind w:right="274"/>
              <w:rPr>
                <w:sz w:val="20"/>
              </w:rPr>
            </w:pPr>
            <w:r>
              <w:rPr>
                <w:spacing w:val="-5"/>
                <w:sz w:val="20"/>
              </w:rPr>
              <w:t>1.0</w:t>
            </w:r>
          </w:p>
        </w:tc>
        <w:tc>
          <w:tcPr>
            <w:tcW w:w="780" w:type="dxa"/>
            <w:tcBorders>
              <w:bottom w:val="single" w:sz="8" w:space="0" w:color="000000"/>
            </w:tcBorders>
          </w:tcPr>
          <w:p w14:paraId="4016334D" w14:textId="77777777" w:rsidR="00AE2255" w:rsidRDefault="00000000">
            <w:pPr>
              <w:pStyle w:val="TableParagraph"/>
              <w:spacing w:line="230" w:lineRule="exact"/>
              <w:ind w:right="79"/>
              <w:rPr>
                <w:sz w:val="20"/>
              </w:rPr>
            </w:pPr>
            <w:r>
              <w:rPr>
                <w:spacing w:val="-5"/>
                <w:sz w:val="20"/>
              </w:rPr>
              <w:t>1.2</w:t>
            </w:r>
          </w:p>
        </w:tc>
      </w:tr>
      <w:tr w:rsidR="00AE2255" w14:paraId="6034A03A" w14:textId="77777777">
        <w:trPr>
          <w:trHeight w:val="252"/>
        </w:trPr>
        <w:tc>
          <w:tcPr>
            <w:tcW w:w="6787" w:type="dxa"/>
            <w:tcBorders>
              <w:top w:val="single" w:sz="8" w:space="0" w:color="000000"/>
              <w:bottom w:val="single" w:sz="18" w:space="0" w:color="000000"/>
            </w:tcBorders>
            <w:shd w:val="clear" w:color="auto" w:fill="CCEDFF"/>
          </w:tcPr>
          <w:p w14:paraId="5416DC00" w14:textId="77777777" w:rsidR="00AE2255" w:rsidRDefault="00000000">
            <w:pPr>
              <w:pStyle w:val="TableParagraph"/>
              <w:spacing w:before="17" w:line="216" w:lineRule="exact"/>
              <w:ind w:left="52"/>
              <w:jc w:val="left"/>
              <w:rPr>
                <w:sz w:val="20"/>
              </w:rPr>
            </w:pPr>
            <w:r>
              <w:rPr>
                <w:sz w:val="20"/>
              </w:rPr>
              <w:t>Weighted</w:t>
            </w:r>
            <w:r>
              <w:rPr>
                <w:spacing w:val="-4"/>
                <w:sz w:val="20"/>
              </w:rPr>
              <w:t xml:space="preserve"> </w:t>
            </w:r>
            <w:r>
              <w:rPr>
                <w:sz w:val="20"/>
              </w:rPr>
              <w:t>average</w:t>
            </w:r>
            <w:r>
              <w:rPr>
                <w:spacing w:val="-4"/>
                <w:sz w:val="20"/>
              </w:rPr>
              <w:t xml:space="preserve"> </w:t>
            </w:r>
            <w:r>
              <w:rPr>
                <w:sz w:val="20"/>
              </w:rPr>
              <w:t>common</w:t>
            </w:r>
            <w:r>
              <w:rPr>
                <w:spacing w:val="-3"/>
                <w:sz w:val="20"/>
              </w:rPr>
              <w:t xml:space="preserve"> </w:t>
            </w:r>
            <w:r>
              <w:rPr>
                <w:sz w:val="20"/>
              </w:rPr>
              <w:t>shares</w:t>
            </w:r>
            <w:r>
              <w:rPr>
                <w:spacing w:val="-5"/>
                <w:sz w:val="20"/>
              </w:rPr>
              <w:t xml:space="preserve"> </w:t>
            </w:r>
            <w:r>
              <w:rPr>
                <w:sz w:val="20"/>
              </w:rPr>
              <w:t>outstanding</w:t>
            </w:r>
            <w:r>
              <w:rPr>
                <w:spacing w:val="-3"/>
                <w:sz w:val="20"/>
              </w:rPr>
              <w:t xml:space="preserve"> </w:t>
            </w:r>
            <w:r>
              <w:rPr>
                <w:sz w:val="20"/>
              </w:rPr>
              <w:t>for</w:t>
            </w:r>
            <w:r>
              <w:rPr>
                <w:spacing w:val="-3"/>
                <w:sz w:val="20"/>
              </w:rPr>
              <w:t xml:space="preserve"> </w:t>
            </w:r>
            <w:r>
              <w:rPr>
                <w:sz w:val="20"/>
              </w:rPr>
              <w:t>diluted</w:t>
            </w:r>
            <w:r>
              <w:rPr>
                <w:spacing w:val="-3"/>
                <w:sz w:val="20"/>
              </w:rPr>
              <w:t xml:space="preserve"> </w:t>
            </w:r>
            <w:r>
              <w:rPr>
                <w:spacing w:val="-2"/>
                <w:sz w:val="20"/>
              </w:rPr>
              <w:t>computations</w:t>
            </w:r>
          </w:p>
        </w:tc>
        <w:tc>
          <w:tcPr>
            <w:tcW w:w="1718" w:type="dxa"/>
            <w:tcBorders>
              <w:top w:val="single" w:sz="8" w:space="0" w:color="000000"/>
              <w:bottom w:val="single" w:sz="18" w:space="0" w:color="000000"/>
            </w:tcBorders>
            <w:shd w:val="clear" w:color="auto" w:fill="CCEDFF"/>
          </w:tcPr>
          <w:p w14:paraId="0C02D175" w14:textId="77777777" w:rsidR="00AE2255" w:rsidRDefault="00000000">
            <w:pPr>
              <w:pStyle w:val="TableParagraph"/>
              <w:spacing w:before="15" w:line="217" w:lineRule="exact"/>
              <w:ind w:right="274"/>
              <w:rPr>
                <w:b/>
                <w:sz w:val="20"/>
              </w:rPr>
            </w:pPr>
            <w:r>
              <w:rPr>
                <w:b/>
                <w:spacing w:val="-2"/>
                <w:sz w:val="20"/>
              </w:rPr>
              <w:t>264.6</w:t>
            </w:r>
          </w:p>
        </w:tc>
        <w:tc>
          <w:tcPr>
            <w:tcW w:w="975" w:type="dxa"/>
            <w:tcBorders>
              <w:top w:val="single" w:sz="8" w:space="0" w:color="000000"/>
              <w:bottom w:val="single" w:sz="18" w:space="0" w:color="000000"/>
            </w:tcBorders>
            <w:shd w:val="clear" w:color="auto" w:fill="CCEDFF"/>
          </w:tcPr>
          <w:p w14:paraId="632A26BB" w14:textId="77777777" w:rsidR="00AE2255" w:rsidRDefault="00000000">
            <w:pPr>
              <w:pStyle w:val="TableParagraph"/>
              <w:spacing w:before="15" w:line="217" w:lineRule="exact"/>
              <w:ind w:right="274"/>
              <w:rPr>
                <w:sz w:val="20"/>
              </w:rPr>
            </w:pPr>
            <w:r>
              <w:rPr>
                <w:spacing w:val="-2"/>
                <w:sz w:val="20"/>
              </w:rPr>
              <w:t>277.4</w:t>
            </w:r>
          </w:p>
        </w:tc>
        <w:tc>
          <w:tcPr>
            <w:tcW w:w="780" w:type="dxa"/>
            <w:tcBorders>
              <w:top w:val="single" w:sz="8" w:space="0" w:color="000000"/>
              <w:bottom w:val="single" w:sz="18" w:space="0" w:color="000000"/>
            </w:tcBorders>
            <w:shd w:val="clear" w:color="auto" w:fill="CCEDFF"/>
          </w:tcPr>
          <w:p w14:paraId="631CBABC" w14:textId="77777777" w:rsidR="00AE2255" w:rsidRDefault="00000000">
            <w:pPr>
              <w:pStyle w:val="TableParagraph"/>
              <w:spacing w:before="15" w:line="217" w:lineRule="exact"/>
              <w:ind w:right="79"/>
              <w:rPr>
                <w:sz w:val="20"/>
              </w:rPr>
            </w:pPr>
            <w:r>
              <w:rPr>
                <w:spacing w:val="-2"/>
                <w:sz w:val="20"/>
              </w:rPr>
              <w:t>281.2</w:t>
            </w:r>
          </w:p>
        </w:tc>
      </w:tr>
    </w:tbl>
    <w:p w14:paraId="5DF3BA6B" w14:textId="77777777" w:rsidR="00AE2255" w:rsidRDefault="00AE2255">
      <w:pPr>
        <w:pStyle w:val="BodyText"/>
      </w:pPr>
    </w:p>
    <w:p w14:paraId="6A43838B" w14:textId="77777777" w:rsidR="00AE2255" w:rsidRDefault="00000000">
      <w:pPr>
        <w:pStyle w:val="BodyText"/>
        <w:spacing w:line="249" w:lineRule="auto"/>
        <w:ind w:left="610" w:right="428" w:firstLine="360"/>
        <w:jc w:val="both"/>
      </w:pPr>
      <w:r>
        <w:t>We compute basic and diluted earnings per common share by dividing net earnings by the respective weighted average number of common shares outstanding for the periods presented. Our calculation of diluted earnings per common share also includes the dilutive effects for the assumed vesting of outstanding restricted stock units (RSUs) and performance stock units (PSUs) based on the treasury stock method. There were no significant anti-dilutive equity awards for the years ended</w:t>
      </w:r>
      <w:r>
        <w:rPr>
          <w:spacing w:val="80"/>
        </w:rPr>
        <w:t xml:space="preserve"> </w:t>
      </w:r>
      <w:r>
        <w:t>December 31, 2022, 2021 and 2020. Basic and diluted weighted average common shares outstanding decreased in 2022 compared to 2021 due to share repurchases.</w:t>
      </w:r>
    </w:p>
    <w:p w14:paraId="3B1A622F" w14:textId="77777777" w:rsidR="00AE2255" w:rsidRDefault="00AE2255">
      <w:pPr>
        <w:pStyle w:val="BodyText"/>
        <w:rPr>
          <w:sz w:val="28"/>
        </w:rPr>
      </w:pPr>
    </w:p>
    <w:p w14:paraId="7E35741F" w14:textId="77777777" w:rsidR="00AE2255" w:rsidRDefault="00000000">
      <w:pPr>
        <w:pStyle w:val="Heading2"/>
        <w:spacing w:line="458" w:lineRule="auto"/>
        <w:ind w:right="6243"/>
      </w:pPr>
      <w:bookmarkStart w:id="50" w:name="Note_3_–_Information_on_Business_Segment"/>
      <w:bookmarkEnd w:id="50"/>
      <w:r>
        <w:t>Note</w:t>
      </w:r>
      <w:r>
        <w:rPr>
          <w:spacing w:val="-7"/>
        </w:rPr>
        <w:t xml:space="preserve"> </w:t>
      </w:r>
      <w:r>
        <w:t>3</w:t>
      </w:r>
      <w:r>
        <w:rPr>
          <w:spacing w:val="-6"/>
        </w:rPr>
        <w:t xml:space="preserve"> </w:t>
      </w:r>
      <w:r>
        <w:t>–</w:t>
      </w:r>
      <w:r>
        <w:rPr>
          <w:spacing w:val="-6"/>
        </w:rPr>
        <w:t xml:space="preserve"> </w:t>
      </w:r>
      <w:r>
        <w:t>Information</w:t>
      </w:r>
      <w:r>
        <w:rPr>
          <w:spacing w:val="-7"/>
        </w:rPr>
        <w:t xml:space="preserve"> </w:t>
      </w:r>
      <w:r>
        <w:t>on</w:t>
      </w:r>
      <w:r>
        <w:rPr>
          <w:spacing w:val="-7"/>
        </w:rPr>
        <w:t xml:space="preserve"> </w:t>
      </w:r>
      <w:r>
        <w:t>Business</w:t>
      </w:r>
      <w:r>
        <w:rPr>
          <w:spacing w:val="-7"/>
        </w:rPr>
        <w:t xml:space="preserve"> </w:t>
      </w:r>
      <w:r>
        <w:t xml:space="preserve">Segments </w:t>
      </w:r>
      <w:r>
        <w:rPr>
          <w:spacing w:val="-2"/>
        </w:rPr>
        <w:t>Overview</w:t>
      </w:r>
    </w:p>
    <w:p w14:paraId="63B4BB4D" w14:textId="77777777" w:rsidR="00AE2255" w:rsidRDefault="00000000">
      <w:pPr>
        <w:pStyle w:val="BodyText"/>
        <w:spacing w:before="5" w:line="249" w:lineRule="auto"/>
        <w:ind w:left="610" w:right="430" w:firstLine="360"/>
      </w:pPr>
      <w:r>
        <w:t>We operate in four business segments: Aeronautics, MFC, RMS and Space. We organize our business segments based on the nature of products and services offered. Following is a brief description of the activities of our business segments:</w:t>
      </w:r>
    </w:p>
    <w:p w14:paraId="2782647F" w14:textId="77777777" w:rsidR="00AE2255" w:rsidRDefault="00AE2255">
      <w:pPr>
        <w:pStyle w:val="BodyText"/>
        <w:rPr>
          <w:sz w:val="21"/>
        </w:rPr>
      </w:pPr>
    </w:p>
    <w:p w14:paraId="505628B6" w14:textId="77777777" w:rsidR="00AE2255" w:rsidRDefault="00000000">
      <w:pPr>
        <w:pStyle w:val="ListParagraph"/>
        <w:numPr>
          <w:ilvl w:val="0"/>
          <w:numId w:val="12"/>
        </w:numPr>
        <w:tabs>
          <w:tab w:val="left" w:pos="970"/>
        </w:tabs>
        <w:spacing w:line="249" w:lineRule="auto"/>
        <w:ind w:right="429"/>
        <w:jc w:val="both"/>
        <w:rPr>
          <w:sz w:val="20"/>
        </w:rPr>
      </w:pPr>
      <w:r>
        <w:rPr>
          <w:b/>
          <w:sz w:val="20"/>
        </w:rPr>
        <w:t xml:space="preserve">Aeronautics </w:t>
      </w:r>
      <w:r>
        <w:rPr>
          <w:sz w:val="20"/>
        </w:rPr>
        <w:t xml:space="preserve">– Engaged in the research, design, development, manufacture, integration, sustainment, </w:t>
      </w:r>
      <w:proofErr w:type="gramStart"/>
      <w:r>
        <w:rPr>
          <w:sz w:val="20"/>
        </w:rPr>
        <w:t>support</w:t>
      </w:r>
      <w:proofErr w:type="gramEnd"/>
      <w:r>
        <w:rPr>
          <w:sz w:val="20"/>
        </w:rPr>
        <w:t xml:space="preserve"> and upgrade of advanced military aircraft, including combat and air mobility aircraft, unmanned air vehicles and related technologies.</w:t>
      </w:r>
    </w:p>
    <w:p w14:paraId="1464C063" w14:textId="77777777" w:rsidR="00AE2255" w:rsidRDefault="00AE2255">
      <w:pPr>
        <w:pStyle w:val="BodyText"/>
        <w:spacing w:before="6"/>
        <w:rPr>
          <w:sz w:val="17"/>
        </w:rPr>
      </w:pPr>
    </w:p>
    <w:p w14:paraId="78354983" w14:textId="77777777" w:rsidR="00AE2255" w:rsidRDefault="00000000">
      <w:pPr>
        <w:pStyle w:val="ListParagraph"/>
        <w:numPr>
          <w:ilvl w:val="0"/>
          <w:numId w:val="12"/>
        </w:numPr>
        <w:tabs>
          <w:tab w:val="left" w:pos="970"/>
        </w:tabs>
        <w:spacing w:line="249" w:lineRule="auto"/>
        <w:ind w:right="428"/>
        <w:jc w:val="both"/>
        <w:rPr>
          <w:b/>
          <w:i/>
          <w:sz w:val="20"/>
        </w:rPr>
      </w:pPr>
      <w:r>
        <w:rPr>
          <w:b/>
          <w:sz w:val="20"/>
        </w:rPr>
        <w:t xml:space="preserve">Missiles and Fire Control </w:t>
      </w:r>
      <w:r>
        <w:rPr>
          <w:sz w:val="20"/>
        </w:rPr>
        <w:t>– Provides air and missile defense systems; tactical missiles and air-to-ground precision strike weapon systems; logistics; fire control systems; mission operations support, readiness, engineering support and integration services; manned and unmanned ground vehicles; and energy management solutions.</w:t>
      </w:r>
    </w:p>
    <w:p w14:paraId="2F522598" w14:textId="77777777" w:rsidR="00AE2255" w:rsidRDefault="00AE2255">
      <w:pPr>
        <w:spacing w:line="249" w:lineRule="auto"/>
        <w:jc w:val="both"/>
        <w:rPr>
          <w:sz w:val="20"/>
        </w:rPr>
        <w:sectPr w:rsidR="00AE2255">
          <w:pgSz w:w="12240" w:h="15840"/>
          <w:pgMar w:top="440" w:right="560" w:bottom="720" w:left="380" w:header="230" w:footer="531" w:gutter="0"/>
          <w:cols w:space="720"/>
        </w:sectPr>
      </w:pPr>
    </w:p>
    <w:p w14:paraId="7D790D8F" w14:textId="77777777" w:rsidR="00AE2255" w:rsidRDefault="00AE2255">
      <w:pPr>
        <w:pStyle w:val="BodyText"/>
        <w:spacing w:before="10"/>
        <w:rPr>
          <w:sz w:val="22"/>
        </w:rPr>
      </w:pPr>
    </w:p>
    <w:p w14:paraId="280A22E2" w14:textId="77777777" w:rsidR="00AE2255" w:rsidRDefault="00000000">
      <w:pPr>
        <w:pStyle w:val="ListParagraph"/>
        <w:numPr>
          <w:ilvl w:val="0"/>
          <w:numId w:val="12"/>
        </w:numPr>
        <w:tabs>
          <w:tab w:val="left" w:pos="970"/>
        </w:tabs>
        <w:spacing w:before="92" w:line="249" w:lineRule="auto"/>
        <w:ind w:right="428"/>
        <w:jc w:val="both"/>
        <w:rPr>
          <w:sz w:val="20"/>
        </w:rPr>
      </w:pPr>
      <w:r>
        <w:rPr>
          <w:b/>
          <w:sz w:val="20"/>
        </w:rPr>
        <w:t>Rotary</w:t>
      </w:r>
      <w:r>
        <w:rPr>
          <w:b/>
          <w:spacing w:val="-2"/>
          <w:sz w:val="20"/>
        </w:rPr>
        <w:t xml:space="preserve"> </w:t>
      </w:r>
      <w:r>
        <w:rPr>
          <w:b/>
          <w:sz w:val="20"/>
        </w:rPr>
        <w:t>and</w:t>
      </w:r>
      <w:r>
        <w:rPr>
          <w:b/>
          <w:spacing w:val="-3"/>
          <w:sz w:val="20"/>
        </w:rPr>
        <w:t xml:space="preserve"> </w:t>
      </w:r>
      <w:r>
        <w:rPr>
          <w:b/>
          <w:sz w:val="20"/>
        </w:rPr>
        <w:t>Mission</w:t>
      </w:r>
      <w:r>
        <w:rPr>
          <w:b/>
          <w:spacing w:val="-3"/>
          <w:sz w:val="20"/>
        </w:rPr>
        <w:t xml:space="preserve"> </w:t>
      </w:r>
      <w:r>
        <w:rPr>
          <w:b/>
          <w:sz w:val="20"/>
        </w:rPr>
        <w:t>Systems</w:t>
      </w:r>
      <w:r>
        <w:rPr>
          <w:b/>
          <w:spacing w:val="-3"/>
          <w:sz w:val="20"/>
        </w:rPr>
        <w:t xml:space="preserve"> </w:t>
      </w:r>
      <w:r>
        <w:rPr>
          <w:sz w:val="20"/>
        </w:rPr>
        <w:t>–</w:t>
      </w:r>
      <w:r>
        <w:rPr>
          <w:spacing w:val="-2"/>
          <w:sz w:val="20"/>
        </w:rPr>
        <w:t xml:space="preserve"> </w:t>
      </w:r>
      <w:r>
        <w:rPr>
          <w:sz w:val="20"/>
        </w:rPr>
        <w:t>Designs,</w:t>
      </w:r>
      <w:r>
        <w:rPr>
          <w:spacing w:val="-2"/>
          <w:sz w:val="20"/>
        </w:rPr>
        <w:t xml:space="preserve"> </w:t>
      </w:r>
      <w:r>
        <w:rPr>
          <w:sz w:val="20"/>
        </w:rPr>
        <w:t>manufactures,</w:t>
      </w:r>
      <w:r>
        <w:rPr>
          <w:spacing w:val="-2"/>
          <w:sz w:val="20"/>
        </w:rPr>
        <w:t xml:space="preserve"> </w:t>
      </w:r>
      <w:proofErr w:type="gramStart"/>
      <w:r>
        <w:rPr>
          <w:sz w:val="20"/>
        </w:rPr>
        <w:t>services</w:t>
      </w:r>
      <w:proofErr w:type="gramEnd"/>
      <w:r>
        <w:rPr>
          <w:spacing w:val="-3"/>
          <w:sz w:val="20"/>
        </w:rPr>
        <w:t xml:space="preserve"> </w:t>
      </w:r>
      <w:r>
        <w:rPr>
          <w:sz w:val="20"/>
        </w:rPr>
        <w:t>and</w:t>
      </w:r>
      <w:r>
        <w:rPr>
          <w:spacing w:val="-2"/>
          <w:sz w:val="20"/>
        </w:rPr>
        <w:t xml:space="preserve"> </w:t>
      </w:r>
      <w:r>
        <w:rPr>
          <w:sz w:val="20"/>
        </w:rPr>
        <w:t>supports</w:t>
      </w:r>
      <w:r>
        <w:rPr>
          <w:spacing w:val="-3"/>
          <w:sz w:val="20"/>
        </w:rPr>
        <w:t xml:space="preserve"> </w:t>
      </w:r>
      <w:r>
        <w:rPr>
          <w:sz w:val="20"/>
        </w:rPr>
        <w:t>various</w:t>
      </w:r>
      <w:r>
        <w:rPr>
          <w:spacing w:val="-3"/>
          <w:sz w:val="20"/>
        </w:rPr>
        <w:t xml:space="preserve"> </w:t>
      </w:r>
      <w:r>
        <w:rPr>
          <w:sz w:val="20"/>
        </w:rPr>
        <w:t>military</w:t>
      </w:r>
      <w:r>
        <w:rPr>
          <w:spacing w:val="-2"/>
          <w:sz w:val="20"/>
        </w:rPr>
        <w:t xml:space="preserve"> </w:t>
      </w:r>
      <w:r>
        <w:rPr>
          <w:sz w:val="20"/>
        </w:rPr>
        <w:t>and</w:t>
      </w:r>
      <w:r>
        <w:rPr>
          <w:spacing w:val="-2"/>
          <w:sz w:val="20"/>
        </w:rPr>
        <w:t xml:space="preserve"> </w:t>
      </w:r>
      <w:r>
        <w:rPr>
          <w:sz w:val="20"/>
        </w:rPr>
        <w:t>commercial</w:t>
      </w:r>
      <w:r>
        <w:rPr>
          <w:spacing w:val="-3"/>
          <w:sz w:val="20"/>
        </w:rPr>
        <w:t xml:space="preserve"> </w:t>
      </w:r>
      <w:r>
        <w:rPr>
          <w:sz w:val="20"/>
        </w:rPr>
        <w:t>helicopters, surface ships, sea and land-based missile defense systems, radar systems, sea and air-based mission and combat systems, command and control mission solutions, cyber solutions, and simulation and training solutions.</w:t>
      </w:r>
    </w:p>
    <w:p w14:paraId="27E8FC5D" w14:textId="77777777" w:rsidR="00AE2255" w:rsidRDefault="00AE2255">
      <w:pPr>
        <w:pStyle w:val="BodyText"/>
        <w:spacing w:before="7"/>
        <w:rPr>
          <w:sz w:val="17"/>
        </w:rPr>
      </w:pPr>
    </w:p>
    <w:p w14:paraId="30264178" w14:textId="77777777" w:rsidR="00AE2255" w:rsidRDefault="00000000">
      <w:pPr>
        <w:pStyle w:val="ListParagraph"/>
        <w:numPr>
          <w:ilvl w:val="0"/>
          <w:numId w:val="12"/>
        </w:numPr>
        <w:tabs>
          <w:tab w:val="left" w:pos="970"/>
        </w:tabs>
        <w:spacing w:line="249" w:lineRule="auto"/>
        <w:ind w:right="428"/>
        <w:jc w:val="both"/>
        <w:rPr>
          <w:sz w:val="20"/>
        </w:rPr>
      </w:pPr>
      <w:r>
        <w:rPr>
          <w:b/>
          <w:sz w:val="20"/>
        </w:rPr>
        <w:t xml:space="preserve">Space </w:t>
      </w:r>
      <w:r>
        <w:rPr>
          <w:sz w:val="20"/>
        </w:rPr>
        <w:t xml:space="preserve">– Engaged in the research and design, development, engineering and production of satellites, space transportation systems, and strategic, advanced strike, and defensive systems. Space provides network-enabled situational awareness and integrates complex space and ground global systems to help our customers gather, </w:t>
      </w:r>
      <w:proofErr w:type="gramStart"/>
      <w:r>
        <w:rPr>
          <w:sz w:val="20"/>
        </w:rPr>
        <w:t>analyze</w:t>
      </w:r>
      <w:proofErr w:type="gramEnd"/>
      <w:r>
        <w:rPr>
          <w:sz w:val="20"/>
        </w:rPr>
        <w:t xml:space="preserve"> and securely distribute critical intelligence data. Space is also responsible for various classified systems and services in support of vital national security systems. Operating profit for our Space business segment also includes our share of earnings for our 50% ownership interest in ULA, which provides expendable launch services to the U.S. Government and commercial customers. Our investment in ULA totaled $571 million and $585 million </w:t>
      </w:r>
      <w:proofErr w:type="gramStart"/>
      <w:r>
        <w:rPr>
          <w:sz w:val="20"/>
        </w:rPr>
        <w:t>at</w:t>
      </w:r>
      <w:proofErr w:type="gramEnd"/>
      <w:r>
        <w:rPr>
          <w:sz w:val="20"/>
        </w:rPr>
        <w:t xml:space="preserve"> December 31, 2022 and 2021.</w:t>
      </w:r>
    </w:p>
    <w:p w14:paraId="46AA6F96" w14:textId="77777777" w:rsidR="00AE2255" w:rsidRDefault="00AE2255">
      <w:pPr>
        <w:pStyle w:val="BodyText"/>
        <w:spacing w:before="7"/>
        <w:rPr>
          <w:sz w:val="17"/>
        </w:rPr>
      </w:pPr>
    </w:p>
    <w:p w14:paraId="1387A2EA" w14:textId="77777777" w:rsidR="00AE2255" w:rsidRDefault="00000000">
      <w:pPr>
        <w:pStyle w:val="Heading2"/>
      </w:pPr>
      <w:r>
        <w:t>Selected</w:t>
      </w:r>
      <w:r>
        <w:rPr>
          <w:spacing w:val="-6"/>
        </w:rPr>
        <w:t xml:space="preserve"> </w:t>
      </w:r>
      <w:r>
        <w:t>Financial</w:t>
      </w:r>
      <w:r>
        <w:rPr>
          <w:spacing w:val="-5"/>
        </w:rPr>
        <w:t xml:space="preserve"> </w:t>
      </w:r>
      <w:r>
        <w:t>Data</w:t>
      </w:r>
      <w:r>
        <w:rPr>
          <w:spacing w:val="-4"/>
        </w:rPr>
        <w:t xml:space="preserve"> </w:t>
      </w:r>
      <w:r>
        <w:t>by</w:t>
      </w:r>
      <w:r>
        <w:rPr>
          <w:spacing w:val="-4"/>
        </w:rPr>
        <w:t xml:space="preserve"> </w:t>
      </w:r>
      <w:r>
        <w:t>Business</w:t>
      </w:r>
      <w:r>
        <w:rPr>
          <w:spacing w:val="-5"/>
        </w:rPr>
        <w:t xml:space="preserve"> </w:t>
      </w:r>
      <w:r>
        <w:rPr>
          <w:spacing w:val="-2"/>
        </w:rPr>
        <w:t>Segment</w:t>
      </w:r>
    </w:p>
    <w:p w14:paraId="5581A12E" w14:textId="77777777" w:rsidR="00AE2255" w:rsidRDefault="00AE2255">
      <w:pPr>
        <w:pStyle w:val="BodyText"/>
        <w:spacing w:before="6"/>
        <w:rPr>
          <w:b/>
          <w:sz w:val="18"/>
        </w:rPr>
      </w:pPr>
    </w:p>
    <w:p w14:paraId="69114810" w14:textId="77777777" w:rsidR="00AE2255" w:rsidRDefault="00000000">
      <w:pPr>
        <w:pStyle w:val="BodyText"/>
        <w:spacing w:line="249" w:lineRule="auto"/>
        <w:ind w:left="610" w:right="430" w:firstLine="360"/>
      </w:pPr>
      <w:r>
        <w:t>Net</w:t>
      </w:r>
      <w:r>
        <w:rPr>
          <w:spacing w:val="-3"/>
        </w:rPr>
        <w:t xml:space="preserve"> </w:t>
      </w:r>
      <w:r>
        <w:t>sales</w:t>
      </w:r>
      <w:r>
        <w:rPr>
          <w:spacing w:val="-3"/>
        </w:rPr>
        <w:t xml:space="preserve"> </w:t>
      </w:r>
      <w:r>
        <w:t>of</w:t>
      </w:r>
      <w:r>
        <w:rPr>
          <w:spacing w:val="-2"/>
        </w:rPr>
        <w:t xml:space="preserve"> </w:t>
      </w:r>
      <w:r>
        <w:t>our</w:t>
      </w:r>
      <w:r>
        <w:rPr>
          <w:spacing w:val="-2"/>
        </w:rPr>
        <w:t xml:space="preserve"> </w:t>
      </w:r>
      <w:r>
        <w:t>business</w:t>
      </w:r>
      <w:r>
        <w:rPr>
          <w:spacing w:val="-3"/>
        </w:rPr>
        <w:t xml:space="preserve"> </w:t>
      </w:r>
      <w:r>
        <w:t>segments</w:t>
      </w:r>
      <w:r>
        <w:rPr>
          <w:spacing w:val="-3"/>
        </w:rPr>
        <w:t xml:space="preserve"> </w:t>
      </w:r>
      <w:r>
        <w:t>in</w:t>
      </w:r>
      <w:r>
        <w:rPr>
          <w:spacing w:val="-2"/>
        </w:rPr>
        <w:t xml:space="preserve"> </w:t>
      </w:r>
      <w:r>
        <w:t>the</w:t>
      </w:r>
      <w:r>
        <w:rPr>
          <w:spacing w:val="-3"/>
        </w:rPr>
        <w:t xml:space="preserve"> </w:t>
      </w:r>
      <w:r>
        <w:t>following</w:t>
      </w:r>
      <w:r>
        <w:rPr>
          <w:spacing w:val="-2"/>
        </w:rPr>
        <w:t xml:space="preserve"> </w:t>
      </w:r>
      <w:r>
        <w:t>tables</w:t>
      </w:r>
      <w:r>
        <w:rPr>
          <w:spacing w:val="-3"/>
        </w:rPr>
        <w:t xml:space="preserve"> </w:t>
      </w:r>
      <w:r>
        <w:t>exclude</w:t>
      </w:r>
      <w:r>
        <w:rPr>
          <w:spacing w:val="-3"/>
        </w:rPr>
        <w:t xml:space="preserve"> </w:t>
      </w:r>
      <w:r>
        <w:t>intersegment</w:t>
      </w:r>
      <w:r>
        <w:rPr>
          <w:spacing w:val="-3"/>
        </w:rPr>
        <w:t xml:space="preserve"> </w:t>
      </w:r>
      <w:r>
        <w:t>sales</w:t>
      </w:r>
      <w:r>
        <w:rPr>
          <w:spacing w:val="-3"/>
        </w:rPr>
        <w:t xml:space="preserve"> </w:t>
      </w:r>
      <w:r>
        <w:t>as</w:t>
      </w:r>
      <w:r>
        <w:rPr>
          <w:spacing w:val="-3"/>
        </w:rPr>
        <w:t xml:space="preserve"> </w:t>
      </w:r>
      <w:r>
        <w:t>these</w:t>
      </w:r>
      <w:r>
        <w:rPr>
          <w:spacing w:val="-3"/>
        </w:rPr>
        <w:t xml:space="preserve"> </w:t>
      </w:r>
      <w:r>
        <w:t>activities</w:t>
      </w:r>
      <w:r>
        <w:rPr>
          <w:spacing w:val="-3"/>
        </w:rPr>
        <w:t xml:space="preserve"> </w:t>
      </w:r>
      <w:r>
        <w:t>are</w:t>
      </w:r>
      <w:r>
        <w:rPr>
          <w:spacing w:val="-3"/>
        </w:rPr>
        <w:t xml:space="preserve"> </w:t>
      </w:r>
      <w:r>
        <w:t>eliminated</w:t>
      </w:r>
      <w:r>
        <w:rPr>
          <w:spacing w:val="-2"/>
        </w:rPr>
        <w:t xml:space="preserve"> </w:t>
      </w:r>
      <w:r>
        <w:t>in consolidation and thus are not included in management’s evaluation of performance of each segment. Business segment operating</w:t>
      </w:r>
      <w:r>
        <w:rPr>
          <w:spacing w:val="-2"/>
        </w:rPr>
        <w:t xml:space="preserve"> </w:t>
      </w:r>
      <w:r>
        <w:t>profit</w:t>
      </w:r>
      <w:r>
        <w:rPr>
          <w:spacing w:val="-3"/>
        </w:rPr>
        <w:t xml:space="preserve"> </w:t>
      </w:r>
      <w:r>
        <w:t>includes</w:t>
      </w:r>
      <w:r>
        <w:rPr>
          <w:spacing w:val="-3"/>
        </w:rPr>
        <w:t xml:space="preserve"> </w:t>
      </w:r>
      <w:r>
        <w:t>our</w:t>
      </w:r>
      <w:r>
        <w:rPr>
          <w:spacing w:val="-2"/>
        </w:rPr>
        <w:t xml:space="preserve"> </w:t>
      </w:r>
      <w:r>
        <w:t>share</w:t>
      </w:r>
      <w:r>
        <w:rPr>
          <w:spacing w:val="-3"/>
        </w:rPr>
        <w:t xml:space="preserve"> </w:t>
      </w:r>
      <w:r>
        <w:t>of</w:t>
      </w:r>
      <w:r>
        <w:rPr>
          <w:spacing w:val="-2"/>
        </w:rPr>
        <w:t xml:space="preserve"> </w:t>
      </w:r>
      <w:r>
        <w:t>earnings</w:t>
      </w:r>
      <w:r>
        <w:rPr>
          <w:spacing w:val="-3"/>
        </w:rPr>
        <w:t xml:space="preserve"> </w:t>
      </w:r>
      <w:r>
        <w:t>or</w:t>
      </w:r>
      <w:r>
        <w:rPr>
          <w:spacing w:val="-2"/>
        </w:rPr>
        <w:t xml:space="preserve"> </w:t>
      </w:r>
      <w:r>
        <w:t>losses</w:t>
      </w:r>
      <w:r>
        <w:rPr>
          <w:spacing w:val="-3"/>
        </w:rPr>
        <w:t xml:space="preserve"> </w:t>
      </w:r>
      <w:r>
        <w:t>from</w:t>
      </w:r>
      <w:r>
        <w:rPr>
          <w:spacing w:val="-3"/>
        </w:rPr>
        <w:t xml:space="preserve"> </w:t>
      </w:r>
      <w:r>
        <w:t>equity</w:t>
      </w:r>
      <w:r>
        <w:rPr>
          <w:spacing w:val="-2"/>
        </w:rPr>
        <w:t xml:space="preserve"> </w:t>
      </w:r>
      <w:r>
        <w:t>method</w:t>
      </w:r>
      <w:r>
        <w:rPr>
          <w:spacing w:val="-2"/>
        </w:rPr>
        <w:t xml:space="preserve"> </w:t>
      </w:r>
      <w:r>
        <w:t>investees</w:t>
      </w:r>
      <w:r>
        <w:rPr>
          <w:spacing w:val="-3"/>
        </w:rPr>
        <w:t xml:space="preserve"> </w:t>
      </w:r>
      <w:r>
        <w:t>as</w:t>
      </w:r>
      <w:r>
        <w:rPr>
          <w:spacing w:val="-3"/>
        </w:rPr>
        <w:t xml:space="preserve"> </w:t>
      </w:r>
      <w:r>
        <w:t>the</w:t>
      </w:r>
      <w:r>
        <w:rPr>
          <w:spacing w:val="-3"/>
        </w:rPr>
        <w:t xml:space="preserve"> </w:t>
      </w:r>
      <w:r>
        <w:t>operating</w:t>
      </w:r>
      <w:r>
        <w:rPr>
          <w:spacing w:val="-2"/>
        </w:rPr>
        <w:t xml:space="preserve"> </w:t>
      </w:r>
      <w:r>
        <w:t>activities</w:t>
      </w:r>
      <w:r>
        <w:rPr>
          <w:spacing w:val="-3"/>
        </w:rPr>
        <w:t xml:space="preserve"> </w:t>
      </w:r>
      <w:r>
        <w:t>of</w:t>
      </w:r>
      <w:r>
        <w:rPr>
          <w:spacing w:val="-2"/>
        </w:rPr>
        <w:t xml:space="preserve"> </w:t>
      </w:r>
      <w:r>
        <w:t>the</w:t>
      </w:r>
      <w:r>
        <w:rPr>
          <w:spacing w:val="-3"/>
        </w:rPr>
        <w:t xml:space="preserve"> </w:t>
      </w:r>
      <w:r>
        <w:t>equity method investees are closely aligned with the operations of our business segments.</w:t>
      </w:r>
    </w:p>
    <w:p w14:paraId="57066C4C" w14:textId="77777777" w:rsidR="00AE2255" w:rsidRDefault="00AE2255">
      <w:pPr>
        <w:pStyle w:val="BodyText"/>
        <w:spacing w:before="4"/>
        <w:rPr>
          <w:sz w:val="17"/>
        </w:rPr>
      </w:pPr>
    </w:p>
    <w:p w14:paraId="2C757B53" w14:textId="77777777" w:rsidR="00AE2255" w:rsidRDefault="00000000">
      <w:pPr>
        <w:pStyle w:val="Heading3"/>
        <w:spacing w:before="1"/>
      </w:pPr>
      <w:r>
        <w:t>Summary</w:t>
      </w:r>
      <w:r>
        <w:rPr>
          <w:spacing w:val="-7"/>
        </w:rPr>
        <w:t xml:space="preserve"> </w:t>
      </w:r>
      <w:r>
        <w:t>Operating</w:t>
      </w:r>
      <w:r>
        <w:rPr>
          <w:spacing w:val="-5"/>
        </w:rPr>
        <w:t xml:space="preserve"> </w:t>
      </w:r>
      <w:r>
        <w:rPr>
          <w:spacing w:val="-2"/>
        </w:rPr>
        <w:t>Results</w:t>
      </w:r>
    </w:p>
    <w:p w14:paraId="3208DF38" w14:textId="77777777" w:rsidR="00AE2255" w:rsidRDefault="00AE2255">
      <w:pPr>
        <w:pStyle w:val="BodyText"/>
        <w:spacing w:before="3"/>
        <w:rPr>
          <w:b/>
          <w:i/>
          <w:sz w:val="19"/>
        </w:rPr>
      </w:pPr>
    </w:p>
    <w:tbl>
      <w:tblPr>
        <w:tblW w:w="0" w:type="auto"/>
        <w:tblInd w:w="617" w:type="dxa"/>
        <w:tblLayout w:type="fixed"/>
        <w:tblCellMar>
          <w:left w:w="0" w:type="dxa"/>
          <w:right w:w="0" w:type="dxa"/>
        </w:tblCellMar>
        <w:tblLook w:val="01E0" w:firstRow="1" w:lastRow="1" w:firstColumn="1" w:lastColumn="1" w:noHBand="0" w:noVBand="0"/>
      </w:tblPr>
      <w:tblGrid>
        <w:gridCol w:w="6773"/>
        <w:gridCol w:w="1593"/>
        <w:gridCol w:w="975"/>
        <w:gridCol w:w="919"/>
      </w:tblGrid>
      <w:tr w:rsidR="00AE2255" w14:paraId="37BF1857" w14:textId="77777777">
        <w:trPr>
          <w:trHeight w:val="367"/>
        </w:trPr>
        <w:tc>
          <w:tcPr>
            <w:tcW w:w="6773" w:type="dxa"/>
          </w:tcPr>
          <w:p w14:paraId="19682670" w14:textId="77777777" w:rsidR="00AE2255" w:rsidRDefault="00000000">
            <w:pPr>
              <w:pStyle w:val="TableParagraph"/>
              <w:spacing w:before="0" w:line="221" w:lineRule="exact"/>
              <w:ind w:left="360"/>
              <w:jc w:val="left"/>
              <w:rPr>
                <w:sz w:val="20"/>
              </w:rPr>
            </w:pPr>
            <w:r>
              <w:rPr>
                <w:sz w:val="20"/>
              </w:rPr>
              <w:t>Sales</w:t>
            </w:r>
            <w:r>
              <w:rPr>
                <w:spacing w:val="-6"/>
                <w:sz w:val="20"/>
              </w:rPr>
              <w:t xml:space="preserve"> </w:t>
            </w:r>
            <w:r>
              <w:rPr>
                <w:sz w:val="20"/>
              </w:rPr>
              <w:t>and</w:t>
            </w:r>
            <w:r>
              <w:rPr>
                <w:spacing w:val="-2"/>
                <w:sz w:val="20"/>
              </w:rPr>
              <w:t xml:space="preserve"> </w:t>
            </w:r>
            <w:r>
              <w:rPr>
                <w:sz w:val="20"/>
              </w:rPr>
              <w:t>operating</w:t>
            </w:r>
            <w:r>
              <w:rPr>
                <w:spacing w:val="-2"/>
                <w:sz w:val="20"/>
              </w:rPr>
              <w:t xml:space="preserve"> </w:t>
            </w:r>
            <w:r>
              <w:rPr>
                <w:sz w:val="20"/>
              </w:rPr>
              <w:t>profit</w:t>
            </w:r>
            <w:r>
              <w:rPr>
                <w:spacing w:val="-3"/>
                <w:sz w:val="20"/>
              </w:rPr>
              <w:t xml:space="preserve"> </w:t>
            </w:r>
            <w:r>
              <w:rPr>
                <w:sz w:val="20"/>
              </w:rPr>
              <w:t>for</w:t>
            </w:r>
            <w:r>
              <w:rPr>
                <w:spacing w:val="-2"/>
                <w:sz w:val="20"/>
              </w:rPr>
              <w:t xml:space="preserve"> </w:t>
            </w:r>
            <w:r>
              <w:rPr>
                <w:sz w:val="20"/>
              </w:rPr>
              <w:t>each</w:t>
            </w:r>
            <w:r>
              <w:rPr>
                <w:spacing w:val="-2"/>
                <w:sz w:val="20"/>
              </w:rPr>
              <w:t xml:space="preserve"> </w:t>
            </w:r>
            <w:r>
              <w:rPr>
                <w:sz w:val="20"/>
              </w:rPr>
              <w:t>of</w:t>
            </w:r>
            <w:r>
              <w:rPr>
                <w:spacing w:val="-3"/>
                <w:sz w:val="20"/>
              </w:rPr>
              <w:t xml:space="preserve"> </w:t>
            </w:r>
            <w:r>
              <w:rPr>
                <w:sz w:val="20"/>
              </w:rPr>
              <w:t>our</w:t>
            </w:r>
            <w:r>
              <w:rPr>
                <w:spacing w:val="-2"/>
                <w:sz w:val="20"/>
              </w:rPr>
              <w:t xml:space="preserve"> </w:t>
            </w:r>
            <w:r>
              <w:rPr>
                <w:sz w:val="20"/>
              </w:rPr>
              <w:t>business</w:t>
            </w:r>
            <w:r>
              <w:rPr>
                <w:spacing w:val="-3"/>
                <w:sz w:val="20"/>
              </w:rPr>
              <w:t xml:space="preserve"> </w:t>
            </w:r>
            <w:r>
              <w:rPr>
                <w:sz w:val="20"/>
              </w:rPr>
              <w:t>segments</w:t>
            </w:r>
            <w:r>
              <w:rPr>
                <w:spacing w:val="-3"/>
                <w:sz w:val="20"/>
              </w:rPr>
              <w:t xml:space="preserve"> </w:t>
            </w:r>
            <w:r>
              <w:rPr>
                <w:sz w:val="20"/>
              </w:rPr>
              <w:t>were</w:t>
            </w:r>
            <w:r>
              <w:rPr>
                <w:spacing w:val="-3"/>
                <w:sz w:val="20"/>
              </w:rPr>
              <w:t xml:space="preserve"> </w:t>
            </w:r>
            <w:r>
              <w:rPr>
                <w:sz w:val="20"/>
              </w:rPr>
              <w:t>as</w:t>
            </w:r>
            <w:r>
              <w:rPr>
                <w:spacing w:val="-3"/>
                <w:sz w:val="20"/>
              </w:rPr>
              <w:t xml:space="preserve"> </w:t>
            </w:r>
            <w:r>
              <w:rPr>
                <w:sz w:val="20"/>
              </w:rPr>
              <w:t>follows</w:t>
            </w:r>
            <w:r>
              <w:rPr>
                <w:spacing w:val="-3"/>
                <w:sz w:val="20"/>
              </w:rPr>
              <w:t xml:space="preserve"> </w:t>
            </w:r>
            <w:r>
              <w:rPr>
                <w:spacing w:val="-5"/>
                <w:sz w:val="20"/>
              </w:rPr>
              <w:t>(in</w:t>
            </w:r>
          </w:p>
        </w:tc>
        <w:tc>
          <w:tcPr>
            <w:tcW w:w="1593" w:type="dxa"/>
          </w:tcPr>
          <w:p w14:paraId="4B9747EA" w14:textId="77777777" w:rsidR="00AE2255" w:rsidRDefault="00000000">
            <w:pPr>
              <w:pStyle w:val="TableParagraph"/>
              <w:spacing w:before="0" w:line="221" w:lineRule="exact"/>
              <w:ind w:left="25"/>
              <w:jc w:val="left"/>
              <w:rPr>
                <w:sz w:val="20"/>
              </w:rPr>
            </w:pPr>
            <w:r>
              <w:rPr>
                <w:spacing w:val="-2"/>
                <w:sz w:val="20"/>
              </w:rPr>
              <w:t>millions):</w:t>
            </w:r>
          </w:p>
        </w:tc>
        <w:tc>
          <w:tcPr>
            <w:tcW w:w="975" w:type="dxa"/>
          </w:tcPr>
          <w:p w14:paraId="05AEC2D0" w14:textId="77777777" w:rsidR="00AE2255" w:rsidRDefault="00AE2255">
            <w:pPr>
              <w:pStyle w:val="TableParagraph"/>
              <w:spacing w:before="0"/>
              <w:jc w:val="left"/>
              <w:rPr>
                <w:sz w:val="18"/>
              </w:rPr>
            </w:pPr>
          </w:p>
        </w:tc>
        <w:tc>
          <w:tcPr>
            <w:tcW w:w="919" w:type="dxa"/>
          </w:tcPr>
          <w:p w14:paraId="1C746122" w14:textId="77777777" w:rsidR="00AE2255" w:rsidRDefault="00AE2255">
            <w:pPr>
              <w:pStyle w:val="TableParagraph"/>
              <w:spacing w:before="0"/>
              <w:jc w:val="left"/>
              <w:rPr>
                <w:sz w:val="18"/>
              </w:rPr>
            </w:pPr>
          </w:p>
        </w:tc>
      </w:tr>
      <w:tr w:rsidR="00AE2255" w14:paraId="227AEAE8" w14:textId="77777777">
        <w:trPr>
          <w:trHeight w:val="387"/>
        </w:trPr>
        <w:tc>
          <w:tcPr>
            <w:tcW w:w="6773" w:type="dxa"/>
            <w:tcBorders>
              <w:bottom w:val="single" w:sz="8" w:space="0" w:color="auto"/>
            </w:tcBorders>
          </w:tcPr>
          <w:p w14:paraId="391583EB" w14:textId="77777777" w:rsidR="00AE2255" w:rsidRDefault="00AE2255">
            <w:pPr>
              <w:pStyle w:val="TableParagraph"/>
              <w:spacing w:before="0"/>
              <w:jc w:val="left"/>
              <w:rPr>
                <w:sz w:val="18"/>
              </w:rPr>
            </w:pPr>
          </w:p>
        </w:tc>
        <w:tc>
          <w:tcPr>
            <w:tcW w:w="1593" w:type="dxa"/>
            <w:tcBorders>
              <w:bottom w:val="single" w:sz="8" w:space="0" w:color="auto"/>
            </w:tcBorders>
          </w:tcPr>
          <w:p w14:paraId="09729EB3" w14:textId="77777777" w:rsidR="00AE2255" w:rsidRDefault="00000000">
            <w:pPr>
              <w:pStyle w:val="TableParagraph"/>
              <w:spacing w:before="137" w:line="230" w:lineRule="exact"/>
              <w:ind w:right="106"/>
              <w:rPr>
                <w:b/>
                <w:sz w:val="20"/>
              </w:rPr>
            </w:pPr>
            <w:r>
              <w:rPr>
                <w:b/>
                <w:spacing w:val="-4"/>
                <w:sz w:val="20"/>
              </w:rPr>
              <w:t>2022</w:t>
            </w:r>
          </w:p>
        </w:tc>
        <w:tc>
          <w:tcPr>
            <w:tcW w:w="975" w:type="dxa"/>
            <w:tcBorders>
              <w:bottom w:val="single" w:sz="8" w:space="0" w:color="auto"/>
            </w:tcBorders>
          </w:tcPr>
          <w:p w14:paraId="0D3EE1B8" w14:textId="77777777" w:rsidR="00AE2255" w:rsidRDefault="00000000">
            <w:pPr>
              <w:pStyle w:val="TableParagraph"/>
              <w:spacing w:before="137" w:line="230" w:lineRule="exact"/>
              <w:ind w:right="106"/>
              <w:rPr>
                <w:b/>
                <w:sz w:val="20"/>
              </w:rPr>
            </w:pPr>
            <w:r>
              <w:rPr>
                <w:b/>
                <w:spacing w:val="-4"/>
                <w:sz w:val="20"/>
              </w:rPr>
              <w:t>2021</w:t>
            </w:r>
          </w:p>
        </w:tc>
        <w:tc>
          <w:tcPr>
            <w:tcW w:w="919" w:type="dxa"/>
            <w:tcBorders>
              <w:bottom w:val="single" w:sz="8" w:space="0" w:color="auto"/>
            </w:tcBorders>
          </w:tcPr>
          <w:p w14:paraId="4065F529" w14:textId="77777777" w:rsidR="00AE2255" w:rsidRDefault="00000000">
            <w:pPr>
              <w:pStyle w:val="TableParagraph"/>
              <w:spacing w:before="137" w:line="230" w:lineRule="exact"/>
              <w:ind w:right="50"/>
              <w:rPr>
                <w:b/>
                <w:sz w:val="20"/>
              </w:rPr>
            </w:pPr>
            <w:r>
              <w:rPr>
                <w:b/>
                <w:spacing w:val="-4"/>
                <w:sz w:val="20"/>
              </w:rPr>
              <w:t>2020</w:t>
            </w:r>
          </w:p>
        </w:tc>
      </w:tr>
      <w:tr w:rsidR="00AE2255" w14:paraId="0BC9DDCE" w14:textId="77777777">
        <w:trPr>
          <w:trHeight w:val="275"/>
        </w:trPr>
        <w:tc>
          <w:tcPr>
            <w:tcW w:w="6773" w:type="dxa"/>
            <w:tcBorders>
              <w:top w:val="single" w:sz="8" w:space="0" w:color="CCEDFF"/>
            </w:tcBorders>
            <w:shd w:val="clear" w:color="auto" w:fill="CCEDFF"/>
          </w:tcPr>
          <w:p w14:paraId="609284EB" w14:textId="77777777" w:rsidR="00AE2255" w:rsidRDefault="00000000">
            <w:pPr>
              <w:pStyle w:val="TableParagraph"/>
              <w:spacing w:before="13"/>
              <w:ind w:left="52"/>
              <w:jc w:val="left"/>
              <w:rPr>
                <w:b/>
                <w:sz w:val="20"/>
              </w:rPr>
            </w:pPr>
            <w:r>
              <w:rPr>
                <w:b/>
                <w:sz w:val="20"/>
              </w:rPr>
              <w:t>Net</w:t>
            </w:r>
            <w:r>
              <w:rPr>
                <w:b/>
                <w:spacing w:val="-4"/>
                <w:sz w:val="20"/>
              </w:rPr>
              <w:t xml:space="preserve"> </w:t>
            </w:r>
            <w:r>
              <w:rPr>
                <w:b/>
                <w:spacing w:val="-2"/>
                <w:sz w:val="20"/>
              </w:rPr>
              <w:t>sales</w:t>
            </w:r>
          </w:p>
        </w:tc>
        <w:tc>
          <w:tcPr>
            <w:tcW w:w="1593" w:type="dxa"/>
            <w:tcBorders>
              <w:top w:val="single" w:sz="8" w:space="0" w:color="CCEDFF"/>
            </w:tcBorders>
            <w:shd w:val="clear" w:color="auto" w:fill="CCEDFF"/>
          </w:tcPr>
          <w:p w14:paraId="700225E0" w14:textId="77777777" w:rsidR="00AE2255" w:rsidRDefault="00AE2255">
            <w:pPr>
              <w:pStyle w:val="TableParagraph"/>
              <w:spacing w:before="0"/>
              <w:jc w:val="left"/>
              <w:rPr>
                <w:sz w:val="18"/>
              </w:rPr>
            </w:pPr>
          </w:p>
        </w:tc>
        <w:tc>
          <w:tcPr>
            <w:tcW w:w="975" w:type="dxa"/>
            <w:tcBorders>
              <w:top w:val="single" w:sz="8" w:space="0" w:color="CCEDFF"/>
            </w:tcBorders>
            <w:shd w:val="clear" w:color="auto" w:fill="CCEDFF"/>
          </w:tcPr>
          <w:p w14:paraId="1D7401E8" w14:textId="77777777" w:rsidR="00AE2255" w:rsidRDefault="00AE2255">
            <w:pPr>
              <w:pStyle w:val="TableParagraph"/>
              <w:spacing w:before="0"/>
              <w:jc w:val="left"/>
              <w:rPr>
                <w:sz w:val="18"/>
              </w:rPr>
            </w:pPr>
          </w:p>
        </w:tc>
        <w:tc>
          <w:tcPr>
            <w:tcW w:w="919" w:type="dxa"/>
            <w:tcBorders>
              <w:top w:val="single" w:sz="8" w:space="0" w:color="CCEDFF"/>
            </w:tcBorders>
            <w:shd w:val="clear" w:color="auto" w:fill="CCEDFF"/>
          </w:tcPr>
          <w:p w14:paraId="0679DAC1" w14:textId="77777777" w:rsidR="00AE2255" w:rsidRDefault="00AE2255">
            <w:pPr>
              <w:pStyle w:val="TableParagraph"/>
              <w:spacing w:before="0"/>
              <w:jc w:val="left"/>
              <w:rPr>
                <w:sz w:val="18"/>
              </w:rPr>
            </w:pPr>
          </w:p>
        </w:tc>
      </w:tr>
      <w:tr w:rsidR="00AE2255" w14:paraId="61DC7B8C" w14:textId="77777777">
        <w:trPr>
          <w:trHeight w:val="285"/>
        </w:trPr>
        <w:tc>
          <w:tcPr>
            <w:tcW w:w="6773" w:type="dxa"/>
          </w:tcPr>
          <w:p w14:paraId="5A4EEA72" w14:textId="77777777" w:rsidR="00AE2255" w:rsidRDefault="00000000">
            <w:pPr>
              <w:pStyle w:val="TableParagraph"/>
              <w:spacing w:before="27"/>
              <w:ind w:left="187"/>
              <w:jc w:val="left"/>
              <w:rPr>
                <w:sz w:val="20"/>
              </w:rPr>
            </w:pPr>
            <w:r>
              <w:rPr>
                <w:spacing w:val="-2"/>
                <w:sz w:val="20"/>
              </w:rPr>
              <w:t>Aeronautics</w:t>
            </w:r>
          </w:p>
        </w:tc>
        <w:tc>
          <w:tcPr>
            <w:tcW w:w="1593" w:type="dxa"/>
          </w:tcPr>
          <w:p w14:paraId="2085039D" w14:textId="77777777" w:rsidR="00AE2255" w:rsidRDefault="00000000">
            <w:pPr>
              <w:pStyle w:val="TableParagraph"/>
              <w:ind w:right="135"/>
              <w:rPr>
                <w:b/>
                <w:sz w:val="20"/>
              </w:rPr>
            </w:pPr>
            <w:r>
              <w:rPr>
                <w:b/>
                <w:sz w:val="20"/>
              </w:rPr>
              <w:t>$</w:t>
            </w:r>
            <w:r>
              <w:rPr>
                <w:b/>
                <w:spacing w:val="65"/>
                <w:sz w:val="20"/>
              </w:rPr>
              <w:t xml:space="preserve"> </w:t>
            </w:r>
            <w:r>
              <w:rPr>
                <w:b/>
                <w:spacing w:val="-2"/>
                <w:sz w:val="20"/>
              </w:rPr>
              <w:t>26,987</w:t>
            </w:r>
          </w:p>
        </w:tc>
        <w:tc>
          <w:tcPr>
            <w:tcW w:w="975" w:type="dxa"/>
          </w:tcPr>
          <w:p w14:paraId="29E85C9A" w14:textId="77777777" w:rsidR="00AE2255" w:rsidRDefault="00000000">
            <w:pPr>
              <w:pStyle w:val="TableParagraph"/>
              <w:ind w:left="71"/>
              <w:jc w:val="left"/>
              <w:rPr>
                <w:sz w:val="20"/>
              </w:rPr>
            </w:pPr>
            <w:r>
              <w:rPr>
                <w:sz w:val="20"/>
              </w:rPr>
              <w:t>$</w:t>
            </w:r>
            <w:r>
              <w:rPr>
                <w:spacing w:val="65"/>
                <w:sz w:val="20"/>
              </w:rPr>
              <w:t xml:space="preserve"> </w:t>
            </w:r>
            <w:r>
              <w:rPr>
                <w:spacing w:val="-2"/>
                <w:sz w:val="20"/>
              </w:rPr>
              <w:t>26,748</w:t>
            </w:r>
          </w:p>
        </w:tc>
        <w:tc>
          <w:tcPr>
            <w:tcW w:w="919" w:type="dxa"/>
          </w:tcPr>
          <w:p w14:paraId="52354D1F" w14:textId="77777777" w:rsidR="00AE2255" w:rsidRDefault="00000000">
            <w:pPr>
              <w:pStyle w:val="TableParagraph"/>
              <w:ind w:right="79"/>
              <w:rPr>
                <w:sz w:val="20"/>
              </w:rPr>
            </w:pPr>
            <w:r>
              <w:rPr>
                <w:sz w:val="20"/>
              </w:rPr>
              <w:t>$</w:t>
            </w:r>
            <w:r>
              <w:rPr>
                <w:spacing w:val="65"/>
                <w:sz w:val="20"/>
              </w:rPr>
              <w:t xml:space="preserve"> </w:t>
            </w:r>
            <w:r>
              <w:rPr>
                <w:spacing w:val="-2"/>
                <w:sz w:val="20"/>
              </w:rPr>
              <w:t>26,266</w:t>
            </w:r>
          </w:p>
        </w:tc>
      </w:tr>
      <w:tr w:rsidR="00AE2255" w14:paraId="1CB642C6" w14:textId="77777777">
        <w:trPr>
          <w:trHeight w:val="285"/>
        </w:trPr>
        <w:tc>
          <w:tcPr>
            <w:tcW w:w="6773" w:type="dxa"/>
            <w:shd w:val="clear" w:color="auto" w:fill="CCEDFF"/>
          </w:tcPr>
          <w:p w14:paraId="627C892B" w14:textId="77777777" w:rsidR="00AE2255" w:rsidRDefault="00000000">
            <w:pPr>
              <w:pStyle w:val="TableParagraph"/>
              <w:spacing w:before="27"/>
              <w:ind w:left="187"/>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1593" w:type="dxa"/>
            <w:shd w:val="clear" w:color="auto" w:fill="CCEDFF"/>
          </w:tcPr>
          <w:p w14:paraId="5EA71242" w14:textId="77777777" w:rsidR="00AE2255" w:rsidRDefault="00000000">
            <w:pPr>
              <w:pStyle w:val="TableParagraph"/>
              <w:ind w:right="135"/>
              <w:rPr>
                <w:b/>
                <w:sz w:val="20"/>
              </w:rPr>
            </w:pPr>
            <w:r>
              <w:rPr>
                <w:b/>
                <w:spacing w:val="-2"/>
                <w:sz w:val="20"/>
              </w:rPr>
              <w:t>11,317</w:t>
            </w:r>
          </w:p>
        </w:tc>
        <w:tc>
          <w:tcPr>
            <w:tcW w:w="975" w:type="dxa"/>
            <w:shd w:val="clear" w:color="auto" w:fill="CCEDFF"/>
          </w:tcPr>
          <w:p w14:paraId="4A744D6F" w14:textId="77777777" w:rsidR="00AE2255" w:rsidRDefault="00000000">
            <w:pPr>
              <w:pStyle w:val="TableParagraph"/>
              <w:ind w:left="287"/>
              <w:jc w:val="left"/>
              <w:rPr>
                <w:sz w:val="20"/>
              </w:rPr>
            </w:pPr>
            <w:r>
              <w:rPr>
                <w:spacing w:val="-2"/>
                <w:sz w:val="20"/>
              </w:rPr>
              <w:t>11,693</w:t>
            </w:r>
          </w:p>
        </w:tc>
        <w:tc>
          <w:tcPr>
            <w:tcW w:w="919" w:type="dxa"/>
            <w:shd w:val="clear" w:color="auto" w:fill="CCEDFF"/>
          </w:tcPr>
          <w:p w14:paraId="6ACB84E5" w14:textId="77777777" w:rsidR="00AE2255" w:rsidRDefault="00000000">
            <w:pPr>
              <w:pStyle w:val="TableParagraph"/>
              <w:ind w:right="79"/>
              <w:rPr>
                <w:sz w:val="20"/>
              </w:rPr>
            </w:pPr>
            <w:r>
              <w:rPr>
                <w:spacing w:val="-2"/>
                <w:sz w:val="20"/>
              </w:rPr>
              <w:t>11,257</w:t>
            </w:r>
          </w:p>
        </w:tc>
      </w:tr>
      <w:tr w:rsidR="00AE2255" w14:paraId="36BB39C9" w14:textId="77777777">
        <w:trPr>
          <w:trHeight w:val="285"/>
        </w:trPr>
        <w:tc>
          <w:tcPr>
            <w:tcW w:w="6773" w:type="dxa"/>
          </w:tcPr>
          <w:p w14:paraId="172C69E4" w14:textId="77777777" w:rsidR="00AE2255" w:rsidRDefault="00000000">
            <w:pPr>
              <w:pStyle w:val="TableParagraph"/>
              <w:spacing w:before="27"/>
              <w:ind w:left="187"/>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1593" w:type="dxa"/>
          </w:tcPr>
          <w:p w14:paraId="1DE72001" w14:textId="77777777" w:rsidR="00AE2255" w:rsidRDefault="00000000">
            <w:pPr>
              <w:pStyle w:val="TableParagraph"/>
              <w:ind w:right="135"/>
              <w:rPr>
                <w:b/>
                <w:sz w:val="20"/>
              </w:rPr>
            </w:pPr>
            <w:r>
              <w:rPr>
                <w:b/>
                <w:spacing w:val="-2"/>
                <w:sz w:val="20"/>
              </w:rPr>
              <w:t>16,148</w:t>
            </w:r>
          </w:p>
        </w:tc>
        <w:tc>
          <w:tcPr>
            <w:tcW w:w="975" w:type="dxa"/>
          </w:tcPr>
          <w:p w14:paraId="46C3877A" w14:textId="77777777" w:rsidR="00AE2255" w:rsidRDefault="00000000">
            <w:pPr>
              <w:pStyle w:val="TableParagraph"/>
              <w:ind w:left="287"/>
              <w:jc w:val="left"/>
              <w:rPr>
                <w:sz w:val="20"/>
              </w:rPr>
            </w:pPr>
            <w:r>
              <w:rPr>
                <w:spacing w:val="-2"/>
                <w:sz w:val="20"/>
              </w:rPr>
              <w:t>16,789</w:t>
            </w:r>
          </w:p>
        </w:tc>
        <w:tc>
          <w:tcPr>
            <w:tcW w:w="919" w:type="dxa"/>
          </w:tcPr>
          <w:p w14:paraId="5631273D" w14:textId="77777777" w:rsidR="00AE2255" w:rsidRDefault="00000000">
            <w:pPr>
              <w:pStyle w:val="TableParagraph"/>
              <w:ind w:right="79"/>
              <w:rPr>
                <w:sz w:val="20"/>
              </w:rPr>
            </w:pPr>
            <w:r>
              <w:rPr>
                <w:spacing w:val="-2"/>
                <w:sz w:val="20"/>
              </w:rPr>
              <w:t>15,995</w:t>
            </w:r>
          </w:p>
        </w:tc>
      </w:tr>
      <w:tr w:rsidR="00AE2255" w14:paraId="3237750C" w14:textId="77777777">
        <w:trPr>
          <w:trHeight w:val="275"/>
        </w:trPr>
        <w:tc>
          <w:tcPr>
            <w:tcW w:w="6773" w:type="dxa"/>
            <w:tcBorders>
              <w:bottom w:val="single" w:sz="8" w:space="0" w:color="CCEDFF"/>
            </w:tcBorders>
            <w:shd w:val="clear" w:color="auto" w:fill="CCEDFF"/>
          </w:tcPr>
          <w:p w14:paraId="47A499B4" w14:textId="77777777" w:rsidR="00AE2255" w:rsidRDefault="00000000">
            <w:pPr>
              <w:pStyle w:val="TableParagraph"/>
              <w:spacing w:before="27" w:line="228" w:lineRule="exact"/>
              <w:ind w:left="187"/>
              <w:jc w:val="left"/>
              <w:rPr>
                <w:sz w:val="20"/>
              </w:rPr>
            </w:pPr>
            <w:r>
              <w:rPr>
                <w:spacing w:val="-2"/>
                <w:sz w:val="20"/>
              </w:rPr>
              <w:t>Space</w:t>
            </w:r>
          </w:p>
        </w:tc>
        <w:tc>
          <w:tcPr>
            <w:tcW w:w="1593" w:type="dxa"/>
            <w:tcBorders>
              <w:bottom w:val="single" w:sz="8" w:space="0" w:color="CCEDFF"/>
            </w:tcBorders>
            <w:shd w:val="clear" w:color="auto" w:fill="CCEDFF"/>
          </w:tcPr>
          <w:p w14:paraId="10A96563" w14:textId="77777777" w:rsidR="00AE2255" w:rsidRDefault="00000000">
            <w:pPr>
              <w:pStyle w:val="TableParagraph"/>
              <w:spacing w:line="230" w:lineRule="exact"/>
              <w:ind w:right="135"/>
              <w:rPr>
                <w:b/>
                <w:sz w:val="20"/>
              </w:rPr>
            </w:pPr>
            <w:r>
              <w:rPr>
                <w:b/>
                <w:spacing w:val="-2"/>
                <w:sz w:val="20"/>
              </w:rPr>
              <w:t>11,532</w:t>
            </w:r>
          </w:p>
        </w:tc>
        <w:tc>
          <w:tcPr>
            <w:tcW w:w="975" w:type="dxa"/>
            <w:tcBorders>
              <w:bottom w:val="single" w:sz="8" w:space="0" w:color="CCEDFF"/>
            </w:tcBorders>
            <w:shd w:val="clear" w:color="auto" w:fill="CCEDFF"/>
          </w:tcPr>
          <w:p w14:paraId="4DA33605" w14:textId="77777777" w:rsidR="00AE2255" w:rsidRDefault="00000000">
            <w:pPr>
              <w:pStyle w:val="TableParagraph"/>
              <w:spacing w:line="230" w:lineRule="exact"/>
              <w:ind w:left="287"/>
              <w:jc w:val="left"/>
              <w:rPr>
                <w:sz w:val="20"/>
              </w:rPr>
            </w:pPr>
            <w:r>
              <w:rPr>
                <w:spacing w:val="-2"/>
                <w:sz w:val="20"/>
              </w:rPr>
              <w:t>11,814</w:t>
            </w:r>
          </w:p>
        </w:tc>
        <w:tc>
          <w:tcPr>
            <w:tcW w:w="919" w:type="dxa"/>
            <w:tcBorders>
              <w:bottom w:val="single" w:sz="8" w:space="0" w:color="CCEDFF"/>
            </w:tcBorders>
            <w:shd w:val="clear" w:color="auto" w:fill="CCEDFF"/>
          </w:tcPr>
          <w:p w14:paraId="095C3A5B" w14:textId="77777777" w:rsidR="00AE2255" w:rsidRDefault="00000000">
            <w:pPr>
              <w:pStyle w:val="TableParagraph"/>
              <w:spacing w:line="230" w:lineRule="exact"/>
              <w:ind w:right="79"/>
              <w:rPr>
                <w:sz w:val="20"/>
              </w:rPr>
            </w:pPr>
            <w:r>
              <w:rPr>
                <w:spacing w:val="-2"/>
                <w:sz w:val="20"/>
              </w:rPr>
              <w:t>11,880</w:t>
            </w:r>
          </w:p>
        </w:tc>
      </w:tr>
      <w:tr w:rsidR="00AE2255" w14:paraId="1C3FFD37" w14:textId="77777777">
        <w:trPr>
          <w:trHeight w:val="265"/>
        </w:trPr>
        <w:tc>
          <w:tcPr>
            <w:tcW w:w="6773" w:type="dxa"/>
            <w:tcBorders>
              <w:top w:val="single" w:sz="8" w:space="0" w:color="auto"/>
              <w:bottom w:val="single" w:sz="8" w:space="0" w:color="auto"/>
            </w:tcBorders>
          </w:tcPr>
          <w:p w14:paraId="14922BD9" w14:textId="77777777" w:rsidR="00AE2255" w:rsidRDefault="00000000">
            <w:pPr>
              <w:pStyle w:val="TableParagraph"/>
              <w:spacing w:before="17" w:line="228" w:lineRule="exact"/>
              <w:ind w:left="412"/>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593" w:type="dxa"/>
            <w:tcBorders>
              <w:top w:val="single" w:sz="8" w:space="0" w:color="auto"/>
              <w:bottom w:val="single" w:sz="8" w:space="0" w:color="auto"/>
            </w:tcBorders>
          </w:tcPr>
          <w:p w14:paraId="46A8D92E" w14:textId="77777777" w:rsidR="00AE2255" w:rsidRDefault="00000000">
            <w:pPr>
              <w:pStyle w:val="TableParagraph"/>
              <w:spacing w:before="15" w:line="230" w:lineRule="exact"/>
              <w:ind w:right="135"/>
              <w:rPr>
                <w:b/>
                <w:sz w:val="20"/>
              </w:rPr>
            </w:pPr>
            <w:r>
              <w:rPr>
                <w:b/>
                <w:sz w:val="20"/>
              </w:rPr>
              <w:t>$</w:t>
            </w:r>
            <w:r>
              <w:rPr>
                <w:b/>
                <w:spacing w:val="65"/>
                <w:sz w:val="20"/>
              </w:rPr>
              <w:t xml:space="preserve"> </w:t>
            </w:r>
            <w:r>
              <w:rPr>
                <w:b/>
                <w:spacing w:val="-2"/>
                <w:sz w:val="20"/>
              </w:rPr>
              <w:t>65,984</w:t>
            </w:r>
          </w:p>
        </w:tc>
        <w:tc>
          <w:tcPr>
            <w:tcW w:w="975" w:type="dxa"/>
            <w:tcBorders>
              <w:top w:val="single" w:sz="8" w:space="0" w:color="auto"/>
              <w:bottom w:val="single" w:sz="8" w:space="0" w:color="auto"/>
            </w:tcBorders>
          </w:tcPr>
          <w:p w14:paraId="56A0A023" w14:textId="77777777" w:rsidR="00AE2255" w:rsidRDefault="00000000">
            <w:pPr>
              <w:pStyle w:val="TableParagraph"/>
              <w:spacing w:before="15" w:line="230" w:lineRule="exact"/>
              <w:ind w:left="71"/>
              <w:jc w:val="left"/>
              <w:rPr>
                <w:sz w:val="20"/>
              </w:rPr>
            </w:pPr>
            <w:r>
              <w:rPr>
                <w:sz w:val="20"/>
              </w:rPr>
              <w:t>$</w:t>
            </w:r>
            <w:r>
              <w:rPr>
                <w:spacing w:val="65"/>
                <w:sz w:val="20"/>
              </w:rPr>
              <w:t xml:space="preserve"> </w:t>
            </w:r>
            <w:r>
              <w:rPr>
                <w:spacing w:val="-2"/>
                <w:sz w:val="20"/>
              </w:rPr>
              <w:t>67,044</w:t>
            </w:r>
          </w:p>
        </w:tc>
        <w:tc>
          <w:tcPr>
            <w:tcW w:w="919" w:type="dxa"/>
            <w:tcBorders>
              <w:top w:val="single" w:sz="8" w:space="0" w:color="auto"/>
              <w:bottom w:val="single" w:sz="8" w:space="0" w:color="auto"/>
            </w:tcBorders>
          </w:tcPr>
          <w:p w14:paraId="6B2C442A" w14:textId="77777777" w:rsidR="00AE2255" w:rsidRDefault="00000000">
            <w:pPr>
              <w:pStyle w:val="TableParagraph"/>
              <w:spacing w:before="15" w:line="230" w:lineRule="exact"/>
              <w:ind w:right="79"/>
              <w:rPr>
                <w:sz w:val="20"/>
              </w:rPr>
            </w:pPr>
            <w:r>
              <w:rPr>
                <w:sz w:val="20"/>
              </w:rPr>
              <w:t>$</w:t>
            </w:r>
            <w:r>
              <w:rPr>
                <w:spacing w:val="65"/>
                <w:sz w:val="20"/>
              </w:rPr>
              <w:t xml:space="preserve"> </w:t>
            </w:r>
            <w:r>
              <w:rPr>
                <w:spacing w:val="-2"/>
                <w:sz w:val="20"/>
              </w:rPr>
              <w:t>65,398</w:t>
            </w:r>
          </w:p>
        </w:tc>
      </w:tr>
      <w:tr w:rsidR="00AE2255" w14:paraId="270F1D6D" w14:textId="77777777">
        <w:trPr>
          <w:trHeight w:val="275"/>
        </w:trPr>
        <w:tc>
          <w:tcPr>
            <w:tcW w:w="6773" w:type="dxa"/>
            <w:tcBorders>
              <w:top w:val="single" w:sz="8" w:space="0" w:color="CCEDFF"/>
            </w:tcBorders>
            <w:shd w:val="clear" w:color="auto" w:fill="CCEDFF"/>
          </w:tcPr>
          <w:p w14:paraId="5DE1E77E" w14:textId="77777777" w:rsidR="00AE2255" w:rsidRDefault="00000000">
            <w:pPr>
              <w:pStyle w:val="TableParagraph"/>
              <w:spacing w:before="13"/>
              <w:ind w:left="52"/>
              <w:jc w:val="left"/>
              <w:rPr>
                <w:b/>
                <w:sz w:val="20"/>
              </w:rPr>
            </w:pPr>
            <w:r>
              <w:rPr>
                <w:b/>
                <w:sz w:val="20"/>
              </w:rPr>
              <w:t>Operating</w:t>
            </w:r>
            <w:r>
              <w:rPr>
                <w:b/>
                <w:spacing w:val="-6"/>
                <w:sz w:val="20"/>
              </w:rPr>
              <w:t xml:space="preserve"> </w:t>
            </w:r>
            <w:r>
              <w:rPr>
                <w:b/>
                <w:spacing w:val="-2"/>
                <w:sz w:val="20"/>
              </w:rPr>
              <w:t>profit</w:t>
            </w:r>
          </w:p>
        </w:tc>
        <w:tc>
          <w:tcPr>
            <w:tcW w:w="1593" w:type="dxa"/>
            <w:tcBorders>
              <w:top w:val="single" w:sz="8" w:space="0" w:color="CCEDFF"/>
            </w:tcBorders>
            <w:shd w:val="clear" w:color="auto" w:fill="CCEDFF"/>
          </w:tcPr>
          <w:p w14:paraId="3E7AB5AC" w14:textId="77777777" w:rsidR="00AE2255" w:rsidRDefault="00AE2255">
            <w:pPr>
              <w:pStyle w:val="TableParagraph"/>
              <w:spacing w:before="0"/>
              <w:jc w:val="left"/>
              <w:rPr>
                <w:sz w:val="18"/>
              </w:rPr>
            </w:pPr>
          </w:p>
        </w:tc>
        <w:tc>
          <w:tcPr>
            <w:tcW w:w="975" w:type="dxa"/>
            <w:tcBorders>
              <w:top w:val="single" w:sz="8" w:space="0" w:color="CCEDFF"/>
            </w:tcBorders>
            <w:shd w:val="clear" w:color="auto" w:fill="CCEDFF"/>
          </w:tcPr>
          <w:p w14:paraId="04986CB7" w14:textId="77777777" w:rsidR="00AE2255" w:rsidRDefault="00AE2255">
            <w:pPr>
              <w:pStyle w:val="TableParagraph"/>
              <w:spacing w:before="0"/>
              <w:jc w:val="left"/>
              <w:rPr>
                <w:sz w:val="18"/>
              </w:rPr>
            </w:pPr>
          </w:p>
        </w:tc>
        <w:tc>
          <w:tcPr>
            <w:tcW w:w="919" w:type="dxa"/>
            <w:tcBorders>
              <w:top w:val="single" w:sz="8" w:space="0" w:color="CCEDFF"/>
            </w:tcBorders>
            <w:shd w:val="clear" w:color="auto" w:fill="CCEDFF"/>
          </w:tcPr>
          <w:p w14:paraId="668F6B2A" w14:textId="77777777" w:rsidR="00AE2255" w:rsidRDefault="00AE2255">
            <w:pPr>
              <w:pStyle w:val="TableParagraph"/>
              <w:spacing w:before="0"/>
              <w:jc w:val="left"/>
              <w:rPr>
                <w:sz w:val="18"/>
              </w:rPr>
            </w:pPr>
          </w:p>
        </w:tc>
      </w:tr>
      <w:tr w:rsidR="00AE2255" w14:paraId="46477287" w14:textId="77777777">
        <w:trPr>
          <w:trHeight w:val="285"/>
        </w:trPr>
        <w:tc>
          <w:tcPr>
            <w:tcW w:w="6773" w:type="dxa"/>
          </w:tcPr>
          <w:p w14:paraId="09E8990C" w14:textId="77777777" w:rsidR="00AE2255" w:rsidRDefault="00000000">
            <w:pPr>
              <w:pStyle w:val="TableParagraph"/>
              <w:spacing w:before="27"/>
              <w:ind w:left="187"/>
              <w:jc w:val="left"/>
              <w:rPr>
                <w:sz w:val="20"/>
              </w:rPr>
            </w:pPr>
            <w:r>
              <w:rPr>
                <w:spacing w:val="-2"/>
                <w:sz w:val="20"/>
              </w:rPr>
              <w:t>Aeronautics</w:t>
            </w:r>
          </w:p>
        </w:tc>
        <w:tc>
          <w:tcPr>
            <w:tcW w:w="1593" w:type="dxa"/>
          </w:tcPr>
          <w:p w14:paraId="3B44088C" w14:textId="77777777" w:rsidR="00AE2255" w:rsidRDefault="00000000">
            <w:pPr>
              <w:pStyle w:val="TableParagraph"/>
              <w:tabs>
                <w:tab w:val="left" w:pos="315"/>
              </w:tabs>
              <w:ind w:right="135"/>
              <w:rPr>
                <w:b/>
                <w:sz w:val="20"/>
              </w:rPr>
            </w:pPr>
            <w:r>
              <w:rPr>
                <w:b/>
                <w:spacing w:val="-10"/>
                <w:sz w:val="20"/>
              </w:rPr>
              <w:t>$</w:t>
            </w:r>
            <w:r>
              <w:rPr>
                <w:b/>
                <w:sz w:val="20"/>
              </w:rPr>
              <w:tab/>
            </w:r>
            <w:r>
              <w:rPr>
                <w:b/>
                <w:spacing w:val="-2"/>
                <w:sz w:val="20"/>
              </w:rPr>
              <w:t>2,866</w:t>
            </w:r>
          </w:p>
        </w:tc>
        <w:tc>
          <w:tcPr>
            <w:tcW w:w="975" w:type="dxa"/>
          </w:tcPr>
          <w:p w14:paraId="3C08BCA0" w14:textId="77777777" w:rsidR="00AE2255" w:rsidRDefault="00000000">
            <w:pPr>
              <w:pStyle w:val="TableParagraph"/>
              <w:tabs>
                <w:tab w:val="left" w:pos="387"/>
              </w:tabs>
              <w:ind w:left="71"/>
              <w:jc w:val="left"/>
              <w:rPr>
                <w:sz w:val="20"/>
              </w:rPr>
            </w:pPr>
            <w:r>
              <w:rPr>
                <w:spacing w:val="-10"/>
                <w:sz w:val="20"/>
              </w:rPr>
              <w:t>$</w:t>
            </w:r>
            <w:r>
              <w:rPr>
                <w:sz w:val="20"/>
              </w:rPr>
              <w:tab/>
            </w:r>
            <w:r>
              <w:rPr>
                <w:spacing w:val="-2"/>
                <w:sz w:val="20"/>
              </w:rPr>
              <w:t>2,799</w:t>
            </w:r>
          </w:p>
        </w:tc>
        <w:tc>
          <w:tcPr>
            <w:tcW w:w="919" w:type="dxa"/>
          </w:tcPr>
          <w:p w14:paraId="363910D4" w14:textId="77777777" w:rsidR="00AE2255" w:rsidRDefault="00000000">
            <w:pPr>
              <w:pStyle w:val="TableParagraph"/>
              <w:tabs>
                <w:tab w:val="left" w:pos="315"/>
              </w:tabs>
              <w:ind w:right="79"/>
              <w:rPr>
                <w:sz w:val="20"/>
              </w:rPr>
            </w:pPr>
            <w:r>
              <w:rPr>
                <w:spacing w:val="-10"/>
                <w:sz w:val="20"/>
              </w:rPr>
              <w:t>$</w:t>
            </w:r>
            <w:r>
              <w:rPr>
                <w:sz w:val="20"/>
              </w:rPr>
              <w:tab/>
            </w:r>
            <w:r>
              <w:rPr>
                <w:spacing w:val="-2"/>
                <w:sz w:val="20"/>
              </w:rPr>
              <w:t>2,843</w:t>
            </w:r>
          </w:p>
        </w:tc>
      </w:tr>
      <w:tr w:rsidR="00AE2255" w14:paraId="3253382B" w14:textId="77777777">
        <w:trPr>
          <w:trHeight w:val="285"/>
        </w:trPr>
        <w:tc>
          <w:tcPr>
            <w:tcW w:w="6773" w:type="dxa"/>
            <w:shd w:val="clear" w:color="auto" w:fill="CCEDFF"/>
          </w:tcPr>
          <w:p w14:paraId="3E0172E5" w14:textId="77777777" w:rsidR="00AE2255" w:rsidRDefault="00000000">
            <w:pPr>
              <w:pStyle w:val="TableParagraph"/>
              <w:spacing w:before="27"/>
              <w:ind w:left="187"/>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1593" w:type="dxa"/>
            <w:shd w:val="clear" w:color="auto" w:fill="CCEDFF"/>
          </w:tcPr>
          <w:p w14:paraId="58A18A77" w14:textId="77777777" w:rsidR="00AE2255" w:rsidRDefault="00000000">
            <w:pPr>
              <w:pStyle w:val="TableParagraph"/>
              <w:ind w:right="135"/>
              <w:rPr>
                <w:b/>
                <w:sz w:val="20"/>
              </w:rPr>
            </w:pPr>
            <w:r>
              <w:rPr>
                <w:b/>
                <w:spacing w:val="-2"/>
                <w:sz w:val="20"/>
              </w:rPr>
              <w:t>1,635</w:t>
            </w:r>
          </w:p>
        </w:tc>
        <w:tc>
          <w:tcPr>
            <w:tcW w:w="975" w:type="dxa"/>
            <w:shd w:val="clear" w:color="auto" w:fill="CCEDFF"/>
          </w:tcPr>
          <w:p w14:paraId="4849D7D0" w14:textId="77777777" w:rsidR="00AE2255" w:rsidRDefault="00000000">
            <w:pPr>
              <w:pStyle w:val="TableParagraph"/>
              <w:ind w:left="387"/>
              <w:jc w:val="left"/>
              <w:rPr>
                <w:sz w:val="20"/>
              </w:rPr>
            </w:pPr>
            <w:r>
              <w:rPr>
                <w:spacing w:val="-2"/>
                <w:sz w:val="20"/>
              </w:rPr>
              <w:t>1,648</w:t>
            </w:r>
          </w:p>
        </w:tc>
        <w:tc>
          <w:tcPr>
            <w:tcW w:w="919" w:type="dxa"/>
            <w:shd w:val="clear" w:color="auto" w:fill="CCEDFF"/>
          </w:tcPr>
          <w:p w14:paraId="53E92592" w14:textId="77777777" w:rsidR="00AE2255" w:rsidRDefault="00000000">
            <w:pPr>
              <w:pStyle w:val="TableParagraph"/>
              <w:ind w:right="79"/>
              <w:rPr>
                <w:sz w:val="20"/>
              </w:rPr>
            </w:pPr>
            <w:r>
              <w:rPr>
                <w:spacing w:val="-2"/>
                <w:sz w:val="20"/>
              </w:rPr>
              <w:t>1,545</w:t>
            </w:r>
          </w:p>
        </w:tc>
      </w:tr>
      <w:tr w:rsidR="00AE2255" w14:paraId="5E05ACF6" w14:textId="77777777">
        <w:trPr>
          <w:trHeight w:val="285"/>
        </w:trPr>
        <w:tc>
          <w:tcPr>
            <w:tcW w:w="6773" w:type="dxa"/>
          </w:tcPr>
          <w:p w14:paraId="3D9E9333" w14:textId="77777777" w:rsidR="00AE2255" w:rsidRDefault="00000000">
            <w:pPr>
              <w:pStyle w:val="TableParagraph"/>
              <w:spacing w:before="27"/>
              <w:ind w:left="187"/>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1593" w:type="dxa"/>
          </w:tcPr>
          <w:p w14:paraId="0781F39B" w14:textId="77777777" w:rsidR="00AE2255" w:rsidRDefault="00000000">
            <w:pPr>
              <w:pStyle w:val="TableParagraph"/>
              <w:ind w:right="135"/>
              <w:rPr>
                <w:b/>
                <w:sz w:val="20"/>
              </w:rPr>
            </w:pPr>
            <w:r>
              <w:rPr>
                <w:b/>
                <w:spacing w:val="-2"/>
                <w:sz w:val="20"/>
              </w:rPr>
              <w:t>1,673</w:t>
            </w:r>
          </w:p>
        </w:tc>
        <w:tc>
          <w:tcPr>
            <w:tcW w:w="975" w:type="dxa"/>
          </w:tcPr>
          <w:p w14:paraId="1F6B4040" w14:textId="77777777" w:rsidR="00AE2255" w:rsidRDefault="00000000">
            <w:pPr>
              <w:pStyle w:val="TableParagraph"/>
              <w:ind w:left="387"/>
              <w:jc w:val="left"/>
              <w:rPr>
                <w:sz w:val="20"/>
              </w:rPr>
            </w:pPr>
            <w:r>
              <w:rPr>
                <w:spacing w:val="-2"/>
                <w:sz w:val="20"/>
              </w:rPr>
              <w:t>1,798</w:t>
            </w:r>
          </w:p>
        </w:tc>
        <w:tc>
          <w:tcPr>
            <w:tcW w:w="919" w:type="dxa"/>
          </w:tcPr>
          <w:p w14:paraId="708CA0E7" w14:textId="77777777" w:rsidR="00AE2255" w:rsidRDefault="00000000">
            <w:pPr>
              <w:pStyle w:val="TableParagraph"/>
              <w:ind w:right="79"/>
              <w:rPr>
                <w:sz w:val="20"/>
              </w:rPr>
            </w:pPr>
            <w:r>
              <w:rPr>
                <w:spacing w:val="-2"/>
                <w:sz w:val="20"/>
              </w:rPr>
              <w:t>1,615</w:t>
            </w:r>
          </w:p>
        </w:tc>
      </w:tr>
      <w:tr w:rsidR="00AE2255" w14:paraId="022590DF" w14:textId="77777777">
        <w:trPr>
          <w:trHeight w:val="275"/>
        </w:trPr>
        <w:tc>
          <w:tcPr>
            <w:tcW w:w="6773" w:type="dxa"/>
            <w:tcBorders>
              <w:bottom w:val="single" w:sz="8" w:space="0" w:color="CCEDFF"/>
            </w:tcBorders>
            <w:shd w:val="clear" w:color="auto" w:fill="CCEDFF"/>
          </w:tcPr>
          <w:p w14:paraId="1AC93AB4" w14:textId="77777777" w:rsidR="00AE2255" w:rsidRDefault="00000000">
            <w:pPr>
              <w:pStyle w:val="TableParagraph"/>
              <w:spacing w:before="27" w:line="228" w:lineRule="exact"/>
              <w:ind w:left="187"/>
              <w:jc w:val="left"/>
              <w:rPr>
                <w:sz w:val="20"/>
              </w:rPr>
            </w:pPr>
            <w:r>
              <w:rPr>
                <w:spacing w:val="-2"/>
                <w:sz w:val="20"/>
              </w:rPr>
              <w:t>Space</w:t>
            </w:r>
          </w:p>
        </w:tc>
        <w:tc>
          <w:tcPr>
            <w:tcW w:w="1593" w:type="dxa"/>
            <w:tcBorders>
              <w:bottom w:val="single" w:sz="8" w:space="0" w:color="CCEDFF"/>
            </w:tcBorders>
            <w:shd w:val="clear" w:color="auto" w:fill="CCEDFF"/>
          </w:tcPr>
          <w:p w14:paraId="34DDBCFF" w14:textId="77777777" w:rsidR="00AE2255" w:rsidRDefault="00000000">
            <w:pPr>
              <w:pStyle w:val="TableParagraph"/>
              <w:spacing w:line="230" w:lineRule="exact"/>
              <w:ind w:right="135"/>
              <w:rPr>
                <w:b/>
                <w:sz w:val="20"/>
              </w:rPr>
            </w:pPr>
            <w:r>
              <w:rPr>
                <w:b/>
                <w:spacing w:val="-2"/>
                <w:sz w:val="20"/>
              </w:rPr>
              <w:t>1,045</w:t>
            </w:r>
          </w:p>
        </w:tc>
        <w:tc>
          <w:tcPr>
            <w:tcW w:w="975" w:type="dxa"/>
            <w:tcBorders>
              <w:bottom w:val="single" w:sz="8" w:space="0" w:color="CCEDFF"/>
            </w:tcBorders>
            <w:shd w:val="clear" w:color="auto" w:fill="CCEDFF"/>
          </w:tcPr>
          <w:p w14:paraId="39A83F8E" w14:textId="77777777" w:rsidR="00AE2255" w:rsidRDefault="00000000">
            <w:pPr>
              <w:pStyle w:val="TableParagraph"/>
              <w:spacing w:line="230" w:lineRule="exact"/>
              <w:ind w:left="387"/>
              <w:jc w:val="left"/>
              <w:rPr>
                <w:sz w:val="20"/>
              </w:rPr>
            </w:pPr>
            <w:r>
              <w:rPr>
                <w:spacing w:val="-2"/>
                <w:sz w:val="20"/>
              </w:rPr>
              <w:t>1,134</w:t>
            </w:r>
          </w:p>
        </w:tc>
        <w:tc>
          <w:tcPr>
            <w:tcW w:w="919" w:type="dxa"/>
            <w:tcBorders>
              <w:bottom w:val="single" w:sz="8" w:space="0" w:color="CCEDFF"/>
            </w:tcBorders>
            <w:shd w:val="clear" w:color="auto" w:fill="CCEDFF"/>
          </w:tcPr>
          <w:p w14:paraId="069AF7EA" w14:textId="77777777" w:rsidR="00AE2255" w:rsidRDefault="00000000">
            <w:pPr>
              <w:pStyle w:val="TableParagraph"/>
              <w:spacing w:line="230" w:lineRule="exact"/>
              <w:ind w:right="79"/>
              <w:rPr>
                <w:sz w:val="20"/>
              </w:rPr>
            </w:pPr>
            <w:r>
              <w:rPr>
                <w:spacing w:val="-2"/>
                <w:sz w:val="20"/>
              </w:rPr>
              <w:t>1,149</w:t>
            </w:r>
          </w:p>
        </w:tc>
      </w:tr>
      <w:tr w:rsidR="00AE2255" w14:paraId="6117A987" w14:textId="77777777">
        <w:trPr>
          <w:trHeight w:val="265"/>
        </w:trPr>
        <w:tc>
          <w:tcPr>
            <w:tcW w:w="6773" w:type="dxa"/>
            <w:tcBorders>
              <w:top w:val="single" w:sz="8" w:space="0" w:color="auto"/>
              <w:bottom w:val="single" w:sz="8" w:space="0" w:color="auto"/>
            </w:tcBorders>
          </w:tcPr>
          <w:p w14:paraId="76336BB6" w14:textId="77777777" w:rsidR="00AE2255" w:rsidRDefault="00000000">
            <w:pPr>
              <w:pStyle w:val="TableParagraph"/>
              <w:spacing w:before="17" w:line="228" w:lineRule="exact"/>
              <w:ind w:left="412"/>
              <w:jc w:val="left"/>
              <w:rPr>
                <w:sz w:val="20"/>
              </w:rPr>
            </w:pPr>
            <w:r>
              <w:rPr>
                <w:sz w:val="20"/>
              </w:rPr>
              <w:t>Total</w:t>
            </w:r>
            <w:r>
              <w:rPr>
                <w:spacing w:val="-5"/>
                <w:sz w:val="20"/>
              </w:rPr>
              <w:t xml:space="preserve"> </w:t>
            </w:r>
            <w:r>
              <w:rPr>
                <w:sz w:val="20"/>
              </w:rPr>
              <w:t>business</w:t>
            </w:r>
            <w:r>
              <w:rPr>
                <w:spacing w:val="-5"/>
                <w:sz w:val="20"/>
              </w:rPr>
              <w:t xml:space="preserve"> </w:t>
            </w:r>
            <w:r>
              <w:rPr>
                <w:sz w:val="20"/>
              </w:rPr>
              <w:t>segment</w:t>
            </w:r>
            <w:r>
              <w:rPr>
                <w:spacing w:val="-5"/>
                <w:sz w:val="20"/>
              </w:rPr>
              <w:t xml:space="preserve"> </w:t>
            </w:r>
            <w:r>
              <w:rPr>
                <w:sz w:val="20"/>
              </w:rPr>
              <w:t>operating</w:t>
            </w:r>
            <w:r>
              <w:rPr>
                <w:spacing w:val="-3"/>
                <w:sz w:val="20"/>
              </w:rPr>
              <w:t xml:space="preserve"> </w:t>
            </w:r>
            <w:r>
              <w:rPr>
                <w:spacing w:val="-2"/>
                <w:sz w:val="20"/>
              </w:rPr>
              <w:t>profit</w:t>
            </w:r>
          </w:p>
        </w:tc>
        <w:tc>
          <w:tcPr>
            <w:tcW w:w="1593" w:type="dxa"/>
            <w:tcBorders>
              <w:top w:val="single" w:sz="8" w:space="0" w:color="auto"/>
              <w:bottom w:val="single" w:sz="8" w:space="0" w:color="auto"/>
            </w:tcBorders>
          </w:tcPr>
          <w:p w14:paraId="2DB827DF" w14:textId="77777777" w:rsidR="00AE2255" w:rsidRDefault="00000000">
            <w:pPr>
              <w:pStyle w:val="TableParagraph"/>
              <w:spacing w:before="15" w:line="230" w:lineRule="exact"/>
              <w:ind w:right="135"/>
              <w:rPr>
                <w:b/>
                <w:sz w:val="20"/>
              </w:rPr>
            </w:pPr>
            <w:r>
              <w:rPr>
                <w:b/>
                <w:spacing w:val="-2"/>
                <w:sz w:val="20"/>
              </w:rPr>
              <w:t>7,219</w:t>
            </w:r>
          </w:p>
        </w:tc>
        <w:tc>
          <w:tcPr>
            <w:tcW w:w="975" w:type="dxa"/>
            <w:tcBorders>
              <w:top w:val="single" w:sz="8" w:space="0" w:color="auto"/>
              <w:bottom w:val="single" w:sz="8" w:space="0" w:color="auto"/>
            </w:tcBorders>
          </w:tcPr>
          <w:p w14:paraId="0CDE5F12" w14:textId="77777777" w:rsidR="00AE2255" w:rsidRDefault="00000000">
            <w:pPr>
              <w:pStyle w:val="TableParagraph"/>
              <w:spacing w:before="15" w:line="230" w:lineRule="exact"/>
              <w:ind w:left="387"/>
              <w:jc w:val="left"/>
              <w:rPr>
                <w:sz w:val="20"/>
              </w:rPr>
            </w:pPr>
            <w:r>
              <w:rPr>
                <w:spacing w:val="-2"/>
                <w:sz w:val="20"/>
              </w:rPr>
              <w:t>7,379</w:t>
            </w:r>
          </w:p>
        </w:tc>
        <w:tc>
          <w:tcPr>
            <w:tcW w:w="919" w:type="dxa"/>
            <w:tcBorders>
              <w:top w:val="single" w:sz="8" w:space="0" w:color="auto"/>
              <w:bottom w:val="single" w:sz="8" w:space="0" w:color="auto"/>
            </w:tcBorders>
          </w:tcPr>
          <w:p w14:paraId="49F1ECD6" w14:textId="77777777" w:rsidR="00AE2255" w:rsidRDefault="00000000">
            <w:pPr>
              <w:pStyle w:val="TableParagraph"/>
              <w:spacing w:before="15" w:line="230" w:lineRule="exact"/>
              <w:ind w:right="79"/>
              <w:rPr>
                <w:sz w:val="20"/>
              </w:rPr>
            </w:pPr>
            <w:r>
              <w:rPr>
                <w:spacing w:val="-2"/>
                <w:sz w:val="20"/>
              </w:rPr>
              <w:t>7,152</w:t>
            </w:r>
          </w:p>
        </w:tc>
      </w:tr>
      <w:tr w:rsidR="00AE2255" w14:paraId="35FC5184" w14:textId="77777777">
        <w:trPr>
          <w:trHeight w:val="275"/>
        </w:trPr>
        <w:tc>
          <w:tcPr>
            <w:tcW w:w="6773" w:type="dxa"/>
            <w:tcBorders>
              <w:top w:val="single" w:sz="8" w:space="0" w:color="CCEDFF"/>
            </w:tcBorders>
            <w:shd w:val="clear" w:color="auto" w:fill="CCEDFF"/>
          </w:tcPr>
          <w:p w14:paraId="63CF8D70" w14:textId="77777777" w:rsidR="00AE2255" w:rsidRDefault="00000000">
            <w:pPr>
              <w:pStyle w:val="TableParagraph"/>
              <w:spacing w:before="17"/>
              <w:ind w:left="187"/>
              <w:jc w:val="left"/>
              <w:rPr>
                <w:sz w:val="20"/>
              </w:rPr>
            </w:pPr>
            <w:r>
              <w:rPr>
                <w:sz w:val="20"/>
              </w:rPr>
              <w:t>Unallocated</w:t>
            </w:r>
            <w:r>
              <w:rPr>
                <w:spacing w:val="-8"/>
                <w:sz w:val="20"/>
              </w:rPr>
              <w:t xml:space="preserve"> </w:t>
            </w:r>
            <w:r>
              <w:rPr>
                <w:spacing w:val="-2"/>
                <w:sz w:val="20"/>
              </w:rPr>
              <w:t>items</w:t>
            </w:r>
          </w:p>
        </w:tc>
        <w:tc>
          <w:tcPr>
            <w:tcW w:w="1593" w:type="dxa"/>
            <w:tcBorders>
              <w:top w:val="single" w:sz="8" w:space="0" w:color="CCEDFF"/>
            </w:tcBorders>
            <w:shd w:val="clear" w:color="auto" w:fill="CCEDFF"/>
          </w:tcPr>
          <w:p w14:paraId="2C71E305" w14:textId="77777777" w:rsidR="00AE2255" w:rsidRDefault="00AE2255">
            <w:pPr>
              <w:pStyle w:val="TableParagraph"/>
              <w:spacing w:before="0"/>
              <w:jc w:val="left"/>
              <w:rPr>
                <w:sz w:val="18"/>
              </w:rPr>
            </w:pPr>
          </w:p>
        </w:tc>
        <w:tc>
          <w:tcPr>
            <w:tcW w:w="975" w:type="dxa"/>
            <w:tcBorders>
              <w:top w:val="single" w:sz="8" w:space="0" w:color="CCEDFF"/>
            </w:tcBorders>
            <w:shd w:val="clear" w:color="auto" w:fill="CCEDFF"/>
          </w:tcPr>
          <w:p w14:paraId="281F0EC9" w14:textId="77777777" w:rsidR="00AE2255" w:rsidRDefault="00AE2255">
            <w:pPr>
              <w:pStyle w:val="TableParagraph"/>
              <w:spacing w:before="0"/>
              <w:jc w:val="left"/>
              <w:rPr>
                <w:sz w:val="18"/>
              </w:rPr>
            </w:pPr>
          </w:p>
        </w:tc>
        <w:tc>
          <w:tcPr>
            <w:tcW w:w="919" w:type="dxa"/>
            <w:tcBorders>
              <w:top w:val="single" w:sz="8" w:space="0" w:color="CCEDFF"/>
            </w:tcBorders>
            <w:shd w:val="clear" w:color="auto" w:fill="CCEDFF"/>
          </w:tcPr>
          <w:p w14:paraId="4A86F1F0" w14:textId="77777777" w:rsidR="00AE2255" w:rsidRDefault="00AE2255">
            <w:pPr>
              <w:pStyle w:val="TableParagraph"/>
              <w:spacing w:before="0"/>
              <w:jc w:val="left"/>
              <w:rPr>
                <w:sz w:val="18"/>
              </w:rPr>
            </w:pPr>
          </w:p>
        </w:tc>
      </w:tr>
      <w:tr w:rsidR="00AE2255" w14:paraId="2218801D" w14:textId="77777777">
        <w:trPr>
          <w:trHeight w:val="285"/>
        </w:trPr>
        <w:tc>
          <w:tcPr>
            <w:tcW w:w="6773" w:type="dxa"/>
          </w:tcPr>
          <w:p w14:paraId="2BCFF9D0" w14:textId="77777777" w:rsidR="00AE2255" w:rsidRDefault="00000000">
            <w:pPr>
              <w:pStyle w:val="TableParagraph"/>
              <w:spacing w:before="27"/>
              <w:ind w:left="302"/>
              <w:jc w:val="left"/>
              <w:rPr>
                <w:sz w:val="20"/>
              </w:rPr>
            </w:pPr>
            <w:r>
              <w:rPr>
                <w:sz w:val="20"/>
              </w:rPr>
              <w:t>FAS/CAS</w:t>
            </w:r>
            <w:r>
              <w:rPr>
                <w:spacing w:val="-6"/>
                <w:sz w:val="20"/>
              </w:rPr>
              <w:t xml:space="preserve"> </w:t>
            </w:r>
            <w:r>
              <w:rPr>
                <w:sz w:val="20"/>
              </w:rPr>
              <w:t>pension</w:t>
            </w:r>
            <w:r>
              <w:rPr>
                <w:spacing w:val="-4"/>
                <w:sz w:val="20"/>
              </w:rPr>
              <w:t xml:space="preserve"> </w:t>
            </w:r>
            <w:r>
              <w:rPr>
                <w:sz w:val="20"/>
              </w:rPr>
              <w:t>operating</w:t>
            </w:r>
            <w:r>
              <w:rPr>
                <w:spacing w:val="-4"/>
                <w:sz w:val="20"/>
              </w:rPr>
              <w:t xml:space="preserve"> </w:t>
            </w:r>
            <w:r>
              <w:rPr>
                <w:spacing w:val="-2"/>
                <w:sz w:val="20"/>
              </w:rPr>
              <w:t>adjustment</w:t>
            </w:r>
          </w:p>
        </w:tc>
        <w:tc>
          <w:tcPr>
            <w:tcW w:w="1593" w:type="dxa"/>
          </w:tcPr>
          <w:p w14:paraId="64AF77A1" w14:textId="77777777" w:rsidR="00AE2255" w:rsidRDefault="00000000">
            <w:pPr>
              <w:pStyle w:val="TableParagraph"/>
              <w:ind w:right="135"/>
              <w:rPr>
                <w:b/>
                <w:sz w:val="20"/>
              </w:rPr>
            </w:pPr>
            <w:r>
              <w:rPr>
                <w:b/>
                <w:spacing w:val="-2"/>
                <w:sz w:val="20"/>
              </w:rPr>
              <w:t>1,709</w:t>
            </w:r>
          </w:p>
        </w:tc>
        <w:tc>
          <w:tcPr>
            <w:tcW w:w="975" w:type="dxa"/>
          </w:tcPr>
          <w:p w14:paraId="3A8D37E0" w14:textId="77777777" w:rsidR="00AE2255" w:rsidRDefault="00000000">
            <w:pPr>
              <w:pStyle w:val="TableParagraph"/>
              <w:ind w:left="387"/>
              <w:jc w:val="left"/>
              <w:rPr>
                <w:sz w:val="20"/>
              </w:rPr>
            </w:pPr>
            <w:r>
              <w:rPr>
                <w:spacing w:val="-2"/>
                <w:sz w:val="20"/>
              </w:rPr>
              <w:t>1,960</w:t>
            </w:r>
          </w:p>
        </w:tc>
        <w:tc>
          <w:tcPr>
            <w:tcW w:w="919" w:type="dxa"/>
          </w:tcPr>
          <w:p w14:paraId="56A564CA" w14:textId="77777777" w:rsidR="00AE2255" w:rsidRDefault="00000000">
            <w:pPr>
              <w:pStyle w:val="TableParagraph"/>
              <w:ind w:right="79"/>
              <w:rPr>
                <w:sz w:val="20"/>
              </w:rPr>
            </w:pPr>
            <w:r>
              <w:rPr>
                <w:spacing w:val="-2"/>
                <w:sz w:val="20"/>
              </w:rPr>
              <w:t>1,876</w:t>
            </w:r>
          </w:p>
        </w:tc>
      </w:tr>
      <w:tr w:rsidR="00AE2255" w14:paraId="510F70C2" w14:textId="77777777">
        <w:trPr>
          <w:trHeight w:val="285"/>
        </w:trPr>
        <w:tc>
          <w:tcPr>
            <w:tcW w:w="6773" w:type="dxa"/>
            <w:shd w:val="clear" w:color="auto" w:fill="CCEDFF"/>
          </w:tcPr>
          <w:p w14:paraId="20F78D23" w14:textId="77777777" w:rsidR="00AE2255" w:rsidRDefault="00000000">
            <w:pPr>
              <w:pStyle w:val="TableParagraph"/>
              <w:spacing w:before="27"/>
              <w:ind w:left="302"/>
              <w:jc w:val="left"/>
              <w:rPr>
                <w:sz w:val="20"/>
              </w:rPr>
            </w:pPr>
            <w:r>
              <w:rPr>
                <w:sz w:val="20"/>
              </w:rPr>
              <w:t>Severance</w:t>
            </w:r>
            <w:r>
              <w:rPr>
                <w:spacing w:val="-4"/>
                <w:sz w:val="20"/>
              </w:rPr>
              <w:t xml:space="preserve"> </w:t>
            </w:r>
            <w:r>
              <w:rPr>
                <w:sz w:val="20"/>
              </w:rPr>
              <w:t>and</w:t>
            </w:r>
            <w:r>
              <w:rPr>
                <w:spacing w:val="-3"/>
                <w:sz w:val="20"/>
              </w:rPr>
              <w:t xml:space="preserve"> </w:t>
            </w:r>
            <w:r>
              <w:rPr>
                <w:sz w:val="20"/>
              </w:rPr>
              <w:t>other</w:t>
            </w:r>
            <w:r>
              <w:rPr>
                <w:spacing w:val="-3"/>
                <w:sz w:val="20"/>
              </w:rPr>
              <w:t xml:space="preserve"> </w:t>
            </w:r>
            <w:r>
              <w:rPr>
                <w:sz w:val="20"/>
              </w:rPr>
              <w:t>charges</w:t>
            </w:r>
            <w:r>
              <w:rPr>
                <w:spacing w:val="-3"/>
                <w:sz w:val="20"/>
              </w:rPr>
              <w:t xml:space="preserve"> </w:t>
            </w:r>
            <w:r>
              <w:rPr>
                <w:spacing w:val="-5"/>
                <w:sz w:val="20"/>
                <w:vertAlign w:val="superscript"/>
              </w:rPr>
              <w:t>(a)</w:t>
            </w:r>
          </w:p>
        </w:tc>
        <w:tc>
          <w:tcPr>
            <w:tcW w:w="1593" w:type="dxa"/>
            <w:shd w:val="clear" w:color="auto" w:fill="CCEDFF"/>
          </w:tcPr>
          <w:p w14:paraId="53EE3ED2" w14:textId="77777777" w:rsidR="00AE2255" w:rsidRDefault="00000000">
            <w:pPr>
              <w:pStyle w:val="TableParagraph"/>
              <w:ind w:right="70"/>
              <w:rPr>
                <w:b/>
                <w:sz w:val="20"/>
              </w:rPr>
            </w:pPr>
            <w:r>
              <w:rPr>
                <w:b/>
                <w:spacing w:val="-2"/>
                <w:sz w:val="20"/>
              </w:rPr>
              <w:t>(100)</w:t>
            </w:r>
          </w:p>
        </w:tc>
        <w:tc>
          <w:tcPr>
            <w:tcW w:w="975" w:type="dxa"/>
            <w:shd w:val="clear" w:color="auto" w:fill="CCEDFF"/>
          </w:tcPr>
          <w:p w14:paraId="75ECE696" w14:textId="77777777" w:rsidR="00AE2255" w:rsidRDefault="00000000">
            <w:pPr>
              <w:pStyle w:val="TableParagraph"/>
              <w:ind w:right="70"/>
              <w:rPr>
                <w:sz w:val="20"/>
              </w:rPr>
            </w:pPr>
            <w:r>
              <w:rPr>
                <w:spacing w:val="-4"/>
                <w:sz w:val="20"/>
              </w:rPr>
              <w:t>(36)</w:t>
            </w:r>
          </w:p>
        </w:tc>
        <w:tc>
          <w:tcPr>
            <w:tcW w:w="919" w:type="dxa"/>
            <w:shd w:val="clear" w:color="auto" w:fill="CCEDFF"/>
          </w:tcPr>
          <w:p w14:paraId="1C5702B4" w14:textId="77777777" w:rsidR="00AE2255" w:rsidRDefault="00000000">
            <w:pPr>
              <w:pStyle w:val="TableParagraph"/>
              <w:ind w:right="14"/>
              <w:rPr>
                <w:sz w:val="20"/>
              </w:rPr>
            </w:pPr>
            <w:r>
              <w:rPr>
                <w:spacing w:val="-4"/>
                <w:sz w:val="20"/>
              </w:rPr>
              <w:t>(27)</w:t>
            </w:r>
          </w:p>
        </w:tc>
      </w:tr>
      <w:tr w:rsidR="00AE2255" w14:paraId="55C7B82D" w14:textId="77777777">
        <w:trPr>
          <w:trHeight w:val="275"/>
        </w:trPr>
        <w:tc>
          <w:tcPr>
            <w:tcW w:w="6773" w:type="dxa"/>
            <w:tcBorders>
              <w:bottom w:val="single" w:sz="8" w:space="0" w:color="000000"/>
            </w:tcBorders>
          </w:tcPr>
          <w:p w14:paraId="58659340" w14:textId="77777777" w:rsidR="00AE2255" w:rsidRDefault="00000000">
            <w:pPr>
              <w:pStyle w:val="TableParagraph"/>
              <w:spacing w:before="27" w:line="228" w:lineRule="exact"/>
              <w:ind w:left="292"/>
              <w:jc w:val="left"/>
              <w:rPr>
                <w:sz w:val="20"/>
              </w:rPr>
            </w:pPr>
            <w:r>
              <w:rPr>
                <w:sz w:val="20"/>
              </w:rPr>
              <w:t>Other,</w:t>
            </w:r>
            <w:r>
              <w:rPr>
                <w:spacing w:val="-3"/>
                <w:sz w:val="20"/>
              </w:rPr>
              <w:t xml:space="preserve"> </w:t>
            </w:r>
            <w:r>
              <w:rPr>
                <w:sz w:val="20"/>
              </w:rPr>
              <w:t>net</w:t>
            </w:r>
            <w:r>
              <w:rPr>
                <w:spacing w:val="-2"/>
                <w:sz w:val="20"/>
              </w:rPr>
              <w:t xml:space="preserve"> </w:t>
            </w:r>
            <w:r>
              <w:rPr>
                <w:spacing w:val="-5"/>
                <w:sz w:val="20"/>
                <w:vertAlign w:val="superscript"/>
              </w:rPr>
              <w:t>(b)</w:t>
            </w:r>
          </w:p>
        </w:tc>
        <w:tc>
          <w:tcPr>
            <w:tcW w:w="1593" w:type="dxa"/>
            <w:tcBorders>
              <w:bottom w:val="single" w:sz="8" w:space="0" w:color="000000"/>
            </w:tcBorders>
          </w:tcPr>
          <w:p w14:paraId="4BCED0BF" w14:textId="77777777" w:rsidR="00AE2255" w:rsidRDefault="00000000">
            <w:pPr>
              <w:pStyle w:val="TableParagraph"/>
              <w:spacing w:line="230" w:lineRule="exact"/>
              <w:ind w:right="70"/>
              <w:rPr>
                <w:b/>
                <w:sz w:val="20"/>
              </w:rPr>
            </w:pPr>
            <w:r>
              <w:rPr>
                <w:b/>
                <w:spacing w:val="-2"/>
                <w:sz w:val="20"/>
              </w:rPr>
              <w:t>(480)</w:t>
            </w:r>
          </w:p>
        </w:tc>
        <w:tc>
          <w:tcPr>
            <w:tcW w:w="975" w:type="dxa"/>
            <w:tcBorders>
              <w:bottom w:val="single" w:sz="8" w:space="0" w:color="000000"/>
            </w:tcBorders>
          </w:tcPr>
          <w:p w14:paraId="582B08B3" w14:textId="77777777" w:rsidR="00AE2255" w:rsidRDefault="00000000">
            <w:pPr>
              <w:pStyle w:val="TableParagraph"/>
              <w:spacing w:line="230" w:lineRule="exact"/>
              <w:ind w:right="70"/>
              <w:rPr>
                <w:sz w:val="20"/>
              </w:rPr>
            </w:pPr>
            <w:r>
              <w:rPr>
                <w:spacing w:val="-2"/>
                <w:sz w:val="20"/>
              </w:rPr>
              <w:t>(180)</w:t>
            </w:r>
          </w:p>
        </w:tc>
        <w:tc>
          <w:tcPr>
            <w:tcW w:w="919" w:type="dxa"/>
            <w:tcBorders>
              <w:bottom w:val="single" w:sz="8" w:space="0" w:color="000000"/>
            </w:tcBorders>
          </w:tcPr>
          <w:p w14:paraId="05F9A8A7" w14:textId="77777777" w:rsidR="00AE2255" w:rsidRDefault="00000000">
            <w:pPr>
              <w:pStyle w:val="TableParagraph"/>
              <w:spacing w:line="230" w:lineRule="exact"/>
              <w:ind w:right="14"/>
              <w:rPr>
                <w:sz w:val="20"/>
              </w:rPr>
            </w:pPr>
            <w:r>
              <w:rPr>
                <w:spacing w:val="-2"/>
                <w:sz w:val="20"/>
              </w:rPr>
              <w:t>(357)</w:t>
            </w:r>
          </w:p>
        </w:tc>
      </w:tr>
      <w:tr w:rsidR="00AE2255" w14:paraId="36E5FA93" w14:textId="77777777">
        <w:trPr>
          <w:trHeight w:val="265"/>
        </w:trPr>
        <w:tc>
          <w:tcPr>
            <w:tcW w:w="6773" w:type="dxa"/>
            <w:tcBorders>
              <w:top w:val="single" w:sz="8" w:space="0" w:color="000000"/>
              <w:bottom w:val="single" w:sz="8" w:space="0" w:color="CCEDFF"/>
            </w:tcBorders>
            <w:shd w:val="clear" w:color="auto" w:fill="CCEDFF"/>
          </w:tcPr>
          <w:p w14:paraId="69F18850" w14:textId="77777777" w:rsidR="00AE2255" w:rsidRDefault="00000000">
            <w:pPr>
              <w:pStyle w:val="TableParagraph"/>
              <w:spacing w:before="17" w:line="228" w:lineRule="exact"/>
              <w:ind w:left="412"/>
              <w:jc w:val="left"/>
              <w:rPr>
                <w:sz w:val="20"/>
              </w:rPr>
            </w:pPr>
            <w:r>
              <w:rPr>
                <w:sz w:val="20"/>
              </w:rPr>
              <w:t>Total</w:t>
            </w:r>
            <w:r>
              <w:rPr>
                <w:spacing w:val="-6"/>
                <w:sz w:val="20"/>
              </w:rPr>
              <w:t xml:space="preserve"> </w:t>
            </w:r>
            <w:r>
              <w:rPr>
                <w:sz w:val="20"/>
              </w:rPr>
              <w:t>unallocated,</w:t>
            </w:r>
            <w:r>
              <w:rPr>
                <w:spacing w:val="-5"/>
                <w:sz w:val="20"/>
              </w:rPr>
              <w:t xml:space="preserve"> net</w:t>
            </w:r>
          </w:p>
        </w:tc>
        <w:tc>
          <w:tcPr>
            <w:tcW w:w="1593" w:type="dxa"/>
            <w:tcBorders>
              <w:top w:val="single" w:sz="8" w:space="0" w:color="000000"/>
              <w:bottom w:val="single" w:sz="8" w:space="0" w:color="CCEDFF"/>
            </w:tcBorders>
            <w:shd w:val="clear" w:color="auto" w:fill="CCEDFF"/>
          </w:tcPr>
          <w:p w14:paraId="72074977" w14:textId="77777777" w:rsidR="00AE2255" w:rsidRDefault="00000000">
            <w:pPr>
              <w:pStyle w:val="TableParagraph"/>
              <w:spacing w:before="15" w:line="230" w:lineRule="exact"/>
              <w:ind w:right="135"/>
              <w:rPr>
                <w:b/>
                <w:sz w:val="20"/>
              </w:rPr>
            </w:pPr>
            <w:r>
              <w:rPr>
                <w:b/>
                <w:spacing w:val="-2"/>
                <w:sz w:val="20"/>
              </w:rPr>
              <w:t>1,129</w:t>
            </w:r>
          </w:p>
        </w:tc>
        <w:tc>
          <w:tcPr>
            <w:tcW w:w="975" w:type="dxa"/>
            <w:tcBorders>
              <w:top w:val="single" w:sz="8" w:space="0" w:color="000000"/>
              <w:bottom w:val="single" w:sz="8" w:space="0" w:color="CCEDFF"/>
            </w:tcBorders>
            <w:shd w:val="clear" w:color="auto" w:fill="CCEDFF"/>
          </w:tcPr>
          <w:p w14:paraId="1C9A435B" w14:textId="77777777" w:rsidR="00AE2255" w:rsidRDefault="00000000">
            <w:pPr>
              <w:pStyle w:val="TableParagraph"/>
              <w:spacing w:before="15" w:line="230" w:lineRule="exact"/>
              <w:ind w:left="387"/>
              <w:jc w:val="left"/>
              <w:rPr>
                <w:sz w:val="20"/>
              </w:rPr>
            </w:pPr>
            <w:r>
              <w:rPr>
                <w:spacing w:val="-2"/>
                <w:sz w:val="20"/>
              </w:rPr>
              <w:t>1,744</w:t>
            </w:r>
          </w:p>
        </w:tc>
        <w:tc>
          <w:tcPr>
            <w:tcW w:w="919" w:type="dxa"/>
            <w:tcBorders>
              <w:top w:val="single" w:sz="8" w:space="0" w:color="000000"/>
              <w:bottom w:val="single" w:sz="8" w:space="0" w:color="CCEDFF"/>
            </w:tcBorders>
            <w:shd w:val="clear" w:color="auto" w:fill="CCEDFF"/>
          </w:tcPr>
          <w:p w14:paraId="6516CDE7" w14:textId="77777777" w:rsidR="00AE2255" w:rsidRDefault="00000000">
            <w:pPr>
              <w:pStyle w:val="TableParagraph"/>
              <w:spacing w:before="15" w:line="230" w:lineRule="exact"/>
              <w:ind w:right="79"/>
              <w:rPr>
                <w:sz w:val="20"/>
              </w:rPr>
            </w:pPr>
            <w:r>
              <w:rPr>
                <w:spacing w:val="-2"/>
                <w:sz w:val="20"/>
              </w:rPr>
              <w:t>1,492</w:t>
            </w:r>
          </w:p>
        </w:tc>
      </w:tr>
      <w:tr w:rsidR="00AE2255" w14:paraId="7F3A8D59" w14:textId="77777777">
        <w:trPr>
          <w:trHeight w:val="252"/>
        </w:trPr>
        <w:tc>
          <w:tcPr>
            <w:tcW w:w="6773" w:type="dxa"/>
            <w:tcBorders>
              <w:top w:val="single" w:sz="8" w:space="0" w:color="auto"/>
              <w:bottom w:val="single" w:sz="18" w:space="0" w:color="000000"/>
            </w:tcBorders>
          </w:tcPr>
          <w:p w14:paraId="2FCAA335" w14:textId="77777777" w:rsidR="00AE2255" w:rsidRDefault="00000000">
            <w:pPr>
              <w:pStyle w:val="TableParagraph"/>
              <w:spacing w:before="17" w:line="216" w:lineRule="exact"/>
              <w:ind w:left="412"/>
              <w:jc w:val="left"/>
              <w:rPr>
                <w:sz w:val="20"/>
              </w:rPr>
            </w:pPr>
            <w:r>
              <w:rPr>
                <w:sz w:val="20"/>
              </w:rPr>
              <w:t>Total</w:t>
            </w:r>
            <w:r>
              <w:rPr>
                <w:spacing w:val="-6"/>
                <w:sz w:val="20"/>
              </w:rPr>
              <w:t xml:space="preserve"> </w:t>
            </w:r>
            <w:r>
              <w:rPr>
                <w:sz w:val="20"/>
              </w:rPr>
              <w:t>consolidated</w:t>
            </w:r>
            <w:r>
              <w:rPr>
                <w:spacing w:val="-5"/>
                <w:sz w:val="20"/>
              </w:rPr>
              <w:t xml:space="preserve"> </w:t>
            </w:r>
            <w:r>
              <w:rPr>
                <w:sz w:val="20"/>
              </w:rPr>
              <w:t>operating</w:t>
            </w:r>
            <w:r>
              <w:rPr>
                <w:spacing w:val="-4"/>
                <w:sz w:val="20"/>
              </w:rPr>
              <w:t xml:space="preserve"> </w:t>
            </w:r>
            <w:r>
              <w:rPr>
                <w:spacing w:val="-2"/>
                <w:sz w:val="20"/>
              </w:rPr>
              <w:t>profit</w:t>
            </w:r>
          </w:p>
        </w:tc>
        <w:tc>
          <w:tcPr>
            <w:tcW w:w="1593" w:type="dxa"/>
            <w:tcBorders>
              <w:top w:val="single" w:sz="8" w:space="0" w:color="auto"/>
              <w:bottom w:val="single" w:sz="18" w:space="0" w:color="000000"/>
            </w:tcBorders>
          </w:tcPr>
          <w:p w14:paraId="0BE3FEE0" w14:textId="77777777" w:rsidR="00AE2255" w:rsidRDefault="00000000">
            <w:pPr>
              <w:pStyle w:val="TableParagraph"/>
              <w:tabs>
                <w:tab w:val="left" w:pos="315"/>
              </w:tabs>
              <w:spacing w:before="15" w:line="217" w:lineRule="exact"/>
              <w:ind w:right="135"/>
              <w:rPr>
                <w:b/>
                <w:sz w:val="20"/>
              </w:rPr>
            </w:pPr>
            <w:r>
              <w:rPr>
                <w:b/>
                <w:spacing w:val="-10"/>
                <w:sz w:val="20"/>
              </w:rPr>
              <w:t>$</w:t>
            </w:r>
            <w:r>
              <w:rPr>
                <w:b/>
                <w:sz w:val="20"/>
              </w:rPr>
              <w:tab/>
            </w:r>
            <w:r>
              <w:rPr>
                <w:b/>
                <w:spacing w:val="-2"/>
                <w:sz w:val="20"/>
              </w:rPr>
              <w:t>8,348</w:t>
            </w:r>
          </w:p>
        </w:tc>
        <w:tc>
          <w:tcPr>
            <w:tcW w:w="975" w:type="dxa"/>
            <w:tcBorders>
              <w:top w:val="single" w:sz="8" w:space="0" w:color="auto"/>
              <w:bottom w:val="single" w:sz="18" w:space="0" w:color="000000"/>
            </w:tcBorders>
          </w:tcPr>
          <w:p w14:paraId="44B589F4" w14:textId="77777777" w:rsidR="00AE2255" w:rsidRDefault="00000000">
            <w:pPr>
              <w:pStyle w:val="TableParagraph"/>
              <w:tabs>
                <w:tab w:val="left" w:pos="387"/>
              </w:tabs>
              <w:spacing w:before="15" w:line="217" w:lineRule="exact"/>
              <w:ind w:left="71"/>
              <w:jc w:val="left"/>
              <w:rPr>
                <w:sz w:val="20"/>
              </w:rPr>
            </w:pPr>
            <w:r>
              <w:rPr>
                <w:spacing w:val="-10"/>
                <w:sz w:val="20"/>
              </w:rPr>
              <w:t>$</w:t>
            </w:r>
            <w:r>
              <w:rPr>
                <w:sz w:val="20"/>
              </w:rPr>
              <w:tab/>
            </w:r>
            <w:r>
              <w:rPr>
                <w:spacing w:val="-2"/>
                <w:sz w:val="20"/>
              </w:rPr>
              <w:t>9,123</w:t>
            </w:r>
          </w:p>
        </w:tc>
        <w:tc>
          <w:tcPr>
            <w:tcW w:w="919" w:type="dxa"/>
            <w:tcBorders>
              <w:top w:val="single" w:sz="8" w:space="0" w:color="auto"/>
              <w:bottom w:val="single" w:sz="18" w:space="0" w:color="000000"/>
            </w:tcBorders>
          </w:tcPr>
          <w:p w14:paraId="037A206C" w14:textId="77777777" w:rsidR="00AE2255" w:rsidRDefault="00000000">
            <w:pPr>
              <w:pStyle w:val="TableParagraph"/>
              <w:tabs>
                <w:tab w:val="left" w:pos="315"/>
              </w:tabs>
              <w:spacing w:before="15" w:line="217" w:lineRule="exact"/>
              <w:ind w:right="79"/>
              <w:rPr>
                <w:sz w:val="20"/>
              </w:rPr>
            </w:pPr>
            <w:r>
              <w:rPr>
                <w:spacing w:val="-10"/>
                <w:sz w:val="20"/>
              </w:rPr>
              <w:t>$</w:t>
            </w:r>
            <w:r>
              <w:rPr>
                <w:sz w:val="20"/>
              </w:rPr>
              <w:tab/>
            </w:r>
            <w:r>
              <w:rPr>
                <w:spacing w:val="-2"/>
                <w:sz w:val="20"/>
              </w:rPr>
              <w:t>8,644</w:t>
            </w:r>
          </w:p>
        </w:tc>
      </w:tr>
    </w:tbl>
    <w:p w14:paraId="044D7F6E" w14:textId="77777777" w:rsidR="00AE2255" w:rsidRDefault="00000000">
      <w:pPr>
        <w:spacing w:before="35" w:line="249" w:lineRule="auto"/>
        <w:ind w:left="970" w:right="425" w:hanging="360"/>
        <w:jc w:val="both"/>
        <w:rPr>
          <w:sz w:val="18"/>
        </w:rPr>
      </w:pPr>
      <w:r>
        <w:rPr>
          <w:sz w:val="18"/>
        </w:rPr>
        <w:t>(a)</w:t>
      </w:r>
      <w:r>
        <w:rPr>
          <w:spacing w:val="80"/>
          <w:sz w:val="18"/>
        </w:rPr>
        <w:t xml:space="preserve"> </w:t>
      </w:r>
      <w:r>
        <w:rPr>
          <w:sz w:val="18"/>
        </w:rPr>
        <w:t>Severance and other charges in 2022 include $100 million ($79 million, or $0.31 per share, after-tax) charge related to actions at our</w:t>
      </w:r>
      <w:r>
        <w:rPr>
          <w:spacing w:val="40"/>
          <w:sz w:val="18"/>
        </w:rPr>
        <w:t xml:space="preserve"> </w:t>
      </w:r>
      <w:r>
        <w:rPr>
          <w:sz w:val="18"/>
        </w:rPr>
        <w:t>RMS</w:t>
      </w:r>
      <w:r>
        <w:rPr>
          <w:spacing w:val="-2"/>
          <w:sz w:val="18"/>
        </w:rPr>
        <w:t xml:space="preserve"> </w:t>
      </w:r>
      <w:r>
        <w:rPr>
          <w:sz w:val="18"/>
        </w:rPr>
        <w:t>business</w:t>
      </w:r>
      <w:r>
        <w:rPr>
          <w:spacing w:val="-2"/>
          <w:sz w:val="18"/>
        </w:rPr>
        <w:t xml:space="preserve"> </w:t>
      </w:r>
      <w:r>
        <w:rPr>
          <w:sz w:val="18"/>
        </w:rPr>
        <w:t>segment,</w:t>
      </w:r>
      <w:r>
        <w:rPr>
          <w:spacing w:val="-2"/>
          <w:sz w:val="18"/>
        </w:rPr>
        <w:t xml:space="preserve"> </w:t>
      </w:r>
      <w:r>
        <w:rPr>
          <w:sz w:val="18"/>
        </w:rPr>
        <w:t>which</w:t>
      </w:r>
      <w:r>
        <w:rPr>
          <w:spacing w:val="-2"/>
          <w:sz w:val="18"/>
        </w:rPr>
        <w:t xml:space="preserve"> </w:t>
      </w:r>
      <w:r>
        <w:rPr>
          <w:sz w:val="18"/>
        </w:rPr>
        <w:t>include</w:t>
      </w:r>
      <w:r>
        <w:rPr>
          <w:spacing w:val="-2"/>
          <w:sz w:val="18"/>
        </w:rPr>
        <w:t xml:space="preserve"> </w:t>
      </w:r>
      <w:r>
        <w:rPr>
          <w:sz w:val="18"/>
        </w:rPr>
        <w:t>severance</w:t>
      </w:r>
      <w:r>
        <w:rPr>
          <w:spacing w:val="-2"/>
          <w:sz w:val="18"/>
        </w:rPr>
        <w:t xml:space="preserve"> </w:t>
      </w:r>
      <w:r>
        <w:rPr>
          <w:sz w:val="18"/>
        </w:rPr>
        <w:t>costs</w:t>
      </w:r>
      <w:r>
        <w:rPr>
          <w:spacing w:val="-2"/>
          <w:sz w:val="18"/>
        </w:rPr>
        <w:t xml:space="preserve"> </w:t>
      </w:r>
      <w:r>
        <w:rPr>
          <w:sz w:val="18"/>
        </w:rPr>
        <w:t>for</w:t>
      </w:r>
      <w:r>
        <w:rPr>
          <w:spacing w:val="-2"/>
          <w:sz w:val="18"/>
        </w:rPr>
        <w:t xml:space="preserve"> </w:t>
      </w:r>
      <w:r>
        <w:rPr>
          <w:sz w:val="18"/>
        </w:rPr>
        <w:t>reduction</w:t>
      </w:r>
      <w:r>
        <w:rPr>
          <w:spacing w:val="-2"/>
          <w:sz w:val="18"/>
        </w:rPr>
        <w:t xml:space="preserve"> </w:t>
      </w:r>
      <w:r>
        <w:rPr>
          <w:sz w:val="18"/>
        </w:rPr>
        <w:t>of</w:t>
      </w:r>
      <w:r>
        <w:rPr>
          <w:spacing w:val="-2"/>
          <w:sz w:val="18"/>
        </w:rPr>
        <w:t xml:space="preserve"> </w:t>
      </w:r>
      <w:r>
        <w:rPr>
          <w:sz w:val="18"/>
        </w:rPr>
        <w:t>positions</w:t>
      </w:r>
      <w:r>
        <w:rPr>
          <w:spacing w:val="-2"/>
          <w:sz w:val="18"/>
        </w:rPr>
        <w:t xml:space="preserve"> </w:t>
      </w:r>
      <w:r>
        <w:rPr>
          <w:sz w:val="18"/>
        </w:rPr>
        <w:t>and</w:t>
      </w:r>
      <w:r>
        <w:rPr>
          <w:spacing w:val="-2"/>
          <w:sz w:val="18"/>
        </w:rPr>
        <w:t xml:space="preserve"> </w:t>
      </w:r>
      <w:r>
        <w:rPr>
          <w:sz w:val="18"/>
        </w:rPr>
        <w:t>asset</w:t>
      </w:r>
      <w:r>
        <w:rPr>
          <w:spacing w:val="-2"/>
          <w:sz w:val="18"/>
        </w:rPr>
        <w:t xml:space="preserve"> </w:t>
      </w:r>
      <w:r>
        <w:rPr>
          <w:sz w:val="18"/>
        </w:rPr>
        <w:t>impairment</w:t>
      </w:r>
      <w:r>
        <w:rPr>
          <w:spacing w:val="-2"/>
          <w:sz w:val="18"/>
        </w:rPr>
        <w:t xml:space="preserve"> </w:t>
      </w:r>
      <w:r>
        <w:rPr>
          <w:sz w:val="18"/>
        </w:rPr>
        <w:t>charges;</w:t>
      </w:r>
      <w:r>
        <w:rPr>
          <w:spacing w:val="-7"/>
          <w:sz w:val="18"/>
        </w:rPr>
        <w:t xml:space="preserve"> </w:t>
      </w:r>
      <w:r>
        <w:rPr>
          <w:sz w:val="18"/>
        </w:rPr>
        <w:t>$36</w:t>
      </w:r>
      <w:r>
        <w:rPr>
          <w:spacing w:val="-2"/>
          <w:sz w:val="18"/>
        </w:rPr>
        <w:t xml:space="preserve"> </w:t>
      </w:r>
      <w:r>
        <w:rPr>
          <w:sz w:val="18"/>
        </w:rPr>
        <w:t>million</w:t>
      </w:r>
      <w:r>
        <w:rPr>
          <w:spacing w:val="-2"/>
          <w:sz w:val="18"/>
        </w:rPr>
        <w:t xml:space="preserve"> </w:t>
      </w:r>
      <w:r>
        <w:rPr>
          <w:sz w:val="18"/>
        </w:rPr>
        <w:t>($28</w:t>
      </w:r>
      <w:r>
        <w:rPr>
          <w:spacing w:val="-2"/>
          <w:sz w:val="18"/>
        </w:rPr>
        <w:t xml:space="preserve"> </w:t>
      </w:r>
      <w:r>
        <w:rPr>
          <w:sz w:val="18"/>
        </w:rPr>
        <w:t>million, or $0.10 per share, after-tax) charge during 2021 associated with plans to close and consolidate certain facilities and reduce total workforce within our RMS business segment; and $27 million ($21 million, or $0.08 per share, after-tax) charge during 2020 related to the planned elimination of certain positions primarily at our corporate functions.</w:t>
      </w:r>
    </w:p>
    <w:p w14:paraId="2C1E483F" w14:textId="77777777" w:rsidR="00AE2255" w:rsidRDefault="00000000">
      <w:pPr>
        <w:spacing w:before="4" w:line="249" w:lineRule="auto"/>
        <w:ind w:left="970" w:right="430" w:hanging="360"/>
        <w:jc w:val="both"/>
        <w:rPr>
          <w:sz w:val="18"/>
        </w:rPr>
      </w:pPr>
      <w:r>
        <w:rPr>
          <w:sz w:val="18"/>
          <w:vertAlign w:val="superscript"/>
        </w:rPr>
        <w:t>(b)</w:t>
      </w:r>
      <w:r>
        <w:rPr>
          <w:spacing w:val="64"/>
          <w:sz w:val="18"/>
        </w:rPr>
        <w:t xml:space="preserve">  </w:t>
      </w:r>
      <w:r>
        <w:rPr>
          <w:sz w:val="18"/>
        </w:rPr>
        <w:t>Other, net in 2020 includes a noncash impairment charge of $128 million ($96 million, or $0.34 per share, after-tax) for our investment</w:t>
      </w:r>
      <w:r>
        <w:rPr>
          <w:spacing w:val="40"/>
          <w:sz w:val="18"/>
        </w:rPr>
        <w:t xml:space="preserve"> </w:t>
      </w:r>
      <w:r>
        <w:rPr>
          <w:sz w:val="18"/>
        </w:rPr>
        <w:t>in the international equity method investee, AMMROC. (See “Note 1 – Organization and Significant Accounting Policies”).</w:t>
      </w:r>
    </w:p>
    <w:p w14:paraId="20C675F3" w14:textId="77777777" w:rsidR="00AE2255" w:rsidRDefault="00AE2255">
      <w:pPr>
        <w:pStyle w:val="BodyText"/>
        <w:spacing w:before="2"/>
        <w:rPr>
          <w:sz w:val="18"/>
        </w:rPr>
      </w:pPr>
    </w:p>
    <w:p w14:paraId="78A7B5AE" w14:textId="77777777" w:rsidR="00AE2255" w:rsidRDefault="00000000">
      <w:pPr>
        <w:pStyle w:val="Heading3"/>
      </w:pPr>
      <w:r>
        <w:t>Unallocated</w:t>
      </w:r>
      <w:r>
        <w:rPr>
          <w:spacing w:val="-7"/>
        </w:rPr>
        <w:t xml:space="preserve"> </w:t>
      </w:r>
      <w:r>
        <w:rPr>
          <w:spacing w:val="-2"/>
        </w:rPr>
        <w:t>Items</w:t>
      </w:r>
    </w:p>
    <w:p w14:paraId="54F1BC36" w14:textId="77777777" w:rsidR="00AE2255" w:rsidRDefault="00AE2255">
      <w:pPr>
        <w:pStyle w:val="BodyText"/>
        <w:spacing w:before="2"/>
        <w:rPr>
          <w:b/>
          <w:i/>
          <w:sz w:val="23"/>
        </w:rPr>
      </w:pPr>
    </w:p>
    <w:p w14:paraId="58CE41F3" w14:textId="77777777" w:rsidR="00AE2255" w:rsidRDefault="00000000">
      <w:pPr>
        <w:pStyle w:val="BodyText"/>
        <w:spacing w:line="223" w:lineRule="auto"/>
        <w:ind w:left="610" w:right="429" w:firstLine="360"/>
        <w:jc w:val="both"/>
      </w:pPr>
      <w:r>
        <w:t>Business segment operating profit excludes the FAS/CAS pension operating adjustment described below, a portion of corporate costs not considered allowable or allocable to contracts with the U.S. Government under the applicable U.S. Government cost accounting standards (CAS) or federal acquisition regulations (FAR), and other items not considered part of management’s evaluation of segment operating performance such as a portion of management and administration costs, legal fees</w:t>
      </w:r>
      <w:r>
        <w:rPr>
          <w:spacing w:val="-1"/>
        </w:rPr>
        <w:t xml:space="preserve"> </w:t>
      </w:r>
      <w:r>
        <w:t>and</w:t>
      </w:r>
      <w:r>
        <w:rPr>
          <w:spacing w:val="-1"/>
        </w:rPr>
        <w:t xml:space="preserve"> </w:t>
      </w:r>
      <w:r>
        <w:t>settlements,</w:t>
      </w:r>
      <w:r>
        <w:rPr>
          <w:spacing w:val="-1"/>
        </w:rPr>
        <w:t xml:space="preserve"> </w:t>
      </w:r>
      <w:r>
        <w:t>environmental</w:t>
      </w:r>
      <w:r>
        <w:rPr>
          <w:spacing w:val="-1"/>
        </w:rPr>
        <w:t xml:space="preserve"> </w:t>
      </w:r>
      <w:r>
        <w:t>costs,</w:t>
      </w:r>
      <w:r>
        <w:rPr>
          <w:spacing w:val="-1"/>
        </w:rPr>
        <w:t xml:space="preserve"> </w:t>
      </w:r>
      <w:r>
        <w:t>stock-based</w:t>
      </w:r>
      <w:r>
        <w:rPr>
          <w:spacing w:val="-1"/>
        </w:rPr>
        <w:t xml:space="preserve"> </w:t>
      </w:r>
      <w:r>
        <w:t>compensation</w:t>
      </w:r>
      <w:r>
        <w:rPr>
          <w:spacing w:val="-1"/>
        </w:rPr>
        <w:t xml:space="preserve"> </w:t>
      </w:r>
      <w:r>
        <w:t>expense,</w:t>
      </w:r>
      <w:r>
        <w:rPr>
          <w:spacing w:val="-1"/>
        </w:rPr>
        <w:t xml:space="preserve"> </w:t>
      </w:r>
      <w:r>
        <w:t>changes</w:t>
      </w:r>
      <w:r>
        <w:rPr>
          <w:spacing w:val="-1"/>
        </w:rPr>
        <w:t xml:space="preserve"> </w:t>
      </w:r>
      <w:r>
        <w:t>in</w:t>
      </w:r>
      <w:r>
        <w:rPr>
          <w:spacing w:val="-1"/>
        </w:rPr>
        <w:t xml:space="preserve"> </w:t>
      </w:r>
      <w:r>
        <w:t>the</w:t>
      </w:r>
      <w:r>
        <w:rPr>
          <w:spacing w:val="-1"/>
        </w:rPr>
        <w:t xml:space="preserve"> </w:t>
      </w:r>
      <w:r>
        <w:t>fair</w:t>
      </w:r>
      <w:r>
        <w:rPr>
          <w:spacing w:val="-1"/>
        </w:rPr>
        <w:t xml:space="preserve"> </w:t>
      </w:r>
      <w:r>
        <w:t>value</w:t>
      </w:r>
      <w:r>
        <w:rPr>
          <w:spacing w:val="-1"/>
        </w:rPr>
        <w:t xml:space="preserve"> </w:t>
      </w:r>
      <w:r>
        <w:t>of</w:t>
      </w:r>
      <w:r>
        <w:rPr>
          <w:spacing w:val="-1"/>
        </w:rPr>
        <w:t xml:space="preserve"> </w:t>
      </w:r>
      <w:r>
        <w:t>investments</w:t>
      </w:r>
      <w:r>
        <w:rPr>
          <w:spacing w:val="-1"/>
        </w:rPr>
        <w:t xml:space="preserve"> </w:t>
      </w:r>
      <w:r>
        <w:t>held</w:t>
      </w:r>
      <w:r>
        <w:rPr>
          <w:spacing w:val="-1"/>
        </w:rPr>
        <w:t xml:space="preserve"> </w:t>
      </w:r>
      <w:r>
        <w:t>in</w:t>
      </w:r>
      <w:r>
        <w:rPr>
          <w:spacing w:val="-1"/>
        </w:rPr>
        <w:t xml:space="preserve"> </w:t>
      </w:r>
      <w:r>
        <w:t>a</w:t>
      </w:r>
    </w:p>
    <w:p w14:paraId="7BC4FB6A" w14:textId="77777777" w:rsidR="00AE2255" w:rsidRDefault="00AE2255">
      <w:pPr>
        <w:spacing w:line="223" w:lineRule="auto"/>
        <w:jc w:val="both"/>
        <w:sectPr w:rsidR="00AE2255">
          <w:pgSz w:w="12240" w:h="15840"/>
          <w:pgMar w:top="440" w:right="560" w:bottom="720" w:left="380" w:header="230" w:footer="531" w:gutter="0"/>
          <w:cols w:space="720"/>
        </w:sectPr>
      </w:pPr>
    </w:p>
    <w:p w14:paraId="4EEE002D" w14:textId="77777777" w:rsidR="00AE2255" w:rsidRDefault="00AE2255">
      <w:pPr>
        <w:pStyle w:val="BodyText"/>
        <w:spacing w:before="10"/>
        <w:rPr>
          <w:sz w:val="22"/>
        </w:rPr>
      </w:pPr>
    </w:p>
    <w:p w14:paraId="1B89A321" w14:textId="77777777" w:rsidR="00AE2255" w:rsidRDefault="00000000">
      <w:pPr>
        <w:pStyle w:val="BodyText"/>
        <w:spacing w:before="105" w:line="223" w:lineRule="auto"/>
        <w:ind w:left="610" w:right="428"/>
        <w:jc w:val="both"/>
      </w:pPr>
      <w:r>
        <w:t>trust for deferred compensation plans, retiree benefits, significant severance actions, significant asset impairments, gains or losses from divestitures, and other miscellaneous corporate activities. Excluded items are included in the reconciling item “Unallocated items” between operating profit from our business segments and our consolidated operating profit. See “Note 1 – Organization and Significant Accounting Policies” (under the caption “Use of Estimates”) for a discussion related to certain factors that may impact the comparability of net sales and operating profit of our business segments.</w:t>
      </w:r>
    </w:p>
    <w:p w14:paraId="0A43E83B" w14:textId="77777777" w:rsidR="00AE2255" w:rsidRDefault="00AE2255">
      <w:pPr>
        <w:pStyle w:val="BodyText"/>
        <w:spacing w:before="1"/>
        <w:rPr>
          <w:sz w:val="18"/>
        </w:rPr>
      </w:pPr>
    </w:p>
    <w:p w14:paraId="6A30DE99" w14:textId="77777777" w:rsidR="00AE2255" w:rsidRDefault="00000000">
      <w:pPr>
        <w:pStyle w:val="Heading3"/>
        <w:jc w:val="both"/>
      </w:pPr>
      <w:r>
        <w:t>FAS/CAS</w:t>
      </w:r>
      <w:r>
        <w:rPr>
          <w:spacing w:val="-7"/>
        </w:rPr>
        <w:t xml:space="preserve"> </w:t>
      </w:r>
      <w:r>
        <w:t>Pension</w:t>
      </w:r>
      <w:r>
        <w:rPr>
          <w:spacing w:val="-7"/>
        </w:rPr>
        <w:t xml:space="preserve"> </w:t>
      </w:r>
      <w:r>
        <w:t>Operating</w:t>
      </w:r>
      <w:r>
        <w:rPr>
          <w:spacing w:val="-5"/>
        </w:rPr>
        <w:t xml:space="preserve"> </w:t>
      </w:r>
      <w:r>
        <w:rPr>
          <w:spacing w:val="-2"/>
        </w:rPr>
        <w:t>Adjustment</w:t>
      </w:r>
    </w:p>
    <w:p w14:paraId="6FD87224" w14:textId="77777777" w:rsidR="00AE2255" w:rsidRDefault="00AE2255">
      <w:pPr>
        <w:pStyle w:val="BodyText"/>
        <w:rPr>
          <w:b/>
          <w:i/>
          <w:sz w:val="22"/>
        </w:rPr>
      </w:pPr>
    </w:p>
    <w:p w14:paraId="5D9FB1C2" w14:textId="77777777" w:rsidR="00AE2255" w:rsidRDefault="00000000">
      <w:pPr>
        <w:pStyle w:val="BodyText"/>
        <w:spacing w:line="249" w:lineRule="auto"/>
        <w:ind w:left="610" w:right="427" w:firstLine="360"/>
        <w:jc w:val="both"/>
      </w:pPr>
      <w:r>
        <w:t>Our business segments’ results of operations include pension expense only as calculated under U.S. Government Cost Accounting Standards (CAS), which we refer to as CAS pension cost. We recover CAS pension and other postretirement</w:t>
      </w:r>
      <w:r>
        <w:rPr>
          <w:spacing w:val="40"/>
        </w:rPr>
        <w:t xml:space="preserve"> </w:t>
      </w:r>
      <w:r>
        <w:t>benefit plan cost through the pricing of our products and services on U.S. Government contracts and, therefore, recognize CAS pension cost in each of our business segment’s net sales and cost of sales. Our consolidated financial statements must present pension and other postretirement benefit plan (expense) income calculated in accordance with Financial Accounting Standards (FAS) requirements under U.S. GAAP. The operating portion of the total FAS/CAS pension adjustment represents the difference between the service cost component of FAS pension (expense) income and total CAS pension cost. The non-service FAS pension (expense) income components are included in non-service FAS pension (expense) income in our consolidated statements of earnings. As a result, to the extent that CAS pension cost exceeds the service cost component of FAS pension (expense) income, we have a favorable FAS/CAS pension operating adjustment.</w:t>
      </w:r>
    </w:p>
    <w:p w14:paraId="527341DB" w14:textId="77777777" w:rsidR="00AE2255" w:rsidRDefault="00AE2255">
      <w:pPr>
        <w:pStyle w:val="BodyText"/>
        <w:spacing w:before="1"/>
        <w:rPr>
          <w:sz w:val="22"/>
        </w:rPr>
      </w:pPr>
    </w:p>
    <w:p w14:paraId="2AB25B5B" w14:textId="77777777" w:rsidR="00AE2255" w:rsidRDefault="00000000">
      <w:pPr>
        <w:pStyle w:val="BodyText"/>
        <w:spacing w:line="232" w:lineRule="auto"/>
        <w:ind w:left="610" w:right="428" w:firstLine="360"/>
        <w:jc w:val="both"/>
      </w:pPr>
      <w:r>
        <w:t>The</w:t>
      </w:r>
      <w:r>
        <w:rPr>
          <w:spacing w:val="-1"/>
        </w:rPr>
        <w:t xml:space="preserve"> </w:t>
      </w:r>
      <w:r>
        <w:t>total</w:t>
      </w:r>
      <w:r>
        <w:rPr>
          <w:spacing w:val="-1"/>
        </w:rPr>
        <w:t xml:space="preserve"> </w:t>
      </w:r>
      <w:r>
        <w:t>FAS/CAS</w:t>
      </w:r>
      <w:r>
        <w:rPr>
          <w:spacing w:val="-1"/>
        </w:rPr>
        <w:t xml:space="preserve"> </w:t>
      </w:r>
      <w:r>
        <w:t>pension</w:t>
      </w:r>
      <w:r>
        <w:rPr>
          <w:spacing w:val="-1"/>
        </w:rPr>
        <w:t xml:space="preserve"> </w:t>
      </w:r>
      <w:r>
        <w:t>adjustments,</w:t>
      </w:r>
      <w:r>
        <w:rPr>
          <w:spacing w:val="-1"/>
        </w:rPr>
        <w:t xml:space="preserve"> </w:t>
      </w:r>
      <w:r>
        <w:t>including</w:t>
      </w:r>
      <w:r>
        <w:rPr>
          <w:spacing w:val="-1"/>
        </w:rPr>
        <w:t xml:space="preserve"> </w:t>
      </w:r>
      <w:r>
        <w:t>the</w:t>
      </w:r>
      <w:r>
        <w:rPr>
          <w:spacing w:val="-1"/>
        </w:rPr>
        <w:t xml:space="preserve"> </w:t>
      </w:r>
      <w:r>
        <w:t>service</w:t>
      </w:r>
      <w:r>
        <w:rPr>
          <w:spacing w:val="-1"/>
        </w:rPr>
        <w:t xml:space="preserve"> </w:t>
      </w:r>
      <w:r>
        <w:t>and</w:t>
      </w:r>
      <w:r>
        <w:rPr>
          <w:spacing w:val="-1"/>
        </w:rPr>
        <w:t xml:space="preserve"> </w:t>
      </w:r>
      <w:r>
        <w:t>non-service</w:t>
      </w:r>
      <w:r>
        <w:rPr>
          <w:spacing w:val="-1"/>
        </w:rPr>
        <w:t xml:space="preserve"> </w:t>
      </w:r>
      <w:r>
        <w:t>cost</w:t>
      </w:r>
      <w:r>
        <w:rPr>
          <w:spacing w:val="-1"/>
        </w:rPr>
        <w:t xml:space="preserve"> </w:t>
      </w:r>
      <w:r>
        <w:t>components</w:t>
      </w:r>
      <w:r>
        <w:rPr>
          <w:spacing w:val="-1"/>
        </w:rPr>
        <w:t xml:space="preserve"> </w:t>
      </w:r>
      <w:r>
        <w:t>of</w:t>
      </w:r>
      <w:r>
        <w:rPr>
          <w:spacing w:val="-1"/>
        </w:rPr>
        <w:t xml:space="preserve"> </w:t>
      </w:r>
      <w:r>
        <w:t>FAS</w:t>
      </w:r>
      <w:r>
        <w:rPr>
          <w:spacing w:val="-1"/>
        </w:rPr>
        <w:t xml:space="preserve"> </w:t>
      </w:r>
      <w:r>
        <w:t>pension</w:t>
      </w:r>
      <w:r>
        <w:rPr>
          <w:spacing w:val="-1"/>
        </w:rPr>
        <w:t xml:space="preserve"> </w:t>
      </w:r>
      <w:r>
        <w:t>(expense) income for our qualified defined benefit pension plans, were as follows (in millions):</w:t>
      </w:r>
    </w:p>
    <w:p w14:paraId="17678203" w14:textId="77777777" w:rsidR="00AE2255" w:rsidRDefault="00000000">
      <w:pPr>
        <w:pStyle w:val="Heading2"/>
        <w:tabs>
          <w:tab w:val="left" w:pos="974"/>
          <w:tab w:val="left" w:pos="1949"/>
        </w:tabs>
        <w:spacing w:before="40" w:after="30"/>
        <w:ind w:left="0" w:right="510"/>
        <w:jc w:val="right"/>
      </w:pPr>
      <w:r>
        <w:rPr>
          <w:spacing w:val="-4"/>
        </w:rPr>
        <w:t>2022</w:t>
      </w:r>
      <w:r>
        <w:tab/>
      </w:r>
      <w:r>
        <w:rPr>
          <w:spacing w:val="-4"/>
        </w:rPr>
        <w:t>2021</w:t>
      </w:r>
      <w:r>
        <w:tab/>
      </w:r>
      <w:r>
        <w:rPr>
          <w:spacing w:val="-4"/>
        </w:rPr>
        <w:t>2020</w:t>
      </w:r>
    </w:p>
    <w:tbl>
      <w:tblPr>
        <w:tblW w:w="0" w:type="auto"/>
        <w:tblInd w:w="617" w:type="dxa"/>
        <w:tblLayout w:type="fixed"/>
        <w:tblCellMar>
          <w:left w:w="0" w:type="dxa"/>
          <w:right w:w="0" w:type="dxa"/>
        </w:tblCellMar>
        <w:tblLook w:val="01E0" w:firstRow="1" w:lastRow="1" w:firstColumn="1" w:lastColumn="1" w:noHBand="0" w:noVBand="0"/>
      </w:tblPr>
      <w:tblGrid>
        <w:gridCol w:w="5833"/>
        <w:gridCol w:w="2504"/>
        <w:gridCol w:w="976"/>
        <w:gridCol w:w="920"/>
      </w:tblGrid>
      <w:tr w:rsidR="00AE2255" w14:paraId="2AB598E5" w14:textId="77777777">
        <w:trPr>
          <w:trHeight w:val="275"/>
        </w:trPr>
        <w:tc>
          <w:tcPr>
            <w:tcW w:w="10233" w:type="dxa"/>
            <w:gridSpan w:val="4"/>
            <w:tcBorders>
              <w:top w:val="single" w:sz="8" w:space="0" w:color="CCEDFF"/>
            </w:tcBorders>
            <w:shd w:val="clear" w:color="auto" w:fill="CCEDFF"/>
          </w:tcPr>
          <w:p w14:paraId="78F3594B" w14:textId="77777777" w:rsidR="00AE2255" w:rsidRDefault="00000000">
            <w:pPr>
              <w:pStyle w:val="TableParagraph"/>
              <w:spacing w:before="15"/>
              <w:ind w:left="52"/>
              <w:jc w:val="left"/>
              <w:rPr>
                <w:b/>
                <w:sz w:val="20"/>
              </w:rPr>
            </w:pPr>
            <w:r>
              <w:rPr>
                <w:b/>
                <w:sz w:val="20"/>
              </w:rPr>
              <w:t>Total</w:t>
            </w:r>
            <w:r>
              <w:rPr>
                <w:b/>
                <w:spacing w:val="-4"/>
                <w:sz w:val="20"/>
              </w:rPr>
              <w:t xml:space="preserve"> </w:t>
            </w:r>
            <w:r>
              <w:rPr>
                <w:b/>
                <w:sz w:val="20"/>
              </w:rPr>
              <w:t>FAS</w:t>
            </w:r>
            <w:r>
              <w:rPr>
                <w:b/>
                <w:spacing w:val="-3"/>
                <w:sz w:val="20"/>
              </w:rPr>
              <w:t xml:space="preserve"> </w:t>
            </w:r>
            <w:r>
              <w:rPr>
                <w:b/>
                <w:sz w:val="20"/>
              </w:rPr>
              <w:t>(expense)</w:t>
            </w:r>
            <w:r>
              <w:rPr>
                <w:b/>
                <w:spacing w:val="-3"/>
                <w:sz w:val="20"/>
              </w:rPr>
              <w:t xml:space="preserve"> </w:t>
            </w:r>
            <w:r>
              <w:rPr>
                <w:b/>
                <w:sz w:val="20"/>
              </w:rPr>
              <w:t>income</w:t>
            </w:r>
            <w:r>
              <w:rPr>
                <w:b/>
                <w:spacing w:val="-4"/>
                <w:sz w:val="20"/>
              </w:rPr>
              <w:t xml:space="preserve"> </w:t>
            </w:r>
            <w:r>
              <w:rPr>
                <w:b/>
                <w:sz w:val="20"/>
              </w:rPr>
              <w:t>and</w:t>
            </w:r>
            <w:r>
              <w:rPr>
                <w:b/>
                <w:spacing w:val="-3"/>
                <w:sz w:val="20"/>
              </w:rPr>
              <w:t xml:space="preserve"> </w:t>
            </w:r>
            <w:r>
              <w:rPr>
                <w:b/>
                <w:sz w:val="20"/>
              </w:rPr>
              <w:t>CAS</w:t>
            </w:r>
            <w:r>
              <w:rPr>
                <w:b/>
                <w:spacing w:val="-3"/>
                <w:sz w:val="20"/>
              </w:rPr>
              <w:t xml:space="preserve"> </w:t>
            </w:r>
            <w:r>
              <w:rPr>
                <w:b/>
                <w:spacing w:val="-4"/>
                <w:sz w:val="20"/>
              </w:rPr>
              <w:t>cost</w:t>
            </w:r>
          </w:p>
        </w:tc>
      </w:tr>
      <w:tr w:rsidR="00AE2255" w14:paraId="55292EA9" w14:textId="77777777">
        <w:trPr>
          <w:trHeight w:val="300"/>
        </w:trPr>
        <w:tc>
          <w:tcPr>
            <w:tcW w:w="5833" w:type="dxa"/>
          </w:tcPr>
          <w:p w14:paraId="13B74C68" w14:textId="77777777" w:rsidR="00AE2255" w:rsidRDefault="00000000">
            <w:pPr>
              <w:pStyle w:val="TableParagraph"/>
              <w:spacing w:before="40"/>
              <w:ind w:left="277"/>
              <w:jc w:val="left"/>
              <w:rPr>
                <w:sz w:val="20"/>
              </w:rPr>
            </w:pPr>
            <w:r>
              <w:rPr>
                <w:sz w:val="20"/>
              </w:rPr>
              <w:t>FAS</w:t>
            </w:r>
            <w:r>
              <w:rPr>
                <w:spacing w:val="-4"/>
                <w:sz w:val="20"/>
              </w:rPr>
              <w:t xml:space="preserve"> </w:t>
            </w:r>
            <w:r>
              <w:rPr>
                <w:sz w:val="20"/>
              </w:rPr>
              <w:t>pension</w:t>
            </w:r>
            <w:r>
              <w:rPr>
                <w:spacing w:val="-3"/>
                <w:sz w:val="20"/>
              </w:rPr>
              <w:t xml:space="preserve"> </w:t>
            </w:r>
            <w:r>
              <w:rPr>
                <w:sz w:val="20"/>
              </w:rPr>
              <w:t>(expense)</w:t>
            </w:r>
            <w:r>
              <w:rPr>
                <w:spacing w:val="-3"/>
                <w:sz w:val="20"/>
              </w:rPr>
              <w:t xml:space="preserve"> </w:t>
            </w:r>
            <w:r>
              <w:rPr>
                <w:spacing w:val="-2"/>
                <w:sz w:val="20"/>
              </w:rPr>
              <w:t>income</w:t>
            </w:r>
          </w:p>
        </w:tc>
        <w:tc>
          <w:tcPr>
            <w:tcW w:w="2504" w:type="dxa"/>
          </w:tcPr>
          <w:p w14:paraId="79FAE2A2" w14:textId="77777777" w:rsidR="00AE2255" w:rsidRDefault="00000000">
            <w:pPr>
              <w:pStyle w:val="TableParagraph"/>
              <w:spacing w:before="40"/>
              <w:ind w:right="71"/>
              <w:rPr>
                <w:b/>
                <w:sz w:val="20"/>
              </w:rPr>
            </w:pPr>
            <w:r>
              <w:rPr>
                <w:b/>
                <w:sz w:val="20"/>
              </w:rPr>
              <w:t>$</w:t>
            </w:r>
            <w:r>
              <w:rPr>
                <w:b/>
                <w:spacing w:val="74"/>
                <w:w w:val="150"/>
                <w:sz w:val="20"/>
              </w:rPr>
              <w:t xml:space="preserve"> </w:t>
            </w:r>
            <w:r>
              <w:rPr>
                <w:b/>
                <w:spacing w:val="-2"/>
                <w:sz w:val="20"/>
              </w:rPr>
              <w:t>(1,058)</w:t>
            </w:r>
          </w:p>
        </w:tc>
        <w:tc>
          <w:tcPr>
            <w:tcW w:w="976" w:type="dxa"/>
          </w:tcPr>
          <w:p w14:paraId="28D54B2D" w14:textId="77777777" w:rsidR="00AE2255" w:rsidRDefault="00000000">
            <w:pPr>
              <w:pStyle w:val="TableParagraph"/>
              <w:spacing w:before="40"/>
              <w:ind w:right="72"/>
              <w:rPr>
                <w:sz w:val="20"/>
              </w:rPr>
            </w:pPr>
            <w:r>
              <w:rPr>
                <w:sz w:val="20"/>
              </w:rPr>
              <w:t>$</w:t>
            </w:r>
            <w:r>
              <w:rPr>
                <w:spacing w:val="74"/>
                <w:w w:val="150"/>
                <w:sz w:val="20"/>
              </w:rPr>
              <w:t xml:space="preserve"> </w:t>
            </w:r>
            <w:r>
              <w:rPr>
                <w:spacing w:val="-2"/>
                <w:sz w:val="20"/>
              </w:rPr>
              <w:t>(1,398)</w:t>
            </w:r>
          </w:p>
        </w:tc>
        <w:tc>
          <w:tcPr>
            <w:tcW w:w="920" w:type="dxa"/>
          </w:tcPr>
          <w:p w14:paraId="19B1CD99" w14:textId="77777777" w:rsidR="00AE2255" w:rsidRDefault="00000000">
            <w:pPr>
              <w:pStyle w:val="TableParagraph"/>
              <w:tabs>
                <w:tab w:val="left" w:pos="535"/>
              </w:tabs>
              <w:spacing w:before="40"/>
              <w:ind w:left="69"/>
              <w:jc w:val="left"/>
              <w:rPr>
                <w:sz w:val="20"/>
              </w:rPr>
            </w:pPr>
            <w:r>
              <w:rPr>
                <w:spacing w:val="-10"/>
                <w:sz w:val="20"/>
              </w:rPr>
              <w:t>$</w:t>
            </w:r>
            <w:r>
              <w:rPr>
                <w:sz w:val="20"/>
              </w:rPr>
              <w:tab/>
            </w:r>
            <w:r>
              <w:rPr>
                <w:spacing w:val="-5"/>
                <w:sz w:val="20"/>
              </w:rPr>
              <w:t>118</w:t>
            </w:r>
          </w:p>
        </w:tc>
      </w:tr>
      <w:tr w:rsidR="00AE2255" w14:paraId="2E97F82A" w14:textId="77777777">
        <w:trPr>
          <w:trHeight w:val="290"/>
        </w:trPr>
        <w:tc>
          <w:tcPr>
            <w:tcW w:w="5833" w:type="dxa"/>
            <w:tcBorders>
              <w:bottom w:val="single" w:sz="8" w:space="0" w:color="000000"/>
            </w:tcBorders>
            <w:shd w:val="clear" w:color="auto" w:fill="CCEDFF"/>
          </w:tcPr>
          <w:p w14:paraId="27EFFF8F" w14:textId="77777777" w:rsidR="00AE2255" w:rsidRDefault="00000000">
            <w:pPr>
              <w:pStyle w:val="TableParagraph"/>
              <w:spacing w:before="40" w:line="230" w:lineRule="exact"/>
              <w:ind w:left="277"/>
              <w:jc w:val="left"/>
              <w:rPr>
                <w:sz w:val="20"/>
              </w:rPr>
            </w:pPr>
            <w:r>
              <w:rPr>
                <w:sz w:val="20"/>
              </w:rPr>
              <w:t>Less:</w:t>
            </w:r>
            <w:r>
              <w:rPr>
                <w:spacing w:val="-4"/>
                <w:sz w:val="20"/>
              </w:rPr>
              <w:t xml:space="preserve"> </w:t>
            </w:r>
            <w:r>
              <w:rPr>
                <w:sz w:val="20"/>
              </w:rPr>
              <w:t>CAS</w:t>
            </w:r>
            <w:r>
              <w:rPr>
                <w:spacing w:val="-4"/>
                <w:sz w:val="20"/>
              </w:rPr>
              <w:t xml:space="preserve"> </w:t>
            </w:r>
            <w:r>
              <w:rPr>
                <w:sz w:val="20"/>
              </w:rPr>
              <w:t>pension</w:t>
            </w:r>
            <w:r>
              <w:rPr>
                <w:spacing w:val="-3"/>
                <w:sz w:val="20"/>
              </w:rPr>
              <w:t xml:space="preserve"> </w:t>
            </w:r>
            <w:r>
              <w:rPr>
                <w:spacing w:val="-4"/>
                <w:sz w:val="20"/>
              </w:rPr>
              <w:t>cost</w:t>
            </w:r>
          </w:p>
        </w:tc>
        <w:tc>
          <w:tcPr>
            <w:tcW w:w="2504" w:type="dxa"/>
            <w:tcBorders>
              <w:bottom w:val="single" w:sz="8" w:space="0" w:color="000000"/>
            </w:tcBorders>
            <w:shd w:val="clear" w:color="auto" w:fill="CCEDFF"/>
          </w:tcPr>
          <w:p w14:paraId="3D2BD596" w14:textId="77777777" w:rsidR="00AE2255" w:rsidRDefault="00000000">
            <w:pPr>
              <w:pStyle w:val="TableParagraph"/>
              <w:spacing w:before="40" w:line="230" w:lineRule="exact"/>
              <w:ind w:right="136"/>
              <w:rPr>
                <w:b/>
                <w:sz w:val="20"/>
              </w:rPr>
            </w:pPr>
            <w:r>
              <w:rPr>
                <w:b/>
                <w:spacing w:val="-2"/>
                <w:sz w:val="20"/>
              </w:rPr>
              <w:t>1,796</w:t>
            </w:r>
          </w:p>
        </w:tc>
        <w:tc>
          <w:tcPr>
            <w:tcW w:w="976" w:type="dxa"/>
            <w:tcBorders>
              <w:bottom w:val="single" w:sz="8" w:space="0" w:color="000000"/>
            </w:tcBorders>
            <w:shd w:val="clear" w:color="auto" w:fill="CCEDFF"/>
          </w:tcPr>
          <w:p w14:paraId="55AD9DA7" w14:textId="77777777" w:rsidR="00AE2255" w:rsidRDefault="00000000">
            <w:pPr>
              <w:pStyle w:val="TableParagraph"/>
              <w:spacing w:before="40" w:line="230" w:lineRule="exact"/>
              <w:ind w:right="137"/>
              <w:rPr>
                <w:sz w:val="20"/>
              </w:rPr>
            </w:pPr>
            <w:r>
              <w:rPr>
                <w:spacing w:val="-2"/>
                <w:sz w:val="20"/>
              </w:rPr>
              <w:t>2,066</w:t>
            </w:r>
          </w:p>
        </w:tc>
        <w:tc>
          <w:tcPr>
            <w:tcW w:w="920" w:type="dxa"/>
            <w:tcBorders>
              <w:bottom w:val="single" w:sz="8" w:space="0" w:color="000000"/>
            </w:tcBorders>
            <w:shd w:val="clear" w:color="auto" w:fill="CCEDFF"/>
          </w:tcPr>
          <w:p w14:paraId="0085F86C" w14:textId="77777777" w:rsidR="00AE2255" w:rsidRDefault="00000000">
            <w:pPr>
              <w:pStyle w:val="TableParagraph"/>
              <w:spacing w:before="40" w:line="230" w:lineRule="exact"/>
              <w:ind w:right="82"/>
              <w:rPr>
                <w:sz w:val="20"/>
              </w:rPr>
            </w:pPr>
            <w:r>
              <w:rPr>
                <w:spacing w:val="-2"/>
                <w:sz w:val="20"/>
              </w:rPr>
              <w:t>1,977</w:t>
            </w:r>
          </w:p>
        </w:tc>
      </w:tr>
      <w:tr w:rsidR="00AE2255" w14:paraId="568DEBD7" w14:textId="77777777">
        <w:trPr>
          <w:trHeight w:val="280"/>
        </w:trPr>
        <w:tc>
          <w:tcPr>
            <w:tcW w:w="5833" w:type="dxa"/>
            <w:tcBorders>
              <w:top w:val="single" w:sz="8" w:space="0" w:color="000000"/>
              <w:bottom w:val="single" w:sz="8" w:space="0" w:color="auto"/>
            </w:tcBorders>
          </w:tcPr>
          <w:p w14:paraId="17182E31" w14:textId="77777777" w:rsidR="00AE2255" w:rsidRDefault="00000000">
            <w:pPr>
              <w:pStyle w:val="TableParagraph"/>
              <w:spacing w:before="30" w:line="230" w:lineRule="exact"/>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pacing w:val="-2"/>
                <w:sz w:val="20"/>
              </w:rPr>
              <w:t>adjustment</w:t>
            </w:r>
          </w:p>
        </w:tc>
        <w:tc>
          <w:tcPr>
            <w:tcW w:w="2504" w:type="dxa"/>
            <w:tcBorders>
              <w:top w:val="single" w:sz="8" w:space="0" w:color="000000"/>
              <w:bottom w:val="single" w:sz="8" w:space="0" w:color="auto"/>
            </w:tcBorders>
          </w:tcPr>
          <w:p w14:paraId="15B0BEFE" w14:textId="77777777" w:rsidR="00AE2255" w:rsidRDefault="00000000">
            <w:pPr>
              <w:pStyle w:val="TableParagraph"/>
              <w:tabs>
                <w:tab w:val="left" w:pos="465"/>
              </w:tabs>
              <w:spacing w:before="30" w:line="230" w:lineRule="exact"/>
              <w:ind w:right="136"/>
              <w:rPr>
                <w:b/>
                <w:sz w:val="20"/>
              </w:rPr>
            </w:pPr>
            <w:r>
              <w:rPr>
                <w:b/>
                <w:spacing w:val="-10"/>
                <w:sz w:val="20"/>
              </w:rPr>
              <w:t>$</w:t>
            </w:r>
            <w:r>
              <w:rPr>
                <w:b/>
                <w:sz w:val="20"/>
              </w:rPr>
              <w:tab/>
            </w:r>
            <w:r>
              <w:rPr>
                <w:b/>
                <w:spacing w:val="-5"/>
                <w:sz w:val="20"/>
              </w:rPr>
              <w:t>738</w:t>
            </w:r>
          </w:p>
        </w:tc>
        <w:tc>
          <w:tcPr>
            <w:tcW w:w="976" w:type="dxa"/>
            <w:tcBorders>
              <w:top w:val="single" w:sz="8" w:space="0" w:color="000000"/>
              <w:bottom w:val="single" w:sz="8" w:space="0" w:color="auto"/>
            </w:tcBorders>
          </w:tcPr>
          <w:p w14:paraId="389BE669" w14:textId="77777777" w:rsidR="00AE2255" w:rsidRDefault="00000000">
            <w:pPr>
              <w:pStyle w:val="TableParagraph"/>
              <w:tabs>
                <w:tab w:val="left" w:pos="465"/>
              </w:tabs>
              <w:spacing w:before="30" w:line="230" w:lineRule="exact"/>
              <w:ind w:right="137"/>
              <w:rPr>
                <w:sz w:val="20"/>
              </w:rPr>
            </w:pPr>
            <w:r>
              <w:rPr>
                <w:spacing w:val="-10"/>
                <w:sz w:val="20"/>
              </w:rPr>
              <w:t>$</w:t>
            </w:r>
            <w:r>
              <w:rPr>
                <w:sz w:val="20"/>
              </w:rPr>
              <w:tab/>
            </w:r>
            <w:r>
              <w:rPr>
                <w:spacing w:val="-5"/>
                <w:sz w:val="20"/>
              </w:rPr>
              <w:t>668</w:t>
            </w:r>
          </w:p>
        </w:tc>
        <w:tc>
          <w:tcPr>
            <w:tcW w:w="920" w:type="dxa"/>
            <w:tcBorders>
              <w:top w:val="single" w:sz="8" w:space="0" w:color="000000"/>
              <w:bottom w:val="single" w:sz="8" w:space="0" w:color="auto"/>
            </w:tcBorders>
          </w:tcPr>
          <w:p w14:paraId="4FE31AF4" w14:textId="77777777" w:rsidR="00AE2255" w:rsidRDefault="00000000">
            <w:pPr>
              <w:pStyle w:val="TableParagraph"/>
              <w:tabs>
                <w:tab w:val="left" w:pos="385"/>
              </w:tabs>
              <w:spacing w:before="30" w:line="230" w:lineRule="exact"/>
              <w:ind w:left="69"/>
              <w:jc w:val="left"/>
              <w:rPr>
                <w:sz w:val="20"/>
              </w:rPr>
            </w:pPr>
            <w:r>
              <w:rPr>
                <w:spacing w:val="-10"/>
                <w:sz w:val="20"/>
              </w:rPr>
              <w:t>$</w:t>
            </w:r>
            <w:r>
              <w:rPr>
                <w:sz w:val="20"/>
              </w:rPr>
              <w:tab/>
            </w:r>
            <w:r>
              <w:rPr>
                <w:spacing w:val="-2"/>
                <w:sz w:val="20"/>
              </w:rPr>
              <w:t>2,095</w:t>
            </w:r>
          </w:p>
        </w:tc>
      </w:tr>
      <w:tr w:rsidR="00AE2255" w14:paraId="3D18FAB2" w14:textId="77777777">
        <w:trPr>
          <w:trHeight w:val="245"/>
        </w:trPr>
        <w:tc>
          <w:tcPr>
            <w:tcW w:w="5833" w:type="dxa"/>
            <w:tcBorders>
              <w:top w:val="single" w:sz="8" w:space="0" w:color="CCEDFF"/>
            </w:tcBorders>
            <w:shd w:val="clear" w:color="auto" w:fill="CCEDFF"/>
          </w:tcPr>
          <w:p w14:paraId="1D9D71D9" w14:textId="77777777" w:rsidR="00AE2255" w:rsidRDefault="00AE2255">
            <w:pPr>
              <w:pStyle w:val="TableParagraph"/>
              <w:spacing w:before="0"/>
              <w:jc w:val="left"/>
              <w:rPr>
                <w:sz w:val="16"/>
              </w:rPr>
            </w:pPr>
          </w:p>
        </w:tc>
        <w:tc>
          <w:tcPr>
            <w:tcW w:w="2504" w:type="dxa"/>
            <w:tcBorders>
              <w:top w:val="single" w:sz="8" w:space="0" w:color="CCEDFF"/>
            </w:tcBorders>
            <w:shd w:val="clear" w:color="auto" w:fill="CCEDFF"/>
          </w:tcPr>
          <w:p w14:paraId="3C254409" w14:textId="77777777" w:rsidR="00AE2255" w:rsidRDefault="00AE2255">
            <w:pPr>
              <w:pStyle w:val="TableParagraph"/>
              <w:spacing w:before="0"/>
              <w:jc w:val="left"/>
              <w:rPr>
                <w:sz w:val="16"/>
              </w:rPr>
            </w:pPr>
          </w:p>
        </w:tc>
        <w:tc>
          <w:tcPr>
            <w:tcW w:w="976" w:type="dxa"/>
            <w:tcBorders>
              <w:top w:val="single" w:sz="8" w:space="0" w:color="CCEDFF"/>
            </w:tcBorders>
            <w:shd w:val="clear" w:color="auto" w:fill="CCEDFF"/>
          </w:tcPr>
          <w:p w14:paraId="7CAFDB91" w14:textId="77777777" w:rsidR="00AE2255" w:rsidRDefault="00AE2255">
            <w:pPr>
              <w:pStyle w:val="TableParagraph"/>
              <w:spacing w:before="0"/>
              <w:jc w:val="left"/>
              <w:rPr>
                <w:sz w:val="16"/>
              </w:rPr>
            </w:pPr>
          </w:p>
        </w:tc>
        <w:tc>
          <w:tcPr>
            <w:tcW w:w="920" w:type="dxa"/>
            <w:tcBorders>
              <w:top w:val="single" w:sz="8" w:space="0" w:color="CCEDFF"/>
            </w:tcBorders>
            <w:shd w:val="clear" w:color="auto" w:fill="CCEDFF"/>
          </w:tcPr>
          <w:p w14:paraId="018742C4" w14:textId="77777777" w:rsidR="00AE2255" w:rsidRDefault="00AE2255">
            <w:pPr>
              <w:pStyle w:val="TableParagraph"/>
              <w:spacing w:before="0"/>
              <w:jc w:val="left"/>
              <w:rPr>
                <w:sz w:val="16"/>
              </w:rPr>
            </w:pPr>
          </w:p>
        </w:tc>
      </w:tr>
      <w:tr w:rsidR="00AE2255" w14:paraId="3B5027DE" w14:textId="77777777">
        <w:trPr>
          <w:trHeight w:val="255"/>
        </w:trPr>
        <w:tc>
          <w:tcPr>
            <w:tcW w:w="5833" w:type="dxa"/>
          </w:tcPr>
          <w:p w14:paraId="02565FED" w14:textId="77777777" w:rsidR="00AE2255" w:rsidRDefault="00000000">
            <w:pPr>
              <w:pStyle w:val="TableParagraph"/>
              <w:spacing w:before="0" w:line="225" w:lineRule="exact"/>
              <w:ind w:left="52"/>
              <w:jc w:val="left"/>
              <w:rPr>
                <w:b/>
                <w:sz w:val="20"/>
              </w:rPr>
            </w:pPr>
            <w:r>
              <w:rPr>
                <w:b/>
                <w:sz w:val="20"/>
              </w:rPr>
              <w:t>Service</w:t>
            </w:r>
            <w:r>
              <w:rPr>
                <w:b/>
                <w:spacing w:val="-5"/>
                <w:sz w:val="20"/>
              </w:rPr>
              <w:t xml:space="preserve"> </w:t>
            </w:r>
            <w:r>
              <w:rPr>
                <w:b/>
                <w:sz w:val="20"/>
              </w:rPr>
              <w:t>and</w:t>
            </w:r>
            <w:r>
              <w:rPr>
                <w:b/>
                <w:spacing w:val="-5"/>
                <w:sz w:val="20"/>
              </w:rPr>
              <w:t xml:space="preserve"> </w:t>
            </w:r>
            <w:r>
              <w:rPr>
                <w:b/>
                <w:sz w:val="20"/>
              </w:rPr>
              <w:t>non-service</w:t>
            </w:r>
            <w:r>
              <w:rPr>
                <w:b/>
                <w:spacing w:val="-5"/>
                <w:sz w:val="20"/>
              </w:rPr>
              <w:t xml:space="preserve"> </w:t>
            </w:r>
            <w:r>
              <w:rPr>
                <w:b/>
                <w:sz w:val="20"/>
              </w:rPr>
              <w:t>cost</w:t>
            </w:r>
            <w:r>
              <w:rPr>
                <w:b/>
                <w:spacing w:val="-3"/>
                <w:sz w:val="20"/>
              </w:rPr>
              <w:t xml:space="preserve"> </w:t>
            </w:r>
            <w:r>
              <w:rPr>
                <w:b/>
                <w:spacing w:val="-2"/>
                <w:sz w:val="20"/>
              </w:rPr>
              <w:t>reconciliation</w:t>
            </w:r>
          </w:p>
        </w:tc>
        <w:tc>
          <w:tcPr>
            <w:tcW w:w="2504" w:type="dxa"/>
          </w:tcPr>
          <w:p w14:paraId="46AABD32" w14:textId="77777777" w:rsidR="00AE2255" w:rsidRDefault="00AE2255">
            <w:pPr>
              <w:pStyle w:val="TableParagraph"/>
              <w:spacing w:before="0"/>
              <w:jc w:val="left"/>
              <w:rPr>
                <w:sz w:val="18"/>
              </w:rPr>
            </w:pPr>
          </w:p>
        </w:tc>
        <w:tc>
          <w:tcPr>
            <w:tcW w:w="976" w:type="dxa"/>
          </w:tcPr>
          <w:p w14:paraId="1F29068D" w14:textId="77777777" w:rsidR="00AE2255" w:rsidRDefault="00AE2255">
            <w:pPr>
              <w:pStyle w:val="TableParagraph"/>
              <w:spacing w:before="0"/>
              <w:jc w:val="left"/>
              <w:rPr>
                <w:sz w:val="18"/>
              </w:rPr>
            </w:pPr>
          </w:p>
        </w:tc>
        <w:tc>
          <w:tcPr>
            <w:tcW w:w="920" w:type="dxa"/>
          </w:tcPr>
          <w:p w14:paraId="03ED2279" w14:textId="77777777" w:rsidR="00AE2255" w:rsidRDefault="00AE2255">
            <w:pPr>
              <w:pStyle w:val="TableParagraph"/>
              <w:spacing w:before="0"/>
              <w:jc w:val="left"/>
              <w:rPr>
                <w:sz w:val="18"/>
              </w:rPr>
            </w:pPr>
          </w:p>
        </w:tc>
      </w:tr>
      <w:tr w:rsidR="00AE2255" w14:paraId="0586FD38" w14:textId="77777777">
        <w:trPr>
          <w:trHeight w:val="300"/>
        </w:trPr>
        <w:tc>
          <w:tcPr>
            <w:tcW w:w="5833" w:type="dxa"/>
            <w:shd w:val="clear" w:color="auto" w:fill="CCEDFF"/>
          </w:tcPr>
          <w:p w14:paraId="0D163410" w14:textId="77777777" w:rsidR="00AE2255" w:rsidRDefault="00000000">
            <w:pPr>
              <w:pStyle w:val="TableParagraph"/>
              <w:spacing w:before="40"/>
              <w:ind w:left="277"/>
              <w:jc w:val="left"/>
              <w:rPr>
                <w:sz w:val="20"/>
              </w:rPr>
            </w:pPr>
            <w:r>
              <w:rPr>
                <w:sz w:val="20"/>
              </w:rPr>
              <w:t>FAS</w:t>
            </w:r>
            <w:r>
              <w:rPr>
                <w:spacing w:val="-4"/>
                <w:sz w:val="20"/>
              </w:rPr>
              <w:t xml:space="preserve"> </w:t>
            </w:r>
            <w:r>
              <w:rPr>
                <w:sz w:val="20"/>
              </w:rPr>
              <w:t>pension</w:t>
            </w:r>
            <w:r>
              <w:rPr>
                <w:spacing w:val="-4"/>
                <w:sz w:val="20"/>
              </w:rPr>
              <w:t xml:space="preserve"> </w:t>
            </w:r>
            <w:r>
              <w:rPr>
                <w:sz w:val="20"/>
              </w:rPr>
              <w:t>service</w:t>
            </w:r>
            <w:r>
              <w:rPr>
                <w:spacing w:val="-3"/>
                <w:sz w:val="20"/>
              </w:rPr>
              <w:t xml:space="preserve"> </w:t>
            </w:r>
            <w:r>
              <w:rPr>
                <w:spacing w:val="-4"/>
                <w:sz w:val="20"/>
              </w:rPr>
              <w:t>cost</w:t>
            </w:r>
          </w:p>
        </w:tc>
        <w:tc>
          <w:tcPr>
            <w:tcW w:w="2504" w:type="dxa"/>
            <w:shd w:val="clear" w:color="auto" w:fill="CCEDFF"/>
          </w:tcPr>
          <w:p w14:paraId="27D7F712" w14:textId="77777777" w:rsidR="00AE2255" w:rsidRDefault="00000000">
            <w:pPr>
              <w:pStyle w:val="TableParagraph"/>
              <w:tabs>
                <w:tab w:val="left" w:pos="499"/>
              </w:tabs>
              <w:spacing w:before="40"/>
              <w:ind w:right="71"/>
              <w:rPr>
                <w:b/>
                <w:sz w:val="20"/>
              </w:rPr>
            </w:pPr>
            <w:r>
              <w:rPr>
                <w:b/>
                <w:spacing w:val="-10"/>
                <w:sz w:val="20"/>
              </w:rPr>
              <w:t>$</w:t>
            </w:r>
            <w:r>
              <w:rPr>
                <w:b/>
                <w:sz w:val="20"/>
              </w:rPr>
              <w:tab/>
            </w:r>
            <w:r>
              <w:rPr>
                <w:b/>
                <w:spacing w:val="-4"/>
                <w:sz w:val="20"/>
              </w:rPr>
              <w:t>(87)</w:t>
            </w:r>
          </w:p>
        </w:tc>
        <w:tc>
          <w:tcPr>
            <w:tcW w:w="976" w:type="dxa"/>
            <w:shd w:val="clear" w:color="auto" w:fill="CCEDFF"/>
          </w:tcPr>
          <w:p w14:paraId="232E3C4A" w14:textId="77777777" w:rsidR="00AE2255" w:rsidRDefault="00000000">
            <w:pPr>
              <w:pStyle w:val="TableParagraph"/>
              <w:tabs>
                <w:tab w:val="left" w:pos="399"/>
              </w:tabs>
              <w:spacing w:before="40"/>
              <w:ind w:right="72"/>
              <w:rPr>
                <w:sz w:val="20"/>
              </w:rPr>
            </w:pPr>
            <w:r>
              <w:rPr>
                <w:spacing w:val="-10"/>
                <w:sz w:val="20"/>
              </w:rPr>
              <w:t>$</w:t>
            </w:r>
            <w:r>
              <w:rPr>
                <w:sz w:val="20"/>
              </w:rPr>
              <w:tab/>
            </w:r>
            <w:r>
              <w:rPr>
                <w:spacing w:val="-2"/>
                <w:sz w:val="20"/>
              </w:rPr>
              <w:t>(106)</w:t>
            </w:r>
          </w:p>
        </w:tc>
        <w:tc>
          <w:tcPr>
            <w:tcW w:w="920" w:type="dxa"/>
            <w:shd w:val="clear" w:color="auto" w:fill="CCEDFF"/>
          </w:tcPr>
          <w:p w14:paraId="3FCBB90D" w14:textId="77777777" w:rsidR="00AE2255" w:rsidRDefault="00000000">
            <w:pPr>
              <w:pStyle w:val="TableParagraph"/>
              <w:tabs>
                <w:tab w:val="left" w:pos="399"/>
              </w:tabs>
              <w:spacing w:before="40"/>
              <w:ind w:right="17"/>
              <w:rPr>
                <w:sz w:val="20"/>
              </w:rPr>
            </w:pPr>
            <w:r>
              <w:rPr>
                <w:spacing w:val="-10"/>
                <w:sz w:val="20"/>
              </w:rPr>
              <w:t>$</w:t>
            </w:r>
            <w:r>
              <w:rPr>
                <w:sz w:val="20"/>
              </w:rPr>
              <w:tab/>
            </w:r>
            <w:r>
              <w:rPr>
                <w:spacing w:val="-2"/>
                <w:sz w:val="20"/>
              </w:rPr>
              <w:t>(101)</w:t>
            </w:r>
          </w:p>
        </w:tc>
      </w:tr>
      <w:tr w:rsidR="00AE2255" w14:paraId="5932FEBE" w14:textId="77777777">
        <w:trPr>
          <w:trHeight w:val="290"/>
        </w:trPr>
        <w:tc>
          <w:tcPr>
            <w:tcW w:w="5833" w:type="dxa"/>
            <w:tcBorders>
              <w:bottom w:val="single" w:sz="8" w:space="0" w:color="000000"/>
            </w:tcBorders>
          </w:tcPr>
          <w:p w14:paraId="26AD0A7D" w14:textId="77777777" w:rsidR="00AE2255" w:rsidRDefault="00000000">
            <w:pPr>
              <w:pStyle w:val="TableParagraph"/>
              <w:spacing w:before="40" w:line="230" w:lineRule="exact"/>
              <w:ind w:left="277"/>
              <w:jc w:val="left"/>
              <w:rPr>
                <w:sz w:val="20"/>
              </w:rPr>
            </w:pPr>
            <w:r>
              <w:rPr>
                <w:sz w:val="20"/>
              </w:rPr>
              <w:t>Less:</w:t>
            </w:r>
            <w:r>
              <w:rPr>
                <w:spacing w:val="-4"/>
                <w:sz w:val="20"/>
              </w:rPr>
              <w:t xml:space="preserve"> </w:t>
            </w:r>
            <w:r>
              <w:rPr>
                <w:sz w:val="20"/>
              </w:rPr>
              <w:t>CAS</w:t>
            </w:r>
            <w:r>
              <w:rPr>
                <w:spacing w:val="-4"/>
                <w:sz w:val="20"/>
              </w:rPr>
              <w:t xml:space="preserve"> </w:t>
            </w:r>
            <w:r>
              <w:rPr>
                <w:sz w:val="20"/>
              </w:rPr>
              <w:t>pension</w:t>
            </w:r>
            <w:r>
              <w:rPr>
                <w:spacing w:val="-3"/>
                <w:sz w:val="20"/>
              </w:rPr>
              <w:t xml:space="preserve"> </w:t>
            </w:r>
            <w:r>
              <w:rPr>
                <w:spacing w:val="-4"/>
                <w:sz w:val="20"/>
              </w:rPr>
              <w:t>cost</w:t>
            </w:r>
          </w:p>
        </w:tc>
        <w:tc>
          <w:tcPr>
            <w:tcW w:w="2504" w:type="dxa"/>
            <w:tcBorders>
              <w:bottom w:val="single" w:sz="8" w:space="0" w:color="000000"/>
            </w:tcBorders>
          </w:tcPr>
          <w:p w14:paraId="57781947" w14:textId="77777777" w:rsidR="00AE2255" w:rsidRDefault="00000000">
            <w:pPr>
              <w:pStyle w:val="TableParagraph"/>
              <w:spacing w:before="40" w:line="230" w:lineRule="exact"/>
              <w:ind w:right="136"/>
              <w:rPr>
                <w:b/>
                <w:sz w:val="20"/>
              </w:rPr>
            </w:pPr>
            <w:r>
              <w:rPr>
                <w:b/>
                <w:spacing w:val="-2"/>
                <w:sz w:val="20"/>
              </w:rPr>
              <w:t>1,796</w:t>
            </w:r>
          </w:p>
        </w:tc>
        <w:tc>
          <w:tcPr>
            <w:tcW w:w="976" w:type="dxa"/>
            <w:tcBorders>
              <w:bottom w:val="single" w:sz="8" w:space="0" w:color="000000"/>
            </w:tcBorders>
          </w:tcPr>
          <w:p w14:paraId="356E97A7" w14:textId="77777777" w:rsidR="00AE2255" w:rsidRDefault="00000000">
            <w:pPr>
              <w:pStyle w:val="TableParagraph"/>
              <w:spacing w:before="40" w:line="230" w:lineRule="exact"/>
              <w:ind w:right="137"/>
              <w:rPr>
                <w:sz w:val="20"/>
              </w:rPr>
            </w:pPr>
            <w:r>
              <w:rPr>
                <w:spacing w:val="-2"/>
                <w:sz w:val="20"/>
              </w:rPr>
              <w:t>2,066</w:t>
            </w:r>
          </w:p>
        </w:tc>
        <w:tc>
          <w:tcPr>
            <w:tcW w:w="920" w:type="dxa"/>
            <w:tcBorders>
              <w:bottom w:val="single" w:sz="8" w:space="0" w:color="000000"/>
            </w:tcBorders>
          </w:tcPr>
          <w:p w14:paraId="6EBCB9DB" w14:textId="77777777" w:rsidR="00AE2255" w:rsidRDefault="00000000">
            <w:pPr>
              <w:pStyle w:val="TableParagraph"/>
              <w:spacing w:before="40" w:line="230" w:lineRule="exact"/>
              <w:ind w:right="82"/>
              <w:rPr>
                <w:sz w:val="20"/>
              </w:rPr>
            </w:pPr>
            <w:r>
              <w:rPr>
                <w:spacing w:val="-2"/>
                <w:sz w:val="20"/>
              </w:rPr>
              <w:t>1,977</w:t>
            </w:r>
          </w:p>
        </w:tc>
      </w:tr>
      <w:tr w:rsidR="00AE2255" w14:paraId="435C748B" w14:textId="77777777">
        <w:trPr>
          <w:trHeight w:val="290"/>
        </w:trPr>
        <w:tc>
          <w:tcPr>
            <w:tcW w:w="5833" w:type="dxa"/>
            <w:tcBorders>
              <w:top w:val="single" w:sz="8" w:space="0" w:color="000000"/>
            </w:tcBorders>
            <w:shd w:val="clear" w:color="auto" w:fill="CCEDFF"/>
          </w:tcPr>
          <w:p w14:paraId="1463A65A" w14:textId="77777777" w:rsidR="00AE2255" w:rsidRDefault="00000000">
            <w:pPr>
              <w:pStyle w:val="TableParagraph"/>
              <w:spacing w:before="30"/>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z w:val="20"/>
              </w:rPr>
              <w:t>operating</w:t>
            </w:r>
            <w:r>
              <w:rPr>
                <w:spacing w:val="-4"/>
                <w:sz w:val="20"/>
              </w:rPr>
              <w:t xml:space="preserve"> </w:t>
            </w:r>
            <w:r>
              <w:rPr>
                <w:spacing w:val="-2"/>
                <w:sz w:val="20"/>
              </w:rPr>
              <w:t>adjustment</w:t>
            </w:r>
          </w:p>
        </w:tc>
        <w:tc>
          <w:tcPr>
            <w:tcW w:w="2504" w:type="dxa"/>
            <w:tcBorders>
              <w:top w:val="single" w:sz="8" w:space="0" w:color="000000"/>
            </w:tcBorders>
            <w:shd w:val="clear" w:color="auto" w:fill="CCEDFF"/>
          </w:tcPr>
          <w:p w14:paraId="4DF190AE" w14:textId="77777777" w:rsidR="00AE2255" w:rsidRDefault="00000000">
            <w:pPr>
              <w:pStyle w:val="TableParagraph"/>
              <w:spacing w:before="30"/>
              <w:ind w:right="136"/>
              <w:rPr>
                <w:b/>
                <w:sz w:val="20"/>
              </w:rPr>
            </w:pPr>
            <w:r>
              <w:rPr>
                <w:b/>
                <w:spacing w:val="-2"/>
                <w:sz w:val="20"/>
              </w:rPr>
              <w:t>1,709</w:t>
            </w:r>
          </w:p>
        </w:tc>
        <w:tc>
          <w:tcPr>
            <w:tcW w:w="976" w:type="dxa"/>
            <w:tcBorders>
              <w:top w:val="single" w:sz="8" w:space="0" w:color="000000"/>
            </w:tcBorders>
            <w:shd w:val="clear" w:color="auto" w:fill="CCEDFF"/>
          </w:tcPr>
          <w:p w14:paraId="47482FB6" w14:textId="77777777" w:rsidR="00AE2255" w:rsidRDefault="00000000">
            <w:pPr>
              <w:pStyle w:val="TableParagraph"/>
              <w:spacing w:before="30"/>
              <w:ind w:right="137"/>
              <w:rPr>
                <w:sz w:val="20"/>
              </w:rPr>
            </w:pPr>
            <w:r>
              <w:rPr>
                <w:spacing w:val="-2"/>
                <w:sz w:val="20"/>
              </w:rPr>
              <w:t>1,960</w:t>
            </w:r>
          </w:p>
        </w:tc>
        <w:tc>
          <w:tcPr>
            <w:tcW w:w="920" w:type="dxa"/>
            <w:tcBorders>
              <w:top w:val="single" w:sz="8" w:space="0" w:color="000000"/>
            </w:tcBorders>
            <w:shd w:val="clear" w:color="auto" w:fill="CCEDFF"/>
          </w:tcPr>
          <w:p w14:paraId="375B446A" w14:textId="77777777" w:rsidR="00AE2255" w:rsidRDefault="00000000">
            <w:pPr>
              <w:pStyle w:val="TableParagraph"/>
              <w:spacing w:before="30"/>
              <w:ind w:right="82"/>
              <w:rPr>
                <w:sz w:val="20"/>
              </w:rPr>
            </w:pPr>
            <w:r>
              <w:rPr>
                <w:spacing w:val="-2"/>
                <w:sz w:val="20"/>
              </w:rPr>
              <w:t>1,876</w:t>
            </w:r>
          </w:p>
        </w:tc>
      </w:tr>
      <w:tr w:rsidR="00AE2255" w14:paraId="684DF628" w14:textId="77777777">
        <w:trPr>
          <w:trHeight w:val="290"/>
        </w:trPr>
        <w:tc>
          <w:tcPr>
            <w:tcW w:w="5833" w:type="dxa"/>
            <w:tcBorders>
              <w:bottom w:val="single" w:sz="8" w:space="0" w:color="000000"/>
            </w:tcBorders>
          </w:tcPr>
          <w:p w14:paraId="4CEFD0C3" w14:textId="77777777" w:rsidR="00AE2255" w:rsidRDefault="00000000">
            <w:pPr>
              <w:pStyle w:val="TableParagraph"/>
              <w:spacing w:before="40" w:line="230" w:lineRule="exact"/>
              <w:ind w:left="277"/>
              <w:jc w:val="left"/>
              <w:rPr>
                <w:sz w:val="20"/>
              </w:rPr>
            </w:pPr>
            <w:r>
              <w:rPr>
                <w:sz w:val="20"/>
              </w:rPr>
              <w:t>Non-service</w:t>
            </w:r>
            <w:r>
              <w:rPr>
                <w:spacing w:val="-5"/>
                <w:sz w:val="20"/>
              </w:rPr>
              <w:t xml:space="preserve"> </w:t>
            </w:r>
            <w:r>
              <w:rPr>
                <w:sz w:val="20"/>
              </w:rPr>
              <w:t>FAS</w:t>
            </w:r>
            <w:r>
              <w:rPr>
                <w:spacing w:val="-4"/>
                <w:sz w:val="20"/>
              </w:rPr>
              <w:t xml:space="preserve"> </w:t>
            </w:r>
            <w:r>
              <w:rPr>
                <w:sz w:val="20"/>
              </w:rPr>
              <w:t>pension</w:t>
            </w:r>
            <w:r>
              <w:rPr>
                <w:spacing w:val="-4"/>
                <w:sz w:val="20"/>
              </w:rPr>
              <w:t xml:space="preserve"> </w:t>
            </w:r>
            <w:r>
              <w:rPr>
                <w:sz w:val="20"/>
              </w:rPr>
              <w:t>(expense)</w:t>
            </w:r>
            <w:r>
              <w:rPr>
                <w:spacing w:val="-3"/>
                <w:sz w:val="20"/>
              </w:rPr>
              <w:t xml:space="preserve"> </w:t>
            </w:r>
            <w:r>
              <w:rPr>
                <w:spacing w:val="-2"/>
                <w:sz w:val="20"/>
              </w:rPr>
              <w:t>income</w:t>
            </w:r>
          </w:p>
        </w:tc>
        <w:tc>
          <w:tcPr>
            <w:tcW w:w="2504" w:type="dxa"/>
            <w:tcBorders>
              <w:bottom w:val="single" w:sz="8" w:space="0" w:color="000000"/>
            </w:tcBorders>
          </w:tcPr>
          <w:p w14:paraId="2728A1A2" w14:textId="77777777" w:rsidR="00AE2255" w:rsidRDefault="00000000">
            <w:pPr>
              <w:pStyle w:val="TableParagraph"/>
              <w:spacing w:before="40" w:line="230" w:lineRule="exact"/>
              <w:ind w:right="71"/>
              <w:rPr>
                <w:b/>
                <w:sz w:val="20"/>
              </w:rPr>
            </w:pPr>
            <w:r>
              <w:rPr>
                <w:b/>
                <w:spacing w:val="-2"/>
                <w:sz w:val="20"/>
              </w:rPr>
              <w:t>(971)</w:t>
            </w:r>
          </w:p>
        </w:tc>
        <w:tc>
          <w:tcPr>
            <w:tcW w:w="976" w:type="dxa"/>
            <w:tcBorders>
              <w:bottom w:val="single" w:sz="8" w:space="0" w:color="000000"/>
            </w:tcBorders>
          </w:tcPr>
          <w:p w14:paraId="5CCD80B1" w14:textId="77777777" w:rsidR="00AE2255" w:rsidRDefault="00000000">
            <w:pPr>
              <w:pStyle w:val="TableParagraph"/>
              <w:spacing w:before="40" w:line="230" w:lineRule="exact"/>
              <w:ind w:right="72"/>
              <w:rPr>
                <w:sz w:val="20"/>
              </w:rPr>
            </w:pPr>
            <w:r>
              <w:rPr>
                <w:spacing w:val="-2"/>
                <w:sz w:val="20"/>
              </w:rPr>
              <w:t>(1,292)</w:t>
            </w:r>
          </w:p>
        </w:tc>
        <w:tc>
          <w:tcPr>
            <w:tcW w:w="920" w:type="dxa"/>
            <w:tcBorders>
              <w:bottom w:val="single" w:sz="8" w:space="0" w:color="000000"/>
            </w:tcBorders>
          </w:tcPr>
          <w:p w14:paraId="52CEF305" w14:textId="77777777" w:rsidR="00AE2255" w:rsidRDefault="00000000">
            <w:pPr>
              <w:pStyle w:val="TableParagraph"/>
              <w:spacing w:before="40" w:line="230" w:lineRule="exact"/>
              <w:ind w:right="82"/>
              <w:rPr>
                <w:sz w:val="20"/>
              </w:rPr>
            </w:pPr>
            <w:r>
              <w:rPr>
                <w:spacing w:val="-5"/>
                <w:sz w:val="20"/>
              </w:rPr>
              <w:t>219</w:t>
            </w:r>
          </w:p>
        </w:tc>
      </w:tr>
      <w:tr w:rsidR="00AE2255" w14:paraId="234552D6" w14:textId="77777777">
        <w:trPr>
          <w:trHeight w:val="222"/>
        </w:trPr>
        <w:tc>
          <w:tcPr>
            <w:tcW w:w="5833" w:type="dxa"/>
            <w:tcBorders>
              <w:top w:val="single" w:sz="8" w:space="0" w:color="000000"/>
              <w:bottom w:val="single" w:sz="18" w:space="0" w:color="CCEDFF"/>
            </w:tcBorders>
            <w:shd w:val="clear" w:color="auto" w:fill="CCEDFF"/>
          </w:tcPr>
          <w:p w14:paraId="11E95997" w14:textId="77777777" w:rsidR="00AE2255" w:rsidRDefault="00000000">
            <w:pPr>
              <w:pStyle w:val="TableParagraph"/>
              <w:spacing w:before="0" w:line="203" w:lineRule="exact"/>
              <w:ind w:left="547"/>
              <w:jc w:val="left"/>
              <w:rPr>
                <w:sz w:val="20"/>
              </w:rPr>
            </w:pPr>
            <w:r>
              <w:rPr>
                <w:sz w:val="20"/>
              </w:rPr>
              <w:t>Total</w:t>
            </w:r>
            <w:r>
              <w:rPr>
                <w:spacing w:val="-5"/>
                <w:sz w:val="20"/>
              </w:rPr>
              <w:t xml:space="preserve"> </w:t>
            </w:r>
            <w:r>
              <w:rPr>
                <w:sz w:val="20"/>
              </w:rPr>
              <w:t>FAS/CAS</w:t>
            </w:r>
            <w:r>
              <w:rPr>
                <w:spacing w:val="-5"/>
                <w:sz w:val="20"/>
              </w:rPr>
              <w:t xml:space="preserve"> </w:t>
            </w:r>
            <w:r>
              <w:rPr>
                <w:sz w:val="20"/>
              </w:rPr>
              <w:t>pension</w:t>
            </w:r>
            <w:r>
              <w:rPr>
                <w:spacing w:val="-4"/>
                <w:sz w:val="20"/>
              </w:rPr>
              <w:t xml:space="preserve"> </w:t>
            </w:r>
            <w:r>
              <w:rPr>
                <w:spacing w:val="-2"/>
                <w:sz w:val="20"/>
              </w:rPr>
              <w:t>adjustment</w:t>
            </w:r>
          </w:p>
        </w:tc>
        <w:tc>
          <w:tcPr>
            <w:tcW w:w="2504" w:type="dxa"/>
            <w:tcBorders>
              <w:top w:val="single" w:sz="8" w:space="0" w:color="000000"/>
              <w:bottom w:val="single" w:sz="18" w:space="0" w:color="CCEDFF"/>
            </w:tcBorders>
            <w:shd w:val="clear" w:color="auto" w:fill="CCEDFF"/>
          </w:tcPr>
          <w:p w14:paraId="401EAF67" w14:textId="77777777" w:rsidR="00AE2255" w:rsidRDefault="00000000">
            <w:pPr>
              <w:pStyle w:val="TableParagraph"/>
              <w:tabs>
                <w:tab w:val="left" w:pos="465"/>
              </w:tabs>
              <w:spacing w:before="0" w:line="203" w:lineRule="exact"/>
              <w:ind w:right="136"/>
              <w:rPr>
                <w:b/>
                <w:sz w:val="20"/>
              </w:rPr>
            </w:pPr>
            <w:r>
              <w:rPr>
                <w:b/>
                <w:spacing w:val="-10"/>
                <w:sz w:val="20"/>
              </w:rPr>
              <w:t>$</w:t>
            </w:r>
            <w:r>
              <w:rPr>
                <w:b/>
                <w:sz w:val="20"/>
              </w:rPr>
              <w:tab/>
            </w:r>
            <w:r>
              <w:rPr>
                <w:b/>
                <w:spacing w:val="-5"/>
                <w:sz w:val="20"/>
              </w:rPr>
              <w:t>738</w:t>
            </w:r>
          </w:p>
        </w:tc>
        <w:tc>
          <w:tcPr>
            <w:tcW w:w="976" w:type="dxa"/>
            <w:tcBorders>
              <w:top w:val="single" w:sz="8" w:space="0" w:color="000000"/>
              <w:bottom w:val="single" w:sz="18" w:space="0" w:color="CCEDFF"/>
            </w:tcBorders>
            <w:shd w:val="clear" w:color="auto" w:fill="CCEDFF"/>
          </w:tcPr>
          <w:p w14:paraId="743BC913" w14:textId="77777777" w:rsidR="00AE2255" w:rsidRDefault="00000000">
            <w:pPr>
              <w:pStyle w:val="TableParagraph"/>
              <w:tabs>
                <w:tab w:val="left" w:pos="465"/>
              </w:tabs>
              <w:spacing w:before="0" w:line="203" w:lineRule="exact"/>
              <w:ind w:right="137"/>
              <w:rPr>
                <w:sz w:val="20"/>
              </w:rPr>
            </w:pPr>
            <w:r>
              <w:rPr>
                <w:spacing w:val="-10"/>
                <w:sz w:val="20"/>
              </w:rPr>
              <w:t>$</w:t>
            </w:r>
            <w:r>
              <w:rPr>
                <w:sz w:val="20"/>
              </w:rPr>
              <w:tab/>
            </w:r>
            <w:r>
              <w:rPr>
                <w:spacing w:val="-5"/>
                <w:sz w:val="20"/>
              </w:rPr>
              <w:t>668</w:t>
            </w:r>
          </w:p>
        </w:tc>
        <w:tc>
          <w:tcPr>
            <w:tcW w:w="920" w:type="dxa"/>
            <w:tcBorders>
              <w:top w:val="single" w:sz="8" w:space="0" w:color="000000"/>
              <w:bottom w:val="single" w:sz="18" w:space="0" w:color="CCEDFF"/>
            </w:tcBorders>
            <w:shd w:val="clear" w:color="auto" w:fill="CCEDFF"/>
          </w:tcPr>
          <w:p w14:paraId="349DC2C2" w14:textId="77777777" w:rsidR="00AE2255" w:rsidRDefault="00000000">
            <w:pPr>
              <w:pStyle w:val="TableParagraph"/>
              <w:tabs>
                <w:tab w:val="left" w:pos="385"/>
              </w:tabs>
              <w:spacing w:before="0" w:line="203" w:lineRule="exact"/>
              <w:ind w:left="69"/>
              <w:jc w:val="left"/>
              <w:rPr>
                <w:sz w:val="20"/>
              </w:rPr>
            </w:pPr>
            <w:r>
              <w:rPr>
                <w:spacing w:val="-10"/>
                <w:sz w:val="20"/>
              </w:rPr>
              <w:t>$</w:t>
            </w:r>
            <w:r>
              <w:rPr>
                <w:sz w:val="20"/>
              </w:rPr>
              <w:tab/>
            </w:r>
            <w:r>
              <w:rPr>
                <w:spacing w:val="-2"/>
                <w:sz w:val="20"/>
              </w:rPr>
              <w:t>2,095</w:t>
            </w:r>
          </w:p>
        </w:tc>
      </w:tr>
    </w:tbl>
    <w:p w14:paraId="3587A4B9" w14:textId="77777777" w:rsidR="00AE2255" w:rsidRDefault="00AE2255">
      <w:pPr>
        <w:pStyle w:val="BodyText"/>
        <w:spacing w:before="1"/>
        <w:rPr>
          <w:b/>
          <w:sz w:val="19"/>
        </w:rPr>
      </w:pPr>
    </w:p>
    <w:p w14:paraId="2FC723E6" w14:textId="77777777" w:rsidR="00AE2255" w:rsidRDefault="00000000">
      <w:pPr>
        <w:pStyle w:val="BodyText"/>
        <w:spacing w:line="249" w:lineRule="auto"/>
        <w:ind w:left="610" w:right="429" w:firstLine="360"/>
        <w:jc w:val="both"/>
      </w:pPr>
      <w:r>
        <w:t>The total FAS/CAS pension adjustment in 2022 reflects a noncash, non-operating pension settlement charge of $1.5 billion ($1.2</w:t>
      </w:r>
      <w:r>
        <w:rPr>
          <w:spacing w:val="-2"/>
        </w:rPr>
        <w:t xml:space="preserve"> </w:t>
      </w:r>
      <w:r>
        <w:t>billion,</w:t>
      </w:r>
      <w:r>
        <w:rPr>
          <w:spacing w:val="-2"/>
        </w:rPr>
        <w:t xml:space="preserve"> </w:t>
      </w:r>
      <w:r>
        <w:t>or</w:t>
      </w:r>
      <w:r>
        <w:rPr>
          <w:spacing w:val="-2"/>
        </w:rPr>
        <w:t xml:space="preserve"> </w:t>
      </w:r>
      <w:r>
        <w:t>$4.33</w:t>
      </w:r>
      <w:r>
        <w:rPr>
          <w:spacing w:val="-2"/>
        </w:rPr>
        <w:t xml:space="preserve"> </w:t>
      </w:r>
      <w:r>
        <w:t>per</w:t>
      </w:r>
      <w:r>
        <w:rPr>
          <w:spacing w:val="-2"/>
        </w:rPr>
        <w:t xml:space="preserve"> </w:t>
      </w:r>
      <w:r>
        <w:t>share,</w:t>
      </w:r>
      <w:r>
        <w:rPr>
          <w:spacing w:val="-2"/>
        </w:rPr>
        <w:t xml:space="preserve"> </w:t>
      </w:r>
      <w:r>
        <w:t>after-tax)</w:t>
      </w:r>
      <w:r>
        <w:rPr>
          <w:spacing w:val="-2"/>
        </w:rPr>
        <w:t xml:space="preserve"> </w:t>
      </w:r>
      <w:r>
        <w:t>recognized</w:t>
      </w:r>
      <w:r>
        <w:rPr>
          <w:spacing w:val="-2"/>
        </w:rPr>
        <w:t xml:space="preserve"> </w:t>
      </w:r>
      <w:r>
        <w:t>in</w:t>
      </w:r>
      <w:r>
        <w:rPr>
          <w:spacing w:val="-2"/>
        </w:rPr>
        <w:t xml:space="preserve"> </w:t>
      </w:r>
      <w:r>
        <w:t>connection</w:t>
      </w:r>
      <w:r>
        <w:rPr>
          <w:spacing w:val="-2"/>
        </w:rPr>
        <w:t xml:space="preserve"> </w:t>
      </w:r>
      <w:r>
        <w:t>with</w:t>
      </w:r>
      <w:r>
        <w:rPr>
          <w:spacing w:val="-2"/>
        </w:rPr>
        <w:t xml:space="preserve"> </w:t>
      </w:r>
      <w:r>
        <w:t>the</w:t>
      </w:r>
      <w:r>
        <w:rPr>
          <w:spacing w:val="-3"/>
        </w:rPr>
        <w:t xml:space="preserve"> </w:t>
      </w:r>
      <w:r>
        <w:t>transfer</w:t>
      </w:r>
      <w:r>
        <w:rPr>
          <w:spacing w:val="-2"/>
        </w:rPr>
        <w:t xml:space="preserve"> </w:t>
      </w:r>
      <w:r>
        <w:t>of</w:t>
      </w:r>
      <w:r>
        <w:rPr>
          <w:spacing w:val="-2"/>
        </w:rPr>
        <w:t xml:space="preserve"> </w:t>
      </w:r>
      <w:r>
        <w:t>$4.3</w:t>
      </w:r>
      <w:r>
        <w:rPr>
          <w:spacing w:val="-2"/>
        </w:rPr>
        <w:t xml:space="preserve"> </w:t>
      </w:r>
      <w:r>
        <w:t>billion</w:t>
      </w:r>
      <w:r>
        <w:rPr>
          <w:spacing w:val="-2"/>
        </w:rPr>
        <w:t xml:space="preserve"> </w:t>
      </w:r>
      <w:r>
        <w:t>of</w:t>
      </w:r>
      <w:r>
        <w:rPr>
          <w:spacing w:val="-2"/>
        </w:rPr>
        <w:t xml:space="preserve"> </w:t>
      </w:r>
      <w:r>
        <w:t>our</w:t>
      </w:r>
      <w:r>
        <w:rPr>
          <w:spacing w:val="-2"/>
        </w:rPr>
        <w:t xml:space="preserve"> </w:t>
      </w:r>
      <w:r>
        <w:t>gross</w:t>
      </w:r>
      <w:r>
        <w:rPr>
          <w:spacing w:val="-3"/>
        </w:rPr>
        <w:t xml:space="preserve"> </w:t>
      </w:r>
      <w:r>
        <w:t>defined</w:t>
      </w:r>
      <w:r>
        <w:rPr>
          <w:spacing w:val="-2"/>
        </w:rPr>
        <w:t xml:space="preserve"> </w:t>
      </w:r>
      <w:r>
        <w:t>benefit pension obligations and related plan assets to an insurance company in the second quarter of 2022. The total FAS/CAS pension adjustment in 2021 reflects a noncash, non-operating pension settlement charge of $1.7 billion ($1.3 billion, or $4.72 per share, after-tax) in connection with the transfer of $4.9 billion of our gross defined benefit pension obligations and related plan assets to an insurance company in the third quarter of 2021. See “Note 11 – Postretirement Benefit Plans” included in our Notes to Consolidated Financial Statements.</w:t>
      </w:r>
    </w:p>
    <w:p w14:paraId="05B90E77" w14:textId="77777777" w:rsidR="00AE2255" w:rsidRDefault="00AE2255">
      <w:pPr>
        <w:pStyle w:val="BodyText"/>
        <w:spacing w:before="7"/>
        <w:rPr>
          <w:sz w:val="17"/>
        </w:rPr>
      </w:pPr>
    </w:p>
    <w:p w14:paraId="276CB1E4" w14:textId="77777777" w:rsidR="00AE2255" w:rsidRDefault="00000000">
      <w:pPr>
        <w:pStyle w:val="Heading3"/>
      </w:pPr>
      <w:r>
        <w:t>Intersegment</w:t>
      </w:r>
      <w:r>
        <w:rPr>
          <w:spacing w:val="-11"/>
        </w:rPr>
        <w:t xml:space="preserve"> </w:t>
      </w:r>
      <w:r>
        <w:rPr>
          <w:spacing w:val="-2"/>
        </w:rPr>
        <w:t>Sales</w:t>
      </w:r>
    </w:p>
    <w:p w14:paraId="0FF13652" w14:textId="77777777" w:rsidR="00AE2255" w:rsidRDefault="00AE2255">
      <w:pPr>
        <w:pStyle w:val="BodyText"/>
        <w:rPr>
          <w:b/>
          <w:i/>
          <w:sz w:val="19"/>
        </w:rPr>
      </w:pPr>
    </w:p>
    <w:p w14:paraId="33BDADFF" w14:textId="77777777" w:rsidR="00AE2255" w:rsidRDefault="00000000">
      <w:pPr>
        <w:pStyle w:val="BodyText"/>
        <w:spacing w:line="232" w:lineRule="auto"/>
        <w:ind w:left="610" w:right="430" w:firstLine="360"/>
      </w:pPr>
      <w:r>
        <w:t>Sales</w:t>
      </w:r>
      <w:r>
        <w:rPr>
          <w:spacing w:val="-4"/>
        </w:rPr>
        <w:t xml:space="preserve"> </w:t>
      </w:r>
      <w:r>
        <w:t>between</w:t>
      </w:r>
      <w:r>
        <w:rPr>
          <w:spacing w:val="-3"/>
        </w:rPr>
        <w:t xml:space="preserve"> </w:t>
      </w:r>
      <w:r>
        <w:t>our</w:t>
      </w:r>
      <w:r>
        <w:rPr>
          <w:spacing w:val="-3"/>
        </w:rPr>
        <w:t xml:space="preserve"> </w:t>
      </w:r>
      <w:r>
        <w:t>business</w:t>
      </w:r>
      <w:r>
        <w:rPr>
          <w:spacing w:val="-4"/>
        </w:rPr>
        <w:t xml:space="preserve"> </w:t>
      </w:r>
      <w:r>
        <w:t>segments</w:t>
      </w:r>
      <w:r>
        <w:rPr>
          <w:spacing w:val="-4"/>
        </w:rPr>
        <w:t xml:space="preserve"> </w:t>
      </w:r>
      <w:r>
        <w:t>are</w:t>
      </w:r>
      <w:r>
        <w:rPr>
          <w:spacing w:val="-4"/>
        </w:rPr>
        <w:t xml:space="preserve"> </w:t>
      </w:r>
      <w:r>
        <w:t>excluded</w:t>
      </w:r>
      <w:r>
        <w:rPr>
          <w:spacing w:val="-3"/>
        </w:rPr>
        <w:t xml:space="preserve"> </w:t>
      </w:r>
      <w:r>
        <w:t>from</w:t>
      </w:r>
      <w:r>
        <w:rPr>
          <w:spacing w:val="-4"/>
        </w:rPr>
        <w:t xml:space="preserve"> </w:t>
      </w:r>
      <w:r>
        <w:t>our</w:t>
      </w:r>
      <w:r>
        <w:rPr>
          <w:spacing w:val="-3"/>
        </w:rPr>
        <w:t xml:space="preserve"> </w:t>
      </w:r>
      <w:r>
        <w:t>consolidated</w:t>
      </w:r>
      <w:r>
        <w:rPr>
          <w:spacing w:val="-3"/>
        </w:rPr>
        <w:t xml:space="preserve"> </w:t>
      </w:r>
      <w:r>
        <w:t>and</w:t>
      </w:r>
      <w:r>
        <w:rPr>
          <w:spacing w:val="-3"/>
        </w:rPr>
        <w:t xml:space="preserve"> </w:t>
      </w:r>
      <w:r>
        <w:t>segment</w:t>
      </w:r>
      <w:r>
        <w:rPr>
          <w:spacing w:val="-4"/>
        </w:rPr>
        <w:t xml:space="preserve"> </w:t>
      </w:r>
      <w:r>
        <w:t>operating</w:t>
      </w:r>
      <w:r>
        <w:rPr>
          <w:spacing w:val="-3"/>
        </w:rPr>
        <w:t xml:space="preserve"> </w:t>
      </w:r>
      <w:r>
        <w:t>results</w:t>
      </w:r>
      <w:r>
        <w:rPr>
          <w:spacing w:val="-4"/>
        </w:rPr>
        <w:t xml:space="preserve"> </w:t>
      </w:r>
      <w:r>
        <w:t>as</w:t>
      </w:r>
      <w:r>
        <w:rPr>
          <w:spacing w:val="-4"/>
        </w:rPr>
        <w:t xml:space="preserve"> </w:t>
      </w:r>
      <w:r>
        <w:t>these</w:t>
      </w:r>
      <w:r>
        <w:rPr>
          <w:spacing w:val="-4"/>
        </w:rPr>
        <w:t xml:space="preserve"> </w:t>
      </w:r>
      <w:r>
        <w:t>activities are eliminated in consolidation. Intersegment sales for each of our business segments were as follows (in millions):</w:t>
      </w:r>
    </w:p>
    <w:p w14:paraId="0EC8F10C" w14:textId="77777777" w:rsidR="00AE2255" w:rsidRDefault="00AE2255">
      <w:pPr>
        <w:pStyle w:val="BodyText"/>
        <w:spacing w:before="9"/>
        <w:rPr>
          <w:sz w:val="16"/>
        </w:rPr>
      </w:pPr>
    </w:p>
    <w:p w14:paraId="4DD411EE" w14:textId="77777777" w:rsidR="00AE2255" w:rsidRDefault="00000000">
      <w:pPr>
        <w:pStyle w:val="Heading2"/>
        <w:tabs>
          <w:tab w:val="left" w:pos="974"/>
          <w:tab w:val="left" w:pos="1949"/>
        </w:tabs>
        <w:spacing w:before="92" w:after="30"/>
        <w:ind w:left="0" w:right="510"/>
        <w:jc w:val="right"/>
      </w:pPr>
      <w:r>
        <w:rPr>
          <w:spacing w:val="-4"/>
        </w:rPr>
        <w:t>2022</w:t>
      </w:r>
      <w:r>
        <w:tab/>
      </w:r>
      <w:r>
        <w:rPr>
          <w:spacing w:val="-4"/>
        </w:rPr>
        <w:t>2021</w:t>
      </w:r>
      <w:r>
        <w:tab/>
      </w:r>
      <w:r>
        <w:rPr>
          <w:spacing w:val="-4"/>
        </w:rPr>
        <w:t>2020</w:t>
      </w:r>
    </w:p>
    <w:tbl>
      <w:tblPr>
        <w:tblW w:w="0" w:type="auto"/>
        <w:tblInd w:w="617" w:type="dxa"/>
        <w:tblLayout w:type="fixed"/>
        <w:tblCellMar>
          <w:left w:w="0" w:type="dxa"/>
          <w:right w:w="0" w:type="dxa"/>
        </w:tblCellMar>
        <w:tblLook w:val="01E0" w:firstRow="1" w:lastRow="1" w:firstColumn="1" w:lastColumn="1" w:noHBand="0" w:noVBand="0"/>
      </w:tblPr>
      <w:tblGrid>
        <w:gridCol w:w="4949"/>
        <w:gridCol w:w="3354"/>
        <w:gridCol w:w="975"/>
        <w:gridCol w:w="952"/>
      </w:tblGrid>
      <w:tr w:rsidR="00AE2255" w14:paraId="0B2ABF77" w14:textId="77777777">
        <w:trPr>
          <w:trHeight w:val="275"/>
        </w:trPr>
        <w:tc>
          <w:tcPr>
            <w:tcW w:w="10230" w:type="dxa"/>
            <w:gridSpan w:val="4"/>
            <w:tcBorders>
              <w:top w:val="single" w:sz="8" w:space="0" w:color="CCEDFF"/>
            </w:tcBorders>
            <w:shd w:val="clear" w:color="auto" w:fill="CCEDFF"/>
          </w:tcPr>
          <w:p w14:paraId="5BC0B69E" w14:textId="77777777" w:rsidR="00AE2255" w:rsidRDefault="00000000">
            <w:pPr>
              <w:pStyle w:val="TableParagraph"/>
              <w:spacing w:before="13"/>
              <w:ind w:left="52"/>
              <w:jc w:val="left"/>
              <w:rPr>
                <w:b/>
                <w:sz w:val="20"/>
              </w:rPr>
            </w:pPr>
            <w:r>
              <w:rPr>
                <w:b/>
                <w:sz w:val="20"/>
              </w:rPr>
              <w:t>Intersegment</w:t>
            </w:r>
            <w:r>
              <w:rPr>
                <w:b/>
                <w:spacing w:val="-8"/>
                <w:sz w:val="20"/>
              </w:rPr>
              <w:t xml:space="preserve"> </w:t>
            </w:r>
            <w:r>
              <w:rPr>
                <w:b/>
                <w:spacing w:val="-2"/>
                <w:sz w:val="20"/>
              </w:rPr>
              <w:t>sales</w:t>
            </w:r>
          </w:p>
        </w:tc>
      </w:tr>
      <w:tr w:rsidR="00AE2255" w14:paraId="50E7AC07" w14:textId="77777777">
        <w:trPr>
          <w:trHeight w:val="300"/>
        </w:trPr>
        <w:tc>
          <w:tcPr>
            <w:tcW w:w="4949" w:type="dxa"/>
          </w:tcPr>
          <w:p w14:paraId="01FFF992" w14:textId="77777777" w:rsidR="00AE2255" w:rsidRDefault="00000000">
            <w:pPr>
              <w:pStyle w:val="TableParagraph"/>
              <w:spacing w:before="27"/>
              <w:ind w:left="172"/>
              <w:jc w:val="left"/>
              <w:rPr>
                <w:sz w:val="20"/>
              </w:rPr>
            </w:pPr>
            <w:r>
              <w:rPr>
                <w:spacing w:val="-2"/>
                <w:sz w:val="20"/>
              </w:rPr>
              <w:t>Aeronautics</w:t>
            </w:r>
          </w:p>
        </w:tc>
        <w:tc>
          <w:tcPr>
            <w:tcW w:w="3354" w:type="dxa"/>
          </w:tcPr>
          <w:p w14:paraId="54161880" w14:textId="77777777" w:rsidR="00AE2255" w:rsidRDefault="00000000">
            <w:pPr>
              <w:pStyle w:val="TableParagraph"/>
              <w:tabs>
                <w:tab w:val="left" w:pos="465"/>
              </w:tabs>
              <w:spacing w:before="40"/>
              <w:ind w:right="102"/>
              <w:rPr>
                <w:b/>
                <w:sz w:val="20"/>
              </w:rPr>
            </w:pPr>
            <w:r>
              <w:rPr>
                <w:b/>
                <w:spacing w:val="-10"/>
                <w:sz w:val="20"/>
              </w:rPr>
              <w:t>$</w:t>
            </w:r>
            <w:r>
              <w:rPr>
                <w:b/>
                <w:sz w:val="20"/>
              </w:rPr>
              <w:tab/>
            </w:r>
            <w:r>
              <w:rPr>
                <w:b/>
                <w:spacing w:val="-5"/>
                <w:sz w:val="20"/>
              </w:rPr>
              <w:t>249</w:t>
            </w:r>
          </w:p>
        </w:tc>
        <w:tc>
          <w:tcPr>
            <w:tcW w:w="975" w:type="dxa"/>
          </w:tcPr>
          <w:p w14:paraId="6EB6C4C2" w14:textId="77777777" w:rsidR="00AE2255" w:rsidRDefault="00000000">
            <w:pPr>
              <w:pStyle w:val="TableParagraph"/>
              <w:tabs>
                <w:tab w:val="left" w:pos="465"/>
              </w:tabs>
              <w:spacing w:before="40"/>
              <w:ind w:right="102"/>
              <w:rPr>
                <w:sz w:val="20"/>
              </w:rPr>
            </w:pPr>
            <w:r>
              <w:rPr>
                <w:spacing w:val="-10"/>
                <w:sz w:val="20"/>
              </w:rPr>
              <w:t>$</w:t>
            </w:r>
            <w:r>
              <w:rPr>
                <w:sz w:val="20"/>
              </w:rPr>
              <w:tab/>
            </w:r>
            <w:r>
              <w:rPr>
                <w:spacing w:val="-5"/>
                <w:sz w:val="20"/>
              </w:rPr>
              <w:t>219</w:t>
            </w:r>
          </w:p>
        </w:tc>
        <w:tc>
          <w:tcPr>
            <w:tcW w:w="952" w:type="dxa"/>
          </w:tcPr>
          <w:p w14:paraId="74A74AA6" w14:textId="77777777" w:rsidR="00AE2255" w:rsidRDefault="00000000">
            <w:pPr>
              <w:pStyle w:val="TableParagraph"/>
              <w:tabs>
                <w:tab w:val="left" w:pos="465"/>
              </w:tabs>
              <w:spacing w:before="40"/>
              <w:ind w:right="79"/>
              <w:rPr>
                <w:sz w:val="20"/>
              </w:rPr>
            </w:pPr>
            <w:r>
              <w:rPr>
                <w:spacing w:val="-10"/>
                <w:sz w:val="20"/>
              </w:rPr>
              <w:t>$</w:t>
            </w:r>
            <w:r>
              <w:rPr>
                <w:sz w:val="20"/>
              </w:rPr>
              <w:tab/>
            </w:r>
            <w:r>
              <w:rPr>
                <w:spacing w:val="-5"/>
                <w:sz w:val="20"/>
              </w:rPr>
              <w:t>243</w:t>
            </w:r>
          </w:p>
        </w:tc>
      </w:tr>
      <w:tr w:rsidR="00AE2255" w14:paraId="5BE8EECB" w14:textId="77777777">
        <w:trPr>
          <w:trHeight w:val="300"/>
        </w:trPr>
        <w:tc>
          <w:tcPr>
            <w:tcW w:w="4949" w:type="dxa"/>
            <w:shd w:val="clear" w:color="auto" w:fill="CCEDFF"/>
          </w:tcPr>
          <w:p w14:paraId="62BF6DC5" w14:textId="77777777" w:rsidR="00AE2255" w:rsidRDefault="00000000">
            <w:pPr>
              <w:pStyle w:val="TableParagraph"/>
              <w:spacing w:before="27"/>
              <w:ind w:left="172"/>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3354" w:type="dxa"/>
            <w:shd w:val="clear" w:color="auto" w:fill="CCEDFF"/>
          </w:tcPr>
          <w:p w14:paraId="64E3079D" w14:textId="77777777" w:rsidR="00AE2255" w:rsidRDefault="00000000">
            <w:pPr>
              <w:pStyle w:val="TableParagraph"/>
              <w:spacing w:before="40"/>
              <w:ind w:right="102"/>
              <w:rPr>
                <w:b/>
                <w:sz w:val="20"/>
              </w:rPr>
            </w:pPr>
            <w:r>
              <w:rPr>
                <w:b/>
                <w:spacing w:val="-5"/>
                <w:sz w:val="20"/>
              </w:rPr>
              <w:t>627</w:t>
            </w:r>
          </w:p>
        </w:tc>
        <w:tc>
          <w:tcPr>
            <w:tcW w:w="975" w:type="dxa"/>
            <w:shd w:val="clear" w:color="auto" w:fill="CCEDFF"/>
          </w:tcPr>
          <w:p w14:paraId="74A80532" w14:textId="77777777" w:rsidR="00AE2255" w:rsidRDefault="00000000">
            <w:pPr>
              <w:pStyle w:val="TableParagraph"/>
              <w:spacing w:before="40"/>
              <w:ind w:right="102"/>
              <w:rPr>
                <w:sz w:val="20"/>
              </w:rPr>
            </w:pPr>
            <w:r>
              <w:rPr>
                <w:spacing w:val="-5"/>
                <w:sz w:val="20"/>
              </w:rPr>
              <w:t>618</w:t>
            </w:r>
          </w:p>
        </w:tc>
        <w:tc>
          <w:tcPr>
            <w:tcW w:w="952" w:type="dxa"/>
            <w:shd w:val="clear" w:color="auto" w:fill="CCEDFF"/>
          </w:tcPr>
          <w:p w14:paraId="6CDC5655" w14:textId="77777777" w:rsidR="00AE2255" w:rsidRDefault="00000000">
            <w:pPr>
              <w:pStyle w:val="TableParagraph"/>
              <w:spacing w:before="40"/>
              <w:ind w:right="79"/>
              <w:rPr>
                <w:sz w:val="20"/>
              </w:rPr>
            </w:pPr>
            <w:r>
              <w:rPr>
                <w:spacing w:val="-5"/>
                <w:sz w:val="20"/>
              </w:rPr>
              <w:t>562</w:t>
            </w:r>
          </w:p>
        </w:tc>
      </w:tr>
      <w:tr w:rsidR="00AE2255" w14:paraId="2ED3CE29" w14:textId="77777777">
        <w:trPr>
          <w:trHeight w:val="300"/>
        </w:trPr>
        <w:tc>
          <w:tcPr>
            <w:tcW w:w="4949" w:type="dxa"/>
          </w:tcPr>
          <w:p w14:paraId="121DBB97" w14:textId="77777777" w:rsidR="00AE2255" w:rsidRDefault="00000000">
            <w:pPr>
              <w:pStyle w:val="TableParagraph"/>
              <w:spacing w:before="27"/>
              <w:ind w:left="172"/>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3354" w:type="dxa"/>
          </w:tcPr>
          <w:p w14:paraId="19B23B2B" w14:textId="77777777" w:rsidR="00AE2255" w:rsidRDefault="00000000">
            <w:pPr>
              <w:pStyle w:val="TableParagraph"/>
              <w:spacing w:before="40"/>
              <w:ind w:right="102"/>
              <w:rPr>
                <w:b/>
                <w:sz w:val="20"/>
              </w:rPr>
            </w:pPr>
            <w:r>
              <w:rPr>
                <w:b/>
                <w:spacing w:val="-2"/>
                <w:sz w:val="20"/>
              </w:rPr>
              <w:t>1,930</w:t>
            </w:r>
          </w:p>
        </w:tc>
        <w:tc>
          <w:tcPr>
            <w:tcW w:w="975" w:type="dxa"/>
          </w:tcPr>
          <w:p w14:paraId="659493A5" w14:textId="77777777" w:rsidR="00AE2255" w:rsidRDefault="00000000">
            <w:pPr>
              <w:pStyle w:val="TableParagraph"/>
              <w:spacing w:before="40"/>
              <w:ind w:right="102"/>
              <w:rPr>
                <w:sz w:val="20"/>
              </w:rPr>
            </w:pPr>
            <w:r>
              <w:rPr>
                <w:spacing w:val="-2"/>
                <w:sz w:val="20"/>
              </w:rPr>
              <w:t>1,895</w:t>
            </w:r>
          </w:p>
        </w:tc>
        <w:tc>
          <w:tcPr>
            <w:tcW w:w="952" w:type="dxa"/>
          </w:tcPr>
          <w:p w14:paraId="0FF11588" w14:textId="77777777" w:rsidR="00AE2255" w:rsidRDefault="00000000">
            <w:pPr>
              <w:pStyle w:val="TableParagraph"/>
              <w:spacing w:before="40"/>
              <w:ind w:right="79"/>
              <w:rPr>
                <w:sz w:val="20"/>
              </w:rPr>
            </w:pPr>
            <w:r>
              <w:rPr>
                <w:spacing w:val="-2"/>
                <w:sz w:val="20"/>
              </w:rPr>
              <w:t>1,903</w:t>
            </w:r>
          </w:p>
        </w:tc>
      </w:tr>
      <w:tr w:rsidR="00AE2255" w14:paraId="53F5FCEB" w14:textId="77777777">
        <w:trPr>
          <w:trHeight w:val="290"/>
        </w:trPr>
        <w:tc>
          <w:tcPr>
            <w:tcW w:w="4949" w:type="dxa"/>
            <w:tcBorders>
              <w:bottom w:val="single" w:sz="8" w:space="0" w:color="CCEDFF"/>
            </w:tcBorders>
            <w:shd w:val="clear" w:color="auto" w:fill="CCEDFF"/>
          </w:tcPr>
          <w:p w14:paraId="0E98C6E0" w14:textId="77777777" w:rsidR="00AE2255" w:rsidRDefault="00000000">
            <w:pPr>
              <w:pStyle w:val="TableParagraph"/>
              <w:spacing w:before="27"/>
              <w:ind w:left="172"/>
              <w:jc w:val="left"/>
              <w:rPr>
                <w:sz w:val="20"/>
              </w:rPr>
            </w:pPr>
            <w:r>
              <w:rPr>
                <w:spacing w:val="-2"/>
                <w:sz w:val="20"/>
              </w:rPr>
              <w:t>Space</w:t>
            </w:r>
          </w:p>
        </w:tc>
        <w:tc>
          <w:tcPr>
            <w:tcW w:w="3354" w:type="dxa"/>
            <w:tcBorders>
              <w:bottom w:val="single" w:sz="8" w:space="0" w:color="CCEDFF"/>
            </w:tcBorders>
            <w:shd w:val="clear" w:color="auto" w:fill="CCEDFF"/>
          </w:tcPr>
          <w:p w14:paraId="161239E6" w14:textId="77777777" w:rsidR="00AE2255" w:rsidRDefault="00000000">
            <w:pPr>
              <w:pStyle w:val="TableParagraph"/>
              <w:spacing w:before="40" w:line="230" w:lineRule="exact"/>
              <w:ind w:right="102"/>
              <w:rPr>
                <w:b/>
                <w:sz w:val="20"/>
              </w:rPr>
            </w:pPr>
            <w:r>
              <w:rPr>
                <w:b/>
                <w:spacing w:val="-5"/>
                <w:sz w:val="20"/>
              </w:rPr>
              <w:t>381</w:t>
            </w:r>
          </w:p>
        </w:tc>
        <w:tc>
          <w:tcPr>
            <w:tcW w:w="975" w:type="dxa"/>
            <w:tcBorders>
              <w:bottom w:val="single" w:sz="8" w:space="0" w:color="CCEDFF"/>
            </w:tcBorders>
            <w:shd w:val="clear" w:color="auto" w:fill="CCEDFF"/>
          </w:tcPr>
          <w:p w14:paraId="5443DAB6" w14:textId="77777777" w:rsidR="00AE2255" w:rsidRDefault="00000000">
            <w:pPr>
              <w:pStyle w:val="TableParagraph"/>
              <w:spacing w:before="40" w:line="230" w:lineRule="exact"/>
              <w:ind w:right="102"/>
              <w:rPr>
                <w:sz w:val="20"/>
              </w:rPr>
            </w:pPr>
            <w:r>
              <w:rPr>
                <w:spacing w:val="-5"/>
                <w:sz w:val="20"/>
              </w:rPr>
              <w:t>360</w:t>
            </w:r>
          </w:p>
        </w:tc>
        <w:tc>
          <w:tcPr>
            <w:tcW w:w="952" w:type="dxa"/>
            <w:tcBorders>
              <w:bottom w:val="single" w:sz="8" w:space="0" w:color="CCEDFF"/>
            </w:tcBorders>
            <w:shd w:val="clear" w:color="auto" w:fill="CCEDFF"/>
          </w:tcPr>
          <w:p w14:paraId="4A2A4DC3" w14:textId="77777777" w:rsidR="00AE2255" w:rsidRDefault="00000000">
            <w:pPr>
              <w:pStyle w:val="TableParagraph"/>
              <w:spacing w:before="40" w:line="230" w:lineRule="exact"/>
              <w:ind w:right="79"/>
              <w:rPr>
                <w:sz w:val="20"/>
              </w:rPr>
            </w:pPr>
            <w:r>
              <w:rPr>
                <w:spacing w:val="-5"/>
                <w:sz w:val="20"/>
              </w:rPr>
              <w:t>377</w:t>
            </w:r>
          </w:p>
        </w:tc>
      </w:tr>
      <w:tr w:rsidR="00AE2255" w14:paraId="304B10AC" w14:textId="77777777">
        <w:trPr>
          <w:trHeight w:val="267"/>
        </w:trPr>
        <w:tc>
          <w:tcPr>
            <w:tcW w:w="4949" w:type="dxa"/>
            <w:tcBorders>
              <w:top w:val="single" w:sz="8" w:space="0" w:color="auto"/>
              <w:bottom w:val="single" w:sz="18" w:space="0" w:color="000000"/>
            </w:tcBorders>
          </w:tcPr>
          <w:p w14:paraId="1EF49D5D" w14:textId="77777777" w:rsidR="00AE2255" w:rsidRDefault="00000000">
            <w:pPr>
              <w:pStyle w:val="TableParagraph"/>
              <w:spacing w:before="17"/>
              <w:ind w:left="292"/>
              <w:jc w:val="left"/>
              <w:rPr>
                <w:sz w:val="20"/>
              </w:rPr>
            </w:pPr>
            <w:r>
              <w:rPr>
                <w:sz w:val="20"/>
              </w:rPr>
              <w:t>Total</w:t>
            </w:r>
            <w:r>
              <w:rPr>
                <w:spacing w:val="-6"/>
                <w:sz w:val="20"/>
              </w:rPr>
              <w:t xml:space="preserve"> </w:t>
            </w:r>
            <w:r>
              <w:rPr>
                <w:sz w:val="20"/>
              </w:rPr>
              <w:t>intersegment</w:t>
            </w:r>
            <w:r>
              <w:rPr>
                <w:spacing w:val="-6"/>
                <w:sz w:val="20"/>
              </w:rPr>
              <w:t xml:space="preserve"> </w:t>
            </w:r>
            <w:r>
              <w:rPr>
                <w:spacing w:val="-2"/>
                <w:sz w:val="20"/>
              </w:rPr>
              <w:t>sales</w:t>
            </w:r>
          </w:p>
        </w:tc>
        <w:tc>
          <w:tcPr>
            <w:tcW w:w="3354" w:type="dxa"/>
            <w:tcBorders>
              <w:top w:val="single" w:sz="8" w:space="0" w:color="auto"/>
              <w:bottom w:val="single" w:sz="18" w:space="0" w:color="000000"/>
            </w:tcBorders>
          </w:tcPr>
          <w:p w14:paraId="2945B208" w14:textId="77777777" w:rsidR="00AE2255" w:rsidRDefault="00000000">
            <w:pPr>
              <w:pStyle w:val="TableParagraph"/>
              <w:tabs>
                <w:tab w:val="left" w:pos="315"/>
              </w:tabs>
              <w:spacing w:before="30" w:line="217" w:lineRule="exact"/>
              <w:ind w:right="102"/>
              <w:rPr>
                <w:b/>
                <w:sz w:val="20"/>
              </w:rPr>
            </w:pPr>
            <w:r>
              <w:rPr>
                <w:b/>
                <w:spacing w:val="-10"/>
                <w:sz w:val="20"/>
              </w:rPr>
              <w:t>$</w:t>
            </w:r>
            <w:r>
              <w:rPr>
                <w:b/>
                <w:sz w:val="20"/>
              </w:rPr>
              <w:tab/>
            </w:r>
            <w:r>
              <w:rPr>
                <w:b/>
                <w:spacing w:val="-2"/>
                <w:sz w:val="20"/>
              </w:rPr>
              <w:t>3,187</w:t>
            </w:r>
          </w:p>
        </w:tc>
        <w:tc>
          <w:tcPr>
            <w:tcW w:w="975" w:type="dxa"/>
            <w:tcBorders>
              <w:top w:val="single" w:sz="8" w:space="0" w:color="auto"/>
              <w:bottom w:val="single" w:sz="18" w:space="0" w:color="000000"/>
            </w:tcBorders>
          </w:tcPr>
          <w:p w14:paraId="71CBAE0D" w14:textId="77777777" w:rsidR="00AE2255" w:rsidRDefault="00000000">
            <w:pPr>
              <w:pStyle w:val="TableParagraph"/>
              <w:tabs>
                <w:tab w:val="left" w:pos="315"/>
              </w:tabs>
              <w:spacing w:before="30" w:line="217" w:lineRule="exact"/>
              <w:ind w:right="102"/>
              <w:rPr>
                <w:sz w:val="20"/>
              </w:rPr>
            </w:pPr>
            <w:r>
              <w:rPr>
                <w:spacing w:val="-10"/>
                <w:sz w:val="20"/>
              </w:rPr>
              <w:t>$</w:t>
            </w:r>
            <w:r>
              <w:rPr>
                <w:sz w:val="20"/>
              </w:rPr>
              <w:tab/>
            </w:r>
            <w:r>
              <w:rPr>
                <w:spacing w:val="-2"/>
                <w:sz w:val="20"/>
              </w:rPr>
              <w:t>3,092</w:t>
            </w:r>
          </w:p>
        </w:tc>
        <w:tc>
          <w:tcPr>
            <w:tcW w:w="952" w:type="dxa"/>
            <w:tcBorders>
              <w:top w:val="single" w:sz="8" w:space="0" w:color="auto"/>
              <w:bottom w:val="single" w:sz="18" w:space="0" w:color="000000"/>
            </w:tcBorders>
          </w:tcPr>
          <w:p w14:paraId="2DE11E10" w14:textId="77777777" w:rsidR="00AE2255" w:rsidRDefault="00000000">
            <w:pPr>
              <w:pStyle w:val="TableParagraph"/>
              <w:tabs>
                <w:tab w:val="left" w:pos="315"/>
              </w:tabs>
              <w:spacing w:before="30" w:line="217" w:lineRule="exact"/>
              <w:ind w:right="79"/>
              <w:rPr>
                <w:sz w:val="20"/>
              </w:rPr>
            </w:pPr>
            <w:r>
              <w:rPr>
                <w:spacing w:val="-10"/>
                <w:sz w:val="20"/>
              </w:rPr>
              <w:t>$</w:t>
            </w:r>
            <w:r>
              <w:rPr>
                <w:sz w:val="20"/>
              </w:rPr>
              <w:tab/>
            </w:r>
            <w:r>
              <w:rPr>
                <w:spacing w:val="-2"/>
                <w:sz w:val="20"/>
              </w:rPr>
              <w:t>3,085</w:t>
            </w:r>
          </w:p>
        </w:tc>
      </w:tr>
    </w:tbl>
    <w:p w14:paraId="4ACB6D8D" w14:textId="77777777" w:rsidR="00AE2255" w:rsidRDefault="00AE2255">
      <w:pPr>
        <w:spacing w:line="217" w:lineRule="exact"/>
        <w:rPr>
          <w:sz w:val="20"/>
        </w:rPr>
        <w:sectPr w:rsidR="00AE2255">
          <w:pgSz w:w="12240" w:h="15840"/>
          <w:pgMar w:top="440" w:right="560" w:bottom="720" w:left="380" w:header="230" w:footer="531" w:gutter="0"/>
          <w:cols w:space="720"/>
        </w:sectPr>
      </w:pPr>
    </w:p>
    <w:p w14:paraId="7936969B" w14:textId="77777777" w:rsidR="00AE2255" w:rsidRDefault="00AE2255">
      <w:pPr>
        <w:pStyle w:val="BodyText"/>
        <w:spacing w:before="7"/>
        <w:rPr>
          <w:b/>
          <w:sz w:val="22"/>
        </w:rPr>
      </w:pPr>
    </w:p>
    <w:p w14:paraId="3E3CB716" w14:textId="77777777" w:rsidR="00AE2255" w:rsidRDefault="00000000">
      <w:pPr>
        <w:pStyle w:val="Heading3"/>
        <w:spacing w:before="92"/>
      </w:pPr>
      <w:r>
        <w:t>Disaggregation</w:t>
      </w:r>
      <w:r>
        <w:rPr>
          <w:spacing w:val="-4"/>
        </w:rPr>
        <w:t xml:space="preserve"> </w:t>
      </w:r>
      <w:r>
        <w:t>of</w:t>
      </w:r>
      <w:r>
        <w:rPr>
          <w:spacing w:val="-4"/>
        </w:rPr>
        <w:t xml:space="preserve"> </w:t>
      </w:r>
      <w:r>
        <w:t>Net</w:t>
      </w:r>
      <w:r>
        <w:rPr>
          <w:spacing w:val="-3"/>
        </w:rPr>
        <w:t xml:space="preserve"> </w:t>
      </w:r>
      <w:r>
        <w:rPr>
          <w:spacing w:val="-4"/>
        </w:rPr>
        <w:t>Sales</w:t>
      </w:r>
    </w:p>
    <w:p w14:paraId="3A48ADB8" w14:textId="77777777" w:rsidR="00AE2255" w:rsidRDefault="00000000">
      <w:pPr>
        <w:pStyle w:val="BodyText"/>
        <w:spacing w:before="197" w:line="249" w:lineRule="auto"/>
        <w:ind w:left="610" w:right="430" w:firstLine="360"/>
      </w:pPr>
      <w:r>
        <w:t>Net</w:t>
      </w:r>
      <w:r>
        <w:rPr>
          <w:spacing w:val="-4"/>
        </w:rPr>
        <w:t xml:space="preserve"> </w:t>
      </w:r>
      <w:r>
        <w:t>sales</w:t>
      </w:r>
      <w:r>
        <w:rPr>
          <w:spacing w:val="-4"/>
        </w:rPr>
        <w:t xml:space="preserve"> </w:t>
      </w:r>
      <w:r>
        <w:t>by</w:t>
      </w:r>
      <w:r>
        <w:rPr>
          <w:spacing w:val="-3"/>
        </w:rPr>
        <w:t xml:space="preserve"> </w:t>
      </w:r>
      <w:r>
        <w:t>products</w:t>
      </w:r>
      <w:r>
        <w:rPr>
          <w:spacing w:val="-4"/>
        </w:rPr>
        <w:t xml:space="preserve"> </w:t>
      </w:r>
      <w:r>
        <w:t>and</w:t>
      </w:r>
      <w:r>
        <w:rPr>
          <w:spacing w:val="-3"/>
        </w:rPr>
        <w:t xml:space="preserve"> </w:t>
      </w:r>
      <w:r>
        <w:t>services,</w:t>
      </w:r>
      <w:r>
        <w:rPr>
          <w:spacing w:val="-3"/>
        </w:rPr>
        <w:t xml:space="preserve"> </w:t>
      </w:r>
      <w:r>
        <w:t>contract</w:t>
      </w:r>
      <w:r>
        <w:rPr>
          <w:spacing w:val="-4"/>
        </w:rPr>
        <w:t xml:space="preserve"> </w:t>
      </w:r>
      <w:r>
        <w:t>type,</w:t>
      </w:r>
      <w:r>
        <w:rPr>
          <w:spacing w:val="-3"/>
        </w:rPr>
        <w:t xml:space="preserve"> </w:t>
      </w:r>
      <w:r>
        <w:t>customer</w:t>
      </w:r>
      <w:r>
        <w:rPr>
          <w:spacing w:val="-3"/>
        </w:rPr>
        <w:t xml:space="preserve"> </w:t>
      </w:r>
      <w:r>
        <w:t>category</w:t>
      </w:r>
      <w:r>
        <w:rPr>
          <w:spacing w:val="-3"/>
        </w:rPr>
        <w:t xml:space="preserve"> </w:t>
      </w:r>
      <w:r>
        <w:t>and</w:t>
      </w:r>
      <w:r>
        <w:rPr>
          <w:spacing w:val="-3"/>
        </w:rPr>
        <w:t xml:space="preserve"> </w:t>
      </w:r>
      <w:r>
        <w:t>geographic</w:t>
      </w:r>
      <w:r>
        <w:rPr>
          <w:spacing w:val="-4"/>
        </w:rPr>
        <w:t xml:space="preserve"> </w:t>
      </w:r>
      <w:r>
        <w:t>region</w:t>
      </w:r>
      <w:r>
        <w:rPr>
          <w:spacing w:val="-3"/>
        </w:rPr>
        <w:t xml:space="preserve"> </w:t>
      </w:r>
      <w:r>
        <w:t>for</w:t>
      </w:r>
      <w:r>
        <w:rPr>
          <w:spacing w:val="-3"/>
        </w:rPr>
        <w:t xml:space="preserve"> </w:t>
      </w:r>
      <w:r>
        <w:t>each</w:t>
      </w:r>
      <w:r>
        <w:rPr>
          <w:spacing w:val="-3"/>
        </w:rPr>
        <w:t xml:space="preserve"> </w:t>
      </w:r>
      <w:r>
        <w:t>of</w:t>
      </w:r>
      <w:r>
        <w:rPr>
          <w:spacing w:val="-3"/>
        </w:rPr>
        <w:t xml:space="preserve"> </w:t>
      </w:r>
      <w:r>
        <w:t>our</w:t>
      </w:r>
      <w:r>
        <w:rPr>
          <w:spacing w:val="-3"/>
        </w:rPr>
        <w:t xml:space="preserve"> </w:t>
      </w:r>
      <w:r>
        <w:t>business segments were as follows (in millions):</w:t>
      </w:r>
    </w:p>
    <w:p w14:paraId="113D46CF" w14:textId="77777777" w:rsidR="00AE2255" w:rsidRDefault="00000000">
      <w:pPr>
        <w:spacing w:before="75" w:after="30"/>
        <w:ind w:left="7557"/>
        <w:rPr>
          <w:b/>
          <w:sz w:val="20"/>
        </w:rPr>
      </w:pPr>
      <w:r>
        <w:rPr>
          <w:b/>
          <w:spacing w:val="-4"/>
          <w:sz w:val="20"/>
        </w:rPr>
        <w:t>2022</w:t>
      </w:r>
    </w:p>
    <w:tbl>
      <w:tblPr>
        <w:tblW w:w="0" w:type="auto"/>
        <w:tblInd w:w="617" w:type="dxa"/>
        <w:tblLayout w:type="fixed"/>
        <w:tblCellMar>
          <w:left w:w="0" w:type="dxa"/>
          <w:right w:w="0" w:type="dxa"/>
        </w:tblCellMar>
        <w:tblLook w:val="01E0" w:firstRow="1" w:lastRow="1" w:firstColumn="1" w:lastColumn="1" w:noHBand="0" w:noVBand="0"/>
      </w:tblPr>
      <w:tblGrid>
        <w:gridCol w:w="4110"/>
        <w:gridCol w:w="1188"/>
        <w:gridCol w:w="1220"/>
        <w:gridCol w:w="1230"/>
        <w:gridCol w:w="1230"/>
        <w:gridCol w:w="1244"/>
      </w:tblGrid>
      <w:tr w:rsidR="00AE2255" w14:paraId="742F57CF" w14:textId="77777777">
        <w:trPr>
          <w:trHeight w:val="265"/>
        </w:trPr>
        <w:tc>
          <w:tcPr>
            <w:tcW w:w="4110" w:type="dxa"/>
            <w:tcBorders>
              <w:bottom w:val="single" w:sz="8" w:space="0" w:color="000000"/>
            </w:tcBorders>
          </w:tcPr>
          <w:p w14:paraId="76D23A4E" w14:textId="77777777" w:rsidR="00AE2255" w:rsidRDefault="00AE2255">
            <w:pPr>
              <w:pStyle w:val="TableParagraph"/>
              <w:spacing w:before="0"/>
              <w:jc w:val="left"/>
              <w:rPr>
                <w:sz w:val="18"/>
              </w:rPr>
            </w:pPr>
          </w:p>
        </w:tc>
        <w:tc>
          <w:tcPr>
            <w:tcW w:w="1188" w:type="dxa"/>
            <w:tcBorders>
              <w:top w:val="single" w:sz="8" w:space="0" w:color="000000"/>
              <w:bottom w:val="single" w:sz="8" w:space="0" w:color="000000"/>
            </w:tcBorders>
          </w:tcPr>
          <w:p w14:paraId="7A13AAA2" w14:textId="77777777" w:rsidR="00AE2255" w:rsidRDefault="00000000">
            <w:pPr>
              <w:pStyle w:val="TableParagraph"/>
              <w:spacing w:before="15" w:line="230" w:lineRule="exact"/>
              <w:ind w:right="92"/>
              <w:rPr>
                <w:b/>
                <w:sz w:val="20"/>
              </w:rPr>
            </w:pPr>
            <w:r>
              <w:rPr>
                <w:b/>
                <w:spacing w:val="-2"/>
                <w:sz w:val="20"/>
              </w:rPr>
              <w:t>Aeronautics</w:t>
            </w:r>
          </w:p>
        </w:tc>
        <w:tc>
          <w:tcPr>
            <w:tcW w:w="1220" w:type="dxa"/>
            <w:tcBorders>
              <w:top w:val="single" w:sz="8" w:space="0" w:color="000000"/>
              <w:bottom w:val="single" w:sz="8" w:space="0" w:color="000000"/>
            </w:tcBorders>
          </w:tcPr>
          <w:p w14:paraId="5F86030F" w14:textId="77777777" w:rsidR="00AE2255" w:rsidRDefault="00000000">
            <w:pPr>
              <w:pStyle w:val="TableParagraph"/>
              <w:spacing w:before="15" w:line="230" w:lineRule="exact"/>
              <w:ind w:left="392"/>
              <w:jc w:val="left"/>
              <w:rPr>
                <w:b/>
                <w:sz w:val="20"/>
              </w:rPr>
            </w:pPr>
            <w:r>
              <w:rPr>
                <w:b/>
                <w:spacing w:val="-5"/>
                <w:sz w:val="20"/>
              </w:rPr>
              <w:t>MFC</w:t>
            </w:r>
          </w:p>
        </w:tc>
        <w:tc>
          <w:tcPr>
            <w:tcW w:w="1230" w:type="dxa"/>
            <w:tcBorders>
              <w:top w:val="single" w:sz="8" w:space="0" w:color="000000"/>
              <w:bottom w:val="single" w:sz="8" w:space="0" w:color="000000"/>
            </w:tcBorders>
          </w:tcPr>
          <w:p w14:paraId="33303A2E" w14:textId="77777777" w:rsidR="00AE2255" w:rsidRDefault="00000000">
            <w:pPr>
              <w:pStyle w:val="TableParagraph"/>
              <w:spacing w:before="15" w:line="230" w:lineRule="exact"/>
              <w:ind w:left="407"/>
              <w:jc w:val="left"/>
              <w:rPr>
                <w:b/>
                <w:sz w:val="20"/>
              </w:rPr>
            </w:pPr>
            <w:r>
              <w:rPr>
                <w:b/>
                <w:spacing w:val="-5"/>
                <w:sz w:val="20"/>
              </w:rPr>
              <w:t>RMS</w:t>
            </w:r>
          </w:p>
        </w:tc>
        <w:tc>
          <w:tcPr>
            <w:tcW w:w="1230" w:type="dxa"/>
            <w:tcBorders>
              <w:top w:val="single" w:sz="8" w:space="0" w:color="000000"/>
              <w:bottom w:val="single" w:sz="8" w:space="0" w:color="000000"/>
            </w:tcBorders>
          </w:tcPr>
          <w:p w14:paraId="5C34C77B" w14:textId="77777777" w:rsidR="00AE2255" w:rsidRDefault="00000000">
            <w:pPr>
              <w:pStyle w:val="TableParagraph"/>
              <w:spacing w:before="15" w:line="230" w:lineRule="exact"/>
              <w:ind w:left="379"/>
              <w:jc w:val="left"/>
              <w:rPr>
                <w:b/>
                <w:sz w:val="20"/>
              </w:rPr>
            </w:pPr>
            <w:r>
              <w:rPr>
                <w:b/>
                <w:spacing w:val="-2"/>
                <w:sz w:val="20"/>
              </w:rPr>
              <w:t>Space</w:t>
            </w:r>
          </w:p>
        </w:tc>
        <w:tc>
          <w:tcPr>
            <w:tcW w:w="1244" w:type="dxa"/>
            <w:tcBorders>
              <w:top w:val="single" w:sz="8" w:space="0" w:color="000000"/>
              <w:bottom w:val="single" w:sz="8" w:space="0" w:color="000000"/>
            </w:tcBorders>
          </w:tcPr>
          <w:p w14:paraId="6FD5B28A" w14:textId="77777777" w:rsidR="00AE2255" w:rsidRDefault="00000000">
            <w:pPr>
              <w:pStyle w:val="TableParagraph"/>
              <w:spacing w:before="15" w:line="230" w:lineRule="exact"/>
              <w:ind w:left="401"/>
              <w:jc w:val="left"/>
              <w:rPr>
                <w:b/>
                <w:sz w:val="20"/>
              </w:rPr>
            </w:pPr>
            <w:r>
              <w:rPr>
                <w:b/>
                <w:spacing w:val="-2"/>
                <w:sz w:val="20"/>
              </w:rPr>
              <w:t>Total</w:t>
            </w:r>
          </w:p>
        </w:tc>
      </w:tr>
      <w:tr w:rsidR="00AE2255" w14:paraId="2A0D7EE8" w14:textId="77777777">
        <w:trPr>
          <w:trHeight w:val="275"/>
        </w:trPr>
        <w:tc>
          <w:tcPr>
            <w:tcW w:w="4110" w:type="dxa"/>
            <w:tcBorders>
              <w:top w:val="single" w:sz="8" w:space="0" w:color="000000"/>
            </w:tcBorders>
            <w:shd w:val="clear" w:color="auto" w:fill="CCEDFF"/>
          </w:tcPr>
          <w:p w14:paraId="57488DD1" w14:textId="77777777" w:rsidR="00AE2255" w:rsidRDefault="00000000">
            <w:pPr>
              <w:pStyle w:val="TableParagraph"/>
              <w:spacing w:before="13"/>
              <w:ind w:left="52"/>
              <w:jc w:val="left"/>
              <w:rPr>
                <w:b/>
                <w:sz w:val="20"/>
              </w:rPr>
            </w:pPr>
            <w:r>
              <w:rPr>
                <w:b/>
                <w:sz w:val="20"/>
              </w:rPr>
              <w:t>Net</w:t>
            </w:r>
            <w:r>
              <w:rPr>
                <w:b/>
                <w:spacing w:val="-4"/>
                <w:sz w:val="20"/>
              </w:rPr>
              <w:t xml:space="preserve"> </w:t>
            </w:r>
            <w:r>
              <w:rPr>
                <w:b/>
                <w:spacing w:val="-2"/>
                <w:sz w:val="20"/>
              </w:rPr>
              <w:t>sales</w:t>
            </w:r>
          </w:p>
        </w:tc>
        <w:tc>
          <w:tcPr>
            <w:tcW w:w="1188" w:type="dxa"/>
            <w:tcBorders>
              <w:top w:val="single" w:sz="8" w:space="0" w:color="000000"/>
            </w:tcBorders>
            <w:shd w:val="clear" w:color="auto" w:fill="CCEDFF"/>
          </w:tcPr>
          <w:p w14:paraId="1575813E" w14:textId="77777777" w:rsidR="00AE2255" w:rsidRDefault="00AE2255">
            <w:pPr>
              <w:pStyle w:val="TableParagraph"/>
              <w:spacing w:before="0"/>
              <w:jc w:val="left"/>
              <w:rPr>
                <w:sz w:val="18"/>
              </w:rPr>
            </w:pPr>
          </w:p>
        </w:tc>
        <w:tc>
          <w:tcPr>
            <w:tcW w:w="1220" w:type="dxa"/>
            <w:tcBorders>
              <w:top w:val="single" w:sz="8" w:space="0" w:color="000000"/>
            </w:tcBorders>
            <w:shd w:val="clear" w:color="auto" w:fill="CCEDFF"/>
          </w:tcPr>
          <w:p w14:paraId="57EBD3BB"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0D268D38"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1B04607B" w14:textId="77777777" w:rsidR="00AE2255" w:rsidRDefault="00AE2255">
            <w:pPr>
              <w:pStyle w:val="TableParagraph"/>
              <w:spacing w:before="0"/>
              <w:jc w:val="left"/>
              <w:rPr>
                <w:sz w:val="18"/>
              </w:rPr>
            </w:pPr>
          </w:p>
        </w:tc>
        <w:tc>
          <w:tcPr>
            <w:tcW w:w="1244" w:type="dxa"/>
            <w:tcBorders>
              <w:top w:val="single" w:sz="8" w:space="0" w:color="000000"/>
            </w:tcBorders>
            <w:shd w:val="clear" w:color="auto" w:fill="CCEDFF"/>
          </w:tcPr>
          <w:p w14:paraId="11F61EEF" w14:textId="77777777" w:rsidR="00AE2255" w:rsidRDefault="00AE2255">
            <w:pPr>
              <w:pStyle w:val="TableParagraph"/>
              <w:spacing w:before="0"/>
              <w:jc w:val="left"/>
              <w:rPr>
                <w:sz w:val="18"/>
              </w:rPr>
            </w:pPr>
          </w:p>
        </w:tc>
      </w:tr>
      <w:tr w:rsidR="00AE2255" w14:paraId="0E2E6A94" w14:textId="77777777">
        <w:trPr>
          <w:trHeight w:val="285"/>
        </w:trPr>
        <w:tc>
          <w:tcPr>
            <w:tcW w:w="4110" w:type="dxa"/>
          </w:tcPr>
          <w:p w14:paraId="62CA5A14" w14:textId="77777777" w:rsidR="00AE2255" w:rsidRDefault="00000000">
            <w:pPr>
              <w:pStyle w:val="TableParagraph"/>
              <w:spacing w:before="27"/>
              <w:ind w:left="187"/>
              <w:jc w:val="left"/>
              <w:rPr>
                <w:sz w:val="20"/>
              </w:rPr>
            </w:pPr>
            <w:r>
              <w:rPr>
                <w:spacing w:val="-2"/>
                <w:sz w:val="20"/>
              </w:rPr>
              <w:t>Products</w:t>
            </w:r>
          </w:p>
        </w:tc>
        <w:tc>
          <w:tcPr>
            <w:tcW w:w="1188" w:type="dxa"/>
          </w:tcPr>
          <w:p w14:paraId="07EE9C44" w14:textId="77777777" w:rsidR="00AE2255" w:rsidRDefault="00000000">
            <w:pPr>
              <w:pStyle w:val="TableParagraph"/>
              <w:tabs>
                <w:tab w:val="left" w:pos="470"/>
              </w:tabs>
              <w:ind w:right="112"/>
              <w:rPr>
                <w:b/>
                <w:sz w:val="20"/>
              </w:rPr>
            </w:pPr>
            <w:r>
              <w:rPr>
                <w:b/>
                <w:spacing w:val="-10"/>
                <w:sz w:val="20"/>
              </w:rPr>
              <w:t>$</w:t>
            </w:r>
            <w:r>
              <w:rPr>
                <w:b/>
                <w:sz w:val="20"/>
              </w:rPr>
              <w:tab/>
            </w:r>
            <w:r>
              <w:rPr>
                <w:b/>
                <w:spacing w:val="-2"/>
                <w:sz w:val="20"/>
              </w:rPr>
              <w:t>22,870</w:t>
            </w:r>
          </w:p>
        </w:tc>
        <w:tc>
          <w:tcPr>
            <w:tcW w:w="1220" w:type="dxa"/>
          </w:tcPr>
          <w:p w14:paraId="67ED9EDD"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10,048</w:t>
            </w:r>
          </w:p>
        </w:tc>
        <w:tc>
          <w:tcPr>
            <w:tcW w:w="1230" w:type="dxa"/>
          </w:tcPr>
          <w:p w14:paraId="21F46D09"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12,811</w:t>
            </w:r>
          </w:p>
        </w:tc>
        <w:tc>
          <w:tcPr>
            <w:tcW w:w="1230" w:type="dxa"/>
          </w:tcPr>
          <w:p w14:paraId="3907C990" w14:textId="77777777" w:rsidR="00AE2255" w:rsidRDefault="00000000">
            <w:pPr>
              <w:pStyle w:val="TableParagraph"/>
              <w:tabs>
                <w:tab w:val="left" w:pos="570"/>
              </w:tabs>
              <w:ind w:right="102"/>
              <w:rPr>
                <w:b/>
                <w:sz w:val="20"/>
              </w:rPr>
            </w:pPr>
            <w:r>
              <w:rPr>
                <w:b/>
                <w:spacing w:val="-10"/>
                <w:sz w:val="20"/>
              </w:rPr>
              <w:t>$</w:t>
            </w:r>
            <w:r>
              <w:rPr>
                <w:b/>
                <w:sz w:val="20"/>
              </w:rPr>
              <w:tab/>
            </w:r>
            <w:r>
              <w:rPr>
                <w:b/>
                <w:spacing w:val="-2"/>
                <w:sz w:val="20"/>
              </w:rPr>
              <w:t>9,737</w:t>
            </w:r>
          </w:p>
        </w:tc>
        <w:tc>
          <w:tcPr>
            <w:tcW w:w="1244" w:type="dxa"/>
          </w:tcPr>
          <w:p w14:paraId="7ACC643D" w14:textId="77777777" w:rsidR="00AE2255" w:rsidRDefault="00000000">
            <w:pPr>
              <w:pStyle w:val="TableParagraph"/>
              <w:tabs>
                <w:tab w:val="left" w:pos="470"/>
              </w:tabs>
              <w:ind w:right="116"/>
              <w:rPr>
                <w:b/>
                <w:sz w:val="20"/>
              </w:rPr>
            </w:pPr>
            <w:r>
              <w:rPr>
                <w:b/>
                <w:spacing w:val="-10"/>
                <w:sz w:val="20"/>
              </w:rPr>
              <w:t>$</w:t>
            </w:r>
            <w:r>
              <w:rPr>
                <w:b/>
                <w:sz w:val="20"/>
              </w:rPr>
              <w:tab/>
            </w:r>
            <w:r>
              <w:rPr>
                <w:b/>
                <w:spacing w:val="-2"/>
                <w:sz w:val="20"/>
              </w:rPr>
              <w:t>55,466</w:t>
            </w:r>
          </w:p>
        </w:tc>
      </w:tr>
      <w:tr w:rsidR="00AE2255" w14:paraId="76353656" w14:textId="77777777">
        <w:trPr>
          <w:trHeight w:val="275"/>
        </w:trPr>
        <w:tc>
          <w:tcPr>
            <w:tcW w:w="4110" w:type="dxa"/>
            <w:tcBorders>
              <w:bottom w:val="single" w:sz="8" w:space="0" w:color="000000"/>
            </w:tcBorders>
            <w:shd w:val="clear" w:color="auto" w:fill="CCEDFF"/>
          </w:tcPr>
          <w:p w14:paraId="25BB7154" w14:textId="77777777" w:rsidR="00AE2255" w:rsidRDefault="00000000">
            <w:pPr>
              <w:pStyle w:val="TableParagraph"/>
              <w:spacing w:before="27" w:line="228" w:lineRule="exact"/>
              <w:ind w:left="187"/>
              <w:jc w:val="left"/>
              <w:rPr>
                <w:sz w:val="20"/>
              </w:rPr>
            </w:pPr>
            <w:r>
              <w:rPr>
                <w:spacing w:val="-2"/>
                <w:sz w:val="20"/>
              </w:rPr>
              <w:t>Services</w:t>
            </w:r>
          </w:p>
        </w:tc>
        <w:tc>
          <w:tcPr>
            <w:tcW w:w="1188" w:type="dxa"/>
            <w:tcBorders>
              <w:bottom w:val="single" w:sz="8" w:space="0" w:color="000000"/>
            </w:tcBorders>
            <w:shd w:val="clear" w:color="auto" w:fill="CCEDFF"/>
          </w:tcPr>
          <w:p w14:paraId="22F77AE2" w14:textId="77777777" w:rsidR="00AE2255" w:rsidRDefault="00000000">
            <w:pPr>
              <w:pStyle w:val="TableParagraph"/>
              <w:spacing w:line="230" w:lineRule="exact"/>
              <w:ind w:right="112"/>
              <w:rPr>
                <w:b/>
                <w:sz w:val="20"/>
              </w:rPr>
            </w:pPr>
            <w:r>
              <w:rPr>
                <w:b/>
                <w:spacing w:val="-2"/>
                <w:sz w:val="20"/>
              </w:rPr>
              <w:t>4,117</w:t>
            </w:r>
          </w:p>
        </w:tc>
        <w:tc>
          <w:tcPr>
            <w:tcW w:w="1220" w:type="dxa"/>
            <w:tcBorders>
              <w:bottom w:val="single" w:sz="8" w:space="0" w:color="000000"/>
            </w:tcBorders>
            <w:shd w:val="clear" w:color="auto" w:fill="CCEDFF"/>
          </w:tcPr>
          <w:p w14:paraId="0B320200" w14:textId="77777777" w:rsidR="00AE2255" w:rsidRDefault="00000000">
            <w:pPr>
              <w:pStyle w:val="TableParagraph"/>
              <w:spacing w:line="230" w:lineRule="exact"/>
              <w:ind w:right="102"/>
              <w:rPr>
                <w:b/>
                <w:sz w:val="20"/>
              </w:rPr>
            </w:pPr>
            <w:r>
              <w:rPr>
                <w:b/>
                <w:spacing w:val="-2"/>
                <w:sz w:val="20"/>
              </w:rPr>
              <w:t>1,269</w:t>
            </w:r>
          </w:p>
        </w:tc>
        <w:tc>
          <w:tcPr>
            <w:tcW w:w="1230" w:type="dxa"/>
            <w:tcBorders>
              <w:bottom w:val="single" w:sz="8" w:space="0" w:color="000000"/>
            </w:tcBorders>
            <w:shd w:val="clear" w:color="auto" w:fill="CCEDFF"/>
          </w:tcPr>
          <w:p w14:paraId="188381EF" w14:textId="77777777" w:rsidR="00AE2255" w:rsidRDefault="00000000">
            <w:pPr>
              <w:pStyle w:val="TableParagraph"/>
              <w:spacing w:line="230" w:lineRule="exact"/>
              <w:ind w:right="102"/>
              <w:rPr>
                <w:b/>
                <w:sz w:val="20"/>
              </w:rPr>
            </w:pPr>
            <w:r>
              <w:rPr>
                <w:b/>
                <w:spacing w:val="-2"/>
                <w:sz w:val="20"/>
              </w:rPr>
              <w:t>3,337</w:t>
            </w:r>
          </w:p>
        </w:tc>
        <w:tc>
          <w:tcPr>
            <w:tcW w:w="1230" w:type="dxa"/>
            <w:tcBorders>
              <w:bottom w:val="single" w:sz="8" w:space="0" w:color="000000"/>
            </w:tcBorders>
            <w:shd w:val="clear" w:color="auto" w:fill="CCEDFF"/>
          </w:tcPr>
          <w:p w14:paraId="081C6FB1" w14:textId="77777777" w:rsidR="00AE2255" w:rsidRDefault="00000000">
            <w:pPr>
              <w:pStyle w:val="TableParagraph"/>
              <w:spacing w:line="230" w:lineRule="exact"/>
              <w:ind w:right="102"/>
              <w:rPr>
                <w:b/>
                <w:sz w:val="20"/>
              </w:rPr>
            </w:pPr>
            <w:r>
              <w:rPr>
                <w:b/>
                <w:spacing w:val="-2"/>
                <w:sz w:val="20"/>
              </w:rPr>
              <w:t>1,795</w:t>
            </w:r>
          </w:p>
        </w:tc>
        <w:tc>
          <w:tcPr>
            <w:tcW w:w="1244" w:type="dxa"/>
            <w:tcBorders>
              <w:bottom w:val="single" w:sz="8" w:space="0" w:color="000000"/>
            </w:tcBorders>
            <w:shd w:val="clear" w:color="auto" w:fill="CCEDFF"/>
          </w:tcPr>
          <w:p w14:paraId="45F57FD0" w14:textId="77777777" w:rsidR="00AE2255" w:rsidRDefault="00000000">
            <w:pPr>
              <w:pStyle w:val="TableParagraph"/>
              <w:spacing w:line="230" w:lineRule="exact"/>
              <w:ind w:right="116"/>
              <w:rPr>
                <w:b/>
                <w:sz w:val="20"/>
              </w:rPr>
            </w:pPr>
            <w:r>
              <w:rPr>
                <w:b/>
                <w:spacing w:val="-2"/>
                <w:sz w:val="20"/>
              </w:rPr>
              <w:t>10,518</w:t>
            </w:r>
          </w:p>
        </w:tc>
      </w:tr>
      <w:tr w:rsidR="00AE2255" w14:paraId="3648C1EC" w14:textId="77777777">
        <w:trPr>
          <w:trHeight w:val="265"/>
        </w:trPr>
        <w:tc>
          <w:tcPr>
            <w:tcW w:w="4110" w:type="dxa"/>
            <w:tcBorders>
              <w:top w:val="single" w:sz="8" w:space="0" w:color="000000"/>
              <w:bottom w:val="single" w:sz="8" w:space="0" w:color="000000"/>
            </w:tcBorders>
          </w:tcPr>
          <w:p w14:paraId="72727108" w14:textId="77777777" w:rsidR="00AE2255" w:rsidRDefault="00000000">
            <w:pPr>
              <w:pStyle w:val="TableParagraph"/>
              <w:spacing w:before="17" w:line="22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tcPr>
          <w:p w14:paraId="2B674069" w14:textId="77777777" w:rsidR="00AE2255" w:rsidRDefault="00000000">
            <w:pPr>
              <w:pStyle w:val="TableParagraph"/>
              <w:tabs>
                <w:tab w:val="left" w:pos="470"/>
              </w:tabs>
              <w:spacing w:before="15" w:line="230" w:lineRule="exact"/>
              <w:ind w:right="112"/>
              <w:rPr>
                <w:b/>
                <w:sz w:val="20"/>
              </w:rPr>
            </w:pPr>
            <w:r>
              <w:rPr>
                <w:b/>
                <w:spacing w:val="-10"/>
                <w:sz w:val="20"/>
              </w:rPr>
              <w:t>$</w:t>
            </w:r>
            <w:r>
              <w:rPr>
                <w:b/>
                <w:sz w:val="20"/>
              </w:rPr>
              <w:tab/>
            </w:r>
            <w:r>
              <w:rPr>
                <w:b/>
                <w:spacing w:val="-2"/>
                <w:sz w:val="20"/>
              </w:rPr>
              <w:t>26,987</w:t>
            </w:r>
          </w:p>
        </w:tc>
        <w:tc>
          <w:tcPr>
            <w:tcW w:w="1220" w:type="dxa"/>
            <w:tcBorders>
              <w:top w:val="single" w:sz="8" w:space="0" w:color="000000"/>
              <w:bottom w:val="single" w:sz="8" w:space="0" w:color="000000"/>
            </w:tcBorders>
          </w:tcPr>
          <w:p w14:paraId="331EC367"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11,317</w:t>
            </w:r>
          </w:p>
        </w:tc>
        <w:tc>
          <w:tcPr>
            <w:tcW w:w="1230" w:type="dxa"/>
            <w:tcBorders>
              <w:top w:val="single" w:sz="8" w:space="0" w:color="000000"/>
              <w:bottom w:val="single" w:sz="8" w:space="0" w:color="000000"/>
            </w:tcBorders>
          </w:tcPr>
          <w:p w14:paraId="3E3B164B"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16,148</w:t>
            </w:r>
          </w:p>
        </w:tc>
        <w:tc>
          <w:tcPr>
            <w:tcW w:w="1230" w:type="dxa"/>
            <w:tcBorders>
              <w:top w:val="single" w:sz="8" w:space="0" w:color="000000"/>
              <w:bottom w:val="single" w:sz="8" w:space="0" w:color="000000"/>
            </w:tcBorders>
          </w:tcPr>
          <w:p w14:paraId="7BD306D8"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11,532</w:t>
            </w:r>
          </w:p>
        </w:tc>
        <w:tc>
          <w:tcPr>
            <w:tcW w:w="1244" w:type="dxa"/>
            <w:tcBorders>
              <w:top w:val="single" w:sz="8" w:space="0" w:color="000000"/>
              <w:bottom w:val="single" w:sz="8" w:space="0" w:color="000000"/>
            </w:tcBorders>
          </w:tcPr>
          <w:p w14:paraId="69BA973C" w14:textId="77777777" w:rsidR="00AE2255" w:rsidRDefault="00000000">
            <w:pPr>
              <w:pStyle w:val="TableParagraph"/>
              <w:tabs>
                <w:tab w:val="left" w:pos="470"/>
              </w:tabs>
              <w:spacing w:before="15" w:line="230" w:lineRule="exact"/>
              <w:ind w:right="116"/>
              <w:rPr>
                <w:b/>
                <w:sz w:val="20"/>
              </w:rPr>
            </w:pPr>
            <w:r>
              <w:rPr>
                <w:b/>
                <w:spacing w:val="-10"/>
                <w:sz w:val="20"/>
              </w:rPr>
              <w:t>$</w:t>
            </w:r>
            <w:r>
              <w:rPr>
                <w:b/>
                <w:sz w:val="20"/>
              </w:rPr>
              <w:tab/>
            </w:r>
            <w:r>
              <w:rPr>
                <w:b/>
                <w:spacing w:val="-2"/>
                <w:sz w:val="20"/>
              </w:rPr>
              <w:t>65,984</w:t>
            </w:r>
          </w:p>
        </w:tc>
      </w:tr>
      <w:tr w:rsidR="00AE2255" w14:paraId="7A04EE17" w14:textId="77777777">
        <w:trPr>
          <w:trHeight w:val="275"/>
        </w:trPr>
        <w:tc>
          <w:tcPr>
            <w:tcW w:w="4110" w:type="dxa"/>
            <w:tcBorders>
              <w:top w:val="single" w:sz="8" w:space="0" w:color="000000"/>
            </w:tcBorders>
            <w:shd w:val="clear" w:color="auto" w:fill="CCEDFF"/>
          </w:tcPr>
          <w:p w14:paraId="20444E82" w14:textId="77777777" w:rsidR="00AE2255" w:rsidRDefault="00000000">
            <w:pPr>
              <w:pStyle w:val="TableParagraph"/>
              <w:spacing w:before="13"/>
              <w:ind w:left="52"/>
              <w:jc w:val="left"/>
              <w:rPr>
                <w:b/>
                <w:sz w:val="20"/>
              </w:rPr>
            </w:pPr>
            <w:r>
              <w:rPr>
                <w:b/>
                <w:sz w:val="20"/>
              </w:rPr>
              <w:t>Net</w:t>
            </w:r>
            <w:r>
              <w:rPr>
                <w:b/>
                <w:spacing w:val="-5"/>
                <w:sz w:val="20"/>
              </w:rPr>
              <w:t xml:space="preserve"> </w:t>
            </w:r>
            <w:r>
              <w:rPr>
                <w:b/>
                <w:sz w:val="20"/>
              </w:rPr>
              <w:t>sales</w:t>
            </w:r>
            <w:r>
              <w:rPr>
                <w:b/>
                <w:spacing w:val="-3"/>
                <w:sz w:val="20"/>
              </w:rPr>
              <w:t xml:space="preserve"> </w:t>
            </w:r>
            <w:r>
              <w:rPr>
                <w:b/>
                <w:sz w:val="20"/>
              </w:rPr>
              <w:t>by</w:t>
            </w:r>
            <w:r>
              <w:rPr>
                <w:b/>
                <w:spacing w:val="-3"/>
                <w:sz w:val="20"/>
              </w:rPr>
              <w:t xml:space="preserve"> </w:t>
            </w:r>
            <w:r>
              <w:rPr>
                <w:b/>
                <w:sz w:val="20"/>
              </w:rPr>
              <w:t>contract</w:t>
            </w:r>
            <w:r>
              <w:rPr>
                <w:b/>
                <w:spacing w:val="-2"/>
                <w:sz w:val="20"/>
              </w:rPr>
              <w:t xml:space="preserve"> </w:t>
            </w:r>
            <w:r>
              <w:rPr>
                <w:b/>
                <w:spacing w:val="-4"/>
                <w:sz w:val="20"/>
              </w:rPr>
              <w:t>type</w:t>
            </w:r>
          </w:p>
        </w:tc>
        <w:tc>
          <w:tcPr>
            <w:tcW w:w="1188" w:type="dxa"/>
            <w:tcBorders>
              <w:top w:val="single" w:sz="8" w:space="0" w:color="000000"/>
            </w:tcBorders>
            <w:shd w:val="clear" w:color="auto" w:fill="CCEDFF"/>
          </w:tcPr>
          <w:p w14:paraId="7784878C" w14:textId="77777777" w:rsidR="00AE2255" w:rsidRDefault="00AE2255">
            <w:pPr>
              <w:pStyle w:val="TableParagraph"/>
              <w:spacing w:before="0"/>
              <w:jc w:val="left"/>
              <w:rPr>
                <w:sz w:val="18"/>
              </w:rPr>
            </w:pPr>
          </w:p>
        </w:tc>
        <w:tc>
          <w:tcPr>
            <w:tcW w:w="1220" w:type="dxa"/>
            <w:tcBorders>
              <w:top w:val="single" w:sz="8" w:space="0" w:color="000000"/>
            </w:tcBorders>
            <w:shd w:val="clear" w:color="auto" w:fill="CCEDFF"/>
          </w:tcPr>
          <w:p w14:paraId="3250FA26"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67995A0C"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01205AD3" w14:textId="77777777" w:rsidR="00AE2255" w:rsidRDefault="00AE2255">
            <w:pPr>
              <w:pStyle w:val="TableParagraph"/>
              <w:spacing w:before="0"/>
              <w:jc w:val="left"/>
              <w:rPr>
                <w:sz w:val="18"/>
              </w:rPr>
            </w:pPr>
          </w:p>
        </w:tc>
        <w:tc>
          <w:tcPr>
            <w:tcW w:w="1244" w:type="dxa"/>
            <w:tcBorders>
              <w:top w:val="single" w:sz="8" w:space="0" w:color="000000"/>
            </w:tcBorders>
            <w:shd w:val="clear" w:color="auto" w:fill="CCEDFF"/>
          </w:tcPr>
          <w:p w14:paraId="514909AC" w14:textId="77777777" w:rsidR="00AE2255" w:rsidRDefault="00AE2255">
            <w:pPr>
              <w:pStyle w:val="TableParagraph"/>
              <w:spacing w:before="0"/>
              <w:jc w:val="left"/>
              <w:rPr>
                <w:sz w:val="18"/>
              </w:rPr>
            </w:pPr>
          </w:p>
        </w:tc>
      </w:tr>
      <w:tr w:rsidR="00AE2255" w14:paraId="312C79DA" w14:textId="77777777">
        <w:trPr>
          <w:trHeight w:val="285"/>
        </w:trPr>
        <w:tc>
          <w:tcPr>
            <w:tcW w:w="4110" w:type="dxa"/>
          </w:tcPr>
          <w:p w14:paraId="2A2ECF29" w14:textId="77777777" w:rsidR="00AE2255" w:rsidRDefault="00000000">
            <w:pPr>
              <w:pStyle w:val="TableParagraph"/>
              <w:spacing w:before="27"/>
              <w:ind w:left="187"/>
              <w:jc w:val="left"/>
              <w:rPr>
                <w:sz w:val="20"/>
              </w:rPr>
            </w:pPr>
            <w:proofErr w:type="gramStart"/>
            <w:r>
              <w:rPr>
                <w:spacing w:val="-2"/>
                <w:sz w:val="20"/>
              </w:rPr>
              <w:t>Fixed-price</w:t>
            </w:r>
            <w:proofErr w:type="gramEnd"/>
          </w:p>
        </w:tc>
        <w:tc>
          <w:tcPr>
            <w:tcW w:w="1188" w:type="dxa"/>
          </w:tcPr>
          <w:p w14:paraId="60CE1376" w14:textId="77777777" w:rsidR="00AE2255" w:rsidRDefault="00000000">
            <w:pPr>
              <w:pStyle w:val="TableParagraph"/>
              <w:tabs>
                <w:tab w:val="left" w:pos="470"/>
              </w:tabs>
              <w:ind w:right="112"/>
              <w:rPr>
                <w:b/>
                <w:sz w:val="20"/>
              </w:rPr>
            </w:pPr>
            <w:r>
              <w:rPr>
                <w:b/>
                <w:spacing w:val="-10"/>
                <w:sz w:val="20"/>
              </w:rPr>
              <w:t>$</w:t>
            </w:r>
            <w:r>
              <w:rPr>
                <w:b/>
                <w:sz w:val="20"/>
              </w:rPr>
              <w:tab/>
            </w:r>
            <w:r>
              <w:rPr>
                <w:b/>
                <w:spacing w:val="-2"/>
                <w:sz w:val="20"/>
              </w:rPr>
              <w:t>19,431</w:t>
            </w:r>
          </w:p>
        </w:tc>
        <w:tc>
          <w:tcPr>
            <w:tcW w:w="1220" w:type="dxa"/>
          </w:tcPr>
          <w:p w14:paraId="5CCD7F37" w14:textId="77777777" w:rsidR="00AE2255" w:rsidRDefault="00000000">
            <w:pPr>
              <w:pStyle w:val="TableParagraph"/>
              <w:tabs>
                <w:tab w:val="left" w:pos="570"/>
              </w:tabs>
              <w:ind w:right="102"/>
              <w:rPr>
                <w:b/>
                <w:sz w:val="20"/>
              </w:rPr>
            </w:pPr>
            <w:r>
              <w:rPr>
                <w:b/>
                <w:spacing w:val="-10"/>
                <w:sz w:val="20"/>
              </w:rPr>
              <w:t>$</w:t>
            </w:r>
            <w:r>
              <w:rPr>
                <w:b/>
                <w:sz w:val="20"/>
              </w:rPr>
              <w:tab/>
            </w:r>
            <w:r>
              <w:rPr>
                <w:b/>
                <w:spacing w:val="-2"/>
                <w:sz w:val="20"/>
              </w:rPr>
              <w:t>8,014</w:t>
            </w:r>
          </w:p>
        </w:tc>
        <w:tc>
          <w:tcPr>
            <w:tcW w:w="1230" w:type="dxa"/>
          </w:tcPr>
          <w:p w14:paraId="529649A8"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10,460</w:t>
            </w:r>
          </w:p>
        </w:tc>
        <w:tc>
          <w:tcPr>
            <w:tcW w:w="1230" w:type="dxa"/>
          </w:tcPr>
          <w:p w14:paraId="6A94825A" w14:textId="77777777" w:rsidR="00AE2255" w:rsidRDefault="00000000">
            <w:pPr>
              <w:pStyle w:val="TableParagraph"/>
              <w:tabs>
                <w:tab w:val="left" w:pos="570"/>
              </w:tabs>
              <w:ind w:right="102"/>
              <w:rPr>
                <w:b/>
                <w:sz w:val="20"/>
              </w:rPr>
            </w:pPr>
            <w:r>
              <w:rPr>
                <w:b/>
                <w:spacing w:val="-10"/>
                <w:sz w:val="20"/>
              </w:rPr>
              <w:t>$</w:t>
            </w:r>
            <w:r>
              <w:rPr>
                <w:b/>
                <w:sz w:val="20"/>
              </w:rPr>
              <w:tab/>
            </w:r>
            <w:r>
              <w:rPr>
                <w:b/>
                <w:spacing w:val="-2"/>
                <w:sz w:val="20"/>
              </w:rPr>
              <w:t>3,064</w:t>
            </w:r>
          </w:p>
        </w:tc>
        <w:tc>
          <w:tcPr>
            <w:tcW w:w="1244" w:type="dxa"/>
          </w:tcPr>
          <w:p w14:paraId="5E59AC1B" w14:textId="77777777" w:rsidR="00AE2255" w:rsidRDefault="00000000">
            <w:pPr>
              <w:pStyle w:val="TableParagraph"/>
              <w:tabs>
                <w:tab w:val="left" w:pos="470"/>
              </w:tabs>
              <w:ind w:right="116"/>
              <w:rPr>
                <w:b/>
                <w:sz w:val="20"/>
              </w:rPr>
            </w:pPr>
            <w:r>
              <w:rPr>
                <w:b/>
                <w:spacing w:val="-10"/>
                <w:sz w:val="20"/>
              </w:rPr>
              <w:t>$</w:t>
            </w:r>
            <w:r>
              <w:rPr>
                <w:b/>
                <w:sz w:val="20"/>
              </w:rPr>
              <w:tab/>
            </w:r>
            <w:r>
              <w:rPr>
                <w:b/>
                <w:spacing w:val="-2"/>
                <w:sz w:val="20"/>
              </w:rPr>
              <w:t>40,969</w:t>
            </w:r>
          </w:p>
        </w:tc>
      </w:tr>
      <w:tr w:rsidR="00AE2255" w14:paraId="35C9E864" w14:textId="77777777">
        <w:trPr>
          <w:trHeight w:val="275"/>
        </w:trPr>
        <w:tc>
          <w:tcPr>
            <w:tcW w:w="4110" w:type="dxa"/>
            <w:tcBorders>
              <w:bottom w:val="single" w:sz="8" w:space="0" w:color="000000"/>
            </w:tcBorders>
            <w:shd w:val="clear" w:color="auto" w:fill="CCEDFF"/>
          </w:tcPr>
          <w:p w14:paraId="124B6535" w14:textId="77777777" w:rsidR="00AE2255" w:rsidRDefault="00000000">
            <w:pPr>
              <w:pStyle w:val="TableParagraph"/>
              <w:spacing w:before="27" w:line="228" w:lineRule="exact"/>
              <w:ind w:left="187"/>
              <w:jc w:val="left"/>
              <w:rPr>
                <w:sz w:val="20"/>
              </w:rPr>
            </w:pPr>
            <w:r>
              <w:rPr>
                <w:spacing w:val="-2"/>
                <w:sz w:val="20"/>
              </w:rPr>
              <w:t>Cost-reimbursable</w:t>
            </w:r>
          </w:p>
        </w:tc>
        <w:tc>
          <w:tcPr>
            <w:tcW w:w="1188" w:type="dxa"/>
            <w:tcBorders>
              <w:bottom w:val="single" w:sz="8" w:space="0" w:color="000000"/>
            </w:tcBorders>
            <w:shd w:val="clear" w:color="auto" w:fill="CCEDFF"/>
          </w:tcPr>
          <w:p w14:paraId="717660E4" w14:textId="77777777" w:rsidR="00AE2255" w:rsidRDefault="00000000">
            <w:pPr>
              <w:pStyle w:val="TableParagraph"/>
              <w:spacing w:line="230" w:lineRule="exact"/>
              <w:ind w:right="112"/>
              <w:rPr>
                <w:b/>
                <w:sz w:val="20"/>
              </w:rPr>
            </w:pPr>
            <w:r>
              <w:rPr>
                <w:b/>
                <w:spacing w:val="-2"/>
                <w:sz w:val="20"/>
              </w:rPr>
              <w:t>7,556</w:t>
            </w:r>
          </w:p>
        </w:tc>
        <w:tc>
          <w:tcPr>
            <w:tcW w:w="1220" w:type="dxa"/>
            <w:tcBorders>
              <w:bottom w:val="single" w:sz="8" w:space="0" w:color="000000"/>
            </w:tcBorders>
            <w:shd w:val="clear" w:color="auto" w:fill="CCEDFF"/>
          </w:tcPr>
          <w:p w14:paraId="65700555" w14:textId="77777777" w:rsidR="00AE2255" w:rsidRDefault="00000000">
            <w:pPr>
              <w:pStyle w:val="TableParagraph"/>
              <w:spacing w:line="230" w:lineRule="exact"/>
              <w:ind w:right="102"/>
              <w:rPr>
                <w:b/>
                <w:sz w:val="20"/>
              </w:rPr>
            </w:pPr>
            <w:r>
              <w:rPr>
                <w:b/>
                <w:spacing w:val="-2"/>
                <w:sz w:val="20"/>
              </w:rPr>
              <w:t>3,303</w:t>
            </w:r>
          </w:p>
        </w:tc>
        <w:tc>
          <w:tcPr>
            <w:tcW w:w="1230" w:type="dxa"/>
            <w:tcBorders>
              <w:bottom w:val="single" w:sz="8" w:space="0" w:color="000000"/>
            </w:tcBorders>
            <w:shd w:val="clear" w:color="auto" w:fill="CCEDFF"/>
          </w:tcPr>
          <w:p w14:paraId="15898D7C" w14:textId="77777777" w:rsidR="00AE2255" w:rsidRDefault="00000000">
            <w:pPr>
              <w:pStyle w:val="TableParagraph"/>
              <w:spacing w:line="230" w:lineRule="exact"/>
              <w:ind w:right="102"/>
              <w:rPr>
                <w:b/>
                <w:sz w:val="20"/>
              </w:rPr>
            </w:pPr>
            <w:r>
              <w:rPr>
                <w:b/>
                <w:spacing w:val="-2"/>
                <w:sz w:val="20"/>
              </w:rPr>
              <w:t>5,688</w:t>
            </w:r>
          </w:p>
        </w:tc>
        <w:tc>
          <w:tcPr>
            <w:tcW w:w="1230" w:type="dxa"/>
            <w:tcBorders>
              <w:bottom w:val="single" w:sz="8" w:space="0" w:color="000000"/>
            </w:tcBorders>
            <w:shd w:val="clear" w:color="auto" w:fill="CCEDFF"/>
          </w:tcPr>
          <w:p w14:paraId="59058E56" w14:textId="77777777" w:rsidR="00AE2255" w:rsidRDefault="00000000">
            <w:pPr>
              <w:pStyle w:val="TableParagraph"/>
              <w:spacing w:line="230" w:lineRule="exact"/>
              <w:ind w:right="102"/>
              <w:rPr>
                <w:b/>
                <w:sz w:val="20"/>
              </w:rPr>
            </w:pPr>
            <w:r>
              <w:rPr>
                <w:b/>
                <w:spacing w:val="-2"/>
                <w:sz w:val="20"/>
              </w:rPr>
              <w:t>8,468</w:t>
            </w:r>
          </w:p>
        </w:tc>
        <w:tc>
          <w:tcPr>
            <w:tcW w:w="1244" w:type="dxa"/>
            <w:tcBorders>
              <w:bottom w:val="single" w:sz="8" w:space="0" w:color="000000"/>
            </w:tcBorders>
            <w:shd w:val="clear" w:color="auto" w:fill="CCEDFF"/>
          </w:tcPr>
          <w:p w14:paraId="45324D3D" w14:textId="77777777" w:rsidR="00AE2255" w:rsidRDefault="00000000">
            <w:pPr>
              <w:pStyle w:val="TableParagraph"/>
              <w:spacing w:line="230" w:lineRule="exact"/>
              <w:ind w:right="116"/>
              <w:rPr>
                <w:b/>
                <w:sz w:val="20"/>
              </w:rPr>
            </w:pPr>
            <w:r>
              <w:rPr>
                <w:b/>
                <w:spacing w:val="-2"/>
                <w:sz w:val="20"/>
              </w:rPr>
              <w:t>25,015</w:t>
            </w:r>
          </w:p>
        </w:tc>
      </w:tr>
      <w:tr w:rsidR="00AE2255" w14:paraId="6D16089A" w14:textId="77777777">
        <w:trPr>
          <w:trHeight w:val="265"/>
        </w:trPr>
        <w:tc>
          <w:tcPr>
            <w:tcW w:w="4110" w:type="dxa"/>
            <w:tcBorders>
              <w:top w:val="single" w:sz="8" w:space="0" w:color="000000"/>
              <w:bottom w:val="single" w:sz="8" w:space="0" w:color="000000"/>
            </w:tcBorders>
          </w:tcPr>
          <w:p w14:paraId="1DE505E5" w14:textId="77777777" w:rsidR="00AE2255" w:rsidRDefault="00000000">
            <w:pPr>
              <w:pStyle w:val="TableParagraph"/>
              <w:spacing w:before="17" w:line="22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tcPr>
          <w:p w14:paraId="761FD331" w14:textId="77777777" w:rsidR="00AE2255" w:rsidRDefault="00000000">
            <w:pPr>
              <w:pStyle w:val="TableParagraph"/>
              <w:tabs>
                <w:tab w:val="left" w:pos="470"/>
              </w:tabs>
              <w:spacing w:before="15" w:line="230" w:lineRule="exact"/>
              <w:ind w:right="112"/>
              <w:rPr>
                <w:b/>
                <w:sz w:val="20"/>
              </w:rPr>
            </w:pPr>
            <w:r>
              <w:rPr>
                <w:b/>
                <w:spacing w:val="-10"/>
                <w:sz w:val="20"/>
              </w:rPr>
              <w:t>$</w:t>
            </w:r>
            <w:r>
              <w:rPr>
                <w:b/>
                <w:sz w:val="20"/>
              </w:rPr>
              <w:tab/>
            </w:r>
            <w:r>
              <w:rPr>
                <w:b/>
                <w:spacing w:val="-2"/>
                <w:sz w:val="20"/>
              </w:rPr>
              <w:t>26,987</w:t>
            </w:r>
          </w:p>
        </w:tc>
        <w:tc>
          <w:tcPr>
            <w:tcW w:w="1220" w:type="dxa"/>
            <w:tcBorders>
              <w:top w:val="single" w:sz="8" w:space="0" w:color="000000"/>
              <w:bottom w:val="single" w:sz="8" w:space="0" w:color="000000"/>
            </w:tcBorders>
          </w:tcPr>
          <w:p w14:paraId="3DF5F710"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11,317</w:t>
            </w:r>
          </w:p>
        </w:tc>
        <w:tc>
          <w:tcPr>
            <w:tcW w:w="1230" w:type="dxa"/>
            <w:tcBorders>
              <w:top w:val="single" w:sz="8" w:space="0" w:color="000000"/>
              <w:bottom w:val="single" w:sz="8" w:space="0" w:color="000000"/>
            </w:tcBorders>
          </w:tcPr>
          <w:p w14:paraId="2013E8D2"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16,148</w:t>
            </w:r>
          </w:p>
        </w:tc>
        <w:tc>
          <w:tcPr>
            <w:tcW w:w="1230" w:type="dxa"/>
            <w:tcBorders>
              <w:top w:val="single" w:sz="8" w:space="0" w:color="000000"/>
              <w:bottom w:val="single" w:sz="8" w:space="0" w:color="000000"/>
            </w:tcBorders>
          </w:tcPr>
          <w:p w14:paraId="36D7891F"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11,532</w:t>
            </w:r>
          </w:p>
        </w:tc>
        <w:tc>
          <w:tcPr>
            <w:tcW w:w="1244" w:type="dxa"/>
            <w:tcBorders>
              <w:top w:val="single" w:sz="8" w:space="0" w:color="000000"/>
              <w:bottom w:val="single" w:sz="8" w:space="0" w:color="000000"/>
            </w:tcBorders>
          </w:tcPr>
          <w:p w14:paraId="05B43305" w14:textId="77777777" w:rsidR="00AE2255" w:rsidRDefault="00000000">
            <w:pPr>
              <w:pStyle w:val="TableParagraph"/>
              <w:tabs>
                <w:tab w:val="left" w:pos="470"/>
              </w:tabs>
              <w:spacing w:before="15" w:line="230" w:lineRule="exact"/>
              <w:ind w:right="116"/>
              <w:rPr>
                <w:b/>
                <w:sz w:val="20"/>
              </w:rPr>
            </w:pPr>
            <w:r>
              <w:rPr>
                <w:b/>
                <w:spacing w:val="-10"/>
                <w:sz w:val="20"/>
              </w:rPr>
              <w:t>$</w:t>
            </w:r>
            <w:r>
              <w:rPr>
                <w:b/>
                <w:sz w:val="20"/>
              </w:rPr>
              <w:tab/>
            </w:r>
            <w:r>
              <w:rPr>
                <w:b/>
                <w:spacing w:val="-2"/>
                <w:sz w:val="20"/>
              </w:rPr>
              <w:t>65,984</w:t>
            </w:r>
          </w:p>
        </w:tc>
      </w:tr>
      <w:tr w:rsidR="00AE2255" w14:paraId="77F86DD8" w14:textId="77777777">
        <w:trPr>
          <w:trHeight w:val="275"/>
        </w:trPr>
        <w:tc>
          <w:tcPr>
            <w:tcW w:w="4110" w:type="dxa"/>
            <w:tcBorders>
              <w:top w:val="single" w:sz="8" w:space="0" w:color="000000"/>
            </w:tcBorders>
            <w:shd w:val="clear" w:color="auto" w:fill="CCEDFF"/>
          </w:tcPr>
          <w:p w14:paraId="0154E839" w14:textId="77777777" w:rsidR="00AE2255" w:rsidRDefault="00000000">
            <w:pPr>
              <w:pStyle w:val="TableParagraph"/>
              <w:spacing w:before="13"/>
              <w:ind w:left="52"/>
              <w:jc w:val="left"/>
              <w:rPr>
                <w:b/>
                <w:sz w:val="20"/>
              </w:rPr>
            </w:pPr>
            <w:r>
              <w:rPr>
                <w:b/>
                <w:sz w:val="20"/>
              </w:rPr>
              <w:t>Net</w:t>
            </w:r>
            <w:r>
              <w:rPr>
                <w:b/>
                <w:spacing w:val="-3"/>
                <w:sz w:val="20"/>
              </w:rPr>
              <w:t xml:space="preserve"> </w:t>
            </w:r>
            <w:r>
              <w:rPr>
                <w:b/>
                <w:sz w:val="20"/>
              </w:rPr>
              <w:t>sales</w:t>
            </w:r>
            <w:r>
              <w:rPr>
                <w:b/>
                <w:spacing w:val="-2"/>
                <w:sz w:val="20"/>
              </w:rPr>
              <w:t xml:space="preserve"> </w:t>
            </w:r>
            <w:r>
              <w:rPr>
                <w:b/>
                <w:sz w:val="20"/>
              </w:rPr>
              <w:t>by</w:t>
            </w:r>
            <w:r>
              <w:rPr>
                <w:b/>
                <w:spacing w:val="-2"/>
                <w:sz w:val="20"/>
              </w:rPr>
              <w:t xml:space="preserve"> customer</w:t>
            </w:r>
          </w:p>
        </w:tc>
        <w:tc>
          <w:tcPr>
            <w:tcW w:w="1188" w:type="dxa"/>
            <w:tcBorders>
              <w:top w:val="single" w:sz="8" w:space="0" w:color="000000"/>
            </w:tcBorders>
            <w:shd w:val="clear" w:color="auto" w:fill="CCEDFF"/>
          </w:tcPr>
          <w:p w14:paraId="315D71F4" w14:textId="77777777" w:rsidR="00AE2255" w:rsidRDefault="00AE2255">
            <w:pPr>
              <w:pStyle w:val="TableParagraph"/>
              <w:spacing w:before="0"/>
              <w:jc w:val="left"/>
              <w:rPr>
                <w:sz w:val="18"/>
              </w:rPr>
            </w:pPr>
          </w:p>
        </w:tc>
        <w:tc>
          <w:tcPr>
            <w:tcW w:w="1220" w:type="dxa"/>
            <w:tcBorders>
              <w:top w:val="single" w:sz="8" w:space="0" w:color="000000"/>
            </w:tcBorders>
            <w:shd w:val="clear" w:color="auto" w:fill="CCEDFF"/>
          </w:tcPr>
          <w:p w14:paraId="68E96DAA"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5E20F7CC" w14:textId="77777777" w:rsidR="00AE2255" w:rsidRDefault="00AE2255">
            <w:pPr>
              <w:pStyle w:val="TableParagraph"/>
              <w:spacing w:before="0"/>
              <w:jc w:val="left"/>
              <w:rPr>
                <w:sz w:val="18"/>
              </w:rPr>
            </w:pPr>
          </w:p>
        </w:tc>
        <w:tc>
          <w:tcPr>
            <w:tcW w:w="1230" w:type="dxa"/>
            <w:tcBorders>
              <w:top w:val="single" w:sz="8" w:space="0" w:color="000000"/>
            </w:tcBorders>
            <w:shd w:val="clear" w:color="auto" w:fill="CCEDFF"/>
          </w:tcPr>
          <w:p w14:paraId="31CF37F5" w14:textId="77777777" w:rsidR="00AE2255" w:rsidRDefault="00AE2255">
            <w:pPr>
              <w:pStyle w:val="TableParagraph"/>
              <w:spacing w:before="0"/>
              <w:jc w:val="left"/>
              <w:rPr>
                <w:sz w:val="18"/>
              </w:rPr>
            </w:pPr>
          </w:p>
        </w:tc>
        <w:tc>
          <w:tcPr>
            <w:tcW w:w="1244" w:type="dxa"/>
            <w:tcBorders>
              <w:top w:val="single" w:sz="8" w:space="0" w:color="000000"/>
            </w:tcBorders>
            <w:shd w:val="clear" w:color="auto" w:fill="CCEDFF"/>
          </w:tcPr>
          <w:p w14:paraId="75A28C97" w14:textId="77777777" w:rsidR="00AE2255" w:rsidRDefault="00AE2255">
            <w:pPr>
              <w:pStyle w:val="TableParagraph"/>
              <w:spacing w:before="0"/>
              <w:jc w:val="left"/>
              <w:rPr>
                <w:sz w:val="18"/>
              </w:rPr>
            </w:pPr>
          </w:p>
        </w:tc>
      </w:tr>
      <w:tr w:rsidR="00AE2255" w14:paraId="7FA89E0A" w14:textId="77777777">
        <w:trPr>
          <w:trHeight w:val="285"/>
        </w:trPr>
        <w:tc>
          <w:tcPr>
            <w:tcW w:w="4110" w:type="dxa"/>
          </w:tcPr>
          <w:p w14:paraId="109AF461" w14:textId="77777777" w:rsidR="00AE2255" w:rsidRDefault="00000000">
            <w:pPr>
              <w:pStyle w:val="TableParagraph"/>
              <w:spacing w:before="27"/>
              <w:ind w:left="187"/>
              <w:jc w:val="left"/>
              <w:rPr>
                <w:sz w:val="20"/>
              </w:rPr>
            </w:pPr>
            <w:r>
              <w:rPr>
                <w:sz w:val="20"/>
              </w:rPr>
              <w:t>U.S.</w:t>
            </w:r>
            <w:r>
              <w:rPr>
                <w:spacing w:val="-2"/>
                <w:sz w:val="20"/>
              </w:rPr>
              <w:t xml:space="preserve"> Government</w:t>
            </w:r>
          </w:p>
        </w:tc>
        <w:tc>
          <w:tcPr>
            <w:tcW w:w="1188" w:type="dxa"/>
          </w:tcPr>
          <w:p w14:paraId="239DD8EC" w14:textId="77777777" w:rsidR="00AE2255" w:rsidRDefault="00000000">
            <w:pPr>
              <w:pStyle w:val="TableParagraph"/>
              <w:tabs>
                <w:tab w:val="left" w:pos="470"/>
              </w:tabs>
              <w:ind w:right="112"/>
              <w:rPr>
                <w:b/>
                <w:sz w:val="20"/>
              </w:rPr>
            </w:pPr>
            <w:r>
              <w:rPr>
                <w:b/>
                <w:spacing w:val="-10"/>
                <w:sz w:val="20"/>
              </w:rPr>
              <w:t>$</w:t>
            </w:r>
            <w:r>
              <w:rPr>
                <w:b/>
                <w:sz w:val="20"/>
              </w:rPr>
              <w:tab/>
            </w:r>
            <w:r>
              <w:rPr>
                <w:b/>
                <w:spacing w:val="-2"/>
                <w:sz w:val="20"/>
              </w:rPr>
              <w:t>18,026</w:t>
            </w:r>
          </w:p>
        </w:tc>
        <w:tc>
          <w:tcPr>
            <w:tcW w:w="1220" w:type="dxa"/>
          </w:tcPr>
          <w:p w14:paraId="7997AB99" w14:textId="77777777" w:rsidR="00AE2255" w:rsidRDefault="00000000">
            <w:pPr>
              <w:pStyle w:val="TableParagraph"/>
              <w:tabs>
                <w:tab w:val="left" w:pos="570"/>
              </w:tabs>
              <w:ind w:right="102"/>
              <w:rPr>
                <w:b/>
                <w:sz w:val="20"/>
              </w:rPr>
            </w:pPr>
            <w:r>
              <w:rPr>
                <w:b/>
                <w:spacing w:val="-10"/>
                <w:sz w:val="20"/>
              </w:rPr>
              <w:t>$</w:t>
            </w:r>
            <w:r>
              <w:rPr>
                <w:b/>
                <w:sz w:val="20"/>
              </w:rPr>
              <w:tab/>
            </w:r>
            <w:r>
              <w:rPr>
                <w:b/>
                <w:spacing w:val="-2"/>
                <w:sz w:val="20"/>
              </w:rPr>
              <w:t>7,814</w:t>
            </w:r>
          </w:p>
        </w:tc>
        <w:tc>
          <w:tcPr>
            <w:tcW w:w="1230" w:type="dxa"/>
          </w:tcPr>
          <w:p w14:paraId="4A9F12EE"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11,331</w:t>
            </w:r>
          </w:p>
        </w:tc>
        <w:tc>
          <w:tcPr>
            <w:tcW w:w="1230" w:type="dxa"/>
          </w:tcPr>
          <w:p w14:paraId="53A60229"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11,344</w:t>
            </w:r>
          </w:p>
        </w:tc>
        <w:tc>
          <w:tcPr>
            <w:tcW w:w="1244" w:type="dxa"/>
          </w:tcPr>
          <w:p w14:paraId="22ADC699" w14:textId="77777777" w:rsidR="00AE2255" w:rsidRDefault="00000000">
            <w:pPr>
              <w:pStyle w:val="TableParagraph"/>
              <w:tabs>
                <w:tab w:val="left" w:pos="470"/>
              </w:tabs>
              <w:ind w:right="116"/>
              <w:rPr>
                <w:b/>
                <w:sz w:val="20"/>
              </w:rPr>
            </w:pPr>
            <w:r>
              <w:rPr>
                <w:b/>
                <w:spacing w:val="-10"/>
                <w:sz w:val="20"/>
              </w:rPr>
              <w:t>$</w:t>
            </w:r>
            <w:r>
              <w:rPr>
                <w:b/>
                <w:sz w:val="20"/>
              </w:rPr>
              <w:tab/>
            </w:r>
            <w:r>
              <w:rPr>
                <w:b/>
                <w:spacing w:val="-2"/>
                <w:sz w:val="20"/>
              </w:rPr>
              <w:t>48,515</w:t>
            </w:r>
          </w:p>
        </w:tc>
      </w:tr>
      <w:tr w:rsidR="00AE2255" w14:paraId="6EF95777" w14:textId="77777777">
        <w:trPr>
          <w:trHeight w:val="285"/>
        </w:trPr>
        <w:tc>
          <w:tcPr>
            <w:tcW w:w="4110" w:type="dxa"/>
            <w:shd w:val="clear" w:color="auto" w:fill="CCEDFF"/>
          </w:tcPr>
          <w:p w14:paraId="02C3EA43" w14:textId="77777777" w:rsidR="00AE2255" w:rsidRDefault="00000000">
            <w:pPr>
              <w:pStyle w:val="TableParagraph"/>
              <w:spacing w:before="27"/>
              <w:ind w:left="187"/>
              <w:jc w:val="left"/>
              <w:rPr>
                <w:sz w:val="20"/>
              </w:rPr>
            </w:pPr>
            <w:r>
              <w:rPr>
                <w:sz w:val="20"/>
              </w:rPr>
              <w:t>International</w:t>
            </w:r>
            <w:r>
              <w:rPr>
                <w:spacing w:val="-7"/>
                <w:sz w:val="20"/>
              </w:rPr>
              <w:t xml:space="preserve"> </w:t>
            </w:r>
            <w:r>
              <w:rPr>
                <w:spacing w:val="-5"/>
                <w:sz w:val="20"/>
                <w:vertAlign w:val="superscript"/>
              </w:rPr>
              <w:t>(a)</w:t>
            </w:r>
          </w:p>
        </w:tc>
        <w:tc>
          <w:tcPr>
            <w:tcW w:w="1188" w:type="dxa"/>
            <w:shd w:val="clear" w:color="auto" w:fill="CCEDFF"/>
          </w:tcPr>
          <w:p w14:paraId="30FEACEF" w14:textId="77777777" w:rsidR="00AE2255" w:rsidRDefault="00000000">
            <w:pPr>
              <w:pStyle w:val="TableParagraph"/>
              <w:ind w:right="112"/>
              <w:rPr>
                <w:b/>
                <w:sz w:val="20"/>
              </w:rPr>
            </w:pPr>
            <w:r>
              <w:rPr>
                <w:b/>
                <w:spacing w:val="-2"/>
                <w:sz w:val="20"/>
              </w:rPr>
              <w:t>8,811</w:t>
            </w:r>
          </w:p>
        </w:tc>
        <w:tc>
          <w:tcPr>
            <w:tcW w:w="1220" w:type="dxa"/>
            <w:shd w:val="clear" w:color="auto" w:fill="CCEDFF"/>
          </w:tcPr>
          <w:p w14:paraId="353D2731" w14:textId="77777777" w:rsidR="00AE2255" w:rsidRDefault="00000000">
            <w:pPr>
              <w:pStyle w:val="TableParagraph"/>
              <w:ind w:right="102"/>
              <w:rPr>
                <w:b/>
                <w:sz w:val="20"/>
              </w:rPr>
            </w:pPr>
            <w:r>
              <w:rPr>
                <w:b/>
                <w:spacing w:val="-2"/>
                <w:sz w:val="20"/>
              </w:rPr>
              <w:t>3,496</w:t>
            </w:r>
          </w:p>
        </w:tc>
        <w:tc>
          <w:tcPr>
            <w:tcW w:w="1230" w:type="dxa"/>
            <w:shd w:val="clear" w:color="auto" w:fill="CCEDFF"/>
          </w:tcPr>
          <w:p w14:paraId="06154F88" w14:textId="77777777" w:rsidR="00AE2255" w:rsidRDefault="00000000">
            <w:pPr>
              <w:pStyle w:val="TableParagraph"/>
              <w:ind w:right="102"/>
              <w:rPr>
                <w:b/>
                <w:sz w:val="20"/>
              </w:rPr>
            </w:pPr>
            <w:r>
              <w:rPr>
                <w:b/>
                <w:spacing w:val="-2"/>
                <w:sz w:val="20"/>
              </w:rPr>
              <w:t>4,470</w:t>
            </w:r>
          </w:p>
        </w:tc>
        <w:tc>
          <w:tcPr>
            <w:tcW w:w="1230" w:type="dxa"/>
            <w:shd w:val="clear" w:color="auto" w:fill="CCEDFF"/>
          </w:tcPr>
          <w:p w14:paraId="7A98C7E1" w14:textId="77777777" w:rsidR="00AE2255" w:rsidRDefault="00000000">
            <w:pPr>
              <w:pStyle w:val="TableParagraph"/>
              <w:ind w:right="102"/>
              <w:rPr>
                <w:b/>
                <w:sz w:val="20"/>
              </w:rPr>
            </w:pPr>
            <w:r>
              <w:rPr>
                <w:b/>
                <w:spacing w:val="-5"/>
                <w:sz w:val="20"/>
              </w:rPr>
              <w:t>154</w:t>
            </w:r>
          </w:p>
        </w:tc>
        <w:tc>
          <w:tcPr>
            <w:tcW w:w="1244" w:type="dxa"/>
            <w:shd w:val="clear" w:color="auto" w:fill="CCEDFF"/>
          </w:tcPr>
          <w:p w14:paraId="5238FAC6" w14:textId="77777777" w:rsidR="00AE2255" w:rsidRDefault="00000000">
            <w:pPr>
              <w:pStyle w:val="TableParagraph"/>
              <w:ind w:right="116"/>
              <w:rPr>
                <w:b/>
                <w:sz w:val="20"/>
              </w:rPr>
            </w:pPr>
            <w:r>
              <w:rPr>
                <w:b/>
                <w:spacing w:val="-2"/>
                <w:sz w:val="20"/>
              </w:rPr>
              <w:t>16,931</w:t>
            </w:r>
          </w:p>
        </w:tc>
      </w:tr>
      <w:tr w:rsidR="00AE2255" w14:paraId="4128D50E" w14:textId="77777777">
        <w:trPr>
          <w:trHeight w:val="275"/>
        </w:trPr>
        <w:tc>
          <w:tcPr>
            <w:tcW w:w="4110" w:type="dxa"/>
            <w:tcBorders>
              <w:bottom w:val="single" w:sz="8" w:space="0" w:color="000000"/>
            </w:tcBorders>
          </w:tcPr>
          <w:p w14:paraId="6E9D72C1" w14:textId="77777777" w:rsidR="00AE2255" w:rsidRDefault="00000000">
            <w:pPr>
              <w:pStyle w:val="TableParagraph"/>
              <w:spacing w:before="27" w:line="228" w:lineRule="exact"/>
              <w:ind w:left="187"/>
              <w:jc w:val="left"/>
              <w:rPr>
                <w:sz w:val="20"/>
              </w:rPr>
            </w:pPr>
            <w:r>
              <w:rPr>
                <w:sz w:val="20"/>
              </w:rPr>
              <w:t>U.S.</w:t>
            </w:r>
            <w:r>
              <w:rPr>
                <w:spacing w:val="-4"/>
                <w:sz w:val="20"/>
              </w:rPr>
              <w:t xml:space="preserve"> </w:t>
            </w:r>
            <w:r>
              <w:rPr>
                <w:sz w:val="20"/>
              </w:rPr>
              <w:t>commercial</w:t>
            </w:r>
            <w:r>
              <w:rPr>
                <w:spacing w:val="-4"/>
                <w:sz w:val="20"/>
              </w:rPr>
              <w:t xml:space="preserve"> </w:t>
            </w:r>
            <w:r>
              <w:rPr>
                <w:sz w:val="20"/>
              </w:rPr>
              <w:t>and</w:t>
            </w:r>
            <w:r>
              <w:rPr>
                <w:spacing w:val="-3"/>
                <w:sz w:val="20"/>
              </w:rPr>
              <w:t xml:space="preserve"> </w:t>
            </w:r>
            <w:r>
              <w:rPr>
                <w:spacing w:val="-4"/>
                <w:sz w:val="20"/>
              </w:rPr>
              <w:t>other</w:t>
            </w:r>
          </w:p>
        </w:tc>
        <w:tc>
          <w:tcPr>
            <w:tcW w:w="1188" w:type="dxa"/>
            <w:tcBorders>
              <w:bottom w:val="single" w:sz="8" w:space="0" w:color="000000"/>
            </w:tcBorders>
          </w:tcPr>
          <w:p w14:paraId="29484023" w14:textId="77777777" w:rsidR="00AE2255" w:rsidRDefault="00000000">
            <w:pPr>
              <w:pStyle w:val="TableParagraph"/>
              <w:spacing w:line="230" w:lineRule="exact"/>
              <w:ind w:right="112"/>
              <w:rPr>
                <w:b/>
                <w:sz w:val="20"/>
              </w:rPr>
            </w:pPr>
            <w:r>
              <w:rPr>
                <w:b/>
                <w:spacing w:val="-5"/>
                <w:sz w:val="20"/>
              </w:rPr>
              <w:t>150</w:t>
            </w:r>
          </w:p>
        </w:tc>
        <w:tc>
          <w:tcPr>
            <w:tcW w:w="1220" w:type="dxa"/>
            <w:tcBorders>
              <w:bottom w:val="single" w:sz="8" w:space="0" w:color="000000"/>
            </w:tcBorders>
          </w:tcPr>
          <w:p w14:paraId="53D15974" w14:textId="77777777" w:rsidR="00AE2255" w:rsidRDefault="00000000">
            <w:pPr>
              <w:pStyle w:val="TableParagraph"/>
              <w:spacing w:line="230" w:lineRule="exact"/>
              <w:ind w:right="102"/>
              <w:rPr>
                <w:b/>
                <w:sz w:val="20"/>
              </w:rPr>
            </w:pPr>
            <w:r>
              <w:rPr>
                <w:b/>
                <w:sz w:val="20"/>
              </w:rPr>
              <w:t>7</w:t>
            </w:r>
          </w:p>
        </w:tc>
        <w:tc>
          <w:tcPr>
            <w:tcW w:w="1230" w:type="dxa"/>
            <w:tcBorders>
              <w:bottom w:val="single" w:sz="8" w:space="0" w:color="000000"/>
            </w:tcBorders>
          </w:tcPr>
          <w:p w14:paraId="21618FB5" w14:textId="77777777" w:rsidR="00AE2255" w:rsidRDefault="00000000">
            <w:pPr>
              <w:pStyle w:val="TableParagraph"/>
              <w:spacing w:line="230" w:lineRule="exact"/>
              <w:ind w:right="102"/>
              <w:rPr>
                <w:b/>
                <w:sz w:val="20"/>
              </w:rPr>
            </w:pPr>
            <w:r>
              <w:rPr>
                <w:b/>
                <w:spacing w:val="-5"/>
                <w:sz w:val="20"/>
              </w:rPr>
              <w:t>347</w:t>
            </w:r>
          </w:p>
        </w:tc>
        <w:tc>
          <w:tcPr>
            <w:tcW w:w="1230" w:type="dxa"/>
            <w:tcBorders>
              <w:bottom w:val="single" w:sz="8" w:space="0" w:color="000000"/>
            </w:tcBorders>
          </w:tcPr>
          <w:p w14:paraId="36D2E10E" w14:textId="77777777" w:rsidR="00AE2255" w:rsidRDefault="00000000">
            <w:pPr>
              <w:pStyle w:val="TableParagraph"/>
              <w:spacing w:line="230" w:lineRule="exact"/>
              <w:ind w:right="102"/>
              <w:rPr>
                <w:b/>
                <w:sz w:val="20"/>
              </w:rPr>
            </w:pPr>
            <w:r>
              <w:rPr>
                <w:b/>
                <w:spacing w:val="-5"/>
                <w:sz w:val="20"/>
              </w:rPr>
              <w:t>34</w:t>
            </w:r>
          </w:p>
        </w:tc>
        <w:tc>
          <w:tcPr>
            <w:tcW w:w="1244" w:type="dxa"/>
            <w:tcBorders>
              <w:bottom w:val="single" w:sz="8" w:space="0" w:color="000000"/>
            </w:tcBorders>
          </w:tcPr>
          <w:p w14:paraId="5310A8CE" w14:textId="77777777" w:rsidR="00AE2255" w:rsidRDefault="00000000">
            <w:pPr>
              <w:pStyle w:val="TableParagraph"/>
              <w:spacing w:line="230" w:lineRule="exact"/>
              <w:ind w:right="116"/>
              <w:rPr>
                <w:b/>
                <w:sz w:val="20"/>
              </w:rPr>
            </w:pPr>
            <w:r>
              <w:rPr>
                <w:b/>
                <w:spacing w:val="-5"/>
                <w:sz w:val="20"/>
              </w:rPr>
              <w:t>538</w:t>
            </w:r>
          </w:p>
        </w:tc>
      </w:tr>
      <w:tr w:rsidR="00AE2255" w14:paraId="11E519C2" w14:textId="77777777">
        <w:trPr>
          <w:trHeight w:val="265"/>
        </w:trPr>
        <w:tc>
          <w:tcPr>
            <w:tcW w:w="4110" w:type="dxa"/>
            <w:tcBorders>
              <w:top w:val="single" w:sz="8" w:space="0" w:color="000000"/>
              <w:bottom w:val="single" w:sz="8" w:space="0" w:color="000000"/>
            </w:tcBorders>
            <w:shd w:val="clear" w:color="auto" w:fill="CCEDFF"/>
          </w:tcPr>
          <w:p w14:paraId="56825B58" w14:textId="77777777" w:rsidR="00AE2255" w:rsidRDefault="00000000">
            <w:pPr>
              <w:pStyle w:val="TableParagraph"/>
              <w:spacing w:before="17" w:line="22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shd w:val="clear" w:color="auto" w:fill="CCEDFF"/>
          </w:tcPr>
          <w:p w14:paraId="61F70FF7" w14:textId="77777777" w:rsidR="00AE2255" w:rsidRDefault="00000000">
            <w:pPr>
              <w:pStyle w:val="TableParagraph"/>
              <w:tabs>
                <w:tab w:val="left" w:pos="470"/>
              </w:tabs>
              <w:spacing w:before="15" w:line="230" w:lineRule="exact"/>
              <w:ind w:right="112"/>
              <w:rPr>
                <w:b/>
                <w:sz w:val="20"/>
              </w:rPr>
            </w:pPr>
            <w:r>
              <w:rPr>
                <w:b/>
                <w:spacing w:val="-10"/>
                <w:sz w:val="20"/>
              </w:rPr>
              <w:t>$</w:t>
            </w:r>
            <w:r>
              <w:rPr>
                <w:b/>
                <w:sz w:val="20"/>
              </w:rPr>
              <w:tab/>
            </w:r>
            <w:r>
              <w:rPr>
                <w:b/>
                <w:spacing w:val="-2"/>
                <w:sz w:val="20"/>
              </w:rPr>
              <w:t>26,987</w:t>
            </w:r>
          </w:p>
        </w:tc>
        <w:tc>
          <w:tcPr>
            <w:tcW w:w="1220" w:type="dxa"/>
            <w:tcBorders>
              <w:top w:val="single" w:sz="8" w:space="0" w:color="000000"/>
              <w:bottom w:val="single" w:sz="8" w:space="0" w:color="000000"/>
            </w:tcBorders>
            <w:shd w:val="clear" w:color="auto" w:fill="CCEDFF"/>
          </w:tcPr>
          <w:p w14:paraId="5E2C5E21"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11,317</w:t>
            </w:r>
          </w:p>
        </w:tc>
        <w:tc>
          <w:tcPr>
            <w:tcW w:w="1230" w:type="dxa"/>
            <w:tcBorders>
              <w:top w:val="single" w:sz="8" w:space="0" w:color="000000"/>
              <w:bottom w:val="single" w:sz="8" w:space="0" w:color="000000"/>
            </w:tcBorders>
            <w:shd w:val="clear" w:color="auto" w:fill="CCEDFF"/>
          </w:tcPr>
          <w:p w14:paraId="67240B4D"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16,148</w:t>
            </w:r>
          </w:p>
        </w:tc>
        <w:tc>
          <w:tcPr>
            <w:tcW w:w="1230" w:type="dxa"/>
            <w:tcBorders>
              <w:top w:val="single" w:sz="8" w:space="0" w:color="000000"/>
              <w:bottom w:val="single" w:sz="8" w:space="0" w:color="000000"/>
            </w:tcBorders>
            <w:shd w:val="clear" w:color="auto" w:fill="CCEDFF"/>
          </w:tcPr>
          <w:p w14:paraId="6CD277B7" w14:textId="77777777" w:rsidR="00AE2255" w:rsidRDefault="00000000">
            <w:pPr>
              <w:pStyle w:val="TableParagraph"/>
              <w:tabs>
                <w:tab w:val="left" w:pos="470"/>
              </w:tabs>
              <w:spacing w:before="15" w:line="230" w:lineRule="exact"/>
              <w:ind w:right="102"/>
              <w:rPr>
                <w:b/>
                <w:sz w:val="20"/>
              </w:rPr>
            </w:pPr>
            <w:r>
              <w:rPr>
                <w:b/>
                <w:spacing w:val="-10"/>
                <w:sz w:val="20"/>
              </w:rPr>
              <w:t>$</w:t>
            </w:r>
            <w:r>
              <w:rPr>
                <w:b/>
                <w:sz w:val="20"/>
              </w:rPr>
              <w:tab/>
            </w:r>
            <w:r>
              <w:rPr>
                <w:b/>
                <w:spacing w:val="-2"/>
                <w:sz w:val="20"/>
              </w:rPr>
              <w:t>11,532</w:t>
            </w:r>
          </w:p>
        </w:tc>
        <w:tc>
          <w:tcPr>
            <w:tcW w:w="1244" w:type="dxa"/>
            <w:tcBorders>
              <w:top w:val="single" w:sz="8" w:space="0" w:color="000000"/>
              <w:bottom w:val="single" w:sz="8" w:space="0" w:color="000000"/>
            </w:tcBorders>
            <w:shd w:val="clear" w:color="auto" w:fill="CCEDFF"/>
          </w:tcPr>
          <w:p w14:paraId="61479327" w14:textId="77777777" w:rsidR="00AE2255" w:rsidRDefault="00000000">
            <w:pPr>
              <w:pStyle w:val="TableParagraph"/>
              <w:tabs>
                <w:tab w:val="left" w:pos="470"/>
              </w:tabs>
              <w:spacing w:before="15" w:line="230" w:lineRule="exact"/>
              <w:ind w:right="116"/>
              <w:rPr>
                <w:b/>
                <w:sz w:val="20"/>
              </w:rPr>
            </w:pPr>
            <w:r>
              <w:rPr>
                <w:b/>
                <w:spacing w:val="-10"/>
                <w:sz w:val="20"/>
              </w:rPr>
              <w:t>$</w:t>
            </w:r>
            <w:r>
              <w:rPr>
                <w:b/>
                <w:sz w:val="20"/>
              </w:rPr>
              <w:tab/>
            </w:r>
            <w:r>
              <w:rPr>
                <w:b/>
                <w:spacing w:val="-2"/>
                <w:sz w:val="20"/>
              </w:rPr>
              <w:t>65,984</w:t>
            </w:r>
          </w:p>
        </w:tc>
      </w:tr>
      <w:tr w:rsidR="00AE2255" w14:paraId="47CA45E3" w14:textId="77777777">
        <w:trPr>
          <w:trHeight w:val="275"/>
        </w:trPr>
        <w:tc>
          <w:tcPr>
            <w:tcW w:w="4110" w:type="dxa"/>
            <w:tcBorders>
              <w:top w:val="single" w:sz="8" w:space="0" w:color="000000"/>
            </w:tcBorders>
          </w:tcPr>
          <w:p w14:paraId="1D19F21C" w14:textId="77777777" w:rsidR="00AE2255" w:rsidRDefault="00000000">
            <w:pPr>
              <w:pStyle w:val="TableParagraph"/>
              <w:spacing w:before="13"/>
              <w:ind w:left="52"/>
              <w:jc w:val="left"/>
              <w:rPr>
                <w:b/>
                <w:sz w:val="20"/>
              </w:rPr>
            </w:pPr>
            <w:r>
              <w:rPr>
                <w:b/>
                <w:sz w:val="20"/>
              </w:rPr>
              <w:t>Net</w:t>
            </w:r>
            <w:r>
              <w:rPr>
                <w:b/>
                <w:spacing w:val="-3"/>
                <w:sz w:val="20"/>
              </w:rPr>
              <w:t xml:space="preserve"> </w:t>
            </w:r>
            <w:r>
              <w:rPr>
                <w:b/>
                <w:sz w:val="20"/>
              </w:rPr>
              <w:t>sales</w:t>
            </w:r>
            <w:r>
              <w:rPr>
                <w:b/>
                <w:spacing w:val="-4"/>
                <w:sz w:val="20"/>
              </w:rPr>
              <w:t xml:space="preserve"> </w:t>
            </w:r>
            <w:r>
              <w:rPr>
                <w:b/>
                <w:sz w:val="20"/>
              </w:rPr>
              <w:t>by</w:t>
            </w:r>
            <w:r>
              <w:rPr>
                <w:b/>
                <w:spacing w:val="-3"/>
                <w:sz w:val="20"/>
              </w:rPr>
              <w:t xml:space="preserve"> </w:t>
            </w:r>
            <w:r>
              <w:rPr>
                <w:b/>
                <w:sz w:val="20"/>
              </w:rPr>
              <w:t>geographic</w:t>
            </w:r>
            <w:r>
              <w:rPr>
                <w:b/>
                <w:spacing w:val="-3"/>
                <w:sz w:val="20"/>
              </w:rPr>
              <w:t xml:space="preserve"> </w:t>
            </w:r>
            <w:r>
              <w:rPr>
                <w:b/>
                <w:spacing w:val="-2"/>
                <w:sz w:val="20"/>
              </w:rPr>
              <w:t>region</w:t>
            </w:r>
          </w:p>
        </w:tc>
        <w:tc>
          <w:tcPr>
            <w:tcW w:w="1188" w:type="dxa"/>
            <w:tcBorders>
              <w:top w:val="single" w:sz="8" w:space="0" w:color="000000"/>
            </w:tcBorders>
          </w:tcPr>
          <w:p w14:paraId="0769CC5B" w14:textId="77777777" w:rsidR="00AE2255" w:rsidRDefault="00AE2255">
            <w:pPr>
              <w:pStyle w:val="TableParagraph"/>
              <w:spacing w:before="0"/>
              <w:jc w:val="left"/>
              <w:rPr>
                <w:sz w:val="18"/>
              </w:rPr>
            </w:pPr>
          </w:p>
        </w:tc>
        <w:tc>
          <w:tcPr>
            <w:tcW w:w="1220" w:type="dxa"/>
            <w:tcBorders>
              <w:top w:val="single" w:sz="8" w:space="0" w:color="000000"/>
            </w:tcBorders>
          </w:tcPr>
          <w:p w14:paraId="00D16AAC" w14:textId="77777777" w:rsidR="00AE2255" w:rsidRDefault="00AE2255">
            <w:pPr>
              <w:pStyle w:val="TableParagraph"/>
              <w:spacing w:before="0"/>
              <w:jc w:val="left"/>
              <w:rPr>
                <w:sz w:val="18"/>
              </w:rPr>
            </w:pPr>
          </w:p>
        </w:tc>
        <w:tc>
          <w:tcPr>
            <w:tcW w:w="1230" w:type="dxa"/>
            <w:tcBorders>
              <w:top w:val="single" w:sz="8" w:space="0" w:color="000000"/>
            </w:tcBorders>
          </w:tcPr>
          <w:p w14:paraId="7CF5F104" w14:textId="77777777" w:rsidR="00AE2255" w:rsidRDefault="00AE2255">
            <w:pPr>
              <w:pStyle w:val="TableParagraph"/>
              <w:spacing w:before="0"/>
              <w:jc w:val="left"/>
              <w:rPr>
                <w:sz w:val="18"/>
              </w:rPr>
            </w:pPr>
          </w:p>
        </w:tc>
        <w:tc>
          <w:tcPr>
            <w:tcW w:w="1230" w:type="dxa"/>
            <w:tcBorders>
              <w:top w:val="single" w:sz="8" w:space="0" w:color="000000"/>
            </w:tcBorders>
          </w:tcPr>
          <w:p w14:paraId="022C30ED" w14:textId="77777777" w:rsidR="00AE2255" w:rsidRDefault="00AE2255">
            <w:pPr>
              <w:pStyle w:val="TableParagraph"/>
              <w:spacing w:before="0"/>
              <w:jc w:val="left"/>
              <w:rPr>
                <w:sz w:val="18"/>
              </w:rPr>
            </w:pPr>
          </w:p>
        </w:tc>
        <w:tc>
          <w:tcPr>
            <w:tcW w:w="1244" w:type="dxa"/>
            <w:tcBorders>
              <w:top w:val="single" w:sz="8" w:space="0" w:color="000000"/>
            </w:tcBorders>
          </w:tcPr>
          <w:p w14:paraId="745DA686" w14:textId="77777777" w:rsidR="00AE2255" w:rsidRDefault="00AE2255">
            <w:pPr>
              <w:pStyle w:val="TableParagraph"/>
              <w:spacing w:before="0"/>
              <w:jc w:val="left"/>
              <w:rPr>
                <w:sz w:val="18"/>
              </w:rPr>
            </w:pPr>
          </w:p>
        </w:tc>
      </w:tr>
      <w:tr w:rsidR="00AE2255" w14:paraId="7152CE46" w14:textId="77777777">
        <w:trPr>
          <w:trHeight w:val="285"/>
        </w:trPr>
        <w:tc>
          <w:tcPr>
            <w:tcW w:w="4110" w:type="dxa"/>
            <w:shd w:val="clear" w:color="auto" w:fill="CCEDFF"/>
          </w:tcPr>
          <w:p w14:paraId="35E7F2E7" w14:textId="77777777" w:rsidR="00AE2255" w:rsidRDefault="00000000">
            <w:pPr>
              <w:pStyle w:val="TableParagraph"/>
              <w:spacing w:before="27"/>
              <w:ind w:left="187"/>
              <w:jc w:val="left"/>
              <w:rPr>
                <w:sz w:val="20"/>
              </w:rPr>
            </w:pPr>
            <w:r>
              <w:rPr>
                <w:sz w:val="20"/>
              </w:rPr>
              <w:t>United</w:t>
            </w:r>
            <w:r>
              <w:rPr>
                <w:spacing w:val="-4"/>
                <w:sz w:val="20"/>
              </w:rPr>
              <w:t xml:space="preserve"> </w:t>
            </w:r>
            <w:r>
              <w:rPr>
                <w:spacing w:val="-2"/>
                <w:sz w:val="20"/>
              </w:rPr>
              <w:t>States</w:t>
            </w:r>
          </w:p>
        </w:tc>
        <w:tc>
          <w:tcPr>
            <w:tcW w:w="1188" w:type="dxa"/>
            <w:shd w:val="clear" w:color="auto" w:fill="CCEDFF"/>
          </w:tcPr>
          <w:p w14:paraId="1E5E4ECD" w14:textId="77777777" w:rsidR="00AE2255" w:rsidRDefault="00000000">
            <w:pPr>
              <w:pStyle w:val="TableParagraph"/>
              <w:tabs>
                <w:tab w:val="left" w:pos="470"/>
              </w:tabs>
              <w:ind w:right="112"/>
              <w:rPr>
                <w:b/>
                <w:sz w:val="20"/>
              </w:rPr>
            </w:pPr>
            <w:r>
              <w:rPr>
                <w:b/>
                <w:spacing w:val="-10"/>
                <w:sz w:val="20"/>
              </w:rPr>
              <w:t>$</w:t>
            </w:r>
            <w:r>
              <w:rPr>
                <w:b/>
                <w:sz w:val="20"/>
              </w:rPr>
              <w:tab/>
            </w:r>
            <w:r>
              <w:rPr>
                <w:b/>
                <w:spacing w:val="-2"/>
                <w:sz w:val="20"/>
              </w:rPr>
              <w:t>18,176</w:t>
            </w:r>
          </w:p>
        </w:tc>
        <w:tc>
          <w:tcPr>
            <w:tcW w:w="1220" w:type="dxa"/>
            <w:shd w:val="clear" w:color="auto" w:fill="CCEDFF"/>
          </w:tcPr>
          <w:p w14:paraId="2301E1DF" w14:textId="77777777" w:rsidR="00AE2255" w:rsidRDefault="00000000">
            <w:pPr>
              <w:pStyle w:val="TableParagraph"/>
              <w:tabs>
                <w:tab w:val="left" w:pos="570"/>
              </w:tabs>
              <w:ind w:right="102"/>
              <w:rPr>
                <w:b/>
                <w:sz w:val="20"/>
              </w:rPr>
            </w:pPr>
            <w:r>
              <w:rPr>
                <w:b/>
                <w:spacing w:val="-10"/>
                <w:sz w:val="20"/>
              </w:rPr>
              <w:t>$</w:t>
            </w:r>
            <w:r>
              <w:rPr>
                <w:b/>
                <w:sz w:val="20"/>
              </w:rPr>
              <w:tab/>
            </w:r>
            <w:r>
              <w:rPr>
                <w:b/>
                <w:spacing w:val="-2"/>
                <w:sz w:val="20"/>
              </w:rPr>
              <w:t>7,821</w:t>
            </w:r>
          </w:p>
        </w:tc>
        <w:tc>
          <w:tcPr>
            <w:tcW w:w="1230" w:type="dxa"/>
            <w:shd w:val="clear" w:color="auto" w:fill="CCEDFF"/>
          </w:tcPr>
          <w:p w14:paraId="1A42E1DC"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11,678</w:t>
            </w:r>
          </w:p>
        </w:tc>
        <w:tc>
          <w:tcPr>
            <w:tcW w:w="1230" w:type="dxa"/>
            <w:shd w:val="clear" w:color="auto" w:fill="CCEDFF"/>
          </w:tcPr>
          <w:p w14:paraId="12DF7118" w14:textId="77777777" w:rsidR="00AE2255" w:rsidRDefault="00000000">
            <w:pPr>
              <w:pStyle w:val="TableParagraph"/>
              <w:tabs>
                <w:tab w:val="left" w:pos="470"/>
              </w:tabs>
              <w:ind w:right="102"/>
              <w:rPr>
                <w:b/>
                <w:sz w:val="20"/>
              </w:rPr>
            </w:pPr>
            <w:r>
              <w:rPr>
                <w:b/>
                <w:spacing w:val="-10"/>
                <w:sz w:val="20"/>
              </w:rPr>
              <w:t>$</w:t>
            </w:r>
            <w:r>
              <w:rPr>
                <w:b/>
                <w:sz w:val="20"/>
              </w:rPr>
              <w:tab/>
            </w:r>
            <w:r>
              <w:rPr>
                <w:b/>
                <w:spacing w:val="-2"/>
                <w:sz w:val="20"/>
              </w:rPr>
              <w:t>11,378</w:t>
            </w:r>
          </w:p>
        </w:tc>
        <w:tc>
          <w:tcPr>
            <w:tcW w:w="1244" w:type="dxa"/>
            <w:shd w:val="clear" w:color="auto" w:fill="CCEDFF"/>
          </w:tcPr>
          <w:p w14:paraId="210253BA" w14:textId="77777777" w:rsidR="00AE2255" w:rsidRDefault="00000000">
            <w:pPr>
              <w:pStyle w:val="TableParagraph"/>
              <w:tabs>
                <w:tab w:val="left" w:pos="470"/>
              </w:tabs>
              <w:ind w:right="116"/>
              <w:rPr>
                <w:b/>
                <w:sz w:val="20"/>
              </w:rPr>
            </w:pPr>
            <w:r>
              <w:rPr>
                <w:b/>
                <w:spacing w:val="-10"/>
                <w:sz w:val="20"/>
              </w:rPr>
              <w:t>$</w:t>
            </w:r>
            <w:r>
              <w:rPr>
                <w:b/>
                <w:sz w:val="20"/>
              </w:rPr>
              <w:tab/>
            </w:r>
            <w:r>
              <w:rPr>
                <w:b/>
                <w:spacing w:val="-2"/>
                <w:sz w:val="20"/>
              </w:rPr>
              <w:t>49,053</w:t>
            </w:r>
          </w:p>
        </w:tc>
      </w:tr>
      <w:tr w:rsidR="00AE2255" w14:paraId="49AB85A1" w14:textId="77777777">
        <w:trPr>
          <w:trHeight w:val="285"/>
        </w:trPr>
        <w:tc>
          <w:tcPr>
            <w:tcW w:w="4110" w:type="dxa"/>
          </w:tcPr>
          <w:p w14:paraId="10C04D1E" w14:textId="77777777" w:rsidR="00AE2255" w:rsidRDefault="00000000">
            <w:pPr>
              <w:pStyle w:val="TableParagraph"/>
              <w:spacing w:before="27"/>
              <w:ind w:left="187"/>
              <w:jc w:val="left"/>
              <w:rPr>
                <w:sz w:val="20"/>
              </w:rPr>
            </w:pPr>
            <w:r>
              <w:rPr>
                <w:spacing w:val="-2"/>
                <w:sz w:val="20"/>
              </w:rPr>
              <w:t>Europe</w:t>
            </w:r>
          </w:p>
        </w:tc>
        <w:tc>
          <w:tcPr>
            <w:tcW w:w="1188" w:type="dxa"/>
          </w:tcPr>
          <w:p w14:paraId="3C5B2AC6" w14:textId="77777777" w:rsidR="00AE2255" w:rsidRDefault="00000000">
            <w:pPr>
              <w:pStyle w:val="TableParagraph"/>
              <w:ind w:right="112"/>
              <w:rPr>
                <w:b/>
                <w:sz w:val="20"/>
              </w:rPr>
            </w:pPr>
            <w:r>
              <w:rPr>
                <w:b/>
                <w:spacing w:val="-2"/>
                <w:sz w:val="20"/>
              </w:rPr>
              <w:t>4,303</w:t>
            </w:r>
          </w:p>
        </w:tc>
        <w:tc>
          <w:tcPr>
            <w:tcW w:w="1220" w:type="dxa"/>
          </w:tcPr>
          <w:p w14:paraId="1084D496" w14:textId="77777777" w:rsidR="00AE2255" w:rsidRDefault="00000000">
            <w:pPr>
              <w:pStyle w:val="TableParagraph"/>
              <w:ind w:right="102"/>
              <w:rPr>
                <w:b/>
                <w:sz w:val="20"/>
              </w:rPr>
            </w:pPr>
            <w:r>
              <w:rPr>
                <w:b/>
                <w:spacing w:val="-2"/>
                <w:sz w:val="20"/>
              </w:rPr>
              <w:t>1,020</w:t>
            </w:r>
          </w:p>
        </w:tc>
        <w:tc>
          <w:tcPr>
            <w:tcW w:w="1230" w:type="dxa"/>
          </w:tcPr>
          <w:p w14:paraId="52DC2C1F" w14:textId="77777777" w:rsidR="00AE2255" w:rsidRDefault="00000000">
            <w:pPr>
              <w:pStyle w:val="TableParagraph"/>
              <w:ind w:right="102"/>
              <w:rPr>
                <w:b/>
                <w:sz w:val="20"/>
              </w:rPr>
            </w:pPr>
            <w:r>
              <w:rPr>
                <w:b/>
                <w:spacing w:val="-5"/>
                <w:sz w:val="20"/>
              </w:rPr>
              <w:t>857</w:t>
            </w:r>
          </w:p>
        </w:tc>
        <w:tc>
          <w:tcPr>
            <w:tcW w:w="1230" w:type="dxa"/>
          </w:tcPr>
          <w:p w14:paraId="639592DA" w14:textId="77777777" w:rsidR="00AE2255" w:rsidRDefault="00000000">
            <w:pPr>
              <w:pStyle w:val="TableParagraph"/>
              <w:ind w:right="102"/>
              <w:rPr>
                <w:b/>
                <w:sz w:val="20"/>
              </w:rPr>
            </w:pPr>
            <w:r>
              <w:rPr>
                <w:b/>
                <w:spacing w:val="-5"/>
                <w:sz w:val="20"/>
              </w:rPr>
              <w:t>87</w:t>
            </w:r>
          </w:p>
        </w:tc>
        <w:tc>
          <w:tcPr>
            <w:tcW w:w="1244" w:type="dxa"/>
          </w:tcPr>
          <w:p w14:paraId="7C2F9D1E" w14:textId="77777777" w:rsidR="00AE2255" w:rsidRDefault="00000000">
            <w:pPr>
              <w:pStyle w:val="TableParagraph"/>
              <w:ind w:right="116"/>
              <w:rPr>
                <w:b/>
                <w:sz w:val="20"/>
              </w:rPr>
            </w:pPr>
            <w:r>
              <w:rPr>
                <w:b/>
                <w:spacing w:val="-2"/>
                <w:sz w:val="20"/>
              </w:rPr>
              <w:t>6,267</w:t>
            </w:r>
          </w:p>
        </w:tc>
      </w:tr>
      <w:tr w:rsidR="00AE2255" w14:paraId="54297341" w14:textId="77777777">
        <w:trPr>
          <w:trHeight w:val="285"/>
        </w:trPr>
        <w:tc>
          <w:tcPr>
            <w:tcW w:w="4110" w:type="dxa"/>
            <w:shd w:val="clear" w:color="auto" w:fill="CCEDFF"/>
          </w:tcPr>
          <w:p w14:paraId="54324389" w14:textId="77777777" w:rsidR="00AE2255" w:rsidRDefault="00000000">
            <w:pPr>
              <w:pStyle w:val="TableParagraph"/>
              <w:spacing w:before="27"/>
              <w:ind w:left="187"/>
              <w:jc w:val="left"/>
              <w:rPr>
                <w:sz w:val="20"/>
              </w:rPr>
            </w:pPr>
            <w:r>
              <w:rPr>
                <w:sz w:val="20"/>
              </w:rPr>
              <w:t>Asia</w:t>
            </w:r>
            <w:r>
              <w:rPr>
                <w:spacing w:val="-4"/>
                <w:sz w:val="20"/>
              </w:rPr>
              <w:t xml:space="preserve"> </w:t>
            </w:r>
            <w:r>
              <w:rPr>
                <w:spacing w:val="-2"/>
                <w:sz w:val="20"/>
              </w:rPr>
              <w:t>Pacific</w:t>
            </w:r>
          </w:p>
        </w:tc>
        <w:tc>
          <w:tcPr>
            <w:tcW w:w="1188" w:type="dxa"/>
            <w:shd w:val="clear" w:color="auto" w:fill="CCEDFF"/>
          </w:tcPr>
          <w:p w14:paraId="2755B4A4" w14:textId="77777777" w:rsidR="00AE2255" w:rsidRDefault="00000000">
            <w:pPr>
              <w:pStyle w:val="TableParagraph"/>
              <w:ind w:right="112"/>
              <w:rPr>
                <w:b/>
                <w:sz w:val="20"/>
              </w:rPr>
            </w:pPr>
            <w:r>
              <w:rPr>
                <w:b/>
                <w:spacing w:val="-2"/>
                <w:sz w:val="20"/>
              </w:rPr>
              <w:t>2,970</w:t>
            </w:r>
          </w:p>
        </w:tc>
        <w:tc>
          <w:tcPr>
            <w:tcW w:w="1220" w:type="dxa"/>
            <w:shd w:val="clear" w:color="auto" w:fill="CCEDFF"/>
          </w:tcPr>
          <w:p w14:paraId="1DFFB133" w14:textId="77777777" w:rsidR="00AE2255" w:rsidRDefault="00000000">
            <w:pPr>
              <w:pStyle w:val="TableParagraph"/>
              <w:ind w:right="102"/>
              <w:rPr>
                <w:b/>
                <w:sz w:val="20"/>
              </w:rPr>
            </w:pPr>
            <w:r>
              <w:rPr>
                <w:b/>
                <w:spacing w:val="-5"/>
                <w:sz w:val="20"/>
              </w:rPr>
              <w:t>461</w:t>
            </w:r>
          </w:p>
        </w:tc>
        <w:tc>
          <w:tcPr>
            <w:tcW w:w="1230" w:type="dxa"/>
            <w:shd w:val="clear" w:color="auto" w:fill="CCEDFF"/>
          </w:tcPr>
          <w:p w14:paraId="753DBF26" w14:textId="77777777" w:rsidR="00AE2255" w:rsidRDefault="00000000">
            <w:pPr>
              <w:pStyle w:val="TableParagraph"/>
              <w:ind w:right="102"/>
              <w:rPr>
                <w:b/>
                <w:sz w:val="20"/>
              </w:rPr>
            </w:pPr>
            <w:r>
              <w:rPr>
                <w:b/>
                <w:spacing w:val="-2"/>
                <w:sz w:val="20"/>
              </w:rPr>
              <w:t>1,994</w:t>
            </w:r>
          </w:p>
        </w:tc>
        <w:tc>
          <w:tcPr>
            <w:tcW w:w="1230" w:type="dxa"/>
            <w:shd w:val="clear" w:color="auto" w:fill="CCEDFF"/>
          </w:tcPr>
          <w:p w14:paraId="5CDB1BE6" w14:textId="77777777" w:rsidR="00AE2255" w:rsidRDefault="00000000">
            <w:pPr>
              <w:pStyle w:val="TableParagraph"/>
              <w:ind w:right="102"/>
              <w:rPr>
                <w:b/>
                <w:sz w:val="20"/>
              </w:rPr>
            </w:pPr>
            <w:r>
              <w:rPr>
                <w:b/>
                <w:spacing w:val="-5"/>
                <w:sz w:val="20"/>
              </w:rPr>
              <w:t>54</w:t>
            </w:r>
          </w:p>
        </w:tc>
        <w:tc>
          <w:tcPr>
            <w:tcW w:w="1244" w:type="dxa"/>
            <w:shd w:val="clear" w:color="auto" w:fill="CCEDFF"/>
          </w:tcPr>
          <w:p w14:paraId="5CCA3393" w14:textId="77777777" w:rsidR="00AE2255" w:rsidRDefault="00000000">
            <w:pPr>
              <w:pStyle w:val="TableParagraph"/>
              <w:ind w:right="116"/>
              <w:rPr>
                <w:b/>
                <w:sz w:val="20"/>
              </w:rPr>
            </w:pPr>
            <w:r>
              <w:rPr>
                <w:b/>
                <w:spacing w:val="-2"/>
                <w:sz w:val="20"/>
              </w:rPr>
              <w:t>5,479</w:t>
            </w:r>
          </w:p>
        </w:tc>
      </w:tr>
      <w:tr w:rsidR="00AE2255" w14:paraId="2F812830" w14:textId="77777777">
        <w:trPr>
          <w:trHeight w:val="285"/>
        </w:trPr>
        <w:tc>
          <w:tcPr>
            <w:tcW w:w="4110" w:type="dxa"/>
          </w:tcPr>
          <w:p w14:paraId="5537712F" w14:textId="77777777" w:rsidR="00AE2255" w:rsidRDefault="00000000">
            <w:pPr>
              <w:pStyle w:val="TableParagraph"/>
              <w:spacing w:before="27"/>
              <w:ind w:left="187"/>
              <w:jc w:val="left"/>
              <w:rPr>
                <w:sz w:val="20"/>
              </w:rPr>
            </w:pPr>
            <w:r>
              <w:rPr>
                <w:sz w:val="20"/>
              </w:rPr>
              <w:t>Middle</w:t>
            </w:r>
            <w:r>
              <w:rPr>
                <w:spacing w:val="-6"/>
                <w:sz w:val="20"/>
              </w:rPr>
              <w:t xml:space="preserve"> </w:t>
            </w:r>
            <w:r>
              <w:rPr>
                <w:spacing w:val="-4"/>
                <w:sz w:val="20"/>
              </w:rPr>
              <w:t>East</w:t>
            </w:r>
          </w:p>
        </w:tc>
        <w:tc>
          <w:tcPr>
            <w:tcW w:w="1188" w:type="dxa"/>
          </w:tcPr>
          <w:p w14:paraId="4AFDF97B" w14:textId="77777777" w:rsidR="00AE2255" w:rsidRDefault="00000000">
            <w:pPr>
              <w:pStyle w:val="TableParagraph"/>
              <w:ind w:right="112"/>
              <w:rPr>
                <w:b/>
                <w:sz w:val="20"/>
              </w:rPr>
            </w:pPr>
            <w:r>
              <w:rPr>
                <w:b/>
                <w:spacing w:val="-2"/>
                <w:sz w:val="20"/>
              </w:rPr>
              <w:t>1,103</w:t>
            </w:r>
          </w:p>
        </w:tc>
        <w:tc>
          <w:tcPr>
            <w:tcW w:w="1220" w:type="dxa"/>
          </w:tcPr>
          <w:p w14:paraId="0C58C29F" w14:textId="77777777" w:rsidR="00AE2255" w:rsidRDefault="00000000">
            <w:pPr>
              <w:pStyle w:val="TableParagraph"/>
              <w:ind w:right="102"/>
              <w:rPr>
                <w:b/>
                <w:sz w:val="20"/>
              </w:rPr>
            </w:pPr>
            <w:r>
              <w:rPr>
                <w:b/>
                <w:spacing w:val="-2"/>
                <w:sz w:val="20"/>
              </w:rPr>
              <w:t>1,858</w:t>
            </w:r>
          </w:p>
        </w:tc>
        <w:tc>
          <w:tcPr>
            <w:tcW w:w="1230" w:type="dxa"/>
          </w:tcPr>
          <w:p w14:paraId="442F068F" w14:textId="77777777" w:rsidR="00AE2255" w:rsidRDefault="00000000">
            <w:pPr>
              <w:pStyle w:val="TableParagraph"/>
              <w:ind w:right="102"/>
              <w:rPr>
                <w:b/>
                <w:sz w:val="20"/>
              </w:rPr>
            </w:pPr>
            <w:r>
              <w:rPr>
                <w:b/>
                <w:spacing w:val="-5"/>
                <w:sz w:val="20"/>
              </w:rPr>
              <w:t>823</w:t>
            </w:r>
          </w:p>
        </w:tc>
        <w:tc>
          <w:tcPr>
            <w:tcW w:w="1230" w:type="dxa"/>
          </w:tcPr>
          <w:p w14:paraId="5B1B69A6" w14:textId="77777777" w:rsidR="00AE2255" w:rsidRDefault="00000000">
            <w:pPr>
              <w:pStyle w:val="TableParagraph"/>
              <w:ind w:right="102"/>
              <w:rPr>
                <w:b/>
                <w:sz w:val="20"/>
              </w:rPr>
            </w:pPr>
            <w:r>
              <w:rPr>
                <w:b/>
                <w:spacing w:val="-5"/>
                <w:sz w:val="20"/>
              </w:rPr>
              <w:t>12</w:t>
            </w:r>
          </w:p>
        </w:tc>
        <w:tc>
          <w:tcPr>
            <w:tcW w:w="1244" w:type="dxa"/>
          </w:tcPr>
          <w:p w14:paraId="45B0ED01" w14:textId="77777777" w:rsidR="00AE2255" w:rsidRDefault="00000000">
            <w:pPr>
              <w:pStyle w:val="TableParagraph"/>
              <w:ind w:right="116"/>
              <w:rPr>
                <w:b/>
                <w:sz w:val="20"/>
              </w:rPr>
            </w:pPr>
            <w:r>
              <w:rPr>
                <w:b/>
                <w:spacing w:val="-2"/>
                <w:sz w:val="20"/>
              </w:rPr>
              <w:t>3,796</w:t>
            </w:r>
          </w:p>
        </w:tc>
      </w:tr>
      <w:tr w:rsidR="00AE2255" w14:paraId="288D634B" w14:textId="77777777">
        <w:trPr>
          <w:trHeight w:val="275"/>
        </w:trPr>
        <w:tc>
          <w:tcPr>
            <w:tcW w:w="4110" w:type="dxa"/>
            <w:tcBorders>
              <w:bottom w:val="single" w:sz="8" w:space="0" w:color="000000"/>
            </w:tcBorders>
            <w:shd w:val="clear" w:color="auto" w:fill="CCEDFF"/>
          </w:tcPr>
          <w:p w14:paraId="08EF97B3" w14:textId="77777777" w:rsidR="00AE2255" w:rsidRDefault="00000000">
            <w:pPr>
              <w:pStyle w:val="TableParagraph"/>
              <w:spacing w:before="27" w:line="228" w:lineRule="exact"/>
              <w:ind w:left="187"/>
              <w:jc w:val="left"/>
              <w:rPr>
                <w:sz w:val="20"/>
              </w:rPr>
            </w:pPr>
            <w:r>
              <w:rPr>
                <w:spacing w:val="-2"/>
                <w:sz w:val="20"/>
              </w:rPr>
              <w:t>Other</w:t>
            </w:r>
          </w:p>
        </w:tc>
        <w:tc>
          <w:tcPr>
            <w:tcW w:w="1188" w:type="dxa"/>
            <w:tcBorders>
              <w:bottom w:val="single" w:sz="8" w:space="0" w:color="000000"/>
            </w:tcBorders>
            <w:shd w:val="clear" w:color="auto" w:fill="CCEDFF"/>
          </w:tcPr>
          <w:p w14:paraId="6A9B74D5" w14:textId="77777777" w:rsidR="00AE2255" w:rsidRDefault="00000000">
            <w:pPr>
              <w:pStyle w:val="TableParagraph"/>
              <w:spacing w:line="230" w:lineRule="exact"/>
              <w:ind w:right="112"/>
              <w:rPr>
                <w:b/>
                <w:sz w:val="20"/>
              </w:rPr>
            </w:pPr>
            <w:r>
              <w:rPr>
                <w:b/>
                <w:spacing w:val="-5"/>
                <w:sz w:val="20"/>
              </w:rPr>
              <w:t>435</w:t>
            </w:r>
          </w:p>
        </w:tc>
        <w:tc>
          <w:tcPr>
            <w:tcW w:w="1220" w:type="dxa"/>
            <w:tcBorders>
              <w:bottom w:val="single" w:sz="8" w:space="0" w:color="000000"/>
            </w:tcBorders>
            <w:shd w:val="clear" w:color="auto" w:fill="CCEDFF"/>
          </w:tcPr>
          <w:p w14:paraId="68DE022B" w14:textId="77777777" w:rsidR="00AE2255" w:rsidRDefault="00000000">
            <w:pPr>
              <w:pStyle w:val="TableParagraph"/>
              <w:spacing w:line="230" w:lineRule="exact"/>
              <w:ind w:right="102"/>
              <w:rPr>
                <w:b/>
                <w:sz w:val="20"/>
              </w:rPr>
            </w:pPr>
            <w:r>
              <w:rPr>
                <w:b/>
                <w:spacing w:val="-5"/>
                <w:sz w:val="20"/>
              </w:rPr>
              <w:t>157</w:t>
            </w:r>
          </w:p>
        </w:tc>
        <w:tc>
          <w:tcPr>
            <w:tcW w:w="1230" w:type="dxa"/>
            <w:tcBorders>
              <w:bottom w:val="single" w:sz="8" w:space="0" w:color="000000"/>
            </w:tcBorders>
            <w:shd w:val="clear" w:color="auto" w:fill="CCEDFF"/>
          </w:tcPr>
          <w:p w14:paraId="28060FF4" w14:textId="77777777" w:rsidR="00AE2255" w:rsidRDefault="00000000">
            <w:pPr>
              <w:pStyle w:val="TableParagraph"/>
              <w:spacing w:line="230" w:lineRule="exact"/>
              <w:ind w:right="102"/>
              <w:rPr>
                <w:b/>
                <w:sz w:val="20"/>
              </w:rPr>
            </w:pPr>
            <w:r>
              <w:rPr>
                <w:b/>
                <w:spacing w:val="-5"/>
                <w:sz w:val="20"/>
              </w:rPr>
              <w:t>796</w:t>
            </w:r>
          </w:p>
        </w:tc>
        <w:tc>
          <w:tcPr>
            <w:tcW w:w="1230" w:type="dxa"/>
            <w:tcBorders>
              <w:bottom w:val="single" w:sz="8" w:space="0" w:color="000000"/>
            </w:tcBorders>
            <w:shd w:val="clear" w:color="auto" w:fill="CCEDFF"/>
          </w:tcPr>
          <w:p w14:paraId="0B9EBF70" w14:textId="77777777" w:rsidR="00AE2255" w:rsidRDefault="00000000">
            <w:pPr>
              <w:pStyle w:val="TableParagraph"/>
              <w:spacing w:line="230" w:lineRule="exact"/>
              <w:ind w:right="102"/>
              <w:rPr>
                <w:b/>
                <w:sz w:val="20"/>
              </w:rPr>
            </w:pPr>
            <w:r>
              <w:rPr>
                <w:b/>
                <w:sz w:val="20"/>
              </w:rPr>
              <w:t>1</w:t>
            </w:r>
          </w:p>
        </w:tc>
        <w:tc>
          <w:tcPr>
            <w:tcW w:w="1244" w:type="dxa"/>
            <w:tcBorders>
              <w:bottom w:val="single" w:sz="8" w:space="0" w:color="000000"/>
            </w:tcBorders>
            <w:shd w:val="clear" w:color="auto" w:fill="CCEDFF"/>
          </w:tcPr>
          <w:p w14:paraId="6422DD37" w14:textId="77777777" w:rsidR="00AE2255" w:rsidRDefault="00000000">
            <w:pPr>
              <w:pStyle w:val="TableParagraph"/>
              <w:spacing w:line="230" w:lineRule="exact"/>
              <w:ind w:right="116"/>
              <w:rPr>
                <w:b/>
                <w:sz w:val="20"/>
              </w:rPr>
            </w:pPr>
            <w:r>
              <w:rPr>
                <w:b/>
                <w:spacing w:val="-2"/>
                <w:sz w:val="20"/>
              </w:rPr>
              <w:t>1,389</w:t>
            </w:r>
          </w:p>
        </w:tc>
      </w:tr>
      <w:tr w:rsidR="00AE2255" w14:paraId="066F3719" w14:textId="77777777">
        <w:trPr>
          <w:trHeight w:val="252"/>
        </w:trPr>
        <w:tc>
          <w:tcPr>
            <w:tcW w:w="4110" w:type="dxa"/>
            <w:tcBorders>
              <w:top w:val="single" w:sz="8" w:space="0" w:color="000000"/>
              <w:bottom w:val="single" w:sz="18" w:space="0" w:color="000000"/>
            </w:tcBorders>
          </w:tcPr>
          <w:p w14:paraId="532705B1" w14:textId="77777777" w:rsidR="00AE2255" w:rsidRDefault="00000000">
            <w:pPr>
              <w:pStyle w:val="TableParagraph"/>
              <w:spacing w:before="17" w:line="216"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18" w:space="0" w:color="000000"/>
            </w:tcBorders>
          </w:tcPr>
          <w:p w14:paraId="1B124227" w14:textId="77777777" w:rsidR="00AE2255" w:rsidRDefault="00000000">
            <w:pPr>
              <w:pStyle w:val="TableParagraph"/>
              <w:tabs>
                <w:tab w:val="left" w:pos="470"/>
              </w:tabs>
              <w:spacing w:before="15" w:line="217" w:lineRule="exact"/>
              <w:ind w:right="112"/>
              <w:rPr>
                <w:b/>
                <w:sz w:val="20"/>
              </w:rPr>
            </w:pPr>
            <w:r>
              <w:rPr>
                <w:b/>
                <w:spacing w:val="-10"/>
                <w:sz w:val="20"/>
              </w:rPr>
              <w:t>$</w:t>
            </w:r>
            <w:r>
              <w:rPr>
                <w:b/>
                <w:sz w:val="20"/>
              </w:rPr>
              <w:tab/>
            </w:r>
            <w:r>
              <w:rPr>
                <w:b/>
                <w:spacing w:val="-2"/>
                <w:sz w:val="20"/>
              </w:rPr>
              <w:t>26,987</w:t>
            </w:r>
          </w:p>
        </w:tc>
        <w:tc>
          <w:tcPr>
            <w:tcW w:w="1220" w:type="dxa"/>
            <w:tcBorders>
              <w:top w:val="single" w:sz="8" w:space="0" w:color="000000"/>
              <w:bottom w:val="single" w:sz="18" w:space="0" w:color="000000"/>
            </w:tcBorders>
          </w:tcPr>
          <w:p w14:paraId="26808665" w14:textId="77777777" w:rsidR="00AE2255" w:rsidRDefault="00000000">
            <w:pPr>
              <w:pStyle w:val="TableParagraph"/>
              <w:tabs>
                <w:tab w:val="left" w:pos="470"/>
              </w:tabs>
              <w:spacing w:before="15" w:line="217" w:lineRule="exact"/>
              <w:ind w:right="102"/>
              <w:rPr>
                <w:b/>
                <w:sz w:val="20"/>
              </w:rPr>
            </w:pPr>
            <w:r>
              <w:rPr>
                <w:b/>
                <w:spacing w:val="-10"/>
                <w:sz w:val="20"/>
              </w:rPr>
              <w:t>$</w:t>
            </w:r>
            <w:r>
              <w:rPr>
                <w:b/>
                <w:sz w:val="20"/>
              </w:rPr>
              <w:tab/>
            </w:r>
            <w:r>
              <w:rPr>
                <w:b/>
                <w:spacing w:val="-2"/>
                <w:sz w:val="20"/>
              </w:rPr>
              <w:t>11,317</w:t>
            </w:r>
          </w:p>
        </w:tc>
        <w:tc>
          <w:tcPr>
            <w:tcW w:w="1230" w:type="dxa"/>
            <w:tcBorders>
              <w:top w:val="single" w:sz="8" w:space="0" w:color="000000"/>
              <w:bottom w:val="single" w:sz="18" w:space="0" w:color="000000"/>
            </w:tcBorders>
          </w:tcPr>
          <w:p w14:paraId="2BB09B52" w14:textId="77777777" w:rsidR="00AE2255" w:rsidRDefault="00000000">
            <w:pPr>
              <w:pStyle w:val="TableParagraph"/>
              <w:tabs>
                <w:tab w:val="left" w:pos="470"/>
              </w:tabs>
              <w:spacing w:before="15" w:line="217" w:lineRule="exact"/>
              <w:ind w:right="102"/>
              <w:rPr>
                <w:b/>
                <w:sz w:val="20"/>
              </w:rPr>
            </w:pPr>
            <w:r>
              <w:rPr>
                <w:b/>
                <w:spacing w:val="-10"/>
                <w:sz w:val="20"/>
              </w:rPr>
              <w:t>$</w:t>
            </w:r>
            <w:r>
              <w:rPr>
                <w:b/>
                <w:sz w:val="20"/>
              </w:rPr>
              <w:tab/>
            </w:r>
            <w:r>
              <w:rPr>
                <w:b/>
                <w:spacing w:val="-2"/>
                <w:sz w:val="20"/>
              </w:rPr>
              <w:t>16,148</w:t>
            </w:r>
          </w:p>
        </w:tc>
        <w:tc>
          <w:tcPr>
            <w:tcW w:w="1230" w:type="dxa"/>
            <w:tcBorders>
              <w:top w:val="single" w:sz="8" w:space="0" w:color="000000"/>
              <w:bottom w:val="single" w:sz="18" w:space="0" w:color="000000"/>
            </w:tcBorders>
          </w:tcPr>
          <w:p w14:paraId="31436F55" w14:textId="77777777" w:rsidR="00AE2255" w:rsidRDefault="00000000">
            <w:pPr>
              <w:pStyle w:val="TableParagraph"/>
              <w:tabs>
                <w:tab w:val="left" w:pos="470"/>
              </w:tabs>
              <w:spacing w:before="15" w:line="217" w:lineRule="exact"/>
              <w:ind w:right="102"/>
              <w:rPr>
                <w:b/>
                <w:sz w:val="20"/>
              </w:rPr>
            </w:pPr>
            <w:r>
              <w:rPr>
                <w:b/>
                <w:spacing w:val="-10"/>
                <w:sz w:val="20"/>
              </w:rPr>
              <w:t>$</w:t>
            </w:r>
            <w:r>
              <w:rPr>
                <w:b/>
                <w:sz w:val="20"/>
              </w:rPr>
              <w:tab/>
            </w:r>
            <w:r>
              <w:rPr>
                <w:b/>
                <w:spacing w:val="-2"/>
                <w:sz w:val="20"/>
              </w:rPr>
              <w:t>11,532</w:t>
            </w:r>
          </w:p>
        </w:tc>
        <w:tc>
          <w:tcPr>
            <w:tcW w:w="1244" w:type="dxa"/>
            <w:tcBorders>
              <w:top w:val="single" w:sz="8" w:space="0" w:color="000000"/>
              <w:bottom w:val="single" w:sz="18" w:space="0" w:color="000000"/>
            </w:tcBorders>
          </w:tcPr>
          <w:p w14:paraId="0312E1DB" w14:textId="77777777" w:rsidR="00AE2255" w:rsidRDefault="00000000">
            <w:pPr>
              <w:pStyle w:val="TableParagraph"/>
              <w:tabs>
                <w:tab w:val="left" w:pos="470"/>
              </w:tabs>
              <w:spacing w:before="15" w:line="217" w:lineRule="exact"/>
              <w:ind w:right="116"/>
              <w:rPr>
                <w:b/>
                <w:sz w:val="20"/>
              </w:rPr>
            </w:pPr>
            <w:r>
              <w:rPr>
                <w:b/>
                <w:spacing w:val="-10"/>
                <w:sz w:val="20"/>
              </w:rPr>
              <w:t>$</w:t>
            </w:r>
            <w:r>
              <w:rPr>
                <w:b/>
                <w:sz w:val="20"/>
              </w:rPr>
              <w:tab/>
            </w:r>
            <w:r>
              <w:rPr>
                <w:b/>
                <w:spacing w:val="-2"/>
                <w:sz w:val="20"/>
              </w:rPr>
              <w:t>65,984</w:t>
            </w:r>
          </w:p>
        </w:tc>
      </w:tr>
    </w:tbl>
    <w:p w14:paraId="73A177D3" w14:textId="77777777" w:rsidR="00AE2255" w:rsidRDefault="00000000">
      <w:pPr>
        <w:spacing w:before="93"/>
        <w:ind w:left="7594"/>
        <w:rPr>
          <w:b/>
          <w:sz w:val="20"/>
        </w:rPr>
      </w:pPr>
      <w:r>
        <w:pict w14:anchorId="6B2C3DC1">
          <v:group id="docshapegroup39" o:spid="_x0000_s2183" style="position:absolute;left:0;text-align:left;margin-left:256.85pt;margin-top:17.15pt;width:303.75pt;height:1pt;z-index:-15712256;mso-wrap-distance-left:0;mso-wrap-distance-right:0;mso-position-horizontal-relative:page;mso-position-vertical-relative:text" coordorigin="5137,343" coordsize="6075,20">
            <v:shape id="docshape40" o:spid="_x0000_s2185" style="position:absolute;left:5137;top:352;width:6075;height:2" coordorigin="5137,353" coordsize="6075,0" path="m11212,353r-6075,e" fillcolor="black" stroked="f">
              <v:fill opacity="0"/>
              <v:path arrowok="t"/>
            </v:shape>
            <v:line id="_x0000_s2184" style="position:absolute" from="5137,353" to="11212,353" strokeweight="1pt"/>
            <w10:wrap type="topAndBottom" anchorx="page"/>
          </v:group>
        </w:pict>
      </w:r>
      <w:r>
        <w:rPr>
          <w:b/>
          <w:spacing w:val="-4"/>
          <w:sz w:val="20"/>
        </w:rPr>
        <w:t>2021</w:t>
      </w:r>
    </w:p>
    <w:p w14:paraId="147EBDE6" w14:textId="77777777" w:rsidR="00AE2255" w:rsidRDefault="00000000">
      <w:pPr>
        <w:tabs>
          <w:tab w:val="left" w:pos="6337"/>
          <w:tab w:val="left" w:pos="7572"/>
          <w:tab w:val="left" w:pos="8774"/>
          <w:tab w:val="left" w:pos="10027"/>
        </w:tabs>
        <w:spacing w:before="15" w:after="30"/>
        <w:ind w:left="4818"/>
        <w:rPr>
          <w:b/>
          <w:sz w:val="20"/>
        </w:rPr>
      </w:pPr>
      <w:r>
        <w:rPr>
          <w:b/>
          <w:spacing w:val="-2"/>
          <w:sz w:val="20"/>
        </w:rPr>
        <w:t>Aeronautics</w:t>
      </w:r>
      <w:r>
        <w:rPr>
          <w:b/>
          <w:sz w:val="20"/>
        </w:rPr>
        <w:tab/>
      </w:r>
      <w:r>
        <w:rPr>
          <w:b/>
          <w:spacing w:val="-5"/>
          <w:sz w:val="20"/>
        </w:rPr>
        <w:t>MFC</w:t>
      </w:r>
      <w:r>
        <w:rPr>
          <w:b/>
          <w:sz w:val="20"/>
        </w:rPr>
        <w:tab/>
      </w:r>
      <w:r>
        <w:rPr>
          <w:b/>
          <w:spacing w:val="-5"/>
          <w:sz w:val="20"/>
        </w:rPr>
        <w:t>RMS</w:t>
      </w:r>
      <w:r>
        <w:rPr>
          <w:b/>
          <w:sz w:val="20"/>
        </w:rPr>
        <w:tab/>
      </w:r>
      <w:r>
        <w:rPr>
          <w:b/>
          <w:spacing w:val="-4"/>
          <w:sz w:val="20"/>
        </w:rPr>
        <w:t>Space</w:t>
      </w:r>
      <w:r>
        <w:rPr>
          <w:b/>
          <w:sz w:val="20"/>
        </w:rPr>
        <w:tab/>
      </w:r>
      <w:r>
        <w:rPr>
          <w:b/>
          <w:spacing w:val="-2"/>
          <w:sz w:val="20"/>
        </w:rPr>
        <w:t>Total</w:t>
      </w:r>
    </w:p>
    <w:tbl>
      <w:tblPr>
        <w:tblW w:w="0" w:type="auto"/>
        <w:tblInd w:w="617" w:type="dxa"/>
        <w:tblLayout w:type="fixed"/>
        <w:tblCellMar>
          <w:left w:w="0" w:type="dxa"/>
          <w:right w:w="0" w:type="dxa"/>
        </w:tblCellMar>
        <w:tblLook w:val="01E0" w:firstRow="1" w:lastRow="1" w:firstColumn="1" w:lastColumn="1" w:noHBand="0" w:noVBand="0"/>
      </w:tblPr>
      <w:tblGrid>
        <w:gridCol w:w="3286"/>
        <w:gridCol w:w="2039"/>
        <w:gridCol w:w="1230"/>
        <w:gridCol w:w="1230"/>
        <w:gridCol w:w="1263"/>
        <w:gridCol w:w="1173"/>
      </w:tblGrid>
      <w:tr w:rsidR="00AE2255" w14:paraId="2B4CDE29" w14:textId="77777777">
        <w:trPr>
          <w:trHeight w:val="275"/>
        </w:trPr>
        <w:tc>
          <w:tcPr>
            <w:tcW w:w="10221" w:type="dxa"/>
            <w:gridSpan w:val="6"/>
            <w:tcBorders>
              <w:top w:val="single" w:sz="8" w:space="0" w:color="000000"/>
            </w:tcBorders>
            <w:shd w:val="clear" w:color="auto" w:fill="CCEDFF"/>
          </w:tcPr>
          <w:p w14:paraId="5D47EC9B" w14:textId="77777777" w:rsidR="00AE2255" w:rsidRDefault="00000000">
            <w:pPr>
              <w:pStyle w:val="TableParagraph"/>
              <w:spacing w:before="13"/>
              <w:ind w:left="90"/>
              <w:jc w:val="left"/>
              <w:rPr>
                <w:b/>
                <w:sz w:val="20"/>
              </w:rPr>
            </w:pPr>
            <w:r>
              <w:rPr>
                <w:b/>
                <w:sz w:val="20"/>
              </w:rPr>
              <w:t>Net</w:t>
            </w:r>
            <w:r>
              <w:rPr>
                <w:b/>
                <w:spacing w:val="-4"/>
                <w:sz w:val="20"/>
              </w:rPr>
              <w:t xml:space="preserve"> </w:t>
            </w:r>
            <w:r>
              <w:rPr>
                <w:b/>
                <w:spacing w:val="-2"/>
                <w:sz w:val="20"/>
              </w:rPr>
              <w:t>sales</w:t>
            </w:r>
          </w:p>
        </w:tc>
      </w:tr>
      <w:tr w:rsidR="00AE2255" w14:paraId="75791EEC" w14:textId="77777777">
        <w:trPr>
          <w:trHeight w:val="285"/>
        </w:trPr>
        <w:tc>
          <w:tcPr>
            <w:tcW w:w="3286" w:type="dxa"/>
          </w:tcPr>
          <w:p w14:paraId="3EF39B4B" w14:textId="77777777" w:rsidR="00AE2255" w:rsidRDefault="00000000">
            <w:pPr>
              <w:pStyle w:val="TableParagraph"/>
              <w:spacing w:before="27"/>
              <w:ind w:left="225"/>
              <w:jc w:val="left"/>
              <w:rPr>
                <w:sz w:val="20"/>
              </w:rPr>
            </w:pPr>
            <w:r>
              <w:rPr>
                <w:spacing w:val="-2"/>
                <w:sz w:val="20"/>
              </w:rPr>
              <w:t>Products</w:t>
            </w:r>
          </w:p>
        </w:tc>
        <w:tc>
          <w:tcPr>
            <w:tcW w:w="2039" w:type="dxa"/>
          </w:tcPr>
          <w:p w14:paraId="22996244"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22,631</w:t>
            </w:r>
          </w:p>
        </w:tc>
        <w:tc>
          <w:tcPr>
            <w:tcW w:w="1230" w:type="dxa"/>
          </w:tcPr>
          <w:p w14:paraId="715B9242"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10,269</w:t>
            </w:r>
          </w:p>
        </w:tc>
        <w:tc>
          <w:tcPr>
            <w:tcW w:w="1230" w:type="dxa"/>
          </w:tcPr>
          <w:p w14:paraId="6106D9B9"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13,483</w:t>
            </w:r>
          </w:p>
        </w:tc>
        <w:tc>
          <w:tcPr>
            <w:tcW w:w="1263" w:type="dxa"/>
          </w:tcPr>
          <w:p w14:paraId="5EDB6FD6" w14:textId="77777777" w:rsidR="00AE2255" w:rsidRDefault="00000000">
            <w:pPr>
              <w:pStyle w:val="TableParagraph"/>
              <w:tabs>
                <w:tab w:val="left" w:pos="575"/>
              </w:tabs>
              <w:ind w:left="105"/>
              <w:jc w:val="left"/>
              <w:rPr>
                <w:sz w:val="20"/>
              </w:rPr>
            </w:pPr>
            <w:r>
              <w:rPr>
                <w:spacing w:val="-10"/>
                <w:sz w:val="20"/>
              </w:rPr>
              <w:t>$</w:t>
            </w:r>
            <w:r>
              <w:rPr>
                <w:sz w:val="20"/>
              </w:rPr>
              <w:tab/>
            </w:r>
            <w:r>
              <w:rPr>
                <w:spacing w:val="-2"/>
                <w:sz w:val="20"/>
              </w:rPr>
              <w:t>10,052</w:t>
            </w:r>
          </w:p>
        </w:tc>
        <w:tc>
          <w:tcPr>
            <w:tcW w:w="1173" w:type="dxa"/>
          </w:tcPr>
          <w:p w14:paraId="235E5895" w14:textId="77777777" w:rsidR="00AE2255" w:rsidRDefault="00000000">
            <w:pPr>
              <w:pStyle w:val="TableParagraph"/>
              <w:tabs>
                <w:tab w:val="left" w:pos="470"/>
              </w:tabs>
              <w:ind w:right="78"/>
              <w:rPr>
                <w:sz w:val="20"/>
              </w:rPr>
            </w:pPr>
            <w:r>
              <w:rPr>
                <w:spacing w:val="-10"/>
                <w:sz w:val="20"/>
              </w:rPr>
              <w:t>$</w:t>
            </w:r>
            <w:r>
              <w:rPr>
                <w:sz w:val="20"/>
              </w:rPr>
              <w:tab/>
            </w:r>
            <w:r>
              <w:rPr>
                <w:spacing w:val="-2"/>
                <w:sz w:val="20"/>
              </w:rPr>
              <w:t>56,435</w:t>
            </w:r>
          </w:p>
        </w:tc>
      </w:tr>
      <w:tr w:rsidR="00AE2255" w14:paraId="721CBDDE" w14:textId="77777777">
        <w:trPr>
          <w:trHeight w:val="275"/>
        </w:trPr>
        <w:tc>
          <w:tcPr>
            <w:tcW w:w="3286" w:type="dxa"/>
            <w:tcBorders>
              <w:bottom w:val="single" w:sz="8" w:space="0" w:color="000000"/>
            </w:tcBorders>
            <w:shd w:val="clear" w:color="auto" w:fill="CCEDFF"/>
          </w:tcPr>
          <w:p w14:paraId="42A438EC" w14:textId="77777777" w:rsidR="00AE2255" w:rsidRDefault="00000000">
            <w:pPr>
              <w:pStyle w:val="TableParagraph"/>
              <w:spacing w:before="27" w:line="228" w:lineRule="exact"/>
              <w:ind w:left="225"/>
              <w:jc w:val="left"/>
              <w:rPr>
                <w:sz w:val="20"/>
              </w:rPr>
            </w:pPr>
            <w:r>
              <w:rPr>
                <w:spacing w:val="-2"/>
                <w:sz w:val="20"/>
              </w:rPr>
              <w:t>Services</w:t>
            </w:r>
          </w:p>
        </w:tc>
        <w:tc>
          <w:tcPr>
            <w:tcW w:w="2039" w:type="dxa"/>
            <w:tcBorders>
              <w:bottom w:val="single" w:sz="8" w:space="0" w:color="000000"/>
            </w:tcBorders>
            <w:shd w:val="clear" w:color="auto" w:fill="CCEDFF"/>
          </w:tcPr>
          <w:p w14:paraId="312892DF" w14:textId="77777777" w:rsidR="00AE2255" w:rsidRDefault="00000000">
            <w:pPr>
              <w:pStyle w:val="TableParagraph"/>
              <w:spacing w:line="230" w:lineRule="exact"/>
              <w:ind w:right="102"/>
              <w:rPr>
                <w:sz w:val="20"/>
              </w:rPr>
            </w:pPr>
            <w:r>
              <w:rPr>
                <w:spacing w:val="-2"/>
                <w:sz w:val="20"/>
              </w:rPr>
              <w:t>4,117</w:t>
            </w:r>
          </w:p>
        </w:tc>
        <w:tc>
          <w:tcPr>
            <w:tcW w:w="1230" w:type="dxa"/>
            <w:tcBorders>
              <w:bottom w:val="single" w:sz="8" w:space="0" w:color="000000"/>
            </w:tcBorders>
            <w:shd w:val="clear" w:color="auto" w:fill="CCEDFF"/>
          </w:tcPr>
          <w:p w14:paraId="7C974661" w14:textId="77777777" w:rsidR="00AE2255" w:rsidRDefault="00000000">
            <w:pPr>
              <w:pStyle w:val="TableParagraph"/>
              <w:spacing w:line="230" w:lineRule="exact"/>
              <w:ind w:right="102"/>
              <w:rPr>
                <w:sz w:val="20"/>
              </w:rPr>
            </w:pPr>
            <w:r>
              <w:rPr>
                <w:spacing w:val="-2"/>
                <w:sz w:val="20"/>
              </w:rPr>
              <w:t>1,424</w:t>
            </w:r>
          </w:p>
        </w:tc>
        <w:tc>
          <w:tcPr>
            <w:tcW w:w="1230" w:type="dxa"/>
            <w:tcBorders>
              <w:bottom w:val="single" w:sz="8" w:space="0" w:color="000000"/>
            </w:tcBorders>
            <w:shd w:val="clear" w:color="auto" w:fill="CCEDFF"/>
          </w:tcPr>
          <w:p w14:paraId="5274017B" w14:textId="77777777" w:rsidR="00AE2255" w:rsidRDefault="00000000">
            <w:pPr>
              <w:pStyle w:val="TableParagraph"/>
              <w:spacing w:line="230" w:lineRule="exact"/>
              <w:ind w:right="102"/>
              <w:rPr>
                <w:sz w:val="20"/>
              </w:rPr>
            </w:pPr>
            <w:r>
              <w:rPr>
                <w:spacing w:val="-2"/>
                <w:sz w:val="20"/>
              </w:rPr>
              <w:t>3,306</w:t>
            </w:r>
          </w:p>
        </w:tc>
        <w:tc>
          <w:tcPr>
            <w:tcW w:w="1263" w:type="dxa"/>
            <w:tcBorders>
              <w:bottom w:val="single" w:sz="8" w:space="0" w:color="000000"/>
            </w:tcBorders>
            <w:shd w:val="clear" w:color="auto" w:fill="CCEDFF"/>
          </w:tcPr>
          <w:p w14:paraId="4769AA78" w14:textId="77777777" w:rsidR="00AE2255" w:rsidRDefault="00000000">
            <w:pPr>
              <w:pStyle w:val="TableParagraph"/>
              <w:spacing w:line="230" w:lineRule="exact"/>
              <w:ind w:right="135"/>
              <w:rPr>
                <w:sz w:val="20"/>
              </w:rPr>
            </w:pPr>
            <w:r>
              <w:rPr>
                <w:spacing w:val="-2"/>
                <w:sz w:val="20"/>
              </w:rPr>
              <w:t>1,762</w:t>
            </w:r>
          </w:p>
        </w:tc>
        <w:tc>
          <w:tcPr>
            <w:tcW w:w="1173" w:type="dxa"/>
            <w:tcBorders>
              <w:bottom w:val="single" w:sz="8" w:space="0" w:color="000000"/>
            </w:tcBorders>
            <w:shd w:val="clear" w:color="auto" w:fill="CCEDFF"/>
          </w:tcPr>
          <w:p w14:paraId="3BBD8ED1" w14:textId="77777777" w:rsidR="00AE2255" w:rsidRDefault="00000000">
            <w:pPr>
              <w:pStyle w:val="TableParagraph"/>
              <w:spacing w:line="230" w:lineRule="exact"/>
              <w:ind w:right="78"/>
              <w:rPr>
                <w:sz w:val="20"/>
              </w:rPr>
            </w:pPr>
            <w:r>
              <w:rPr>
                <w:spacing w:val="-2"/>
                <w:sz w:val="20"/>
              </w:rPr>
              <w:t>10,609</w:t>
            </w:r>
          </w:p>
        </w:tc>
      </w:tr>
      <w:tr w:rsidR="00AE2255" w14:paraId="2DB4F44C" w14:textId="77777777">
        <w:trPr>
          <w:trHeight w:val="265"/>
        </w:trPr>
        <w:tc>
          <w:tcPr>
            <w:tcW w:w="3286" w:type="dxa"/>
            <w:tcBorders>
              <w:top w:val="single" w:sz="8" w:space="0" w:color="000000"/>
              <w:bottom w:val="single" w:sz="8" w:space="0" w:color="000000"/>
            </w:tcBorders>
          </w:tcPr>
          <w:p w14:paraId="53ACD499" w14:textId="77777777" w:rsidR="00AE2255" w:rsidRDefault="00000000">
            <w:pPr>
              <w:pStyle w:val="TableParagraph"/>
              <w:spacing w:before="17" w:line="228" w:lineRule="exact"/>
              <w:ind w:left="315"/>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2039" w:type="dxa"/>
            <w:tcBorders>
              <w:top w:val="single" w:sz="8" w:space="0" w:color="000000"/>
              <w:bottom w:val="single" w:sz="8" w:space="0" w:color="000000"/>
            </w:tcBorders>
          </w:tcPr>
          <w:p w14:paraId="2864E19A"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26,748</w:t>
            </w:r>
          </w:p>
        </w:tc>
        <w:tc>
          <w:tcPr>
            <w:tcW w:w="1230" w:type="dxa"/>
            <w:tcBorders>
              <w:top w:val="single" w:sz="8" w:space="0" w:color="000000"/>
              <w:bottom w:val="single" w:sz="8" w:space="0" w:color="000000"/>
            </w:tcBorders>
          </w:tcPr>
          <w:p w14:paraId="412F99A0"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11,693</w:t>
            </w:r>
          </w:p>
        </w:tc>
        <w:tc>
          <w:tcPr>
            <w:tcW w:w="1230" w:type="dxa"/>
            <w:tcBorders>
              <w:top w:val="single" w:sz="8" w:space="0" w:color="000000"/>
              <w:bottom w:val="single" w:sz="8" w:space="0" w:color="000000"/>
            </w:tcBorders>
          </w:tcPr>
          <w:p w14:paraId="5A25704E"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16,789</w:t>
            </w:r>
          </w:p>
        </w:tc>
        <w:tc>
          <w:tcPr>
            <w:tcW w:w="1263" w:type="dxa"/>
            <w:tcBorders>
              <w:top w:val="single" w:sz="8" w:space="0" w:color="000000"/>
              <w:bottom w:val="single" w:sz="8" w:space="0" w:color="000000"/>
            </w:tcBorders>
          </w:tcPr>
          <w:p w14:paraId="695250BA" w14:textId="77777777" w:rsidR="00AE2255" w:rsidRDefault="00000000">
            <w:pPr>
              <w:pStyle w:val="TableParagraph"/>
              <w:tabs>
                <w:tab w:val="left" w:pos="575"/>
              </w:tabs>
              <w:spacing w:before="15" w:line="230" w:lineRule="exact"/>
              <w:ind w:left="105"/>
              <w:jc w:val="left"/>
              <w:rPr>
                <w:sz w:val="20"/>
              </w:rPr>
            </w:pPr>
            <w:r>
              <w:rPr>
                <w:spacing w:val="-10"/>
                <w:sz w:val="20"/>
              </w:rPr>
              <w:t>$</w:t>
            </w:r>
            <w:r>
              <w:rPr>
                <w:sz w:val="20"/>
              </w:rPr>
              <w:tab/>
            </w:r>
            <w:r>
              <w:rPr>
                <w:spacing w:val="-2"/>
                <w:sz w:val="20"/>
              </w:rPr>
              <w:t>11,814</w:t>
            </w:r>
          </w:p>
        </w:tc>
        <w:tc>
          <w:tcPr>
            <w:tcW w:w="1173" w:type="dxa"/>
            <w:tcBorders>
              <w:top w:val="single" w:sz="8" w:space="0" w:color="000000"/>
              <w:bottom w:val="single" w:sz="8" w:space="0" w:color="000000"/>
            </w:tcBorders>
          </w:tcPr>
          <w:p w14:paraId="15EFDB18" w14:textId="77777777" w:rsidR="00AE2255" w:rsidRDefault="00000000">
            <w:pPr>
              <w:pStyle w:val="TableParagraph"/>
              <w:tabs>
                <w:tab w:val="left" w:pos="470"/>
              </w:tabs>
              <w:spacing w:before="15" w:line="230" w:lineRule="exact"/>
              <w:ind w:right="78"/>
              <w:rPr>
                <w:sz w:val="20"/>
              </w:rPr>
            </w:pPr>
            <w:r>
              <w:rPr>
                <w:spacing w:val="-10"/>
                <w:sz w:val="20"/>
              </w:rPr>
              <w:t>$</w:t>
            </w:r>
            <w:r>
              <w:rPr>
                <w:sz w:val="20"/>
              </w:rPr>
              <w:tab/>
            </w:r>
            <w:r>
              <w:rPr>
                <w:spacing w:val="-2"/>
                <w:sz w:val="20"/>
              </w:rPr>
              <w:t>67,044</w:t>
            </w:r>
          </w:p>
        </w:tc>
      </w:tr>
      <w:tr w:rsidR="00AE2255" w14:paraId="111B2282" w14:textId="77777777">
        <w:trPr>
          <w:trHeight w:val="275"/>
        </w:trPr>
        <w:tc>
          <w:tcPr>
            <w:tcW w:w="10221" w:type="dxa"/>
            <w:gridSpan w:val="6"/>
            <w:tcBorders>
              <w:top w:val="single" w:sz="8" w:space="0" w:color="000000"/>
            </w:tcBorders>
            <w:shd w:val="clear" w:color="auto" w:fill="CCEDFF"/>
          </w:tcPr>
          <w:p w14:paraId="120CD384" w14:textId="77777777" w:rsidR="00AE2255" w:rsidRDefault="00000000">
            <w:pPr>
              <w:pStyle w:val="TableParagraph"/>
              <w:spacing w:before="13"/>
              <w:ind w:left="90"/>
              <w:jc w:val="left"/>
              <w:rPr>
                <w:b/>
                <w:sz w:val="20"/>
              </w:rPr>
            </w:pPr>
            <w:r>
              <w:rPr>
                <w:b/>
                <w:sz w:val="20"/>
              </w:rPr>
              <w:t>Net</w:t>
            </w:r>
            <w:r>
              <w:rPr>
                <w:b/>
                <w:spacing w:val="-5"/>
                <w:sz w:val="20"/>
              </w:rPr>
              <w:t xml:space="preserve"> </w:t>
            </w:r>
            <w:r>
              <w:rPr>
                <w:b/>
                <w:sz w:val="20"/>
              </w:rPr>
              <w:t>sales</w:t>
            </w:r>
            <w:r>
              <w:rPr>
                <w:b/>
                <w:spacing w:val="-3"/>
                <w:sz w:val="20"/>
              </w:rPr>
              <w:t xml:space="preserve"> </w:t>
            </w:r>
            <w:r>
              <w:rPr>
                <w:b/>
                <w:sz w:val="20"/>
              </w:rPr>
              <w:t>by</w:t>
            </w:r>
            <w:r>
              <w:rPr>
                <w:b/>
                <w:spacing w:val="-3"/>
                <w:sz w:val="20"/>
              </w:rPr>
              <w:t xml:space="preserve"> </w:t>
            </w:r>
            <w:r>
              <w:rPr>
                <w:b/>
                <w:sz w:val="20"/>
              </w:rPr>
              <w:t>contract</w:t>
            </w:r>
            <w:r>
              <w:rPr>
                <w:b/>
                <w:spacing w:val="-2"/>
                <w:sz w:val="20"/>
              </w:rPr>
              <w:t xml:space="preserve"> </w:t>
            </w:r>
            <w:r>
              <w:rPr>
                <w:b/>
                <w:spacing w:val="-4"/>
                <w:sz w:val="20"/>
              </w:rPr>
              <w:t>type</w:t>
            </w:r>
          </w:p>
        </w:tc>
      </w:tr>
      <w:tr w:rsidR="00AE2255" w14:paraId="40D99F5A" w14:textId="77777777">
        <w:trPr>
          <w:trHeight w:val="285"/>
        </w:trPr>
        <w:tc>
          <w:tcPr>
            <w:tcW w:w="3286" w:type="dxa"/>
          </w:tcPr>
          <w:p w14:paraId="59078781" w14:textId="77777777" w:rsidR="00AE2255" w:rsidRDefault="00000000">
            <w:pPr>
              <w:pStyle w:val="TableParagraph"/>
              <w:spacing w:before="27"/>
              <w:ind w:left="225"/>
              <w:jc w:val="left"/>
              <w:rPr>
                <w:sz w:val="20"/>
              </w:rPr>
            </w:pPr>
            <w:proofErr w:type="gramStart"/>
            <w:r>
              <w:rPr>
                <w:spacing w:val="-2"/>
                <w:sz w:val="20"/>
              </w:rPr>
              <w:t>Fixed-price</w:t>
            </w:r>
            <w:proofErr w:type="gramEnd"/>
          </w:p>
        </w:tc>
        <w:tc>
          <w:tcPr>
            <w:tcW w:w="2039" w:type="dxa"/>
          </w:tcPr>
          <w:p w14:paraId="10E63523"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19,734</w:t>
            </w:r>
          </w:p>
        </w:tc>
        <w:tc>
          <w:tcPr>
            <w:tcW w:w="1230" w:type="dxa"/>
          </w:tcPr>
          <w:p w14:paraId="6A9127F3" w14:textId="77777777" w:rsidR="00AE2255" w:rsidRDefault="00000000">
            <w:pPr>
              <w:pStyle w:val="TableParagraph"/>
              <w:tabs>
                <w:tab w:val="left" w:pos="570"/>
              </w:tabs>
              <w:ind w:right="102"/>
              <w:rPr>
                <w:sz w:val="20"/>
              </w:rPr>
            </w:pPr>
            <w:r>
              <w:rPr>
                <w:spacing w:val="-10"/>
                <w:sz w:val="20"/>
              </w:rPr>
              <w:t>$</w:t>
            </w:r>
            <w:r>
              <w:rPr>
                <w:sz w:val="20"/>
              </w:rPr>
              <w:tab/>
            </w:r>
            <w:r>
              <w:rPr>
                <w:spacing w:val="-2"/>
                <w:sz w:val="20"/>
              </w:rPr>
              <w:t>8,079</w:t>
            </w:r>
          </w:p>
        </w:tc>
        <w:tc>
          <w:tcPr>
            <w:tcW w:w="1230" w:type="dxa"/>
          </w:tcPr>
          <w:p w14:paraId="5DB683DF"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11,125</w:t>
            </w:r>
          </w:p>
        </w:tc>
        <w:tc>
          <w:tcPr>
            <w:tcW w:w="1263" w:type="dxa"/>
          </w:tcPr>
          <w:p w14:paraId="3DEDDFBF" w14:textId="77777777" w:rsidR="00AE2255" w:rsidRDefault="00000000">
            <w:pPr>
              <w:pStyle w:val="TableParagraph"/>
              <w:tabs>
                <w:tab w:val="left" w:pos="675"/>
              </w:tabs>
              <w:ind w:left="105"/>
              <w:jc w:val="left"/>
              <w:rPr>
                <w:sz w:val="20"/>
              </w:rPr>
            </w:pPr>
            <w:r>
              <w:rPr>
                <w:spacing w:val="-10"/>
                <w:sz w:val="20"/>
              </w:rPr>
              <w:t>$</w:t>
            </w:r>
            <w:r>
              <w:rPr>
                <w:sz w:val="20"/>
              </w:rPr>
              <w:tab/>
            </w:r>
            <w:r>
              <w:rPr>
                <w:spacing w:val="-2"/>
                <w:sz w:val="20"/>
              </w:rPr>
              <w:t>2,671</w:t>
            </w:r>
          </w:p>
        </w:tc>
        <w:tc>
          <w:tcPr>
            <w:tcW w:w="1173" w:type="dxa"/>
          </w:tcPr>
          <w:p w14:paraId="69AD8524" w14:textId="77777777" w:rsidR="00AE2255" w:rsidRDefault="00000000">
            <w:pPr>
              <w:pStyle w:val="TableParagraph"/>
              <w:tabs>
                <w:tab w:val="left" w:pos="470"/>
              </w:tabs>
              <w:ind w:right="78"/>
              <w:rPr>
                <w:sz w:val="20"/>
              </w:rPr>
            </w:pPr>
            <w:r>
              <w:rPr>
                <w:spacing w:val="-10"/>
                <w:sz w:val="20"/>
              </w:rPr>
              <w:t>$</w:t>
            </w:r>
            <w:r>
              <w:rPr>
                <w:sz w:val="20"/>
              </w:rPr>
              <w:tab/>
            </w:r>
            <w:r>
              <w:rPr>
                <w:spacing w:val="-2"/>
                <w:sz w:val="20"/>
              </w:rPr>
              <w:t>41,609</w:t>
            </w:r>
          </w:p>
        </w:tc>
      </w:tr>
      <w:tr w:rsidR="00AE2255" w14:paraId="54F35E15" w14:textId="77777777">
        <w:trPr>
          <w:trHeight w:val="275"/>
        </w:trPr>
        <w:tc>
          <w:tcPr>
            <w:tcW w:w="3286" w:type="dxa"/>
            <w:tcBorders>
              <w:bottom w:val="single" w:sz="8" w:space="0" w:color="000000"/>
            </w:tcBorders>
            <w:shd w:val="clear" w:color="auto" w:fill="CCEDFF"/>
          </w:tcPr>
          <w:p w14:paraId="77C32166" w14:textId="77777777" w:rsidR="00AE2255" w:rsidRDefault="00000000">
            <w:pPr>
              <w:pStyle w:val="TableParagraph"/>
              <w:spacing w:before="27" w:line="228" w:lineRule="exact"/>
              <w:ind w:left="225"/>
              <w:jc w:val="left"/>
              <w:rPr>
                <w:sz w:val="20"/>
              </w:rPr>
            </w:pPr>
            <w:r>
              <w:rPr>
                <w:spacing w:val="-2"/>
                <w:sz w:val="20"/>
              </w:rPr>
              <w:t>Cost-reimbursable</w:t>
            </w:r>
          </w:p>
        </w:tc>
        <w:tc>
          <w:tcPr>
            <w:tcW w:w="2039" w:type="dxa"/>
            <w:tcBorders>
              <w:bottom w:val="single" w:sz="8" w:space="0" w:color="000000"/>
            </w:tcBorders>
            <w:shd w:val="clear" w:color="auto" w:fill="CCEDFF"/>
          </w:tcPr>
          <w:p w14:paraId="13E540DD" w14:textId="77777777" w:rsidR="00AE2255" w:rsidRDefault="00000000">
            <w:pPr>
              <w:pStyle w:val="TableParagraph"/>
              <w:spacing w:line="230" w:lineRule="exact"/>
              <w:ind w:right="102"/>
              <w:rPr>
                <w:sz w:val="20"/>
              </w:rPr>
            </w:pPr>
            <w:r>
              <w:rPr>
                <w:spacing w:val="-2"/>
                <w:sz w:val="20"/>
              </w:rPr>
              <w:t>7,014</w:t>
            </w:r>
          </w:p>
        </w:tc>
        <w:tc>
          <w:tcPr>
            <w:tcW w:w="1230" w:type="dxa"/>
            <w:tcBorders>
              <w:bottom w:val="single" w:sz="8" w:space="0" w:color="000000"/>
            </w:tcBorders>
            <w:shd w:val="clear" w:color="auto" w:fill="CCEDFF"/>
          </w:tcPr>
          <w:p w14:paraId="5CF62D09" w14:textId="77777777" w:rsidR="00AE2255" w:rsidRDefault="00000000">
            <w:pPr>
              <w:pStyle w:val="TableParagraph"/>
              <w:spacing w:line="230" w:lineRule="exact"/>
              <w:ind w:right="102"/>
              <w:rPr>
                <w:sz w:val="20"/>
              </w:rPr>
            </w:pPr>
            <w:r>
              <w:rPr>
                <w:spacing w:val="-2"/>
                <w:sz w:val="20"/>
              </w:rPr>
              <w:t>3,614</w:t>
            </w:r>
          </w:p>
        </w:tc>
        <w:tc>
          <w:tcPr>
            <w:tcW w:w="1230" w:type="dxa"/>
            <w:tcBorders>
              <w:bottom w:val="single" w:sz="8" w:space="0" w:color="000000"/>
            </w:tcBorders>
            <w:shd w:val="clear" w:color="auto" w:fill="CCEDFF"/>
          </w:tcPr>
          <w:p w14:paraId="6B2A886F" w14:textId="77777777" w:rsidR="00AE2255" w:rsidRDefault="00000000">
            <w:pPr>
              <w:pStyle w:val="TableParagraph"/>
              <w:spacing w:line="230" w:lineRule="exact"/>
              <w:ind w:right="102"/>
              <w:rPr>
                <w:sz w:val="20"/>
              </w:rPr>
            </w:pPr>
            <w:r>
              <w:rPr>
                <w:spacing w:val="-2"/>
                <w:sz w:val="20"/>
              </w:rPr>
              <w:t>5,664</w:t>
            </w:r>
          </w:p>
        </w:tc>
        <w:tc>
          <w:tcPr>
            <w:tcW w:w="1263" w:type="dxa"/>
            <w:tcBorders>
              <w:bottom w:val="single" w:sz="8" w:space="0" w:color="000000"/>
            </w:tcBorders>
            <w:shd w:val="clear" w:color="auto" w:fill="CCEDFF"/>
          </w:tcPr>
          <w:p w14:paraId="59C1062E" w14:textId="77777777" w:rsidR="00AE2255" w:rsidRDefault="00000000">
            <w:pPr>
              <w:pStyle w:val="TableParagraph"/>
              <w:spacing w:line="230" w:lineRule="exact"/>
              <w:ind w:right="135"/>
              <w:rPr>
                <w:sz w:val="20"/>
              </w:rPr>
            </w:pPr>
            <w:r>
              <w:rPr>
                <w:spacing w:val="-2"/>
                <w:sz w:val="20"/>
              </w:rPr>
              <w:t>9,143</w:t>
            </w:r>
          </w:p>
        </w:tc>
        <w:tc>
          <w:tcPr>
            <w:tcW w:w="1173" w:type="dxa"/>
            <w:tcBorders>
              <w:bottom w:val="single" w:sz="8" w:space="0" w:color="000000"/>
            </w:tcBorders>
            <w:shd w:val="clear" w:color="auto" w:fill="CCEDFF"/>
          </w:tcPr>
          <w:p w14:paraId="5D16F64A" w14:textId="77777777" w:rsidR="00AE2255" w:rsidRDefault="00000000">
            <w:pPr>
              <w:pStyle w:val="TableParagraph"/>
              <w:spacing w:line="230" w:lineRule="exact"/>
              <w:ind w:right="78"/>
              <w:rPr>
                <w:sz w:val="20"/>
              </w:rPr>
            </w:pPr>
            <w:r>
              <w:rPr>
                <w:spacing w:val="-2"/>
                <w:sz w:val="20"/>
              </w:rPr>
              <w:t>25,435</w:t>
            </w:r>
          </w:p>
        </w:tc>
      </w:tr>
      <w:tr w:rsidR="00AE2255" w14:paraId="003E32D2" w14:textId="77777777">
        <w:trPr>
          <w:trHeight w:val="264"/>
        </w:trPr>
        <w:tc>
          <w:tcPr>
            <w:tcW w:w="3286" w:type="dxa"/>
            <w:tcBorders>
              <w:top w:val="single" w:sz="8" w:space="0" w:color="000000"/>
              <w:bottom w:val="single" w:sz="8" w:space="0" w:color="000000"/>
            </w:tcBorders>
          </w:tcPr>
          <w:p w14:paraId="176D265F" w14:textId="77777777" w:rsidR="00AE2255" w:rsidRDefault="00000000">
            <w:pPr>
              <w:pStyle w:val="TableParagraph"/>
              <w:spacing w:before="17" w:line="228" w:lineRule="exact"/>
              <w:ind w:left="315"/>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2039" w:type="dxa"/>
            <w:tcBorders>
              <w:top w:val="single" w:sz="8" w:space="0" w:color="000000"/>
              <w:bottom w:val="single" w:sz="8" w:space="0" w:color="000000"/>
            </w:tcBorders>
          </w:tcPr>
          <w:p w14:paraId="5165BCB7"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26,748</w:t>
            </w:r>
          </w:p>
        </w:tc>
        <w:tc>
          <w:tcPr>
            <w:tcW w:w="1230" w:type="dxa"/>
            <w:tcBorders>
              <w:top w:val="single" w:sz="8" w:space="0" w:color="000000"/>
              <w:bottom w:val="single" w:sz="8" w:space="0" w:color="000000"/>
            </w:tcBorders>
          </w:tcPr>
          <w:p w14:paraId="470586C8"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11,693</w:t>
            </w:r>
          </w:p>
        </w:tc>
        <w:tc>
          <w:tcPr>
            <w:tcW w:w="1230" w:type="dxa"/>
            <w:tcBorders>
              <w:top w:val="single" w:sz="8" w:space="0" w:color="000000"/>
              <w:bottom w:val="single" w:sz="8" w:space="0" w:color="000000"/>
            </w:tcBorders>
          </w:tcPr>
          <w:p w14:paraId="3A107961"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16,789</w:t>
            </w:r>
          </w:p>
        </w:tc>
        <w:tc>
          <w:tcPr>
            <w:tcW w:w="1263" w:type="dxa"/>
            <w:tcBorders>
              <w:top w:val="single" w:sz="8" w:space="0" w:color="000000"/>
              <w:bottom w:val="single" w:sz="8" w:space="0" w:color="000000"/>
            </w:tcBorders>
          </w:tcPr>
          <w:p w14:paraId="250D4619" w14:textId="77777777" w:rsidR="00AE2255" w:rsidRDefault="00000000">
            <w:pPr>
              <w:pStyle w:val="TableParagraph"/>
              <w:tabs>
                <w:tab w:val="left" w:pos="575"/>
              </w:tabs>
              <w:spacing w:before="15" w:line="230" w:lineRule="exact"/>
              <w:ind w:left="105"/>
              <w:jc w:val="left"/>
              <w:rPr>
                <w:sz w:val="20"/>
              </w:rPr>
            </w:pPr>
            <w:r>
              <w:rPr>
                <w:spacing w:val="-10"/>
                <w:sz w:val="20"/>
              </w:rPr>
              <w:t>$</w:t>
            </w:r>
            <w:r>
              <w:rPr>
                <w:sz w:val="20"/>
              </w:rPr>
              <w:tab/>
            </w:r>
            <w:r>
              <w:rPr>
                <w:spacing w:val="-2"/>
                <w:sz w:val="20"/>
              </w:rPr>
              <w:t>11,814</w:t>
            </w:r>
          </w:p>
        </w:tc>
        <w:tc>
          <w:tcPr>
            <w:tcW w:w="1173" w:type="dxa"/>
            <w:tcBorders>
              <w:top w:val="single" w:sz="8" w:space="0" w:color="000000"/>
              <w:bottom w:val="single" w:sz="8" w:space="0" w:color="000000"/>
            </w:tcBorders>
          </w:tcPr>
          <w:p w14:paraId="0946E7FB" w14:textId="77777777" w:rsidR="00AE2255" w:rsidRDefault="00000000">
            <w:pPr>
              <w:pStyle w:val="TableParagraph"/>
              <w:tabs>
                <w:tab w:val="left" w:pos="470"/>
              </w:tabs>
              <w:spacing w:before="15" w:line="230" w:lineRule="exact"/>
              <w:ind w:right="78"/>
              <w:rPr>
                <w:sz w:val="20"/>
              </w:rPr>
            </w:pPr>
            <w:r>
              <w:rPr>
                <w:spacing w:val="-10"/>
                <w:sz w:val="20"/>
              </w:rPr>
              <w:t>$</w:t>
            </w:r>
            <w:r>
              <w:rPr>
                <w:sz w:val="20"/>
              </w:rPr>
              <w:tab/>
            </w:r>
            <w:r>
              <w:rPr>
                <w:spacing w:val="-2"/>
                <w:sz w:val="20"/>
              </w:rPr>
              <w:t>67,044</w:t>
            </w:r>
          </w:p>
        </w:tc>
      </w:tr>
      <w:tr w:rsidR="00AE2255" w14:paraId="745F5A77" w14:textId="77777777">
        <w:trPr>
          <w:trHeight w:val="275"/>
        </w:trPr>
        <w:tc>
          <w:tcPr>
            <w:tcW w:w="10221" w:type="dxa"/>
            <w:gridSpan w:val="6"/>
            <w:tcBorders>
              <w:top w:val="single" w:sz="8" w:space="0" w:color="000000"/>
            </w:tcBorders>
            <w:shd w:val="clear" w:color="auto" w:fill="CCEDFF"/>
          </w:tcPr>
          <w:p w14:paraId="6D306353" w14:textId="77777777" w:rsidR="00AE2255" w:rsidRDefault="00000000">
            <w:pPr>
              <w:pStyle w:val="TableParagraph"/>
              <w:spacing w:before="13"/>
              <w:ind w:left="90"/>
              <w:jc w:val="left"/>
              <w:rPr>
                <w:b/>
                <w:sz w:val="20"/>
              </w:rPr>
            </w:pPr>
            <w:r>
              <w:rPr>
                <w:b/>
                <w:sz w:val="20"/>
              </w:rPr>
              <w:t>Net</w:t>
            </w:r>
            <w:r>
              <w:rPr>
                <w:b/>
                <w:spacing w:val="-3"/>
                <w:sz w:val="20"/>
              </w:rPr>
              <w:t xml:space="preserve"> </w:t>
            </w:r>
            <w:r>
              <w:rPr>
                <w:b/>
                <w:sz w:val="20"/>
              </w:rPr>
              <w:t>sales</w:t>
            </w:r>
            <w:r>
              <w:rPr>
                <w:b/>
                <w:spacing w:val="-2"/>
                <w:sz w:val="20"/>
              </w:rPr>
              <w:t xml:space="preserve"> </w:t>
            </w:r>
            <w:r>
              <w:rPr>
                <w:b/>
                <w:sz w:val="20"/>
              </w:rPr>
              <w:t>by</w:t>
            </w:r>
            <w:r>
              <w:rPr>
                <w:b/>
                <w:spacing w:val="-2"/>
                <w:sz w:val="20"/>
              </w:rPr>
              <w:t xml:space="preserve"> customer</w:t>
            </w:r>
          </w:p>
        </w:tc>
      </w:tr>
      <w:tr w:rsidR="00AE2255" w14:paraId="42444F38" w14:textId="77777777">
        <w:trPr>
          <w:trHeight w:val="285"/>
        </w:trPr>
        <w:tc>
          <w:tcPr>
            <w:tcW w:w="3286" w:type="dxa"/>
          </w:tcPr>
          <w:p w14:paraId="091E8470" w14:textId="77777777" w:rsidR="00AE2255" w:rsidRDefault="00000000">
            <w:pPr>
              <w:pStyle w:val="TableParagraph"/>
              <w:spacing w:before="27"/>
              <w:ind w:left="225"/>
              <w:jc w:val="left"/>
              <w:rPr>
                <w:sz w:val="20"/>
              </w:rPr>
            </w:pPr>
            <w:r>
              <w:rPr>
                <w:sz w:val="20"/>
              </w:rPr>
              <w:t>U.S.</w:t>
            </w:r>
            <w:r>
              <w:rPr>
                <w:spacing w:val="-2"/>
                <w:sz w:val="20"/>
              </w:rPr>
              <w:t xml:space="preserve"> Government</w:t>
            </w:r>
          </w:p>
        </w:tc>
        <w:tc>
          <w:tcPr>
            <w:tcW w:w="2039" w:type="dxa"/>
          </w:tcPr>
          <w:p w14:paraId="72CB843E"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17,262</w:t>
            </w:r>
          </w:p>
        </w:tc>
        <w:tc>
          <w:tcPr>
            <w:tcW w:w="1230" w:type="dxa"/>
          </w:tcPr>
          <w:p w14:paraId="049D2A46" w14:textId="77777777" w:rsidR="00AE2255" w:rsidRDefault="00000000">
            <w:pPr>
              <w:pStyle w:val="TableParagraph"/>
              <w:tabs>
                <w:tab w:val="left" w:pos="570"/>
              </w:tabs>
              <w:ind w:right="102"/>
              <w:rPr>
                <w:sz w:val="20"/>
              </w:rPr>
            </w:pPr>
            <w:r>
              <w:rPr>
                <w:spacing w:val="-10"/>
                <w:sz w:val="20"/>
              </w:rPr>
              <w:t>$</w:t>
            </w:r>
            <w:r>
              <w:rPr>
                <w:sz w:val="20"/>
              </w:rPr>
              <w:tab/>
            </w:r>
            <w:r>
              <w:rPr>
                <w:spacing w:val="-2"/>
                <w:sz w:val="20"/>
              </w:rPr>
              <w:t>8,341</w:t>
            </w:r>
          </w:p>
        </w:tc>
        <w:tc>
          <w:tcPr>
            <w:tcW w:w="1230" w:type="dxa"/>
          </w:tcPr>
          <w:p w14:paraId="1C6B7AB3"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11,736</w:t>
            </w:r>
          </w:p>
        </w:tc>
        <w:tc>
          <w:tcPr>
            <w:tcW w:w="1263" w:type="dxa"/>
          </w:tcPr>
          <w:p w14:paraId="624EF280" w14:textId="77777777" w:rsidR="00AE2255" w:rsidRDefault="00000000">
            <w:pPr>
              <w:pStyle w:val="TableParagraph"/>
              <w:tabs>
                <w:tab w:val="left" w:pos="575"/>
              </w:tabs>
              <w:ind w:left="105"/>
              <w:jc w:val="left"/>
              <w:rPr>
                <w:sz w:val="20"/>
              </w:rPr>
            </w:pPr>
            <w:r>
              <w:rPr>
                <w:spacing w:val="-10"/>
                <w:sz w:val="20"/>
              </w:rPr>
              <w:t>$</w:t>
            </w:r>
            <w:r>
              <w:rPr>
                <w:sz w:val="20"/>
              </w:rPr>
              <w:tab/>
            </w:r>
            <w:r>
              <w:rPr>
                <w:spacing w:val="-2"/>
                <w:sz w:val="20"/>
              </w:rPr>
              <w:t>10,811</w:t>
            </w:r>
          </w:p>
        </w:tc>
        <w:tc>
          <w:tcPr>
            <w:tcW w:w="1173" w:type="dxa"/>
          </w:tcPr>
          <w:p w14:paraId="09BA11AA" w14:textId="77777777" w:rsidR="00AE2255" w:rsidRDefault="00000000">
            <w:pPr>
              <w:pStyle w:val="TableParagraph"/>
              <w:tabs>
                <w:tab w:val="left" w:pos="470"/>
              </w:tabs>
              <w:ind w:right="78"/>
              <w:rPr>
                <w:sz w:val="20"/>
              </w:rPr>
            </w:pPr>
            <w:r>
              <w:rPr>
                <w:spacing w:val="-10"/>
                <w:sz w:val="20"/>
              </w:rPr>
              <w:t>$</w:t>
            </w:r>
            <w:r>
              <w:rPr>
                <w:sz w:val="20"/>
              </w:rPr>
              <w:tab/>
            </w:r>
            <w:r>
              <w:rPr>
                <w:spacing w:val="-2"/>
                <w:sz w:val="20"/>
              </w:rPr>
              <w:t>48,150</w:t>
            </w:r>
          </w:p>
        </w:tc>
      </w:tr>
      <w:tr w:rsidR="00AE2255" w14:paraId="697915E7" w14:textId="77777777">
        <w:trPr>
          <w:trHeight w:val="285"/>
        </w:trPr>
        <w:tc>
          <w:tcPr>
            <w:tcW w:w="3286" w:type="dxa"/>
            <w:shd w:val="clear" w:color="auto" w:fill="CCEDFF"/>
          </w:tcPr>
          <w:p w14:paraId="519FF47B" w14:textId="77777777" w:rsidR="00AE2255" w:rsidRDefault="00000000">
            <w:pPr>
              <w:pStyle w:val="TableParagraph"/>
              <w:spacing w:before="27"/>
              <w:ind w:left="225"/>
              <w:jc w:val="left"/>
              <w:rPr>
                <w:sz w:val="20"/>
              </w:rPr>
            </w:pPr>
            <w:r>
              <w:rPr>
                <w:sz w:val="20"/>
              </w:rPr>
              <w:t>International</w:t>
            </w:r>
            <w:r>
              <w:rPr>
                <w:spacing w:val="-7"/>
                <w:sz w:val="20"/>
              </w:rPr>
              <w:t xml:space="preserve"> </w:t>
            </w:r>
            <w:r>
              <w:rPr>
                <w:spacing w:val="-5"/>
                <w:sz w:val="20"/>
                <w:vertAlign w:val="superscript"/>
              </w:rPr>
              <w:t>(a)</w:t>
            </w:r>
          </w:p>
        </w:tc>
        <w:tc>
          <w:tcPr>
            <w:tcW w:w="2039" w:type="dxa"/>
            <w:shd w:val="clear" w:color="auto" w:fill="CCEDFF"/>
          </w:tcPr>
          <w:p w14:paraId="0072E40F" w14:textId="77777777" w:rsidR="00AE2255" w:rsidRDefault="00000000">
            <w:pPr>
              <w:pStyle w:val="TableParagraph"/>
              <w:ind w:right="102"/>
              <w:rPr>
                <w:sz w:val="20"/>
              </w:rPr>
            </w:pPr>
            <w:r>
              <w:rPr>
                <w:spacing w:val="-2"/>
                <w:sz w:val="20"/>
              </w:rPr>
              <w:t>9,403</w:t>
            </w:r>
          </w:p>
        </w:tc>
        <w:tc>
          <w:tcPr>
            <w:tcW w:w="1230" w:type="dxa"/>
            <w:shd w:val="clear" w:color="auto" w:fill="CCEDFF"/>
          </w:tcPr>
          <w:p w14:paraId="52A3D0F7" w14:textId="77777777" w:rsidR="00AE2255" w:rsidRDefault="00000000">
            <w:pPr>
              <w:pStyle w:val="TableParagraph"/>
              <w:ind w:right="102"/>
              <w:rPr>
                <w:sz w:val="20"/>
              </w:rPr>
            </w:pPr>
            <w:r>
              <w:rPr>
                <w:spacing w:val="-2"/>
                <w:sz w:val="20"/>
              </w:rPr>
              <w:t>3,346</w:t>
            </w:r>
          </w:p>
        </w:tc>
        <w:tc>
          <w:tcPr>
            <w:tcW w:w="1230" w:type="dxa"/>
            <w:shd w:val="clear" w:color="auto" w:fill="CCEDFF"/>
          </w:tcPr>
          <w:p w14:paraId="71947270" w14:textId="77777777" w:rsidR="00AE2255" w:rsidRDefault="00000000">
            <w:pPr>
              <w:pStyle w:val="TableParagraph"/>
              <w:ind w:right="102"/>
              <w:rPr>
                <w:sz w:val="20"/>
              </w:rPr>
            </w:pPr>
            <w:r>
              <w:rPr>
                <w:spacing w:val="-2"/>
                <w:sz w:val="20"/>
              </w:rPr>
              <w:t>4,719</w:t>
            </w:r>
          </w:p>
        </w:tc>
        <w:tc>
          <w:tcPr>
            <w:tcW w:w="1263" w:type="dxa"/>
            <w:shd w:val="clear" w:color="auto" w:fill="CCEDFF"/>
          </w:tcPr>
          <w:p w14:paraId="66F72EC4" w14:textId="77777777" w:rsidR="00AE2255" w:rsidRDefault="00000000">
            <w:pPr>
              <w:pStyle w:val="TableParagraph"/>
              <w:ind w:right="135"/>
              <w:rPr>
                <w:sz w:val="20"/>
              </w:rPr>
            </w:pPr>
            <w:r>
              <w:rPr>
                <w:spacing w:val="-5"/>
                <w:sz w:val="20"/>
              </w:rPr>
              <w:t>971</w:t>
            </w:r>
          </w:p>
        </w:tc>
        <w:tc>
          <w:tcPr>
            <w:tcW w:w="1173" w:type="dxa"/>
            <w:shd w:val="clear" w:color="auto" w:fill="CCEDFF"/>
          </w:tcPr>
          <w:p w14:paraId="33CA0D9D" w14:textId="77777777" w:rsidR="00AE2255" w:rsidRDefault="00000000">
            <w:pPr>
              <w:pStyle w:val="TableParagraph"/>
              <w:ind w:right="78"/>
              <w:rPr>
                <w:sz w:val="20"/>
              </w:rPr>
            </w:pPr>
            <w:r>
              <w:rPr>
                <w:spacing w:val="-2"/>
                <w:sz w:val="20"/>
              </w:rPr>
              <w:t>18,439</w:t>
            </w:r>
          </w:p>
        </w:tc>
      </w:tr>
      <w:tr w:rsidR="00AE2255" w14:paraId="259C9FDC" w14:textId="77777777">
        <w:trPr>
          <w:trHeight w:val="275"/>
        </w:trPr>
        <w:tc>
          <w:tcPr>
            <w:tcW w:w="3286" w:type="dxa"/>
            <w:tcBorders>
              <w:bottom w:val="single" w:sz="8" w:space="0" w:color="000000"/>
            </w:tcBorders>
          </w:tcPr>
          <w:p w14:paraId="654A1EE6" w14:textId="77777777" w:rsidR="00AE2255" w:rsidRDefault="00000000">
            <w:pPr>
              <w:pStyle w:val="TableParagraph"/>
              <w:spacing w:before="27" w:line="228" w:lineRule="exact"/>
              <w:ind w:left="225"/>
              <w:jc w:val="left"/>
              <w:rPr>
                <w:sz w:val="20"/>
              </w:rPr>
            </w:pPr>
            <w:r>
              <w:rPr>
                <w:sz w:val="20"/>
              </w:rPr>
              <w:t>U.S.</w:t>
            </w:r>
            <w:r>
              <w:rPr>
                <w:spacing w:val="-4"/>
                <w:sz w:val="20"/>
              </w:rPr>
              <w:t xml:space="preserve"> </w:t>
            </w:r>
            <w:r>
              <w:rPr>
                <w:sz w:val="20"/>
              </w:rPr>
              <w:t>commercial</w:t>
            </w:r>
            <w:r>
              <w:rPr>
                <w:spacing w:val="-4"/>
                <w:sz w:val="20"/>
              </w:rPr>
              <w:t xml:space="preserve"> </w:t>
            </w:r>
            <w:r>
              <w:rPr>
                <w:sz w:val="20"/>
              </w:rPr>
              <w:t>and</w:t>
            </w:r>
            <w:r>
              <w:rPr>
                <w:spacing w:val="-3"/>
                <w:sz w:val="20"/>
              </w:rPr>
              <w:t xml:space="preserve"> </w:t>
            </w:r>
            <w:r>
              <w:rPr>
                <w:spacing w:val="-4"/>
                <w:sz w:val="20"/>
              </w:rPr>
              <w:t>other</w:t>
            </w:r>
          </w:p>
        </w:tc>
        <w:tc>
          <w:tcPr>
            <w:tcW w:w="2039" w:type="dxa"/>
            <w:tcBorders>
              <w:bottom w:val="single" w:sz="8" w:space="0" w:color="000000"/>
            </w:tcBorders>
          </w:tcPr>
          <w:p w14:paraId="6790518B" w14:textId="77777777" w:rsidR="00AE2255" w:rsidRDefault="00000000">
            <w:pPr>
              <w:pStyle w:val="TableParagraph"/>
              <w:spacing w:line="230" w:lineRule="exact"/>
              <w:ind w:right="102"/>
              <w:rPr>
                <w:sz w:val="20"/>
              </w:rPr>
            </w:pPr>
            <w:r>
              <w:rPr>
                <w:spacing w:val="-5"/>
                <w:sz w:val="20"/>
              </w:rPr>
              <w:t>83</w:t>
            </w:r>
          </w:p>
        </w:tc>
        <w:tc>
          <w:tcPr>
            <w:tcW w:w="1230" w:type="dxa"/>
            <w:tcBorders>
              <w:bottom w:val="single" w:sz="8" w:space="0" w:color="000000"/>
            </w:tcBorders>
          </w:tcPr>
          <w:p w14:paraId="2695223B" w14:textId="77777777" w:rsidR="00AE2255" w:rsidRDefault="00000000">
            <w:pPr>
              <w:pStyle w:val="TableParagraph"/>
              <w:spacing w:line="230" w:lineRule="exact"/>
              <w:ind w:right="102"/>
              <w:rPr>
                <w:sz w:val="20"/>
              </w:rPr>
            </w:pPr>
            <w:r>
              <w:rPr>
                <w:sz w:val="20"/>
              </w:rPr>
              <w:t>6</w:t>
            </w:r>
          </w:p>
        </w:tc>
        <w:tc>
          <w:tcPr>
            <w:tcW w:w="1230" w:type="dxa"/>
            <w:tcBorders>
              <w:bottom w:val="single" w:sz="8" w:space="0" w:color="000000"/>
            </w:tcBorders>
          </w:tcPr>
          <w:p w14:paraId="424EF804" w14:textId="77777777" w:rsidR="00AE2255" w:rsidRDefault="00000000">
            <w:pPr>
              <w:pStyle w:val="TableParagraph"/>
              <w:spacing w:line="230" w:lineRule="exact"/>
              <w:ind w:right="102"/>
              <w:rPr>
                <w:sz w:val="20"/>
              </w:rPr>
            </w:pPr>
            <w:r>
              <w:rPr>
                <w:spacing w:val="-5"/>
                <w:sz w:val="20"/>
              </w:rPr>
              <w:t>334</w:t>
            </w:r>
          </w:p>
        </w:tc>
        <w:tc>
          <w:tcPr>
            <w:tcW w:w="1263" w:type="dxa"/>
            <w:tcBorders>
              <w:bottom w:val="single" w:sz="8" w:space="0" w:color="000000"/>
            </w:tcBorders>
          </w:tcPr>
          <w:p w14:paraId="6A8D8F56" w14:textId="77777777" w:rsidR="00AE2255" w:rsidRDefault="00000000">
            <w:pPr>
              <w:pStyle w:val="TableParagraph"/>
              <w:spacing w:line="230" w:lineRule="exact"/>
              <w:ind w:right="135"/>
              <w:rPr>
                <w:sz w:val="20"/>
              </w:rPr>
            </w:pPr>
            <w:r>
              <w:rPr>
                <w:spacing w:val="-5"/>
                <w:sz w:val="20"/>
              </w:rPr>
              <w:t>32</w:t>
            </w:r>
          </w:p>
        </w:tc>
        <w:tc>
          <w:tcPr>
            <w:tcW w:w="1173" w:type="dxa"/>
            <w:tcBorders>
              <w:bottom w:val="single" w:sz="8" w:space="0" w:color="000000"/>
            </w:tcBorders>
          </w:tcPr>
          <w:p w14:paraId="53C0C6EF" w14:textId="77777777" w:rsidR="00AE2255" w:rsidRDefault="00000000">
            <w:pPr>
              <w:pStyle w:val="TableParagraph"/>
              <w:spacing w:line="230" w:lineRule="exact"/>
              <w:ind w:right="78"/>
              <w:rPr>
                <w:sz w:val="20"/>
              </w:rPr>
            </w:pPr>
            <w:r>
              <w:rPr>
                <w:spacing w:val="-5"/>
                <w:sz w:val="20"/>
              </w:rPr>
              <w:t>455</w:t>
            </w:r>
          </w:p>
        </w:tc>
      </w:tr>
      <w:tr w:rsidR="00AE2255" w14:paraId="660C6BDC" w14:textId="77777777">
        <w:trPr>
          <w:trHeight w:val="265"/>
        </w:trPr>
        <w:tc>
          <w:tcPr>
            <w:tcW w:w="3286" w:type="dxa"/>
            <w:tcBorders>
              <w:top w:val="single" w:sz="8" w:space="0" w:color="000000"/>
              <w:bottom w:val="single" w:sz="8" w:space="0" w:color="000000"/>
            </w:tcBorders>
            <w:shd w:val="clear" w:color="auto" w:fill="CCEDFF"/>
          </w:tcPr>
          <w:p w14:paraId="04AD7705" w14:textId="77777777" w:rsidR="00AE2255" w:rsidRDefault="00000000">
            <w:pPr>
              <w:pStyle w:val="TableParagraph"/>
              <w:spacing w:before="17" w:line="228" w:lineRule="exact"/>
              <w:ind w:left="315"/>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2039" w:type="dxa"/>
            <w:tcBorders>
              <w:top w:val="single" w:sz="8" w:space="0" w:color="000000"/>
              <w:bottom w:val="single" w:sz="8" w:space="0" w:color="000000"/>
            </w:tcBorders>
            <w:shd w:val="clear" w:color="auto" w:fill="CCEDFF"/>
          </w:tcPr>
          <w:p w14:paraId="0DBBA1DC"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26,748</w:t>
            </w:r>
          </w:p>
        </w:tc>
        <w:tc>
          <w:tcPr>
            <w:tcW w:w="1230" w:type="dxa"/>
            <w:tcBorders>
              <w:top w:val="single" w:sz="8" w:space="0" w:color="000000"/>
              <w:bottom w:val="single" w:sz="8" w:space="0" w:color="000000"/>
            </w:tcBorders>
            <w:shd w:val="clear" w:color="auto" w:fill="CCEDFF"/>
          </w:tcPr>
          <w:p w14:paraId="723D1A62"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11,693</w:t>
            </w:r>
          </w:p>
        </w:tc>
        <w:tc>
          <w:tcPr>
            <w:tcW w:w="1230" w:type="dxa"/>
            <w:tcBorders>
              <w:top w:val="single" w:sz="8" w:space="0" w:color="000000"/>
              <w:bottom w:val="single" w:sz="8" w:space="0" w:color="000000"/>
            </w:tcBorders>
            <w:shd w:val="clear" w:color="auto" w:fill="CCEDFF"/>
          </w:tcPr>
          <w:p w14:paraId="2D2A1AE9" w14:textId="77777777" w:rsidR="00AE2255" w:rsidRDefault="00000000">
            <w:pPr>
              <w:pStyle w:val="TableParagraph"/>
              <w:tabs>
                <w:tab w:val="left" w:pos="470"/>
              </w:tabs>
              <w:spacing w:before="15" w:line="230" w:lineRule="exact"/>
              <w:ind w:right="102"/>
              <w:rPr>
                <w:sz w:val="20"/>
              </w:rPr>
            </w:pPr>
            <w:r>
              <w:rPr>
                <w:spacing w:val="-10"/>
                <w:sz w:val="20"/>
              </w:rPr>
              <w:t>$</w:t>
            </w:r>
            <w:r>
              <w:rPr>
                <w:sz w:val="20"/>
              </w:rPr>
              <w:tab/>
            </w:r>
            <w:r>
              <w:rPr>
                <w:spacing w:val="-2"/>
                <w:sz w:val="20"/>
              </w:rPr>
              <w:t>16,789</w:t>
            </w:r>
          </w:p>
        </w:tc>
        <w:tc>
          <w:tcPr>
            <w:tcW w:w="1263" w:type="dxa"/>
            <w:tcBorders>
              <w:top w:val="single" w:sz="8" w:space="0" w:color="000000"/>
              <w:bottom w:val="single" w:sz="8" w:space="0" w:color="000000"/>
            </w:tcBorders>
            <w:shd w:val="clear" w:color="auto" w:fill="CCEDFF"/>
          </w:tcPr>
          <w:p w14:paraId="4357397B" w14:textId="77777777" w:rsidR="00AE2255" w:rsidRDefault="00000000">
            <w:pPr>
              <w:pStyle w:val="TableParagraph"/>
              <w:tabs>
                <w:tab w:val="left" w:pos="575"/>
              </w:tabs>
              <w:spacing w:before="15" w:line="230" w:lineRule="exact"/>
              <w:ind w:left="105"/>
              <w:jc w:val="left"/>
              <w:rPr>
                <w:sz w:val="20"/>
              </w:rPr>
            </w:pPr>
            <w:r>
              <w:rPr>
                <w:spacing w:val="-10"/>
                <w:sz w:val="20"/>
              </w:rPr>
              <w:t>$</w:t>
            </w:r>
            <w:r>
              <w:rPr>
                <w:sz w:val="20"/>
              </w:rPr>
              <w:tab/>
            </w:r>
            <w:r>
              <w:rPr>
                <w:spacing w:val="-2"/>
                <w:sz w:val="20"/>
              </w:rPr>
              <w:t>11,814</w:t>
            </w:r>
          </w:p>
        </w:tc>
        <w:tc>
          <w:tcPr>
            <w:tcW w:w="1173" w:type="dxa"/>
            <w:tcBorders>
              <w:top w:val="single" w:sz="8" w:space="0" w:color="000000"/>
              <w:bottom w:val="single" w:sz="8" w:space="0" w:color="000000"/>
            </w:tcBorders>
            <w:shd w:val="clear" w:color="auto" w:fill="CCEDFF"/>
          </w:tcPr>
          <w:p w14:paraId="0444FF8D" w14:textId="77777777" w:rsidR="00AE2255" w:rsidRDefault="00000000">
            <w:pPr>
              <w:pStyle w:val="TableParagraph"/>
              <w:tabs>
                <w:tab w:val="left" w:pos="470"/>
              </w:tabs>
              <w:spacing w:before="15" w:line="230" w:lineRule="exact"/>
              <w:ind w:right="78"/>
              <w:rPr>
                <w:sz w:val="20"/>
              </w:rPr>
            </w:pPr>
            <w:r>
              <w:rPr>
                <w:spacing w:val="-10"/>
                <w:sz w:val="20"/>
              </w:rPr>
              <w:t>$</w:t>
            </w:r>
            <w:r>
              <w:rPr>
                <w:sz w:val="20"/>
              </w:rPr>
              <w:tab/>
            </w:r>
            <w:r>
              <w:rPr>
                <w:spacing w:val="-2"/>
                <w:sz w:val="20"/>
              </w:rPr>
              <w:t>67,044</w:t>
            </w:r>
          </w:p>
        </w:tc>
      </w:tr>
      <w:tr w:rsidR="00AE2255" w14:paraId="42B9823D" w14:textId="77777777">
        <w:trPr>
          <w:trHeight w:val="275"/>
        </w:trPr>
        <w:tc>
          <w:tcPr>
            <w:tcW w:w="3286" w:type="dxa"/>
            <w:tcBorders>
              <w:top w:val="single" w:sz="8" w:space="0" w:color="000000"/>
            </w:tcBorders>
          </w:tcPr>
          <w:p w14:paraId="0592B423" w14:textId="77777777" w:rsidR="00AE2255" w:rsidRDefault="00000000">
            <w:pPr>
              <w:pStyle w:val="TableParagraph"/>
              <w:spacing w:before="13"/>
              <w:ind w:left="90"/>
              <w:jc w:val="left"/>
              <w:rPr>
                <w:b/>
                <w:sz w:val="20"/>
              </w:rPr>
            </w:pPr>
            <w:r>
              <w:rPr>
                <w:b/>
                <w:sz w:val="20"/>
              </w:rPr>
              <w:t>Net</w:t>
            </w:r>
            <w:r>
              <w:rPr>
                <w:b/>
                <w:spacing w:val="-3"/>
                <w:sz w:val="20"/>
              </w:rPr>
              <w:t xml:space="preserve"> </w:t>
            </w:r>
            <w:r>
              <w:rPr>
                <w:b/>
                <w:sz w:val="20"/>
              </w:rPr>
              <w:t>sales</w:t>
            </w:r>
            <w:r>
              <w:rPr>
                <w:b/>
                <w:spacing w:val="-4"/>
                <w:sz w:val="20"/>
              </w:rPr>
              <w:t xml:space="preserve"> </w:t>
            </w:r>
            <w:r>
              <w:rPr>
                <w:b/>
                <w:sz w:val="20"/>
              </w:rPr>
              <w:t>by</w:t>
            </w:r>
            <w:r>
              <w:rPr>
                <w:b/>
                <w:spacing w:val="-3"/>
                <w:sz w:val="20"/>
              </w:rPr>
              <w:t xml:space="preserve"> </w:t>
            </w:r>
            <w:r>
              <w:rPr>
                <w:b/>
                <w:sz w:val="20"/>
              </w:rPr>
              <w:t>geographic</w:t>
            </w:r>
            <w:r>
              <w:rPr>
                <w:b/>
                <w:spacing w:val="-3"/>
                <w:sz w:val="20"/>
              </w:rPr>
              <w:t xml:space="preserve"> </w:t>
            </w:r>
            <w:r>
              <w:rPr>
                <w:b/>
                <w:spacing w:val="-2"/>
                <w:sz w:val="20"/>
              </w:rPr>
              <w:t>region</w:t>
            </w:r>
          </w:p>
        </w:tc>
        <w:tc>
          <w:tcPr>
            <w:tcW w:w="2039" w:type="dxa"/>
            <w:tcBorders>
              <w:top w:val="single" w:sz="8" w:space="0" w:color="000000"/>
            </w:tcBorders>
          </w:tcPr>
          <w:p w14:paraId="681554B1" w14:textId="77777777" w:rsidR="00AE2255" w:rsidRDefault="00AE2255">
            <w:pPr>
              <w:pStyle w:val="TableParagraph"/>
              <w:spacing w:before="0"/>
              <w:jc w:val="left"/>
              <w:rPr>
                <w:sz w:val="18"/>
              </w:rPr>
            </w:pPr>
          </w:p>
        </w:tc>
        <w:tc>
          <w:tcPr>
            <w:tcW w:w="1230" w:type="dxa"/>
            <w:tcBorders>
              <w:top w:val="single" w:sz="8" w:space="0" w:color="000000"/>
            </w:tcBorders>
          </w:tcPr>
          <w:p w14:paraId="155EEA10" w14:textId="77777777" w:rsidR="00AE2255" w:rsidRDefault="00AE2255">
            <w:pPr>
              <w:pStyle w:val="TableParagraph"/>
              <w:spacing w:before="0"/>
              <w:jc w:val="left"/>
              <w:rPr>
                <w:sz w:val="18"/>
              </w:rPr>
            </w:pPr>
          </w:p>
        </w:tc>
        <w:tc>
          <w:tcPr>
            <w:tcW w:w="1230" w:type="dxa"/>
            <w:tcBorders>
              <w:top w:val="single" w:sz="8" w:space="0" w:color="000000"/>
            </w:tcBorders>
          </w:tcPr>
          <w:p w14:paraId="75462088" w14:textId="77777777" w:rsidR="00AE2255" w:rsidRDefault="00AE2255">
            <w:pPr>
              <w:pStyle w:val="TableParagraph"/>
              <w:spacing w:before="0"/>
              <w:jc w:val="left"/>
              <w:rPr>
                <w:sz w:val="18"/>
              </w:rPr>
            </w:pPr>
          </w:p>
        </w:tc>
        <w:tc>
          <w:tcPr>
            <w:tcW w:w="1263" w:type="dxa"/>
            <w:tcBorders>
              <w:top w:val="single" w:sz="8" w:space="0" w:color="000000"/>
            </w:tcBorders>
          </w:tcPr>
          <w:p w14:paraId="1E5AEE81" w14:textId="77777777" w:rsidR="00AE2255" w:rsidRDefault="00AE2255">
            <w:pPr>
              <w:pStyle w:val="TableParagraph"/>
              <w:spacing w:before="0"/>
              <w:jc w:val="left"/>
              <w:rPr>
                <w:sz w:val="18"/>
              </w:rPr>
            </w:pPr>
          </w:p>
        </w:tc>
        <w:tc>
          <w:tcPr>
            <w:tcW w:w="1173" w:type="dxa"/>
            <w:tcBorders>
              <w:top w:val="single" w:sz="8" w:space="0" w:color="000000"/>
            </w:tcBorders>
          </w:tcPr>
          <w:p w14:paraId="217C9053" w14:textId="77777777" w:rsidR="00AE2255" w:rsidRDefault="00AE2255">
            <w:pPr>
              <w:pStyle w:val="TableParagraph"/>
              <w:spacing w:before="0"/>
              <w:jc w:val="left"/>
              <w:rPr>
                <w:sz w:val="18"/>
              </w:rPr>
            </w:pPr>
          </w:p>
        </w:tc>
      </w:tr>
      <w:tr w:rsidR="00AE2255" w14:paraId="5446109E" w14:textId="77777777">
        <w:trPr>
          <w:trHeight w:val="285"/>
        </w:trPr>
        <w:tc>
          <w:tcPr>
            <w:tcW w:w="3286" w:type="dxa"/>
            <w:shd w:val="clear" w:color="auto" w:fill="CCEDFF"/>
          </w:tcPr>
          <w:p w14:paraId="61C63FF1" w14:textId="77777777" w:rsidR="00AE2255" w:rsidRDefault="00000000">
            <w:pPr>
              <w:pStyle w:val="TableParagraph"/>
              <w:spacing w:before="27"/>
              <w:ind w:left="225"/>
              <w:jc w:val="left"/>
              <w:rPr>
                <w:sz w:val="20"/>
              </w:rPr>
            </w:pPr>
            <w:r>
              <w:rPr>
                <w:sz w:val="20"/>
              </w:rPr>
              <w:t>United</w:t>
            </w:r>
            <w:r>
              <w:rPr>
                <w:spacing w:val="-4"/>
                <w:sz w:val="20"/>
              </w:rPr>
              <w:t xml:space="preserve"> </w:t>
            </w:r>
            <w:r>
              <w:rPr>
                <w:spacing w:val="-2"/>
                <w:sz w:val="20"/>
              </w:rPr>
              <w:t>States</w:t>
            </w:r>
          </w:p>
        </w:tc>
        <w:tc>
          <w:tcPr>
            <w:tcW w:w="2039" w:type="dxa"/>
            <w:shd w:val="clear" w:color="auto" w:fill="CCEDFF"/>
          </w:tcPr>
          <w:p w14:paraId="0D8FDBF7"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17,345</w:t>
            </w:r>
          </w:p>
        </w:tc>
        <w:tc>
          <w:tcPr>
            <w:tcW w:w="1230" w:type="dxa"/>
            <w:shd w:val="clear" w:color="auto" w:fill="CCEDFF"/>
          </w:tcPr>
          <w:p w14:paraId="62F65D48" w14:textId="77777777" w:rsidR="00AE2255" w:rsidRDefault="00000000">
            <w:pPr>
              <w:pStyle w:val="TableParagraph"/>
              <w:tabs>
                <w:tab w:val="left" w:pos="570"/>
              </w:tabs>
              <w:ind w:right="102"/>
              <w:rPr>
                <w:sz w:val="20"/>
              </w:rPr>
            </w:pPr>
            <w:r>
              <w:rPr>
                <w:spacing w:val="-10"/>
                <w:sz w:val="20"/>
              </w:rPr>
              <w:t>$</w:t>
            </w:r>
            <w:r>
              <w:rPr>
                <w:sz w:val="20"/>
              </w:rPr>
              <w:tab/>
            </w:r>
            <w:r>
              <w:rPr>
                <w:spacing w:val="-2"/>
                <w:sz w:val="20"/>
              </w:rPr>
              <w:t>8,347</w:t>
            </w:r>
          </w:p>
        </w:tc>
        <w:tc>
          <w:tcPr>
            <w:tcW w:w="1230" w:type="dxa"/>
            <w:shd w:val="clear" w:color="auto" w:fill="CCEDFF"/>
          </w:tcPr>
          <w:p w14:paraId="20658918" w14:textId="77777777" w:rsidR="00AE2255" w:rsidRDefault="00000000">
            <w:pPr>
              <w:pStyle w:val="TableParagraph"/>
              <w:tabs>
                <w:tab w:val="left" w:pos="470"/>
              </w:tabs>
              <w:ind w:right="102"/>
              <w:rPr>
                <w:sz w:val="20"/>
              </w:rPr>
            </w:pPr>
            <w:r>
              <w:rPr>
                <w:spacing w:val="-10"/>
                <w:sz w:val="20"/>
              </w:rPr>
              <w:t>$</w:t>
            </w:r>
            <w:r>
              <w:rPr>
                <w:sz w:val="20"/>
              </w:rPr>
              <w:tab/>
            </w:r>
            <w:r>
              <w:rPr>
                <w:spacing w:val="-2"/>
                <w:sz w:val="20"/>
              </w:rPr>
              <w:t>12,070</w:t>
            </w:r>
          </w:p>
        </w:tc>
        <w:tc>
          <w:tcPr>
            <w:tcW w:w="1263" w:type="dxa"/>
            <w:shd w:val="clear" w:color="auto" w:fill="CCEDFF"/>
          </w:tcPr>
          <w:p w14:paraId="724933CF" w14:textId="77777777" w:rsidR="00AE2255" w:rsidRDefault="00000000">
            <w:pPr>
              <w:pStyle w:val="TableParagraph"/>
              <w:tabs>
                <w:tab w:val="left" w:pos="575"/>
              </w:tabs>
              <w:ind w:left="105"/>
              <w:jc w:val="left"/>
              <w:rPr>
                <w:sz w:val="20"/>
              </w:rPr>
            </w:pPr>
            <w:r>
              <w:rPr>
                <w:spacing w:val="-10"/>
                <w:sz w:val="20"/>
              </w:rPr>
              <w:t>$</w:t>
            </w:r>
            <w:r>
              <w:rPr>
                <w:sz w:val="20"/>
              </w:rPr>
              <w:tab/>
            </w:r>
            <w:r>
              <w:rPr>
                <w:spacing w:val="-2"/>
                <w:sz w:val="20"/>
              </w:rPr>
              <w:t>10,843</w:t>
            </w:r>
          </w:p>
        </w:tc>
        <w:tc>
          <w:tcPr>
            <w:tcW w:w="1173" w:type="dxa"/>
            <w:shd w:val="clear" w:color="auto" w:fill="CCEDFF"/>
          </w:tcPr>
          <w:p w14:paraId="7D558115" w14:textId="77777777" w:rsidR="00AE2255" w:rsidRDefault="00000000">
            <w:pPr>
              <w:pStyle w:val="TableParagraph"/>
              <w:tabs>
                <w:tab w:val="left" w:pos="470"/>
              </w:tabs>
              <w:ind w:right="78"/>
              <w:rPr>
                <w:sz w:val="20"/>
              </w:rPr>
            </w:pPr>
            <w:r>
              <w:rPr>
                <w:spacing w:val="-10"/>
                <w:sz w:val="20"/>
              </w:rPr>
              <w:t>$</w:t>
            </w:r>
            <w:r>
              <w:rPr>
                <w:sz w:val="20"/>
              </w:rPr>
              <w:tab/>
            </w:r>
            <w:r>
              <w:rPr>
                <w:spacing w:val="-2"/>
                <w:sz w:val="20"/>
              </w:rPr>
              <w:t>48,605</w:t>
            </w:r>
          </w:p>
        </w:tc>
      </w:tr>
      <w:tr w:rsidR="00AE2255" w14:paraId="54672DE2" w14:textId="77777777">
        <w:trPr>
          <w:trHeight w:val="285"/>
        </w:trPr>
        <w:tc>
          <w:tcPr>
            <w:tcW w:w="3286" w:type="dxa"/>
          </w:tcPr>
          <w:p w14:paraId="1EF85F55" w14:textId="77777777" w:rsidR="00AE2255" w:rsidRDefault="00000000">
            <w:pPr>
              <w:pStyle w:val="TableParagraph"/>
              <w:spacing w:before="27"/>
              <w:ind w:left="225"/>
              <w:jc w:val="left"/>
              <w:rPr>
                <w:sz w:val="20"/>
              </w:rPr>
            </w:pPr>
            <w:r>
              <w:rPr>
                <w:spacing w:val="-2"/>
                <w:sz w:val="20"/>
              </w:rPr>
              <w:t>Europe</w:t>
            </w:r>
          </w:p>
        </w:tc>
        <w:tc>
          <w:tcPr>
            <w:tcW w:w="2039" w:type="dxa"/>
          </w:tcPr>
          <w:p w14:paraId="396E02DE" w14:textId="77777777" w:rsidR="00AE2255" w:rsidRDefault="00000000">
            <w:pPr>
              <w:pStyle w:val="TableParagraph"/>
              <w:ind w:right="102"/>
              <w:rPr>
                <w:sz w:val="20"/>
              </w:rPr>
            </w:pPr>
            <w:r>
              <w:rPr>
                <w:spacing w:val="-2"/>
                <w:sz w:val="20"/>
              </w:rPr>
              <w:t>3,973</w:t>
            </w:r>
          </w:p>
        </w:tc>
        <w:tc>
          <w:tcPr>
            <w:tcW w:w="1230" w:type="dxa"/>
          </w:tcPr>
          <w:p w14:paraId="4C70C0F6" w14:textId="77777777" w:rsidR="00AE2255" w:rsidRDefault="00000000">
            <w:pPr>
              <w:pStyle w:val="TableParagraph"/>
              <w:ind w:right="102"/>
              <w:rPr>
                <w:sz w:val="20"/>
              </w:rPr>
            </w:pPr>
            <w:r>
              <w:rPr>
                <w:spacing w:val="-5"/>
                <w:sz w:val="20"/>
              </w:rPr>
              <w:t>910</w:t>
            </w:r>
          </w:p>
        </w:tc>
        <w:tc>
          <w:tcPr>
            <w:tcW w:w="1230" w:type="dxa"/>
          </w:tcPr>
          <w:p w14:paraId="1CA76DB1" w14:textId="77777777" w:rsidR="00AE2255" w:rsidRDefault="00000000">
            <w:pPr>
              <w:pStyle w:val="TableParagraph"/>
              <w:ind w:right="102"/>
              <w:rPr>
                <w:sz w:val="20"/>
              </w:rPr>
            </w:pPr>
            <w:r>
              <w:rPr>
                <w:spacing w:val="-5"/>
                <w:sz w:val="20"/>
              </w:rPr>
              <w:t>909</w:t>
            </w:r>
          </w:p>
        </w:tc>
        <w:tc>
          <w:tcPr>
            <w:tcW w:w="1263" w:type="dxa"/>
          </w:tcPr>
          <w:p w14:paraId="5E27EE59" w14:textId="77777777" w:rsidR="00AE2255" w:rsidRDefault="00000000">
            <w:pPr>
              <w:pStyle w:val="TableParagraph"/>
              <w:ind w:right="135"/>
              <w:rPr>
                <w:sz w:val="20"/>
              </w:rPr>
            </w:pPr>
            <w:r>
              <w:rPr>
                <w:spacing w:val="-5"/>
                <w:sz w:val="20"/>
              </w:rPr>
              <w:t>968</w:t>
            </w:r>
          </w:p>
        </w:tc>
        <w:tc>
          <w:tcPr>
            <w:tcW w:w="1173" w:type="dxa"/>
          </w:tcPr>
          <w:p w14:paraId="3CEFBE60" w14:textId="77777777" w:rsidR="00AE2255" w:rsidRDefault="00000000">
            <w:pPr>
              <w:pStyle w:val="TableParagraph"/>
              <w:ind w:right="78"/>
              <w:rPr>
                <w:sz w:val="20"/>
              </w:rPr>
            </w:pPr>
            <w:r>
              <w:rPr>
                <w:spacing w:val="-2"/>
                <w:sz w:val="20"/>
              </w:rPr>
              <w:t>6,760</w:t>
            </w:r>
          </w:p>
        </w:tc>
      </w:tr>
      <w:tr w:rsidR="00AE2255" w14:paraId="5211F733" w14:textId="77777777">
        <w:trPr>
          <w:trHeight w:val="285"/>
        </w:trPr>
        <w:tc>
          <w:tcPr>
            <w:tcW w:w="3286" w:type="dxa"/>
            <w:shd w:val="clear" w:color="auto" w:fill="CCEDFF"/>
          </w:tcPr>
          <w:p w14:paraId="15581C1C" w14:textId="77777777" w:rsidR="00AE2255" w:rsidRDefault="00000000">
            <w:pPr>
              <w:pStyle w:val="TableParagraph"/>
              <w:spacing w:before="27"/>
              <w:ind w:left="225"/>
              <w:jc w:val="left"/>
              <w:rPr>
                <w:sz w:val="20"/>
              </w:rPr>
            </w:pPr>
            <w:r>
              <w:rPr>
                <w:sz w:val="20"/>
              </w:rPr>
              <w:t>Asia</w:t>
            </w:r>
            <w:r>
              <w:rPr>
                <w:spacing w:val="-4"/>
                <w:sz w:val="20"/>
              </w:rPr>
              <w:t xml:space="preserve"> </w:t>
            </w:r>
            <w:r>
              <w:rPr>
                <w:spacing w:val="-2"/>
                <w:sz w:val="20"/>
              </w:rPr>
              <w:t>Pacific</w:t>
            </w:r>
          </w:p>
        </w:tc>
        <w:tc>
          <w:tcPr>
            <w:tcW w:w="2039" w:type="dxa"/>
            <w:shd w:val="clear" w:color="auto" w:fill="CCEDFF"/>
          </w:tcPr>
          <w:p w14:paraId="703B0BF3" w14:textId="77777777" w:rsidR="00AE2255" w:rsidRDefault="00000000">
            <w:pPr>
              <w:pStyle w:val="TableParagraph"/>
              <w:ind w:right="102"/>
              <w:rPr>
                <w:sz w:val="20"/>
              </w:rPr>
            </w:pPr>
            <w:r>
              <w:rPr>
                <w:spacing w:val="-2"/>
                <w:sz w:val="20"/>
              </w:rPr>
              <w:t>3,644</w:t>
            </w:r>
          </w:p>
        </w:tc>
        <w:tc>
          <w:tcPr>
            <w:tcW w:w="1230" w:type="dxa"/>
            <w:shd w:val="clear" w:color="auto" w:fill="CCEDFF"/>
          </w:tcPr>
          <w:p w14:paraId="244668CF" w14:textId="77777777" w:rsidR="00AE2255" w:rsidRDefault="00000000">
            <w:pPr>
              <w:pStyle w:val="TableParagraph"/>
              <w:ind w:right="102"/>
              <w:rPr>
                <w:sz w:val="20"/>
              </w:rPr>
            </w:pPr>
            <w:r>
              <w:rPr>
                <w:spacing w:val="-5"/>
                <w:sz w:val="20"/>
              </w:rPr>
              <w:t>292</w:t>
            </w:r>
          </w:p>
        </w:tc>
        <w:tc>
          <w:tcPr>
            <w:tcW w:w="1230" w:type="dxa"/>
            <w:shd w:val="clear" w:color="auto" w:fill="CCEDFF"/>
          </w:tcPr>
          <w:p w14:paraId="3C2F86AB" w14:textId="77777777" w:rsidR="00AE2255" w:rsidRDefault="00000000">
            <w:pPr>
              <w:pStyle w:val="TableParagraph"/>
              <w:ind w:right="102"/>
              <w:rPr>
                <w:sz w:val="20"/>
              </w:rPr>
            </w:pPr>
            <w:r>
              <w:rPr>
                <w:spacing w:val="-2"/>
                <w:sz w:val="20"/>
              </w:rPr>
              <w:t>2,178</w:t>
            </w:r>
          </w:p>
        </w:tc>
        <w:tc>
          <w:tcPr>
            <w:tcW w:w="1263" w:type="dxa"/>
            <w:shd w:val="clear" w:color="auto" w:fill="CCEDFF"/>
          </w:tcPr>
          <w:p w14:paraId="064E342D" w14:textId="77777777" w:rsidR="00AE2255" w:rsidRDefault="00000000">
            <w:pPr>
              <w:pStyle w:val="TableParagraph"/>
              <w:ind w:right="68"/>
              <w:rPr>
                <w:sz w:val="20"/>
              </w:rPr>
            </w:pPr>
            <w:r>
              <w:rPr>
                <w:spacing w:val="-5"/>
                <w:sz w:val="20"/>
              </w:rPr>
              <w:t>(6)</w:t>
            </w:r>
          </w:p>
        </w:tc>
        <w:tc>
          <w:tcPr>
            <w:tcW w:w="1173" w:type="dxa"/>
            <w:shd w:val="clear" w:color="auto" w:fill="CCEDFF"/>
          </w:tcPr>
          <w:p w14:paraId="013464F7" w14:textId="77777777" w:rsidR="00AE2255" w:rsidRDefault="00000000">
            <w:pPr>
              <w:pStyle w:val="TableParagraph"/>
              <w:ind w:right="78"/>
              <w:rPr>
                <w:sz w:val="20"/>
              </w:rPr>
            </w:pPr>
            <w:r>
              <w:rPr>
                <w:spacing w:val="-2"/>
                <w:sz w:val="20"/>
              </w:rPr>
              <w:t>6,108</w:t>
            </w:r>
          </w:p>
        </w:tc>
      </w:tr>
      <w:tr w:rsidR="00AE2255" w14:paraId="40BDB660" w14:textId="77777777">
        <w:trPr>
          <w:trHeight w:val="285"/>
        </w:trPr>
        <w:tc>
          <w:tcPr>
            <w:tcW w:w="3286" w:type="dxa"/>
          </w:tcPr>
          <w:p w14:paraId="16454476" w14:textId="77777777" w:rsidR="00AE2255" w:rsidRDefault="00000000">
            <w:pPr>
              <w:pStyle w:val="TableParagraph"/>
              <w:spacing w:before="27"/>
              <w:ind w:left="225"/>
              <w:jc w:val="left"/>
              <w:rPr>
                <w:sz w:val="20"/>
              </w:rPr>
            </w:pPr>
            <w:r>
              <w:rPr>
                <w:sz w:val="20"/>
              </w:rPr>
              <w:t>Middle</w:t>
            </w:r>
            <w:r>
              <w:rPr>
                <w:spacing w:val="-6"/>
                <w:sz w:val="20"/>
              </w:rPr>
              <w:t xml:space="preserve"> </w:t>
            </w:r>
            <w:r>
              <w:rPr>
                <w:spacing w:val="-4"/>
                <w:sz w:val="20"/>
              </w:rPr>
              <w:t>East</w:t>
            </w:r>
          </w:p>
        </w:tc>
        <w:tc>
          <w:tcPr>
            <w:tcW w:w="2039" w:type="dxa"/>
          </w:tcPr>
          <w:p w14:paraId="7A601524" w14:textId="77777777" w:rsidR="00AE2255" w:rsidRDefault="00000000">
            <w:pPr>
              <w:pStyle w:val="TableParagraph"/>
              <w:ind w:right="102"/>
              <w:rPr>
                <w:sz w:val="20"/>
              </w:rPr>
            </w:pPr>
            <w:r>
              <w:rPr>
                <w:spacing w:val="-2"/>
                <w:sz w:val="20"/>
              </w:rPr>
              <w:t>1,351</w:t>
            </w:r>
          </w:p>
        </w:tc>
        <w:tc>
          <w:tcPr>
            <w:tcW w:w="1230" w:type="dxa"/>
          </w:tcPr>
          <w:p w14:paraId="531801B5" w14:textId="77777777" w:rsidR="00AE2255" w:rsidRDefault="00000000">
            <w:pPr>
              <w:pStyle w:val="TableParagraph"/>
              <w:ind w:right="102"/>
              <w:rPr>
                <w:sz w:val="20"/>
              </w:rPr>
            </w:pPr>
            <w:r>
              <w:rPr>
                <w:spacing w:val="-2"/>
                <w:sz w:val="20"/>
              </w:rPr>
              <w:t>2,066</w:t>
            </w:r>
          </w:p>
        </w:tc>
        <w:tc>
          <w:tcPr>
            <w:tcW w:w="1230" w:type="dxa"/>
          </w:tcPr>
          <w:p w14:paraId="5B0671DE" w14:textId="77777777" w:rsidR="00AE2255" w:rsidRDefault="00000000">
            <w:pPr>
              <w:pStyle w:val="TableParagraph"/>
              <w:ind w:right="102"/>
              <w:rPr>
                <w:sz w:val="20"/>
              </w:rPr>
            </w:pPr>
            <w:r>
              <w:rPr>
                <w:spacing w:val="-5"/>
                <w:sz w:val="20"/>
              </w:rPr>
              <w:t>827</w:t>
            </w:r>
          </w:p>
        </w:tc>
        <w:tc>
          <w:tcPr>
            <w:tcW w:w="1263" w:type="dxa"/>
          </w:tcPr>
          <w:p w14:paraId="214B27D1" w14:textId="77777777" w:rsidR="00AE2255" w:rsidRDefault="00000000">
            <w:pPr>
              <w:pStyle w:val="TableParagraph"/>
              <w:ind w:right="135"/>
              <w:rPr>
                <w:sz w:val="20"/>
              </w:rPr>
            </w:pPr>
            <w:r>
              <w:rPr>
                <w:sz w:val="20"/>
              </w:rPr>
              <w:t>9</w:t>
            </w:r>
          </w:p>
        </w:tc>
        <w:tc>
          <w:tcPr>
            <w:tcW w:w="1173" w:type="dxa"/>
          </w:tcPr>
          <w:p w14:paraId="5B43526B" w14:textId="77777777" w:rsidR="00AE2255" w:rsidRDefault="00000000">
            <w:pPr>
              <w:pStyle w:val="TableParagraph"/>
              <w:ind w:right="78"/>
              <w:rPr>
                <w:sz w:val="20"/>
              </w:rPr>
            </w:pPr>
            <w:r>
              <w:rPr>
                <w:spacing w:val="-2"/>
                <w:sz w:val="20"/>
              </w:rPr>
              <w:t>4,253</w:t>
            </w:r>
          </w:p>
        </w:tc>
      </w:tr>
      <w:tr w:rsidR="00AE2255" w14:paraId="05B1A56B" w14:textId="77777777">
        <w:trPr>
          <w:trHeight w:val="275"/>
        </w:trPr>
        <w:tc>
          <w:tcPr>
            <w:tcW w:w="3286" w:type="dxa"/>
            <w:tcBorders>
              <w:bottom w:val="single" w:sz="8" w:space="0" w:color="000000"/>
            </w:tcBorders>
            <w:shd w:val="clear" w:color="auto" w:fill="CCEDFF"/>
          </w:tcPr>
          <w:p w14:paraId="490A631B" w14:textId="77777777" w:rsidR="00AE2255" w:rsidRDefault="00000000">
            <w:pPr>
              <w:pStyle w:val="TableParagraph"/>
              <w:spacing w:before="27" w:line="228" w:lineRule="exact"/>
              <w:ind w:left="225"/>
              <w:jc w:val="left"/>
              <w:rPr>
                <w:sz w:val="20"/>
              </w:rPr>
            </w:pPr>
            <w:r>
              <w:rPr>
                <w:spacing w:val="-2"/>
                <w:sz w:val="20"/>
              </w:rPr>
              <w:t>Other</w:t>
            </w:r>
          </w:p>
        </w:tc>
        <w:tc>
          <w:tcPr>
            <w:tcW w:w="2039" w:type="dxa"/>
            <w:tcBorders>
              <w:bottom w:val="single" w:sz="8" w:space="0" w:color="000000"/>
            </w:tcBorders>
            <w:shd w:val="clear" w:color="auto" w:fill="CCEDFF"/>
          </w:tcPr>
          <w:p w14:paraId="2E88E1AB" w14:textId="77777777" w:rsidR="00AE2255" w:rsidRDefault="00000000">
            <w:pPr>
              <w:pStyle w:val="TableParagraph"/>
              <w:spacing w:line="230" w:lineRule="exact"/>
              <w:ind w:right="102"/>
              <w:rPr>
                <w:sz w:val="20"/>
              </w:rPr>
            </w:pPr>
            <w:r>
              <w:rPr>
                <w:spacing w:val="-5"/>
                <w:sz w:val="20"/>
              </w:rPr>
              <w:t>435</w:t>
            </w:r>
          </w:p>
        </w:tc>
        <w:tc>
          <w:tcPr>
            <w:tcW w:w="1230" w:type="dxa"/>
            <w:tcBorders>
              <w:bottom w:val="single" w:sz="8" w:space="0" w:color="000000"/>
            </w:tcBorders>
            <w:shd w:val="clear" w:color="auto" w:fill="CCEDFF"/>
          </w:tcPr>
          <w:p w14:paraId="54463550" w14:textId="77777777" w:rsidR="00AE2255" w:rsidRDefault="00000000">
            <w:pPr>
              <w:pStyle w:val="TableParagraph"/>
              <w:spacing w:line="230" w:lineRule="exact"/>
              <w:ind w:right="102"/>
              <w:rPr>
                <w:sz w:val="20"/>
              </w:rPr>
            </w:pPr>
            <w:r>
              <w:rPr>
                <w:spacing w:val="-5"/>
                <w:sz w:val="20"/>
              </w:rPr>
              <w:t>78</w:t>
            </w:r>
          </w:p>
        </w:tc>
        <w:tc>
          <w:tcPr>
            <w:tcW w:w="1230" w:type="dxa"/>
            <w:tcBorders>
              <w:bottom w:val="single" w:sz="8" w:space="0" w:color="000000"/>
            </w:tcBorders>
            <w:shd w:val="clear" w:color="auto" w:fill="CCEDFF"/>
          </w:tcPr>
          <w:p w14:paraId="24780FE3" w14:textId="77777777" w:rsidR="00AE2255" w:rsidRDefault="00000000">
            <w:pPr>
              <w:pStyle w:val="TableParagraph"/>
              <w:spacing w:line="230" w:lineRule="exact"/>
              <w:ind w:right="102"/>
              <w:rPr>
                <w:sz w:val="20"/>
              </w:rPr>
            </w:pPr>
            <w:r>
              <w:rPr>
                <w:spacing w:val="-5"/>
                <w:sz w:val="20"/>
              </w:rPr>
              <w:t>805</w:t>
            </w:r>
          </w:p>
        </w:tc>
        <w:tc>
          <w:tcPr>
            <w:tcW w:w="1263" w:type="dxa"/>
            <w:tcBorders>
              <w:bottom w:val="single" w:sz="8" w:space="0" w:color="000000"/>
            </w:tcBorders>
            <w:shd w:val="clear" w:color="auto" w:fill="CCEDFF"/>
          </w:tcPr>
          <w:p w14:paraId="2D06386E" w14:textId="77777777" w:rsidR="00AE2255" w:rsidRDefault="00000000">
            <w:pPr>
              <w:pStyle w:val="TableParagraph"/>
              <w:spacing w:line="230" w:lineRule="exact"/>
              <w:ind w:right="135"/>
              <w:rPr>
                <w:sz w:val="20"/>
              </w:rPr>
            </w:pPr>
            <w:r>
              <w:rPr>
                <w:sz w:val="20"/>
              </w:rPr>
              <w:t>—</w:t>
            </w:r>
          </w:p>
        </w:tc>
        <w:tc>
          <w:tcPr>
            <w:tcW w:w="1173" w:type="dxa"/>
            <w:tcBorders>
              <w:bottom w:val="single" w:sz="8" w:space="0" w:color="000000"/>
            </w:tcBorders>
            <w:shd w:val="clear" w:color="auto" w:fill="CCEDFF"/>
          </w:tcPr>
          <w:p w14:paraId="62AF99F1" w14:textId="77777777" w:rsidR="00AE2255" w:rsidRDefault="00000000">
            <w:pPr>
              <w:pStyle w:val="TableParagraph"/>
              <w:spacing w:line="230" w:lineRule="exact"/>
              <w:ind w:right="78"/>
              <w:rPr>
                <w:sz w:val="20"/>
              </w:rPr>
            </w:pPr>
            <w:r>
              <w:rPr>
                <w:spacing w:val="-2"/>
                <w:sz w:val="20"/>
              </w:rPr>
              <w:t>1,318</w:t>
            </w:r>
          </w:p>
        </w:tc>
      </w:tr>
      <w:tr w:rsidR="00AE2255" w14:paraId="46E58A12" w14:textId="77777777">
        <w:trPr>
          <w:trHeight w:val="252"/>
        </w:trPr>
        <w:tc>
          <w:tcPr>
            <w:tcW w:w="3286" w:type="dxa"/>
            <w:tcBorders>
              <w:top w:val="single" w:sz="8" w:space="0" w:color="000000"/>
              <w:bottom w:val="single" w:sz="18" w:space="0" w:color="000000"/>
            </w:tcBorders>
          </w:tcPr>
          <w:p w14:paraId="0B23BECF" w14:textId="77777777" w:rsidR="00AE2255" w:rsidRDefault="00000000">
            <w:pPr>
              <w:pStyle w:val="TableParagraph"/>
              <w:spacing w:before="17" w:line="216" w:lineRule="exact"/>
              <w:ind w:left="315"/>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2039" w:type="dxa"/>
            <w:tcBorders>
              <w:top w:val="single" w:sz="8" w:space="0" w:color="000000"/>
              <w:bottom w:val="single" w:sz="18" w:space="0" w:color="000000"/>
            </w:tcBorders>
          </w:tcPr>
          <w:p w14:paraId="755BC2DE" w14:textId="77777777" w:rsidR="00AE2255" w:rsidRDefault="00000000">
            <w:pPr>
              <w:pStyle w:val="TableParagraph"/>
              <w:tabs>
                <w:tab w:val="left" w:pos="470"/>
              </w:tabs>
              <w:spacing w:before="15" w:line="217" w:lineRule="exact"/>
              <w:ind w:right="102"/>
              <w:rPr>
                <w:sz w:val="20"/>
              </w:rPr>
            </w:pPr>
            <w:r>
              <w:rPr>
                <w:spacing w:val="-10"/>
                <w:sz w:val="20"/>
              </w:rPr>
              <w:t>$</w:t>
            </w:r>
            <w:r>
              <w:rPr>
                <w:sz w:val="20"/>
              </w:rPr>
              <w:tab/>
            </w:r>
            <w:r>
              <w:rPr>
                <w:spacing w:val="-2"/>
                <w:sz w:val="20"/>
              </w:rPr>
              <w:t>26,748</w:t>
            </w:r>
          </w:p>
        </w:tc>
        <w:tc>
          <w:tcPr>
            <w:tcW w:w="1230" w:type="dxa"/>
            <w:tcBorders>
              <w:top w:val="single" w:sz="8" w:space="0" w:color="000000"/>
              <w:bottom w:val="single" w:sz="18" w:space="0" w:color="000000"/>
            </w:tcBorders>
          </w:tcPr>
          <w:p w14:paraId="5C4FBD47" w14:textId="77777777" w:rsidR="00AE2255" w:rsidRDefault="00000000">
            <w:pPr>
              <w:pStyle w:val="TableParagraph"/>
              <w:tabs>
                <w:tab w:val="left" w:pos="470"/>
              </w:tabs>
              <w:spacing w:before="15" w:line="217" w:lineRule="exact"/>
              <w:ind w:right="102"/>
              <w:rPr>
                <w:sz w:val="20"/>
              </w:rPr>
            </w:pPr>
            <w:r>
              <w:rPr>
                <w:spacing w:val="-10"/>
                <w:sz w:val="20"/>
              </w:rPr>
              <w:t>$</w:t>
            </w:r>
            <w:r>
              <w:rPr>
                <w:sz w:val="20"/>
              </w:rPr>
              <w:tab/>
            </w:r>
            <w:r>
              <w:rPr>
                <w:spacing w:val="-2"/>
                <w:sz w:val="20"/>
              </w:rPr>
              <w:t>11,693</w:t>
            </w:r>
          </w:p>
        </w:tc>
        <w:tc>
          <w:tcPr>
            <w:tcW w:w="1230" w:type="dxa"/>
            <w:tcBorders>
              <w:top w:val="single" w:sz="8" w:space="0" w:color="000000"/>
              <w:bottom w:val="single" w:sz="18" w:space="0" w:color="000000"/>
            </w:tcBorders>
          </w:tcPr>
          <w:p w14:paraId="7A1D25BB" w14:textId="77777777" w:rsidR="00AE2255" w:rsidRDefault="00000000">
            <w:pPr>
              <w:pStyle w:val="TableParagraph"/>
              <w:tabs>
                <w:tab w:val="left" w:pos="470"/>
              </w:tabs>
              <w:spacing w:before="15" w:line="217" w:lineRule="exact"/>
              <w:ind w:right="102"/>
              <w:rPr>
                <w:sz w:val="20"/>
              </w:rPr>
            </w:pPr>
            <w:r>
              <w:rPr>
                <w:spacing w:val="-10"/>
                <w:sz w:val="20"/>
              </w:rPr>
              <w:t>$</w:t>
            </w:r>
            <w:r>
              <w:rPr>
                <w:sz w:val="20"/>
              </w:rPr>
              <w:tab/>
            </w:r>
            <w:r>
              <w:rPr>
                <w:spacing w:val="-2"/>
                <w:sz w:val="20"/>
              </w:rPr>
              <w:t>16,789</w:t>
            </w:r>
          </w:p>
        </w:tc>
        <w:tc>
          <w:tcPr>
            <w:tcW w:w="1263" w:type="dxa"/>
            <w:tcBorders>
              <w:top w:val="single" w:sz="8" w:space="0" w:color="000000"/>
              <w:bottom w:val="single" w:sz="18" w:space="0" w:color="000000"/>
            </w:tcBorders>
          </w:tcPr>
          <w:p w14:paraId="4B3D6813" w14:textId="77777777" w:rsidR="00AE2255" w:rsidRDefault="00000000">
            <w:pPr>
              <w:pStyle w:val="TableParagraph"/>
              <w:tabs>
                <w:tab w:val="left" w:pos="575"/>
              </w:tabs>
              <w:spacing w:before="15" w:line="217" w:lineRule="exact"/>
              <w:ind w:left="105"/>
              <w:jc w:val="left"/>
              <w:rPr>
                <w:sz w:val="20"/>
              </w:rPr>
            </w:pPr>
            <w:r>
              <w:rPr>
                <w:spacing w:val="-10"/>
                <w:sz w:val="20"/>
              </w:rPr>
              <w:t>$</w:t>
            </w:r>
            <w:r>
              <w:rPr>
                <w:sz w:val="20"/>
              </w:rPr>
              <w:tab/>
            </w:r>
            <w:r>
              <w:rPr>
                <w:spacing w:val="-2"/>
                <w:sz w:val="20"/>
              </w:rPr>
              <w:t>11,814</w:t>
            </w:r>
          </w:p>
        </w:tc>
        <w:tc>
          <w:tcPr>
            <w:tcW w:w="1173" w:type="dxa"/>
            <w:tcBorders>
              <w:top w:val="single" w:sz="8" w:space="0" w:color="000000"/>
              <w:bottom w:val="single" w:sz="18" w:space="0" w:color="000000"/>
            </w:tcBorders>
          </w:tcPr>
          <w:p w14:paraId="0DCE8589" w14:textId="77777777" w:rsidR="00AE2255" w:rsidRDefault="00000000">
            <w:pPr>
              <w:pStyle w:val="TableParagraph"/>
              <w:tabs>
                <w:tab w:val="left" w:pos="470"/>
              </w:tabs>
              <w:spacing w:before="15" w:line="217" w:lineRule="exact"/>
              <w:ind w:right="78"/>
              <w:rPr>
                <w:sz w:val="20"/>
              </w:rPr>
            </w:pPr>
            <w:r>
              <w:rPr>
                <w:spacing w:val="-10"/>
                <w:sz w:val="20"/>
              </w:rPr>
              <w:t>$</w:t>
            </w:r>
            <w:r>
              <w:rPr>
                <w:sz w:val="20"/>
              </w:rPr>
              <w:tab/>
            </w:r>
            <w:r>
              <w:rPr>
                <w:spacing w:val="-2"/>
                <w:sz w:val="20"/>
              </w:rPr>
              <w:t>67,044</w:t>
            </w:r>
          </w:p>
        </w:tc>
      </w:tr>
    </w:tbl>
    <w:p w14:paraId="6EEEC24E" w14:textId="77777777" w:rsidR="00AE2255" w:rsidRDefault="00AE2255">
      <w:pPr>
        <w:spacing w:line="217" w:lineRule="exact"/>
        <w:rPr>
          <w:sz w:val="20"/>
        </w:rPr>
        <w:sectPr w:rsidR="00AE2255">
          <w:pgSz w:w="12240" w:h="15840"/>
          <w:pgMar w:top="440" w:right="560" w:bottom="720" w:left="380" w:header="230" w:footer="531" w:gutter="0"/>
          <w:cols w:space="720"/>
        </w:sectPr>
      </w:pPr>
    </w:p>
    <w:p w14:paraId="58A12E82" w14:textId="77777777" w:rsidR="00AE2255" w:rsidRDefault="00AE2255">
      <w:pPr>
        <w:pStyle w:val="BodyText"/>
        <w:rPr>
          <w:b/>
        </w:rPr>
      </w:pPr>
    </w:p>
    <w:p w14:paraId="3A821AF3" w14:textId="77777777" w:rsidR="00AE2255" w:rsidRDefault="00AE2255">
      <w:pPr>
        <w:pStyle w:val="BodyText"/>
        <w:spacing w:before="4"/>
        <w:rPr>
          <w:b/>
          <w:sz w:val="15"/>
        </w:rPr>
      </w:pPr>
    </w:p>
    <w:tbl>
      <w:tblPr>
        <w:tblW w:w="0" w:type="auto"/>
        <w:tblInd w:w="617" w:type="dxa"/>
        <w:tblLayout w:type="fixed"/>
        <w:tblCellMar>
          <w:left w:w="0" w:type="dxa"/>
          <w:right w:w="0" w:type="dxa"/>
        </w:tblCellMar>
        <w:tblLook w:val="01E0" w:firstRow="1" w:lastRow="1" w:firstColumn="1" w:lastColumn="1" w:noHBand="0" w:noVBand="0"/>
      </w:tblPr>
      <w:tblGrid>
        <w:gridCol w:w="4185"/>
        <w:gridCol w:w="1188"/>
        <w:gridCol w:w="1220"/>
        <w:gridCol w:w="1230"/>
        <w:gridCol w:w="1230"/>
        <w:gridCol w:w="1207"/>
      </w:tblGrid>
      <w:tr w:rsidR="00AE2255" w14:paraId="36C588CE" w14:textId="77777777">
        <w:trPr>
          <w:trHeight w:val="241"/>
        </w:trPr>
        <w:tc>
          <w:tcPr>
            <w:tcW w:w="6593" w:type="dxa"/>
            <w:gridSpan w:val="3"/>
          </w:tcPr>
          <w:p w14:paraId="2C50C16F" w14:textId="77777777" w:rsidR="00AE2255" w:rsidRDefault="00AE2255">
            <w:pPr>
              <w:pStyle w:val="TableParagraph"/>
              <w:spacing w:before="0"/>
              <w:jc w:val="left"/>
              <w:rPr>
                <w:sz w:val="16"/>
              </w:rPr>
            </w:pPr>
          </w:p>
        </w:tc>
        <w:tc>
          <w:tcPr>
            <w:tcW w:w="1230" w:type="dxa"/>
            <w:tcBorders>
              <w:bottom w:val="single" w:sz="8" w:space="0" w:color="000000"/>
            </w:tcBorders>
          </w:tcPr>
          <w:p w14:paraId="31197B0B" w14:textId="77777777" w:rsidR="00AE2255" w:rsidRDefault="00000000">
            <w:pPr>
              <w:pStyle w:val="TableParagraph"/>
              <w:spacing w:before="0" w:line="221" w:lineRule="exact"/>
              <w:ind w:left="429"/>
              <w:jc w:val="left"/>
              <w:rPr>
                <w:b/>
                <w:sz w:val="20"/>
              </w:rPr>
            </w:pPr>
            <w:r>
              <w:rPr>
                <w:b/>
                <w:spacing w:val="-4"/>
                <w:sz w:val="20"/>
              </w:rPr>
              <w:t>2020</w:t>
            </w:r>
          </w:p>
        </w:tc>
        <w:tc>
          <w:tcPr>
            <w:tcW w:w="2437" w:type="dxa"/>
            <w:gridSpan w:val="2"/>
            <w:tcBorders>
              <w:bottom w:val="single" w:sz="8" w:space="0" w:color="000000"/>
            </w:tcBorders>
          </w:tcPr>
          <w:p w14:paraId="399225EB" w14:textId="77777777" w:rsidR="00AE2255" w:rsidRDefault="00AE2255">
            <w:pPr>
              <w:pStyle w:val="TableParagraph"/>
              <w:spacing w:before="0"/>
              <w:jc w:val="left"/>
              <w:rPr>
                <w:sz w:val="16"/>
              </w:rPr>
            </w:pPr>
          </w:p>
        </w:tc>
      </w:tr>
      <w:tr w:rsidR="00AE2255" w14:paraId="59B5F711" w14:textId="77777777">
        <w:trPr>
          <w:trHeight w:val="235"/>
        </w:trPr>
        <w:tc>
          <w:tcPr>
            <w:tcW w:w="4185" w:type="dxa"/>
            <w:tcBorders>
              <w:bottom w:val="single" w:sz="8" w:space="0" w:color="000000"/>
            </w:tcBorders>
          </w:tcPr>
          <w:p w14:paraId="531E17E8" w14:textId="77777777" w:rsidR="00AE2255" w:rsidRDefault="00AE2255">
            <w:pPr>
              <w:pStyle w:val="TableParagraph"/>
              <w:spacing w:before="0"/>
              <w:jc w:val="left"/>
              <w:rPr>
                <w:sz w:val="16"/>
              </w:rPr>
            </w:pPr>
          </w:p>
        </w:tc>
        <w:tc>
          <w:tcPr>
            <w:tcW w:w="1188" w:type="dxa"/>
            <w:tcBorders>
              <w:top w:val="single" w:sz="8" w:space="0" w:color="000000"/>
              <w:bottom w:val="single" w:sz="8" w:space="0" w:color="000000"/>
            </w:tcBorders>
          </w:tcPr>
          <w:p w14:paraId="44880DA7" w14:textId="77777777" w:rsidR="00AE2255" w:rsidRDefault="00000000">
            <w:pPr>
              <w:pStyle w:val="TableParagraph"/>
              <w:spacing w:before="0" w:line="215" w:lineRule="exact"/>
              <w:ind w:right="92"/>
              <w:rPr>
                <w:b/>
                <w:sz w:val="20"/>
              </w:rPr>
            </w:pPr>
            <w:r>
              <w:rPr>
                <w:b/>
                <w:spacing w:val="-2"/>
                <w:sz w:val="20"/>
              </w:rPr>
              <w:t>Aeronautics</w:t>
            </w:r>
          </w:p>
        </w:tc>
        <w:tc>
          <w:tcPr>
            <w:tcW w:w="1220" w:type="dxa"/>
            <w:tcBorders>
              <w:top w:val="single" w:sz="8" w:space="0" w:color="000000"/>
              <w:bottom w:val="single" w:sz="8" w:space="0" w:color="000000"/>
            </w:tcBorders>
          </w:tcPr>
          <w:p w14:paraId="32808880" w14:textId="77777777" w:rsidR="00AE2255" w:rsidRDefault="00000000">
            <w:pPr>
              <w:pStyle w:val="TableParagraph"/>
              <w:spacing w:before="0" w:line="215" w:lineRule="exact"/>
              <w:ind w:left="392"/>
              <w:jc w:val="left"/>
              <w:rPr>
                <w:b/>
                <w:sz w:val="20"/>
              </w:rPr>
            </w:pPr>
            <w:r>
              <w:rPr>
                <w:b/>
                <w:spacing w:val="-5"/>
                <w:sz w:val="20"/>
              </w:rPr>
              <w:t>MFC</w:t>
            </w:r>
          </w:p>
        </w:tc>
        <w:tc>
          <w:tcPr>
            <w:tcW w:w="1230" w:type="dxa"/>
            <w:tcBorders>
              <w:top w:val="single" w:sz="8" w:space="0" w:color="000000"/>
              <w:bottom w:val="single" w:sz="8" w:space="0" w:color="000000"/>
            </w:tcBorders>
          </w:tcPr>
          <w:p w14:paraId="08015F42" w14:textId="77777777" w:rsidR="00AE2255" w:rsidRDefault="00000000">
            <w:pPr>
              <w:pStyle w:val="TableParagraph"/>
              <w:spacing w:before="0" w:line="215" w:lineRule="exact"/>
              <w:ind w:left="407"/>
              <w:jc w:val="left"/>
              <w:rPr>
                <w:b/>
                <w:sz w:val="20"/>
              </w:rPr>
            </w:pPr>
            <w:r>
              <w:rPr>
                <w:b/>
                <w:spacing w:val="-5"/>
                <w:sz w:val="20"/>
              </w:rPr>
              <w:t>RMS</w:t>
            </w:r>
          </w:p>
        </w:tc>
        <w:tc>
          <w:tcPr>
            <w:tcW w:w="1230" w:type="dxa"/>
            <w:tcBorders>
              <w:top w:val="single" w:sz="8" w:space="0" w:color="000000"/>
              <w:bottom w:val="single" w:sz="8" w:space="0" w:color="000000"/>
            </w:tcBorders>
          </w:tcPr>
          <w:p w14:paraId="37B028C4" w14:textId="77777777" w:rsidR="00AE2255" w:rsidRDefault="00000000">
            <w:pPr>
              <w:pStyle w:val="TableParagraph"/>
              <w:spacing w:before="0" w:line="215" w:lineRule="exact"/>
              <w:ind w:left="379"/>
              <w:jc w:val="left"/>
              <w:rPr>
                <w:b/>
                <w:sz w:val="20"/>
              </w:rPr>
            </w:pPr>
            <w:r>
              <w:rPr>
                <w:b/>
                <w:spacing w:val="-2"/>
                <w:sz w:val="20"/>
              </w:rPr>
              <w:t>Space</w:t>
            </w:r>
          </w:p>
        </w:tc>
        <w:tc>
          <w:tcPr>
            <w:tcW w:w="1207" w:type="dxa"/>
            <w:tcBorders>
              <w:top w:val="single" w:sz="8" w:space="0" w:color="000000"/>
              <w:bottom w:val="single" w:sz="8" w:space="0" w:color="000000"/>
            </w:tcBorders>
          </w:tcPr>
          <w:p w14:paraId="7C18AD1C" w14:textId="77777777" w:rsidR="00AE2255" w:rsidRDefault="00000000">
            <w:pPr>
              <w:pStyle w:val="TableParagraph"/>
              <w:spacing w:before="0" w:line="215" w:lineRule="exact"/>
              <w:ind w:left="401"/>
              <w:jc w:val="left"/>
              <w:rPr>
                <w:b/>
                <w:sz w:val="20"/>
              </w:rPr>
            </w:pPr>
            <w:r>
              <w:rPr>
                <w:b/>
                <w:spacing w:val="-2"/>
                <w:sz w:val="20"/>
              </w:rPr>
              <w:t>Total</w:t>
            </w:r>
          </w:p>
        </w:tc>
      </w:tr>
      <w:tr w:rsidR="00AE2255" w14:paraId="7DC9AE1E" w14:textId="77777777">
        <w:trPr>
          <w:trHeight w:val="245"/>
        </w:trPr>
        <w:tc>
          <w:tcPr>
            <w:tcW w:w="4185" w:type="dxa"/>
            <w:tcBorders>
              <w:top w:val="single" w:sz="8" w:space="0" w:color="000000"/>
            </w:tcBorders>
            <w:shd w:val="clear" w:color="auto" w:fill="CCEDFF"/>
          </w:tcPr>
          <w:p w14:paraId="34D43698" w14:textId="77777777" w:rsidR="00AE2255" w:rsidRDefault="00000000">
            <w:pPr>
              <w:pStyle w:val="TableParagraph"/>
              <w:spacing w:before="13" w:line="211" w:lineRule="exact"/>
              <w:ind w:left="52"/>
              <w:jc w:val="left"/>
              <w:rPr>
                <w:b/>
                <w:sz w:val="20"/>
              </w:rPr>
            </w:pPr>
            <w:r>
              <w:rPr>
                <w:b/>
                <w:sz w:val="20"/>
              </w:rPr>
              <w:t>Net</w:t>
            </w:r>
            <w:r>
              <w:rPr>
                <w:b/>
                <w:spacing w:val="-4"/>
                <w:sz w:val="20"/>
              </w:rPr>
              <w:t xml:space="preserve"> </w:t>
            </w:r>
            <w:r>
              <w:rPr>
                <w:b/>
                <w:spacing w:val="-2"/>
                <w:sz w:val="20"/>
              </w:rPr>
              <w:t>sales</w:t>
            </w:r>
          </w:p>
        </w:tc>
        <w:tc>
          <w:tcPr>
            <w:tcW w:w="1188" w:type="dxa"/>
            <w:tcBorders>
              <w:top w:val="single" w:sz="8" w:space="0" w:color="000000"/>
            </w:tcBorders>
            <w:shd w:val="clear" w:color="auto" w:fill="CCEDFF"/>
          </w:tcPr>
          <w:p w14:paraId="4C3F42E1" w14:textId="77777777" w:rsidR="00AE2255" w:rsidRDefault="00AE2255">
            <w:pPr>
              <w:pStyle w:val="TableParagraph"/>
              <w:spacing w:before="0"/>
              <w:jc w:val="left"/>
              <w:rPr>
                <w:sz w:val="16"/>
              </w:rPr>
            </w:pPr>
          </w:p>
        </w:tc>
        <w:tc>
          <w:tcPr>
            <w:tcW w:w="1220" w:type="dxa"/>
            <w:tcBorders>
              <w:top w:val="single" w:sz="8" w:space="0" w:color="000000"/>
            </w:tcBorders>
            <w:shd w:val="clear" w:color="auto" w:fill="CCEDFF"/>
          </w:tcPr>
          <w:p w14:paraId="31F58D87"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34433B13"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123E293D" w14:textId="77777777" w:rsidR="00AE2255" w:rsidRDefault="00AE2255">
            <w:pPr>
              <w:pStyle w:val="TableParagraph"/>
              <w:spacing w:before="0"/>
              <w:jc w:val="left"/>
              <w:rPr>
                <w:sz w:val="16"/>
              </w:rPr>
            </w:pPr>
          </w:p>
        </w:tc>
        <w:tc>
          <w:tcPr>
            <w:tcW w:w="1207" w:type="dxa"/>
            <w:tcBorders>
              <w:top w:val="single" w:sz="8" w:space="0" w:color="000000"/>
            </w:tcBorders>
            <w:shd w:val="clear" w:color="auto" w:fill="CCEDFF"/>
          </w:tcPr>
          <w:p w14:paraId="75C0BAC2" w14:textId="77777777" w:rsidR="00AE2255" w:rsidRDefault="00AE2255">
            <w:pPr>
              <w:pStyle w:val="TableParagraph"/>
              <w:spacing w:before="0"/>
              <w:jc w:val="left"/>
              <w:rPr>
                <w:sz w:val="16"/>
              </w:rPr>
            </w:pPr>
          </w:p>
        </w:tc>
      </w:tr>
      <w:tr w:rsidR="00AE2255" w14:paraId="0DEF7D7D" w14:textId="77777777">
        <w:trPr>
          <w:trHeight w:val="256"/>
        </w:trPr>
        <w:tc>
          <w:tcPr>
            <w:tcW w:w="4185" w:type="dxa"/>
          </w:tcPr>
          <w:p w14:paraId="3D29A8AA" w14:textId="77777777" w:rsidR="00AE2255" w:rsidRDefault="00000000">
            <w:pPr>
              <w:pStyle w:val="TableParagraph"/>
              <w:spacing w:before="27" w:line="208" w:lineRule="exact"/>
              <w:ind w:left="187"/>
              <w:jc w:val="left"/>
              <w:rPr>
                <w:sz w:val="20"/>
              </w:rPr>
            </w:pPr>
            <w:r>
              <w:rPr>
                <w:spacing w:val="-2"/>
                <w:sz w:val="20"/>
              </w:rPr>
              <w:t>Products</w:t>
            </w:r>
          </w:p>
        </w:tc>
        <w:tc>
          <w:tcPr>
            <w:tcW w:w="1188" w:type="dxa"/>
          </w:tcPr>
          <w:p w14:paraId="02384DAA" w14:textId="77777777" w:rsidR="00AE2255" w:rsidRDefault="00000000">
            <w:pPr>
              <w:pStyle w:val="TableParagraph"/>
              <w:tabs>
                <w:tab w:val="left" w:pos="470"/>
              </w:tabs>
              <w:spacing w:before="0" w:line="225" w:lineRule="exact"/>
              <w:ind w:right="112"/>
              <w:rPr>
                <w:sz w:val="20"/>
              </w:rPr>
            </w:pPr>
            <w:r>
              <w:rPr>
                <w:spacing w:val="-10"/>
                <w:sz w:val="20"/>
              </w:rPr>
              <w:t>$</w:t>
            </w:r>
            <w:r>
              <w:rPr>
                <w:sz w:val="20"/>
              </w:rPr>
              <w:tab/>
            </w:r>
            <w:r>
              <w:rPr>
                <w:spacing w:val="-2"/>
                <w:sz w:val="20"/>
              </w:rPr>
              <w:t>22,327</w:t>
            </w:r>
          </w:p>
        </w:tc>
        <w:tc>
          <w:tcPr>
            <w:tcW w:w="1220" w:type="dxa"/>
          </w:tcPr>
          <w:p w14:paraId="4508264F" w14:textId="77777777" w:rsidR="00AE2255" w:rsidRDefault="00000000">
            <w:pPr>
              <w:pStyle w:val="TableParagraph"/>
              <w:tabs>
                <w:tab w:val="left" w:pos="570"/>
              </w:tabs>
              <w:spacing w:before="0" w:line="225" w:lineRule="exact"/>
              <w:ind w:right="102"/>
              <w:rPr>
                <w:sz w:val="20"/>
              </w:rPr>
            </w:pPr>
            <w:r>
              <w:rPr>
                <w:spacing w:val="-10"/>
                <w:sz w:val="20"/>
              </w:rPr>
              <w:t>$</w:t>
            </w:r>
            <w:r>
              <w:rPr>
                <w:sz w:val="20"/>
              </w:rPr>
              <w:tab/>
            </w:r>
            <w:r>
              <w:rPr>
                <w:spacing w:val="-2"/>
                <w:sz w:val="20"/>
              </w:rPr>
              <w:t>9,804</w:t>
            </w:r>
          </w:p>
        </w:tc>
        <w:tc>
          <w:tcPr>
            <w:tcW w:w="1230" w:type="dxa"/>
          </w:tcPr>
          <w:p w14:paraId="64B27D57"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12,748</w:t>
            </w:r>
          </w:p>
        </w:tc>
        <w:tc>
          <w:tcPr>
            <w:tcW w:w="1230" w:type="dxa"/>
          </w:tcPr>
          <w:p w14:paraId="2E7F5EE1"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10,049</w:t>
            </w:r>
          </w:p>
        </w:tc>
        <w:tc>
          <w:tcPr>
            <w:tcW w:w="1207" w:type="dxa"/>
          </w:tcPr>
          <w:p w14:paraId="6767A345" w14:textId="77777777" w:rsidR="00AE2255" w:rsidRDefault="00000000">
            <w:pPr>
              <w:pStyle w:val="TableParagraph"/>
              <w:tabs>
                <w:tab w:val="left" w:pos="470"/>
              </w:tabs>
              <w:spacing w:before="0" w:line="225" w:lineRule="exact"/>
              <w:ind w:right="79"/>
              <w:rPr>
                <w:sz w:val="20"/>
              </w:rPr>
            </w:pPr>
            <w:r>
              <w:rPr>
                <w:spacing w:val="-10"/>
                <w:sz w:val="20"/>
              </w:rPr>
              <w:t>$</w:t>
            </w:r>
            <w:r>
              <w:rPr>
                <w:sz w:val="20"/>
              </w:rPr>
              <w:tab/>
            </w:r>
            <w:r>
              <w:rPr>
                <w:spacing w:val="-2"/>
                <w:sz w:val="20"/>
              </w:rPr>
              <w:t>54,928</w:t>
            </w:r>
          </w:p>
        </w:tc>
      </w:tr>
      <w:tr w:rsidR="00AE2255" w14:paraId="6D4C9508" w14:textId="77777777">
        <w:trPr>
          <w:trHeight w:val="245"/>
        </w:trPr>
        <w:tc>
          <w:tcPr>
            <w:tcW w:w="4185" w:type="dxa"/>
            <w:tcBorders>
              <w:bottom w:val="single" w:sz="8" w:space="0" w:color="000000"/>
            </w:tcBorders>
            <w:shd w:val="clear" w:color="auto" w:fill="CCEDFF"/>
          </w:tcPr>
          <w:p w14:paraId="37ADDBB5" w14:textId="77777777" w:rsidR="00AE2255" w:rsidRDefault="00000000">
            <w:pPr>
              <w:pStyle w:val="TableParagraph"/>
              <w:spacing w:before="27" w:line="198" w:lineRule="exact"/>
              <w:ind w:left="187"/>
              <w:jc w:val="left"/>
              <w:rPr>
                <w:sz w:val="20"/>
              </w:rPr>
            </w:pPr>
            <w:r>
              <w:rPr>
                <w:spacing w:val="-2"/>
                <w:sz w:val="20"/>
              </w:rPr>
              <w:t>Services</w:t>
            </w:r>
          </w:p>
        </w:tc>
        <w:tc>
          <w:tcPr>
            <w:tcW w:w="1188" w:type="dxa"/>
            <w:tcBorders>
              <w:bottom w:val="single" w:sz="8" w:space="0" w:color="000000"/>
            </w:tcBorders>
            <w:shd w:val="clear" w:color="auto" w:fill="CCEDFF"/>
          </w:tcPr>
          <w:p w14:paraId="23D28A8B" w14:textId="77777777" w:rsidR="00AE2255" w:rsidRDefault="00000000">
            <w:pPr>
              <w:pStyle w:val="TableParagraph"/>
              <w:spacing w:before="0" w:line="225" w:lineRule="exact"/>
              <w:ind w:right="112"/>
              <w:rPr>
                <w:sz w:val="20"/>
              </w:rPr>
            </w:pPr>
            <w:r>
              <w:rPr>
                <w:spacing w:val="-2"/>
                <w:sz w:val="20"/>
              </w:rPr>
              <w:t>3,939</w:t>
            </w:r>
          </w:p>
        </w:tc>
        <w:tc>
          <w:tcPr>
            <w:tcW w:w="1220" w:type="dxa"/>
            <w:tcBorders>
              <w:bottom w:val="single" w:sz="8" w:space="0" w:color="000000"/>
            </w:tcBorders>
            <w:shd w:val="clear" w:color="auto" w:fill="CCEDFF"/>
          </w:tcPr>
          <w:p w14:paraId="5F19BD87" w14:textId="77777777" w:rsidR="00AE2255" w:rsidRDefault="00000000">
            <w:pPr>
              <w:pStyle w:val="TableParagraph"/>
              <w:spacing w:before="0" w:line="225" w:lineRule="exact"/>
              <w:ind w:right="102"/>
              <w:rPr>
                <w:sz w:val="20"/>
              </w:rPr>
            </w:pPr>
            <w:r>
              <w:rPr>
                <w:spacing w:val="-2"/>
                <w:sz w:val="20"/>
              </w:rPr>
              <w:t>1,453</w:t>
            </w:r>
          </w:p>
        </w:tc>
        <w:tc>
          <w:tcPr>
            <w:tcW w:w="1230" w:type="dxa"/>
            <w:tcBorders>
              <w:bottom w:val="single" w:sz="8" w:space="0" w:color="000000"/>
            </w:tcBorders>
            <w:shd w:val="clear" w:color="auto" w:fill="CCEDFF"/>
          </w:tcPr>
          <w:p w14:paraId="7988C55F" w14:textId="77777777" w:rsidR="00AE2255" w:rsidRDefault="00000000">
            <w:pPr>
              <w:pStyle w:val="TableParagraph"/>
              <w:spacing w:before="0" w:line="225" w:lineRule="exact"/>
              <w:ind w:right="102"/>
              <w:rPr>
                <w:sz w:val="20"/>
              </w:rPr>
            </w:pPr>
            <w:r>
              <w:rPr>
                <w:spacing w:val="-2"/>
                <w:sz w:val="20"/>
              </w:rPr>
              <w:t>3,247</w:t>
            </w:r>
          </w:p>
        </w:tc>
        <w:tc>
          <w:tcPr>
            <w:tcW w:w="1230" w:type="dxa"/>
            <w:tcBorders>
              <w:bottom w:val="single" w:sz="8" w:space="0" w:color="000000"/>
            </w:tcBorders>
            <w:shd w:val="clear" w:color="auto" w:fill="CCEDFF"/>
          </w:tcPr>
          <w:p w14:paraId="0F08CBD8" w14:textId="77777777" w:rsidR="00AE2255" w:rsidRDefault="00000000">
            <w:pPr>
              <w:pStyle w:val="TableParagraph"/>
              <w:spacing w:before="0" w:line="225" w:lineRule="exact"/>
              <w:ind w:right="102"/>
              <w:rPr>
                <w:sz w:val="20"/>
              </w:rPr>
            </w:pPr>
            <w:r>
              <w:rPr>
                <w:spacing w:val="-2"/>
                <w:sz w:val="20"/>
              </w:rPr>
              <w:t>1,831</w:t>
            </w:r>
          </w:p>
        </w:tc>
        <w:tc>
          <w:tcPr>
            <w:tcW w:w="1207" w:type="dxa"/>
            <w:tcBorders>
              <w:bottom w:val="single" w:sz="8" w:space="0" w:color="000000"/>
            </w:tcBorders>
            <w:shd w:val="clear" w:color="auto" w:fill="CCEDFF"/>
          </w:tcPr>
          <w:p w14:paraId="5F80DA89" w14:textId="77777777" w:rsidR="00AE2255" w:rsidRDefault="00000000">
            <w:pPr>
              <w:pStyle w:val="TableParagraph"/>
              <w:spacing w:before="0" w:line="225" w:lineRule="exact"/>
              <w:ind w:right="79"/>
              <w:rPr>
                <w:sz w:val="20"/>
              </w:rPr>
            </w:pPr>
            <w:r>
              <w:rPr>
                <w:spacing w:val="-2"/>
                <w:sz w:val="20"/>
              </w:rPr>
              <w:t>10,470</w:t>
            </w:r>
          </w:p>
        </w:tc>
      </w:tr>
      <w:tr w:rsidR="00AE2255" w14:paraId="175B4564" w14:textId="77777777">
        <w:trPr>
          <w:trHeight w:val="233"/>
        </w:trPr>
        <w:tc>
          <w:tcPr>
            <w:tcW w:w="4185" w:type="dxa"/>
            <w:tcBorders>
              <w:top w:val="single" w:sz="8" w:space="0" w:color="000000"/>
              <w:bottom w:val="single" w:sz="8" w:space="0" w:color="000000"/>
            </w:tcBorders>
          </w:tcPr>
          <w:p w14:paraId="2DFE36E3" w14:textId="77777777" w:rsidR="00AE2255" w:rsidRDefault="00000000">
            <w:pPr>
              <w:pStyle w:val="TableParagraph"/>
              <w:spacing w:before="17" w:line="19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tcPr>
          <w:p w14:paraId="0C8C7A5C" w14:textId="77777777" w:rsidR="00AE2255" w:rsidRDefault="00000000">
            <w:pPr>
              <w:pStyle w:val="TableParagraph"/>
              <w:tabs>
                <w:tab w:val="left" w:pos="470"/>
              </w:tabs>
              <w:spacing w:before="0" w:line="215" w:lineRule="exact"/>
              <w:ind w:right="112"/>
              <w:rPr>
                <w:sz w:val="20"/>
              </w:rPr>
            </w:pPr>
            <w:r>
              <w:rPr>
                <w:spacing w:val="-10"/>
                <w:sz w:val="20"/>
              </w:rPr>
              <w:t>$</w:t>
            </w:r>
            <w:r>
              <w:rPr>
                <w:sz w:val="20"/>
              </w:rPr>
              <w:tab/>
            </w:r>
            <w:r>
              <w:rPr>
                <w:spacing w:val="-2"/>
                <w:sz w:val="20"/>
              </w:rPr>
              <w:t>26,266</w:t>
            </w:r>
          </w:p>
        </w:tc>
        <w:tc>
          <w:tcPr>
            <w:tcW w:w="1220" w:type="dxa"/>
            <w:tcBorders>
              <w:top w:val="single" w:sz="8" w:space="0" w:color="000000"/>
              <w:bottom w:val="single" w:sz="8" w:space="0" w:color="000000"/>
            </w:tcBorders>
          </w:tcPr>
          <w:p w14:paraId="043ED160"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11,257</w:t>
            </w:r>
          </w:p>
        </w:tc>
        <w:tc>
          <w:tcPr>
            <w:tcW w:w="1230" w:type="dxa"/>
            <w:tcBorders>
              <w:top w:val="single" w:sz="8" w:space="0" w:color="000000"/>
              <w:bottom w:val="single" w:sz="8" w:space="0" w:color="000000"/>
            </w:tcBorders>
          </w:tcPr>
          <w:p w14:paraId="78F2FAF5"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15,995</w:t>
            </w:r>
          </w:p>
        </w:tc>
        <w:tc>
          <w:tcPr>
            <w:tcW w:w="1230" w:type="dxa"/>
            <w:tcBorders>
              <w:top w:val="single" w:sz="8" w:space="0" w:color="000000"/>
              <w:bottom w:val="single" w:sz="8" w:space="0" w:color="000000"/>
            </w:tcBorders>
          </w:tcPr>
          <w:p w14:paraId="1C9273DB"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11,880</w:t>
            </w:r>
          </w:p>
        </w:tc>
        <w:tc>
          <w:tcPr>
            <w:tcW w:w="1207" w:type="dxa"/>
            <w:tcBorders>
              <w:top w:val="single" w:sz="8" w:space="0" w:color="000000"/>
              <w:bottom w:val="single" w:sz="8" w:space="0" w:color="000000"/>
            </w:tcBorders>
          </w:tcPr>
          <w:p w14:paraId="39734CEF" w14:textId="77777777" w:rsidR="00AE2255" w:rsidRDefault="00000000">
            <w:pPr>
              <w:pStyle w:val="TableParagraph"/>
              <w:tabs>
                <w:tab w:val="left" w:pos="470"/>
              </w:tabs>
              <w:spacing w:before="0" w:line="215" w:lineRule="exact"/>
              <w:ind w:right="79"/>
              <w:rPr>
                <w:sz w:val="20"/>
              </w:rPr>
            </w:pPr>
            <w:r>
              <w:rPr>
                <w:spacing w:val="-10"/>
                <w:sz w:val="20"/>
              </w:rPr>
              <w:t>$</w:t>
            </w:r>
            <w:r>
              <w:rPr>
                <w:sz w:val="20"/>
              </w:rPr>
              <w:tab/>
            </w:r>
            <w:r>
              <w:rPr>
                <w:spacing w:val="-2"/>
                <w:sz w:val="20"/>
              </w:rPr>
              <w:t>65,398</w:t>
            </w:r>
          </w:p>
        </w:tc>
      </w:tr>
      <w:tr w:rsidR="00AE2255" w14:paraId="0230F3AA" w14:textId="77777777">
        <w:trPr>
          <w:trHeight w:val="245"/>
        </w:trPr>
        <w:tc>
          <w:tcPr>
            <w:tcW w:w="4185" w:type="dxa"/>
            <w:tcBorders>
              <w:top w:val="single" w:sz="8" w:space="0" w:color="000000"/>
            </w:tcBorders>
            <w:shd w:val="clear" w:color="auto" w:fill="CCEDFF"/>
          </w:tcPr>
          <w:p w14:paraId="2381DBA1" w14:textId="77777777" w:rsidR="00AE2255" w:rsidRDefault="00000000">
            <w:pPr>
              <w:pStyle w:val="TableParagraph"/>
              <w:spacing w:before="13" w:line="211" w:lineRule="exact"/>
              <w:ind w:left="52"/>
              <w:jc w:val="left"/>
              <w:rPr>
                <w:b/>
                <w:sz w:val="20"/>
              </w:rPr>
            </w:pPr>
            <w:r>
              <w:rPr>
                <w:b/>
                <w:sz w:val="20"/>
              </w:rPr>
              <w:t>Net</w:t>
            </w:r>
            <w:r>
              <w:rPr>
                <w:b/>
                <w:spacing w:val="-5"/>
                <w:sz w:val="20"/>
              </w:rPr>
              <w:t xml:space="preserve"> </w:t>
            </w:r>
            <w:r>
              <w:rPr>
                <w:b/>
                <w:sz w:val="20"/>
              </w:rPr>
              <w:t>sales</w:t>
            </w:r>
            <w:r>
              <w:rPr>
                <w:b/>
                <w:spacing w:val="-3"/>
                <w:sz w:val="20"/>
              </w:rPr>
              <w:t xml:space="preserve"> </w:t>
            </w:r>
            <w:r>
              <w:rPr>
                <w:b/>
                <w:sz w:val="20"/>
              </w:rPr>
              <w:t>by</w:t>
            </w:r>
            <w:r>
              <w:rPr>
                <w:b/>
                <w:spacing w:val="-3"/>
                <w:sz w:val="20"/>
              </w:rPr>
              <w:t xml:space="preserve"> </w:t>
            </w:r>
            <w:r>
              <w:rPr>
                <w:b/>
                <w:sz w:val="20"/>
              </w:rPr>
              <w:t>contract</w:t>
            </w:r>
            <w:r>
              <w:rPr>
                <w:b/>
                <w:spacing w:val="-2"/>
                <w:sz w:val="20"/>
              </w:rPr>
              <w:t xml:space="preserve"> </w:t>
            </w:r>
            <w:r>
              <w:rPr>
                <w:b/>
                <w:spacing w:val="-4"/>
                <w:sz w:val="20"/>
              </w:rPr>
              <w:t>type</w:t>
            </w:r>
          </w:p>
        </w:tc>
        <w:tc>
          <w:tcPr>
            <w:tcW w:w="1188" w:type="dxa"/>
            <w:tcBorders>
              <w:top w:val="single" w:sz="8" w:space="0" w:color="000000"/>
            </w:tcBorders>
            <w:shd w:val="clear" w:color="auto" w:fill="CCEDFF"/>
          </w:tcPr>
          <w:p w14:paraId="47D38235" w14:textId="77777777" w:rsidR="00AE2255" w:rsidRDefault="00AE2255">
            <w:pPr>
              <w:pStyle w:val="TableParagraph"/>
              <w:spacing w:before="0"/>
              <w:jc w:val="left"/>
              <w:rPr>
                <w:sz w:val="16"/>
              </w:rPr>
            </w:pPr>
          </w:p>
        </w:tc>
        <w:tc>
          <w:tcPr>
            <w:tcW w:w="1220" w:type="dxa"/>
            <w:tcBorders>
              <w:top w:val="single" w:sz="8" w:space="0" w:color="000000"/>
            </w:tcBorders>
            <w:shd w:val="clear" w:color="auto" w:fill="CCEDFF"/>
          </w:tcPr>
          <w:p w14:paraId="1837197A"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14D91838"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6782C6FA" w14:textId="77777777" w:rsidR="00AE2255" w:rsidRDefault="00AE2255">
            <w:pPr>
              <w:pStyle w:val="TableParagraph"/>
              <w:spacing w:before="0"/>
              <w:jc w:val="left"/>
              <w:rPr>
                <w:sz w:val="16"/>
              </w:rPr>
            </w:pPr>
          </w:p>
        </w:tc>
        <w:tc>
          <w:tcPr>
            <w:tcW w:w="1207" w:type="dxa"/>
            <w:tcBorders>
              <w:top w:val="single" w:sz="8" w:space="0" w:color="000000"/>
            </w:tcBorders>
            <w:shd w:val="clear" w:color="auto" w:fill="CCEDFF"/>
          </w:tcPr>
          <w:p w14:paraId="1F184C39" w14:textId="77777777" w:rsidR="00AE2255" w:rsidRDefault="00AE2255">
            <w:pPr>
              <w:pStyle w:val="TableParagraph"/>
              <w:spacing w:before="0"/>
              <w:jc w:val="left"/>
              <w:rPr>
                <w:sz w:val="16"/>
              </w:rPr>
            </w:pPr>
          </w:p>
        </w:tc>
      </w:tr>
      <w:tr w:rsidR="00AE2255" w14:paraId="3A07582E" w14:textId="77777777">
        <w:trPr>
          <w:trHeight w:val="256"/>
        </w:trPr>
        <w:tc>
          <w:tcPr>
            <w:tcW w:w="4185" w:type="dxa"/>
          </w:tcPr>
          <w:p w14:paraId="2B0062C7" w14:textId="77777777" w:rsidR="00AE2255" w:rsidRDefault="00000000">
            <w:pPr>
              <w:pStyle w:val="TableParagraph"/>
              <w:spacing w:before="27" w:line="208" w:lineRule="exact"/>
              <w:ind w:left="187"/>
              <w:jc w:val="left"/>
              <w:rPr>
                <w:sz w:val="20"/>
              </w:rPr>
            </w:pPr>
            <w:proofErr w:type="gramStart"/>
            <w:r>
              <w:rPr>
                <w:spacing w:val="-2"/>
                <w:sz w:val="20"/>
              </w:rPr>
              <w:t>Fixed-price</w:t>
            </w:r>
            <w:proofErr w:type="gramEnd"/>
          </w:p>
        </w:tc>
        <w:tc>
          <w:tcPr>
            <w:tcW w:w="1188" w:type="dxa"/>
          </w:tcPr>
          <w:p w14:paraId="48DA319B" w14:textId="77777777" w:rsidR="00AE2255" w:rsidRDefault="00000000">
            <w:pPr>
              <w:pStyle w:val="TableParagraph"/>
              <w:tabs>
                <w:tab w:val="left" w:pos="470"/>
              </w:tabs>
              <w:spacing w:before="0" w:line="225" w:lineRule="exact"/>
              <w:ind w:right="112"/>
              <w:rPr>
                <w:sz w:val="20"/>
              </w:rPr>
            </w:pPr>
            <w:r>
              <w:rPr>
                <w:spacing w:val="-10"/>
                <w:sz w:val="20"/>
              </w:rPr>
              <w:t>$</w:t>
            </w:r>
            <w:r>
              <w:rPr>
                <w:sz w:val="20"/>
              </w:rPr>
              <w:tab/>
            </w:r>
            <w:r>
              <w:rPr>
                <w:spacing w:val="-2"/>
                <w:sz w:val="20"/>
              </w:rPr>
              <w:t>18,477</w:t>
            </w:r>
          </w:p>
        </w:tc>
        <w:tc>
          <w:tcPr>
            <w:tcW w:w="1220" w:type="dxa"/>
          </w:tcPr>
          <w:p w14:paraId="75ADD275" w14:textId="77777777" w:rsidR="00AE2255" w:rsidRDefault="00000000">
            <w:pPr>
              <w:pStyle w:val="TableParagraph"/>
              <w:tabs>
                <w:tab w:val="left" w:pos="570"/>
              </w:tabs>
              <w:spacing w:before="0" w:line="225" w:lineRule="exact"/>
              <w:ind w:right="102"/>
              <w:rPr>
                <w:sz w:val="20"/>
              </w:rPr>
            </w:pPr>
            <w:r>
              <w:rPr>
                <w:spacing w:val="-10"/>
                <w:sz w:val="20"/>
              </w:rPr>
              <w:t>$</w:t>
            </w:r>
            <w:r>
              <w:rPr>
                <w:sz w:val="20"/>
              </w:rPr>
              <w:tab/>
            </w:r>
            <w:r>
              <w:rPr>
                <w:spacing w:val="-2"/>
                <w:sz w:val="20"/>
              </w:rPr>
              <w:t>7,587</w:t>
            </w:r>
          </w:p>
        </w:tc>
        <w:tc>
          <w:tcPr>
            <w:tcW w:w="1230" w:type="dxa"/>
          </w:tcPr>
          <w:p w14:paraId="286FD9D4"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10,795</w:t>
            </w:r>
          </w:p>
        </w:tc>
        <w:tc>
          <w:tcPr>
            <w:tcW w:w="1230" w:type="dxa"/>
          </w:tcPr>
          <w:p w14:paraId="66044F4A" w14:textId="77777777" w:rsidR="00AE2255" w:rsidRDefault="00000000">
            <w:pPr>
              <w:pStyle w:val="TableParagraph"/>
              <w:tabs>
                <w:tab w:val="left" w:pos="570"/>
              </w:tabs>
              <w:spacing w:before="0" w:line="225" w:lineRule="exact"/>
              <w:ind w:right="102"/>
              <w:rPr>
                <w:sz w:val="20"/>
              </w:rPr>
            </w:pPr>
            <w:r>
              <w:rPr>
                <w:spacing w:val="-10"/>
                <w:sz w:val="20"/>
              </w:rPr>
              <w:t>$</w:t>
            </w:r>
            <w:r>
              <w:rPr>
                <w:sz w:val="20"/>
              </w:rPr>
              <w:tab/>
            </w:r>
            <w:r>
              <w:rPr>
                <w:spacing w:val="-2"/>
                <w:sz w:val="20"/>
              </w:rPr>
              <w:t>2,247</w:t>
            </w:r>
          </w:p>
        </w:tc>
        <w:tc>
          <w:tcPr>
            <w:tcW w:w="1207" w:type="dxa"/>
          </w:tcPr>
          <w:p w14:paraId="4E62A957" w14:textId="77777777" w:rsidR="00AE2255" w:rsidRDefault="00000000">
            <w:pPr>
              <w:pStyle w:val="TableParagraph"/>
              <w:tabs>
                <w:tab w:val="left" w:pos="470"/>
              </w:tabs>
              <w:spacing w:before="0" w:line="225" w:lineRule="exact"/>
              <w:ind w:right="79"/>
              <w:rPr>
                <w:sz w:val="20"/>
              </w:rPr>
            </w:pPr>
            <w:r>
              <w:rPr>
                <w:spacing w:val="-10"/>
                <w:sz w:val="20"/>
              </w:rPr>
              <w:t>$</w:t>
            </w:r>
            <w:r>
              <w:rPr>
                <w:sz w:val="20"/>
              </w:rPr>
              <w:tab/>
            </w:r>
            <w:r>
              <w:rPr>
                <w:spacing w:val="-2"/>
                <w:sz w:val="20"/>
              </w:rPr>
              <w:t>39,106</w:t>
            </w:r>
          </w:p>
        </w:tc>
      </w:tr>
      <w:tr w:rsidR="00AE2255" w14:paraId="2831230C" w14:textId="77777777">
        <w:trPr>
          <w:trHeight w:val="245"/>
        </w:trPr>
        <w:tc>
          <w:tcPr>
            <w:tcW w:w="4185" w:type="dxa"/>
            <w:tcBorders>
              <w:bottom w:val="single" w:sz="8" w:space="0" w:color="000000"/>
            </w:tcBorders>
            <w:shd w:val="clear" w:color="auto" w:fill="CCEDFF"/>
          </w:tcPr>
          <w:p w14:paraId="46CEB3ED" w14:textId="77777777" w:rsidR="00AE2255" w:rsidRDefault="00000000">
            <w:pPr>
              <w:pStyle w:val="TableParagraph"/>
              <w:spacing w:before="27" w:line="198" w:lineRule="exact"/>
              <w:ind w:left="187"/>
              <w:jc w:val="left"/>
              <w:rPr>
                <w:sz w:val="20"/>
              </w:rPr>
            </w:pPr>
            <w:r>
              <w:rPr>
                <w:spacing w:val="-2"/>
                <w:sz w:val="20"/>
              </w:rPr>
              <w:t>Cost-reimbursable</w:t>
            </w:r>
          </w:p>
        </w:tc>
        <w:tc>
          <w:tcPr>
            <w:tcW w:w="1188" w:type="dxa"/>
            <w:tcBorders>
              <w:bottom w:val="single" w:sz="8" w:space="0" w:color="000000"/>
            </w:tcBorders>
            <w:shd w:val="clear" w:color="auto" w:fill="CCEDFF"/>
          </w:tcPr>
          <w:p w14:paraId="02D9756D" w14:textId="77777777" w:rsidR="00AE2255" w:rsidRDefault="00000000">
            <w:pPr>
              <w:pStyle w:val="TableParagraph"/>
              <w:spacing w:before="0" w:line="225" w:lineRule="exact"/>
              <w:ind w:right="112"/>
              <w:rPr>
                <w:sz w:val="20"/>
              </w:rPr>
            </w:pPr>
            <w:r>
              <w:rPr>
                <w:spacing w:val="-2"/>
                <w:sz w:val="20"/>
              </w:rPr>
              <w:t>7,789</w:t>
            </w:r>
          </w:p>
        </w:tc>
        <w:tc>
          <w:tcPr>
            <w:tcW w:w="1220" w:type="dxa"/>
            <w:tcBorders>
              <w:bottom w:val="single" w:sz="8" w:space="0" w:color="000000"/>
            </w:tcBorders>
            <w:shd w:val="clear" w:color="auto" w:fill="CCEDFF"/>
          </w:tcPr>
          <w:p w14:paraId="6B7A8068" w14:textId="77777777" w:rsidR="00AE2255" w:rsidRDefault="00000000">
            <w:pPr>
              <w:pStyle w:val="TableParagraph"/>
              <w:spacing w:before="0" w:line="225" w:lineRule="exact"/>
              <w:ind w:right="102"/>
              <w:rPr>
                <w:sz w:val="20"/>
              </w:rPr>
            </w:pPr>
            <w:r>
              <w:rPr>
                <w:spacing w:val="-2"/>
                <w:sz w:val="20"/>
              </w:rPr>
              <w:t>3,670</w:t>
            </w:r>
          </w:p>
        </w:tc>
        <w:tc>
          <w:tcPr>
            <w:tcW w:w="1230" w:type="dxa"/>
            <w:tcBorders>
              <w:bottom w:val="single" w:sz="8" w:space="0" w:color="000000"/>
            </w:tcBorders>
            <w:shd w:val="clear" w:color="auto" w:fill="CCEDFF"/>
          </w:tcPr>
          <w:p w14:paraId="559CFD42" w14:textId="77777777" w:rsidR="00AE2255" w:rsidRDefault="00000000">
            <w:pPr>
              <w:pStyle w:val="TableParagraph"/>
              <w:spacing w:before="0" w:line="225" w:lineRule="exact"/>
              <w:ind w:right="102"/>
              <w:rPr>
                <w:sz w:val="20"/>
              </w:rPr>
            </w:pPr>
            <w:r>
              <w:rPr>
                <w:spacing w:val="-2"/>
                <w:sz w:val="20"/>
              </w:rPr>
              <w:t>5,200</w:t>
            </w:r>
          </w:p>
        </w:tc>
        <w:tc>
          <w:tcPr>
            <w:tcW w:w="1230" w:type="dxa"/>
            <w:tcBorders>
              <w:bottom w:val="single" w:sz="8" w:space="0" w:color="000000"/>
            </w:tcBorders>
            <w:shd w:val="clear" w:color="auto" w:fill="CCEDFF"/>
          </w:tcPr>
          <w:p w14:paraId="02ACB7E7" w14:textId="77777777" w:rsidR="00AE2255" w:rsidRDefault="00000000">
            <w:pPr>
              <w:pStyle w:val="TableParagraph"/>
              <w:spacing w:before="0" w:line="225" w:lineRule="exact"/>
              <w:ind w:right="102"/>
              <w:rPr>
                <w:sz w:val="20"/>
              </w:rPr>
            </w:pPr>
            <w:r>
              <w:rPr>
                <w:spacing w:val="-2"/>
                <w:sz w:val="20"/>
              </w:rPr>
              <w:t>9,633</w:t>
            </w:r>
          </w:p>
        </w:tc>
        <w:tc>
          <w:tcPr>
            <w:tcW w:w="1207" w:type="dxa"/>
            <w:tcBorders>
              <w:bottom w:val="single" w:sz="8" w:space="0" w:color="000000"/>
            </w:tcBorders>
            <w:shd w:val="clear" w:color="auto" w:fill="CCEDFF"/>
          </w:tcPr>
          <w:p w14:paraId="3717D41D" w14:textId="77777777" w:rsidR="00AE2255" w:rsidRDefault="00000000">
            <w:pPr>
              <w:pStyle w:val="TableParagraph"/>
              <w:spacing w:before="0" w:line="225" w:lineRule="exact"/>
              <w:ind w:right="79"/>
              <w:rPr>
                <w:sz w:val="20"/>
              </w:rPr>
            </w:pPr>
            <w:r>
              <w:rPr>
                <w:spacing w:val="-2"/>
                <w:sz w:val="20"/>
              </w:rPr>
              <w:t>26,292</w:t>
            </w:r>
          </w:p>
        </w:tc>
      </w:tr>
      <w:tr w:rsidR="00AE2255" w14:paraId="5952819B" w14:textId="77777777">
        <w:trPr>
          <w:trHeight w:val="233"/>
        </w:trPr>
        <w:tc>
          <w:tcPr>
            <w:tcW w:w="4185" w:type="dxa"/>
            <w:tcBorders>
              <w:top w:val="single" w:sz="8" w:space="0" w:color="000000"/>
              <w:bottom w:val="single" w:sz="8" w:space="0" w:color="000000"/>
            </w:tcBorders>
          </w:tcPr>
          <w:p w14:paraId="001A4AEC" w14:textId="77777777" w:rsidR="00AE2255" w:rsidRDefault="00000000">
            <w:pPr>
              <w:pStyle w:val="TableParagraph"/>
              <w:spacing w:before="17" w:line="19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tcPr>
          <w:p w14:paraId="0BB8DEC2" w14:textId="77777777" w:rsidR="00AE2255" w:rsidRDefault="00000000">
            <w:pPr>
              <w:pStyle w:val="TableParagraph"/>
              <w:tabs>
                <w:tab w:val="left" w:pos="470"/>
              </w:tabs>
              <w:spacing w:before="0" w:line="215" w:lineRule="exact"/>
              <w:ind w:right="112"/>
              <w:rPr>
                <w:sz w:val="20"/>
              </w:rPr>
            </w:pPr>
            <w:r>
              <w:rPr>
                <w:spacing w:val="-10"/>
                <w:sz w:val="20"/>
              </w:rPr>
              <w:t>$</w:t>
            </w:r>
            <w:r>
              <w:rPr>
                <w:sz w:val="20"/>
              </w:rPr>
              <w:tab/>
            </w:r>
            <w:r>
              <w:rPr>
                <w:spacing w:val="-2"/>
                <w:sz w:val="20"/>
              </w:rPr>
              <w:t>26,266</w:t>
            </w:r>
          </w:p>
        </w:tc>
        <w:tc>
          <w:tcPr>
            <w:tcW w:w="1220" w:type="dxa"/>
            <w:tcBorders>
              <w:top w:val="single" w:sz="8" w:space="0" w:color="000000"/>
              <w:bottom w:val="single" w:sz="8" w:space="0" w:color="000000"/>
            </w:tcBorders>
          </w:tcPr>
          <w:p w14:paraId="4E467399"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11,257</w:t>
            </w:r>
          </w:p>
        </w:tc>
        <w:tc>
          <w:tcPr>
            <w:tcW w:w="1230" w:type="dxa"/>
            <w:tcBorders>
              <w:top w:val="single" w:sz="8" w:space="0" w:color="000000"/>
              <w:bottom w:val="single" w:sz="8" w:space="0" w:color="000000"/>
            </w:tcBorders>
          </w:tcPr>
          <w:p w14:paraId="7FCD827F"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15,995</w:t>
            </w:r>
          </w:p>
        </w:tc>
        <w:tc>
          <w:tcPr>
            <w:tcW w:w="1230" w:type="dxa"/>
            <w:tcBorders>
              <w:top w:val="single" w:sz="8" w:space="0" w:color="000000"/>
              <w:bottom w:val="single" w:sz="8" w:space="0" w:color="000000"/>
            </w:tcBorders>
          </w:tcPr>
          <w:p w14:paraId="0A142F76"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11,880</w:t>
            </w:r>
          </w:p>
        </w:tc>
        <w:tc>
          <w:tcPr>
            <w:tcW w:w="1207" w:type="dxa"/>
            <w:tcBorders>
              <w:top w:val="single" w:sz="8" w:space="0" w:color="000000"/>
              <w:bottom w:val="single" w:sz="8" w:space="0" w:color="000000"/>
            </w:tcBorders>
          </w:tcPr>
          <w:p w14:paraId="436D75F1" w14:textId="77777777" w:rsidR="00AE2255" w:rsidRDefault="00000000">
            <w:pPr>
              <w:pStyle w:val="TableParagraph"/>
              <w:tabs>
                <w:tab w:val="left" w:pos="470"/>
              </w:tabs>
              <w:spacing w:before="0" w:line="215" w:lineRule="exact"/>
              <w:ind w:right="79"/>
              <w:rPr>
                <w:sz w:val="20"/>
              </w:rPr>
            </w:pPr>
            <w:r>
              <w:rPr>
                <w:spacing w:val="-10"/>
                <w:sz w:val="20"/>
              </w:rPr>
              <w:t>$</w:t>
            </w:r>
            <w:r>
              <w:rPr>
                <w:sz w:val="20"/>
              </w:rPr>
              <w:tab/>
            </w:r>
            <w:r>
              <w:rPr>
                <w:spacing w:val="-2"/>
                <w:sz w:val="20"/>
              </w:rPr>
              <w:t>65,398</w:t>
            </w:r>
          </w:p>
        </w:tc>
      </w:tr>
      <w:tr w:rsidR="00AE2255" w14:paraId="6AD51B79" w14:textId="77777777">
        <w:trPr>
          <w:trHeight w:val="245"/>
        </w:trPr>
        <w:tc>
          <w:tcPr>
            <w:tcW w:w="4185" w:type="dxa"/>
            <w:tcBorders>
              <w:top w:val="single" w:sz="8" w:space="0" w:color="000000"/>
            </w:tcBorders>
            <w:shd w:val="clear" w:color="auto" w:fill="CCEDFF"/>
          </w:tcPr>
          <w:p w14:paraId="4D42F618" w14:textId="77777777" w:rsidR="00AE2255" w:rsidRDefault="00000000">
            <w:pPr>
              <w:pStyle w:val="TableParagraph"/>
              <w:spacing w:before="13" w:line="211" w:lineRule="exact"/>
              <w:ind w:left="52"/>
              <w:jc w:val="left"/>
              <w:rPr>
                <w:b/>
                <w:sz w:val="20"/>
              </w:rPr>
            </w:pPr>
            <w:r>
              <w:rPr>
                <w:b/>
                <w:sz w:val="20"/>
              </w:rPr>
              <w:t>Net</w:t>
            </w:r>
            <w:r>
              <w:rPr>
                <w:b/>
                <w:spacing w:val="-3"/>
                <w:sz w:val="20"/>
              </w:rPr>
              <w:t xml:space="preserve"> </w:t>
            </w:r>
            <w:r>
              <w:rPr>
                <w:b/>
                <w:sz w:val="20"/>
              </w:rPr>
              <w:t>sales</w:t>
            </w:r>
            <w:r>
              <w:rPr>
                <w:b/>
                <w:spacing w:val="-2"/>
                <w:sz w:val="20"/>
              </w:rPr>
              <w:t xml:space="preserve"> </w:t>
            </w:r>
            <w:r>
              <w:rPr>
                <w:b/>
                <w:sz w:val="20"/>
              </w:rPr>
              <w:t>by</w:t>
            </w:r>
            <w:r>
              <w:rPr>
                <w:b/>
                <w:spacing w:val="-2"/>
                <w:sz w:val="20"/>
              </w:rPr>
              <w:t xml:space="preserve"> customer</w:t>
            </w:r>
          </w:p>
        </w:tc>
        <w:tc>
          <w:tcPr>
            <w:tcW w:w="1188" w:type="dxa"/>
            <w:tcBorders>
              <w:top w:val="single" w:sz="8" w:space="0" w:color="000000"/>
            </w:tcBorders>
            <w:shd w:val="clear" w:color="auto" w:fill="CCEDFF"/>
          </w:tcPr>
          <w:p w14:paraId="1CE7C7F2" w14:textId="77777777" w:rsidR="00AE2255" w:rsidRDefault="00AE2255">
            <w:pPr>
              <w:pStyle w:val="TableParagraph"/>
              <w:spacing w:before="0"/>
              <w:jc w:val="left"/>
              <w:rPr>
                <w:sz w:val="16"/>
              </w:rPr>
            </w:pPr>
          </w:p>
        </w:tc>
        <w:tc>
          <w:tcPr>
            <w:tcW w:w="1220" w:type="dxa"/>
            <w:tcBorders>
              <w:top w:val="single" w:sz="8" w:space="0" w:color="000000"/>
            </w:tcBorders>
            <w:shd w:val="clear" w:color="auto" w:fill="CCEDFF"/>
          </w:tcPr>
          <w:p w14:paraId="02EE3E7F"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08E04EBB" w14:textId="77777777" w:rsidR="00AE2255" w:rsidRDefault="00AE2255">
            <w:pPr>
              <w:pStyle w:val="TableParagraph"/>
              <w:spacing w:before="0"/>
              <w:jc w:val="left"/>
              <w:rPr>
                <w:sz w:val="16"/>
              </w:rPr>
            </w:pPr>
          </w:p>
        </w:tc>
        <w:tc>
          <w:tcPr>
            <w:tcW w:w="1230" w:type="dxa"/>
            <w:tcBorders>
              <w:top w:val="single" w:sz="8" w:space="0" w:color="000000"/>
            </w:tcBorders>
            <w:shd w:val="clear" w:color="auto" w:fill="CCEDFF"/>
          </w:tcPr>
          <w:p w14:paraId="2038FF14" w14:textId="77777777" w:rsidR="00AE2255" w:rsidRDefault="00AE2255">
            <w:pPr>
              <w:pStyle w:val="TableParagraph"/>
              <w:spacing w:before="0"/>
              <w:jc w:val="left"/>
              <w:rPr>
                <w:sz w:val="16"/>
              </w:rPr>
            </w:pPr>
          </w:p>
        </w:tc>
        <w:tc>
          <w:tcPr>
            <w:tcW w:w="1207" w:type="dxa"/>
            <w:tcBorders>
              <w:top w:val="single" w:sz="8" w:space="0" w:color="000000"/>
            </w:tcBorders>
            <w:shd w:val="clear" w:color="auto" w:fill="CCEDFF"/>
          </w:tcPr>
          <w:p w14:paraId="459E7401" w14:textId="77777777" w:rsidR="00AE2255" w:rsidRDefault="00AE2255">
            <w:pPr>
              <w:pStyle w:val="TableParagraph"/>
              <w:spacing w:before="0"/>
              <w:jc w:val="left"/>
              <w:rPr>
                <w:sz w:val="16"/>
              </w:rPr>
            </w:pPr>
          </w:p>
        </w:tc>
      </w:tr>
      <w:tr w:rsidR="00AE2255" w14:paraId="26806036" w14:textId="77777777">
        <w:trPr>
          <w:trHeight w:val="256"/>
        </w:trPr>
        <w:tc>
          <w:tcPr>
            <w:tcW w:w="4185" w:type="dxa"/>
          </w:tcPr>
          <w:p w14:paraId="0C8BCFAB" w14:textId="77777777" w:rsidR="00AE2255" w:rsidRDefault="00000000">
            <w:pPr>
              <w:pStyle w:val="TableParagraph"/>
              <w:spacing w:before="27" w:line="208" w:lineRule="exact"/>
              <w:ind w:left="187"/>
              <w:jc w:val="left"/>
              <w:rPr>
                <w:sz w:val="20"/>
              </w:rPr>
            </w:pPr>
            <w:r>
              <w:rPr>
                <w:sz w:val="20"/>
              </w:rPr>
              <w:t>U.S.</w:t>
            </w:r>
            <w:r>
              <w:rPr>
                <w:spacing w:val="-2"/>
                <w:sz w:val="20"/>
              </w:rPr>
              <w:t xml:space="preserve"> Government</w:t>
            </w:r>
          </w:p>
        </w:tc>
        <w:tc>
          <w:tcPr>
            <w:tcW w:w="1188" w:type="dxa"/>
          </w:tcPr>
          <w:p w14:paraId="6AAA9D5F" w14:textId="77777777" w:rsidR="00AE2255" w:rsidRDefault="00000000">
            <w:pPr>
              <w:pStyle w:val="TableParagraph"/>
              <w:tabs>
                <w:tab w:val="left" w:pos="470"/>
              </w:tabs>
              <w:spacing w:before="0" w:line="225" w:lineRule="exact"/>
              <w:ind w:right="112"/>
              <w:rPr>
                <w:sz w:val="20"/>
              </w:rPr>
            </w:pPr>
            <w:r>
              <w:rPr>
                <w:spacing w:val="-10"/>
                <w:sz w:val="20"/>
              </w:rPr>
              <w:t>$</w:t>
            </w:r>
            <w:r>
              <w:rPr>
                <w:sz w:val="20"/>
              </w:rPr>
              <w:tab/>
            </w:r>
            <w:r>
              <w:rPr>
                <w:spacing w:val="-2"/>
                <w:sz w:val="20"/>
              </w:rPr>
              <w:t>18,175</w:t>
            </w:r>
          </w:p>
        </w:tc>
        <w:tc>
          <w:tcPr>
            <w:tcW w:w="1220" w:type="dxa"/>
          </w:tcPr>
          <w:p w14:paraId="2E6445F1" w14:textId="77777777" w:rsidR="00AE2255" w:rsidRDefault="00000000">
            <w:pPr>
              <w:pStyle w:val="TableParagraph"/>
              <w:tabs>
                <w:tab w:val="left" w:pos="570"/>
              </w:tabs>
              <w:spacing w:before="0" w:line="225" w:lineRule="exact"/>
              <w:ind w:right="102"/>
              <w:rPr>
                <w:sz w:val="20"/>
              </w:rPr>
            </w:pPr>
            <w:r>
              <w:rPr>
                <w:spacing w:val="-10"/>
                <w:sz w:val="20"/>
              </w:rPr>
              <w:t>$</w:t>
            </w:r>
            <w:r>
              <w:rPr>
                <w:sz w:val="20"/>
              </w:rPr>
              <w:tab/>
            </w:r>
            <w:r>
              <w:rPr>
                <w:spacing w:val="-2"/>
                <w:sz w:val="20"/>
              </w:rPr>
              <w:t>8,404</w:t>
            </w:r>
          </w:p>
        </w:tc>
        <w:tc>
          <w:tcPr>
            <w:tcW w:w="1230" w:type="dxa"/>
          </w:tcPr>
          <w:p w14:paraId="57DBEEC3"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11,596</w:t>
            </w:r>
          </w:p>
        </w:tc>
        <w:tc>
          <w:tcPr>
            <w:tcW w:w="1230" w:type="dxa"/>
          </w:tcPr>
          <w:p w14:paraId="2B63A23B"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10,293</w:t>
            </w:r>
          </w:p>
        </w:tc>
        <w:tc>
          <w:tcPr>
            <w:tcW w:w="1207" w:type="dxa"/>
          </w:tcPr>
          <w:p w14:paraId="285380C9" w14:textId="77777777" w:rsidR="00AE2255" w:rsidRDefault="00000000">
            <w:pPr>
              <w:pStyle w:val="TableParagraph"/>
              <w:tabs>
                <w:tab w:val="left" w:pos="470"/>
              </w:tabs>
              <w:spacing w:before="0" w:line="225" w:lineRule="exact"/>
              <w:ind w:right="79"/>
              <w:rPr>
                <w:sz w:val="20"/>
              </w:rPr>
            </w:pPr>
            <w:r>
              <w:rPr>
                <w:spacing w:val="-10"/>
                <w:sz w:val="20"/>
              </w:rPr>
              <w:t>$</w:t>
            </w:r>
            <w:r>
              <w:rPr>
                <w:sz w:val="20"/>
              </w:rPr>
              <w:tab/>
            </w:r>
            <w:r>
              <w:rPr>
                <w:spacing w:val="-2"/>
                <w:sz w:val="20"/>
              </w:rPr>
              <w:t>48,468</w:t>
            </w:r>
          </w:p>
        </w:tc>
      </w:tr>
      <w:tr w:rsidR="00AE2255" w14:paraId="5AA0BFC0" w14:textId="77777777">
        <w:trPr>
          <w:trHeight w:val="255"/>
        </w:trPr>
        <w:tc>
          <w:tcPr>
            <w:tcW w:w="4185" w:type="dxa"/>
            <w:shd w:val="clear" w:color="auto" w:fill="CCEDFF"/>
          </w:tcPr>
          <w:p w14:paraId="25F7AC25" w14:textId="77777777" w:rsidR="00AE2255" w:rsidRDefault="00000000">
            <w:pPr>
              <w:pStyle w:val="TableParagraph"/>
              <w:spacing w:before="27" w:line="208" w:lineRule="exact"/>
              <w:ind w:left="187"/>
              <w:jc w:val="left"/>
              <w:rPr>
                <w:sz w:val="20"/>
              </w:rPr>
            </w:pPr>
            <w:r>
              <w:rPr>
                <w:sz w:val="20"/>
              </w:rPr>
              <w:t>International</w:t>
            </w:r>
            <w:r>
              <w:rPr>
                <w:spacing w:val="-7"/>
                <w:sz w:val="20"/>
              </w:rPr>
              <w:t xml:space="preserve"> </w:t>
            </w:r>
            <w:r>
              <w:rPr>
                <w:spacing w:val="-5"/>
                <w:sz w:val="20"/>
                <w:vertAlign w:val="superscript"/>
              </w:rPr>
              <w:t>(a)</w:t>
            </w:r>
          </w:p>
        </w:tc>
        <w:tc>
          <w:tcPr>
            <w:tcW w:w="1188" w:type="dxa"/>
            <w:shd w:val="clear" w:color="auto" w:fill="CCEDFF"/>
          </w:tcPr>
          <w:p w14:paraId="2993C795" w14:textId="77777777" w:rsidR="00AE2255" w:rsidRDefault="00000000">
            <w:pPr>
              <w:pStyle w:val="TableParagraph"/>
              <w:spacing w:before="0" w:line="225" w:lineRule="exact"/>
              <w:ind w:right="112"/>
              <w:rPr>
                <w:sz w:val="20"/>
              </w:rPr>
            </w:pPr>
            <w:r>
              <w:rPr>
                <w:spacing w:val="-2"/>
                <w:sz w:val="20"/>
              </w:rPr>
              <w:t>8,012</w:t>
            </w:r>
          </w:p>
        </w:tc>
        <w:tc>
          <w:tcPr>
            <w:tcW w:w="1220" w:type="dxa"/>
            <w:shd w:val="clear" w:color="auto" w:fill="CCEDFF"/>
          </w:tcPr>
          <w:p w14:paraId="255C6530" w14:textId="77777777" w:rsidR="00AE2255" w:rsidRDefault="00000000">
            <w:pPr>
              <w:pStyle w:val="TableParagraph"/>
              <w:spacing w:before="0" w:line="225" w:lineRule="exact"/>
              <w:ind w:right="102"/>
              <w:rPr>
                <w:sz w:val="20"/>
              </w:rPr>
            </w:pPr>
            <w:r>
              <w:rPr>
                <w:spacing w:val="-2"/>
                <w:sz w:val="20"/>
              </w:rPr>
              <w:t>2,842</w:t>
            </w:r>
          </w:p>
        </w:tc>
        <w:tc>
          <w:tcPr>
            <w:tcW w:w="1230" w:type="dxa"/>
            <w:shd w:val="clear" w:color="auto" w:fill="CCEDFF"/>
          </w:tcPr>
          <w:p w14:paraId="64A2B5E8" w14:textId="77777777" w:rsidR="00AE2255" w:rsidRDefault="00000000">
            <w:pPr>
              <w:pStyle w:val="TableParagraph"/>
              <w:spacing w:before="0" w:line="225" w:lineRule="exact"/>
              <w:ind w:right="102"/>
              <w:rPr>
                <w:sz w:val="20"/>
              </w:rPr>
            </w:pPr>
            <w:r>
              <w:rPr>
                <w:spacing w:val="-2"/>
                <w:sz w:val="20"/>
              </w:rPr>
              <w:t>3,986</w:t>
            </w:r>
          </w:p>
        </w:tc>
        <w:tc>
          <w:tcPr>
            <w:tcW w:w="1230" w:type="dxa"/>
            <w:shd w:val="clear" w:color="auto" w:fill="CCEDFF"/>
          </w:tcPr>
          <w:p w14:paraId="51296C75" w14:textId="77777777" w:rsidR="00AE2255" w:rsidRDefault="00000000">
            <w:pPr>
              <w:pStyle w:val="TableParagraph"/>
              <w:spacing w:before="0" w:line="225" w:lineRule="exact"/>
              <w:ind w:right="102"/>
              <w:rPr>
                <w:sz w:val="20"/>
              </w:rPr>
            </w:pPr>
            <w:r>
              <w:rPr>
                <w:spacing w:val="-2"/>
                <w:sz w:val="20"/>
              </w:rPr>
              <w:t>1,546</w:t>
            </w:r>
          </w:p>
        </w:tc>
        <w:tc>
          <w:tcPr>
            <w:tcW w:w="1207" w:type="dxa"/>
            <w:shd w:val="clear" w:color="auto" w:fill="CCEDFF"/>
          </w:tcPr>
          <w:p w14:paraId="3D32A2EA" w14:textId="77777777" w:rsidR="00AE2255" w:rsidRDefault="00000000">
            <w:pPr>
              <w:pStyle w:val="TableParagraph"/>
              <w:spacing w:before="0" w:line="225" w:lineRule="exact"/>
              <w:ind w:right="79"/>
              <w:rPr>
                <w:sz w:val="20"/>
              </w:rPr>
            </w:pPr>
            <w:r>
              <w:rPr>
                <w:spacing w:val="-2"/>
                <w:sz w:val="20"/>
              </w:rPr>
              <w:t>16,386</w:t>
            </w:r>
          </w:p>
        </w:tc>
      </w:tr>
      <w:tr w:rsidR="00AE2255" w14:paraId="23355B83" w14:textId="77777777">
        <w:trPr>
          <w:trHeight w:val="245"/>
        </w:trPr>
        <w:tc>
          <w:tcPr>
            <w:tcW w:w="4185" w:type="dxa"/>
            <w:tcBorders>
              <w:bottom w:val="single" w:sz="8" w:space="0" w:color="000000"/>
            </w:tcBorders>
          </w:tcPr>
          <w:p w14:paraId="63E9134C" w14:textId="77777777" w:rsidR="00AE2255" w:rsidRDefault="00000000">
            <w:pPr>
              <w:pStyle w:val="TableParagraph"/>
              <w:spacing w:before="27" w:line="198" w:lineRule="exact"/>
              <w:ind w:left="187"/>
              <w:jc w:val="left"/>
              <w:rPr>
                <w:sz w:val="20"/>
              </w:rPr>
            </w:pPr>
            <w:r>
              <w:rPr>
                <w:sz w:val="20"/>
              </w:rPr>
              <w:t>U.S.</w:t>
            </w:r>
            <w:r>
              <w:rPr>
                <w:spacing w:val="-4"/>
                <w:sz w:val="20"/>
              </w:rPr>
              <w:t xml:space="preserve"> </w:t>
            </w:r>
            <w:r>
              <w:rPr>
                <w:sz w:val="20"/>
              </w:rPr>
              <w:t>commercial</w:t>
            </w:r>
            <w:r>
              <w:rPr>
                <w:spacing w:val="-4"/>
                <w:sz w:val="20"/>
              </w:rPr>
              <w:t xml:space="preserve"> </w:t>
            </w:r>
            <w:r>
              <w:rPr>
                <w:sz w:val="20"/>
              </w:rPr>
              <w:t>and</w:t>
            </w:r>
            <w:r>
              <w:rPr>
                <w:spacing w:val="-3"/>
                <w:sz w:val="20"/>
              </w:rPr>
              <w:t xml:space="preserve"> </w:t>
            </w:r>
            <w:r>
              <w:rPr>
                <w:spacing w:val="-4"/>
                <w:sz w:val="20"/>
              </w:rPr>
              <w:t>other</w:t>
            </w:r>
          </w:p>
        </w:tc>
        <w:tc>
          <w:tcPr>
            <w:tcW w:w="1188" w:type="dxa"/>
            <w:tcBorders>
              <w:bottom w:val="single" w:sz="8" w:space="0" w:color="000000"/>
            </w:tcBorders>
          </w:tcPr>
          <w:p w14:paraId="7F962FAF" w14:textId="77777777" w:rsidR="00AE2255" w:rsidRDefault="00000000">
            <w:pPr>
              <w:pStyle w:val="TableParagraph"/>
              <w:spacing w:before="0" w:line="225" w:lineRule="exact"/>
              <w:ind w:right="112"/>
              <w:rPr>
                <w:sz w:val="20"/>
              </w:rPr>
            </w:pPr>
            <w:r>
              <w:rPr>
                <w:spacing w:val="-5"/>
                <w:sz w:val="20"/>
              </w:rPr>
              <w:t>79</w:t>
            </w:r>
          </w:p>
        </w:tc>
        <w:tc>
          <w:tcPr>
            <w:tcW w:w="1220" w:type="dxa"/>
            <w:tcBorders>
              <w:bottom w:val="single" w:sz="8" w:space="0" w:color="000000"/>
            </w:tcBorders>
          </w:tcPr>
          <w:p w14:paraId="3FB04E0D" w14:textId="77777777" w:rsidR="00AE2255" w:rsidRDefault="00000000">
            <w:pPr>
              <w:pStyle w:val="TableParagraph"/>
              <w:spacing w:before="0" w:line="225" w:lineRule="exact"/>
              <w:ind w:right="102"/>
              <w:rPr>
                <w:sz w:val="20"/>
              </w:rPr>
            </w:pPr>
            <w:r>
              <w:rPr>
                <w:spacing w:val="-5"/>
                <w:sz w:val="20"/>
              </w:rPr>
              <w:t>11</w:t>
            </w:r>
          </w:p>
        </w:tc>
        <w:tc>
          <w:tcPr>
            <w:tcW w:w="1230" w:type="dxa"/>
            <w:tcBorders>
              <w:bottom w:val="single" w:sz="8" w:space="0" w:color="000000"/>
            </w:tcBorders>
          </w:tcPr>
          <w:p w14:paraId="69AF1DC4" w14:textId="77777777" w:rsidR="00AE2255" w:rsidRDefault="00000000">
            <w:pPr>
              <w:pStyle w:val="TableParagraph"/>
              <w:spacing w:before="0" w:line="225" w:lineRule="exact"/>
              <w:ind w:right="102"/>
              <w:rPr>
                <w:sz w:val="20"/>
              </w:rPr>
            </w:pPr>
            <w:r>
              <w:rPr>
                <w:spacing w:val="-5"/>
                <w:sz w:val="20"/>
              </w:rPr>
              <w:t>413</w:t>
            </w:r>
          </w:p>
        </w:tc>
        <w:tc>
          <w:tcPr>
            <w:tcW w:w="1230" w:type="dxa"/>
            <w:tcBorders>
              <w:bottom w:val="single" w:sz="8" w:space="0" w:color="000000"/>
            </w:tcBorders>
          </w:tcPr>
          <w:p w14:paraId="7E15C842" w14:textId="77777777" w:rsidR="00AE2255" w:rsidRDefault="00000000">
            <w:pPr>
              <w:pStyle w:val="TableParagraph"/>
              <w:spacing w:before="0" w:line="225" w:lineRule="exact"/>
              <w:ind w:right="102"/>
              <w:rPr>
                <w:sz w:val="20"/>
              </w:rPr>
            </w:pPr>
            <w:r>
              <w:rPr>
                <w:spacing w:val="-5"/>
                <w:sz w:val="20"/>
              </w:rPr>
              <w:t>41</w:t>
            </w:r>
          </w:p>
        </w:tc>
        <w:tc>
          <w:tcPr>
            <w:tcW w:w="1207" w:type="dxa"/>
            <w:tcBorders>
              <w:bottom w:val="single" w:sz="8" w:space="0" w:color="000000"/>
            </w:tcBorders>
          </w:tcPr>
          <w:p w14:paraId="24B086F0" w14:textId="77777777" w:rsidR="00AE2255" w:rsidRDefault="00000000">
            <w:pPr>
              <w:pStyle w:val="TableParagraph"/>
              <w:spacing w:before="0" w:line="225" w:lineRule="exact"/>
              <w:ind w:right="79"/>
              <w:rPr>
                <w:sz w:val="20"/>
              </w:rPr>
            </w:pPr>
            <w:r>
              <w:rPr>
                <w:spacing w:val="-5"/>
                <w:sz w:val="20"/>
              </w:rPr>
              <w:t>544</w:t>
            </w:r>
          </w:p>
        </w:tc>
      </w:tr>
      <w:tr w:rsidR="00AE2255" w14:paraId="6700946D" w14:textId="77777777">
        <w:trPr>
          <w:trHeight w:val="233"/>
        </w:trPr>
        <w:tc>
          <w:tcPr>
            <w:tcW w:w="4185" w:type="dxa"/>
            <w:tcBorders>
              <w:top w:val="single" w:sz="8" w:space="0" w:color="000000"/>
              <w:bottom w:val="single" w:sz="8" w:space="0" w:color="000000"/>
            </w:tcBorders>
            <w:shd w:val="clear" w:color="auto" w:fill="CCEDFF"/>
          </w:tcPr>
          <w:p w14:paraId="51047E84" w14:textId="77777777" w:rsidR="00AE2255" w:rsidRDefault="00000000">
            <w:pPr>
              <w:pStyle w:val="TableParagraph"/>
              <w:spacing w:before="17" w:line="198"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8" w:space="0" w:color="000000"/>
            </w:tcBorders>
            <w:shd w:val="clear" w:color="auto" w:fill="CCEDFF"/>
          </w:tcPr>
          <w:p w14:paraId="34766432" w14:textId="77777777" w:rsidR="00AE2255" w:rsidRDefault="00000000">
            <w:pPr>
              <w:pStyle w:val="TableParagraph"/>
              <w:tabs>
                <w:tab w:val="left" w:pos="470"/>
              </w:tabs>
              <w:spacing w:before="0" w:line="215" w:lineRule="exact"/>
              <w:ind w:right="112"/>
              <w:rPr>
                <w:sz w:val="20"/>
              </w:rPr>
            </w:pPr>
            <w:r>
              <w:rPr>
                <w:spacing w:val="-10"/>
                <w:sz w:val="20"/>
              </w:rPr>
              <w:t>$</w:t>
            </w:r>
            <w:r>
              <w:rPr>
                <w:sz w:val="20"/>
              </w:rPr>
              <w:tab/>
            </w:r>
            <w:r>
              <w:rPr>
                <w:spacing w:val="-2"/>
                <w:sz w:val="20"/>
              </w:rPr>
              <w:t>26,266</w:t>
            </w:r>
          </w:p>
        </w:tc>
        <w:tc>
          <w:tcPr>
            <w:tcW w:w="1220" w:type="dxa"/>
            <w:tcBorders>
              <w:top w:val="single" w:sz="8" w:space="0" w:color="000000"/>
              <w:bottom w:val="single" w:sz="8" w:space="0" w:color="000000"/>
            </w:tcBorders>
            <w:shd w:val="clear" w:color="auto" w:fill="CCEDFF"/>
          </w:tcPr>
          <w:p w14:paraId="3CEEAEA0"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11,257</w:t>
            </w:r>
          </w:p>
        </w:tc>
        <w:tc>
          <w:tcPr>
            <w:tcW w:w="1230" w:type="dxa"/>
            <w:tcBorders>
              <w:top w:val="single" w:sz="8" w:space="0" w:color="000000"/>
              <w:bottom w:val="single" w:sz="8" w:space="0" w:color="000000"/>
            </w:tcBorders>
            <w:shd w:val="clear" w:color="auto" w:fill="CCEDFF"/>
          </w:tcPr>
          <w:p w14:paraId="2BAE0F83"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15,995</w:t>
            </w:r>
          </w:p>
        </w:tc>
        <w:tc>
          <w:tcPr>
            <w:tcW w:w="1230" w:type="dxa"/>
            <w:tcBorders>
              <w:top w:val="single" w:sz="8" w:space="0" w:color="000000"/>
              <w:bottom w:val="single" w:sz="8" w:space="0" w:color="000000"/>
            </w:tcBorders>
            <w:shd w:val="clear" w:color="auto" w:fill="CCEDFF"/>
          </w:tcPr>
          <w:p w14:paraId="4F95D0D5" w14:textId="77777777" w:rsidR="00AE2255" w:rsidRDefault="00000000">
            <w:pPr>
              <w:pStyle w:val="TableParagraph"/>
              <w:tabs>
                <w:tab w:val="left" w:pos="470"/>
              </w:tabs>
              <w:spacing w:before="0" w:line="215" w:lineRule="exact"/>
              <w:ind w:right="102"/>
              <w:rPr>
                <w:sz w:val="20"/>
              </w:rPr>
            </w:pPr>
            <w:r>
              <w:rPr>
                <w:spacing w:val="-10"/>
                <w:sz w:val="20"/>
              </w:rPr>
              <w:t>$</w:t>
            </w:r>
            <w:r>
              <w:rPr>
                <w:sz w:val="20"/>
              </w:rPr>
              <w:tab/>
            </w:r>
            <w:r>
              <w:rPr>
                <w:spacing w:val="-2"/>
                <w:sz w:val="20"/>
              </w:rPr>
              <w:t>11,880</w:t>
            </w:r>
          </w:p>
        </w:tc>
        <w:tc>
          <w:tcPr>
            <w:tcW w:w="1207" w:type="dxa"/>
            <w:tcBorders>
              <w:top w:val="single" w:sz="8" w:space="0" w:color="000000"/>
              <w:bottom w:val="single" w:sz="8" w:space="0" w:color="000000"/>
            </w:tcBorders>
            <w:shd w:val="clear" w:color="auto" w:fill="CCEDFF"/>
          </w:tcPr>
          <w:p w14:paraId="417956B7" w14:textId="77777777" w:rsidR="00AE2255" w:rsidRDefault="00000000">
            <w:pPr>
              <w:pStyle w:val="TableParagraph"/>
              <w:tabs>
                <w:tab w:val="left" w:pos="470"/>
              </w:tabs>
              <w:spacing w:before="0" w:line="215" w:lineRule="exact"/>
              <w:ind w:right="79"/>
              <w:rPr>
                <w:sz w:val="20"/>
              </w:rPr>
            </w:pPr>
            <w:r>
              <w:rPr>
                <w:spacing w:val="-10"/>
                <w:sz w:val="20"/>
              </w:rPr>
              <w:t>$</w:t>
            </w:r>
            <w:r>
              <w:rPr>
                <w:sz w:val="20"/>
              </w:rPr>
              <w:tab/>
            </w:r>
            <w:r>
              <w:rPr>
                <w:spacing w:val="-2"/>
                <w:sz w:val="20"/>
              </w:rPr>
              <w:t>65,398</w:t>
            </w:r>
          </w:p>
        </w:tc>
      </w:tr>
      <w:tr w:rsidR="00AE2255" w14:paraId="27876462" w14:textId="77777777">
        <w:trPr>
          <w:trHeight w:val="243"/>
        </w:trPr>
        <w:tc>
          <w:tcPr>
            <w:tcW w:w="4185" w:type="dxa"/>
          </w:tcPr>
          <w:p w14:paraId="1C4B13A9" w14:textId="77777777" w:rsidR="00AE2255" w:rsidRDefault="00000000">
            <w:pPr>
              <w:pStyle w:val="TableParagraph"/>
              <w:spacing w:before="13" w:line="210" w:lineRule="exact"/>
              <w:ind w:left="52"/>
              <w:jc w:val="left"/>
              <w:rPr>
                <w:b/>
                <w:sz w:val="20"/>
              </w:rPr>
            </w:pPr>
            <w:r>
              <w:rPr>
                <w:b/>
                <w:sz w:val="20"/>
              </w:rPr>
              <w:t>Net</w:t>
            </w:r>
            <w:r>
              <w:rPr>
                <w:b/>
                <w:spacing w:val="-3"/>
                <w:sz w:val="20"/>
              </w:rPr>
              <w:t xml:space="preserve"> </w:t>
            </w:r>
            <w:r>
              <w:rPr>
                <w:b/>
                <w:sz w:val="20"/>
              </w:rPr>
              <w:t>sales</w:t>
            </w:r>
            <w:r>
              <w:rPr>
                <w:b/>
                <w:spacing w:val="-4"/>
                <w:sz w:val="20"/>
              </w:rPr>
              <w:t xml:space="preserve"> </w:t>
            </w:r>
            <w:r>
              <w:rPr>
                <w:b/>
                <w:sz w:val="20"/>
              </w:rPr>
              <w:t>by</w:t>
            </w:r>
            <w:r>
              <w:rPr>
                <w:b/>
                <w:spacing w:val="-3"/>
                <w:sz w:val="20"/>
              </w:rPr>
              <w:t xml:space="preserve"> </w:t>
            </w:r>
            <w:r>
              <w:rPr>
                <w:b/>
                <w:sz w:val="20"/>
              </w:rPr>
              <w:t>geographic</w:t>
            </w:r>
            <w:r>
              <w:rPr>
                <w:b/>
                <w:spacing w:val="-3"/>
                <w:sz w:val="20"/>
              </w:rPr>
              <w:t xml:space="preserve"> </w:t>
            </w:r>
            <w:r>
              <w:rPr>
                <w:b/>
                <w:spacing w:val="-2"/>
                <w:sz w:val="20"/>
              </w:rPr>
              <w:t>region</w:t>
            </w:r>
          </w:p>
        </w:tc>
        <w:tc>
          <w:tcPr>
            <w:tcW w:w="1188" w:type="dxa"/>
          </w:tcPr>
          <w:p w14:paraId="073DE9C1" w14:textId="77777777" w:rsidR="00AE2255" w:rsidRDefault="00AE2255">
            <w:pPr>
              <w:pStyle w:val="TableParagraph"/>
              <w:spacing w:before="0"/>
              <w:jc w:val="left"/>
              <w:rPr>
                <w:sz w:val="16"/>
              </w:rPr>
            </w:pPr>
          </w:p>
        </w:tc>
        <w:tc>
          <w:tcPr>
            <w:tcW w:w="1220" w:type="dxa"/>
          </w:tcPr>
          <w:p w14:paraId="6D3D3CCB" w14:textId="77777777" w:rsidR="00AE2255" w:rsidRDefault="00AE2255">
            <w:pPr>
              <w:pStyle w:val="TableParagraph"/>
              <w:spacing w:before="0"/>
              <w:jc w:val="left"/>
              <w:rPr>
                <w:sz w:val="16"/>
              </w:rPr>
            </w:pPr>
          </w:p>
        </w:tc>
        <w:tc>
          <w:tcPr>
            <w:tcW w:w="1230" w:type="dxa"/>
          </w:tcPr>
          <w:p w14:paraId="615233FA" w14:textId="77777777" w:rsidR="00AE2255" w:rsidRDefault="00AE2255">
            <w:pPr>
              <w:pStyle w:val="TableParagraph"/>
              <w:spacing w:before="0"/>
              <w:jc w:val="left"/>
              <w:rPr>
                <w:sz w:val="16"/>
              </w:rPr>
            </w:pPr>
          </w:p>
        </w:tc>
        <w:tc>
          <w:tcPr>
            <w:tcW w:w="1230" w:type="dxa"/>
          </w:tcPr>
          <w:p w14:paraId="29A0DDF4" w14:textId="77777777" w:rsidR="00AE2255" w:rsidRDefault="00AE2255">
            <w:pPr>
              <w:pStyle w:val="TableParagraph"/>
              <w:spacing w:before="0"/>
              <w:jc w:val="left"/>
              <w:rPr>
                <w:sz w:val="16"/>
              </w:rPr>
            </w:pPr>
          </w:p>
        </w:tc>
        <w:tc>
          <w:tcPr>
            <w:tcW w:w="1207" w:type="dxa"/>
          </w:tcPr>
          <w:p w14:paraId="1B6FB535" w14:textId="77777777" w:rsidR="00AE2255" w:rsidRDefault="00AE2255">
            <w:pPr>
              <w:pStyle w:val="TableParagraph"/>
              <w:spacing w:before="0"/>
              <w:jc w:val="left"/>
              <w:rPr>
                <w:sz w:val="16"/>
              </w:rPr>
            </w:pPr>
          </w:p>
        </w:tc>
      </w:tr>
      <w:tr w:rsidR="00AE2255" w14:paraId="69D61234" w14:textId="77777777">
        <w:trPr>
          <w:trHeight w:val="258"/>
        </w:trPr>
        <w:tc>
          <w:tcPr>
            <w:tcW w:w="4185" w:type="dxa"/>
            <w:shd w:val="clear" w:color="auto" w:fill="CCEDFF"/>
          </w:tcPr>
          <w:p w14:paraId="1022CAF0" w14:textId="77777777" w:rsidR="00AE2255" w:rsidRDefault="00000000">
            <w:pPr>
              <w:pStyle w:val="TableParagraph"/>
              <w:spacing w:before="27" w:line="208" w:lineRule="exact"/>
              <w:ind w:left="187"/>
              <w:jc w:val="left"/>
              <w:rPr>
                <w:sz w:val="20"/>
              </w:rPr>
            </w:pPr>
            <w:r>
              <w:rPr>
                <w:sz w:val="20"/>
              </w:rPr>
              <w:t>United</w:t>
            </w:r>
            <w:r>
              <w:rPr>
                <w:spacing w:val="-4"/>
                <w:sz w:val="20"/>
              </w:rPr>
              <w:t xml:space="preserve"> </w:t>
            </w:r>
            <w:r>
              <w:rPr>
                <w:spacing w:val="-2"/>
                <w:sz w:val="20"/>
              </w:rPr>
              <w:t>States</w:t>
            </w:r>
          </w:p>
        </w:tc>
        <w:tc>
          <w:tcPr>
            <w:tcW w:w="1188" w:type="dxa"/>
            <w:shd w:val="clear" w:color="auto" w:fill="CCEDFF"/>
          </w:tcPr>
          <w:p w14:paraId="21D009AB" w14:textId="77777777" w:rsidR="00AE2255" w:rsidRDefault="00000000">
            <w:pPr>
              <w:pStyle w:val="TableParagraph"/>
              <w:tabs>
                <w:tab w:val="left" w:pos="470"/>
              </w:tabs>
              <w:spacing w:before="0" w:line="225" w:lineRule="exact"/>
              <w:ind w:right="112"/>
              <w:rPr>
                <w:sz w:val="20"/>
              </w:rPr>
            </w:pPr>
            <w:r>
              <w:rPr>
                <w:spacing w:val="-10"/>
                <w:sz w:val="20"/>
              </w:rPr>
              <w:t>$</w:t>
            </w:r>
            <w:r>
              <w:rPr>
                <w:sz w:val="20"/>
              </w:rPr>
              <w:tab/>
            </w:r>
            <w:r>
              <w:rPr>
                <w:spacing w:val="-2"/>
                <w:sz w:val="20"/>
              </w:rPr>
              <w:t>18,254</w:t>
            </w:r>
          </w:p>
        </w:tc>
        <w:tc>
          <w:tcPr>
            <w:tcW w:w="1220" w:type="dxa"/>
            <w:shd w:val="clear" w:color="auto" w:fill="CCEDFF"/>
          </w:tcPr>
          <w:p w14:paraId="450FAC9A" w14:textId="77777777" w:rsidR="00AE2255" w:rsidRDefault="00000000">
            <w:pPr>
              <w:pStyle w:val="TableParagraph"/>
              <w:tabs>
                <w:tab w:val="left" w:pos="570"/>
              </w:tabs>
              <w:spacing w:before="0" w:line="225" w:lineRule="exact"/>
              <w:ind w:right="102"/>
              <w:rPr>
                <w:sz w:val="20"/>
              </w:rPr>
            </w:pPr>
            <w:r>
              <w:rPr>
                <w:spacing w:val="-10"/>
                <w:sz w:val="20"/>
              </w:rPr>
              <w:t>$</w:t>
            </w:r>
            <w:r>
              <w:rPr>
                <w:sz w:val="20"/>
              </w:rPr>
              <w:tab/>
            </w:r>
            <w:r>
              <w:rPr>
                <w:spacing w:val="-2"/>
                <w:sz w:val="20"/>
              </w:rPr>
              <w:t>8,415</w:t>
            </w:r>
          </w:p>
        </w:tc>
        <w:tc>
          <w:tcPr>
            <w:tcW w:w="1230" w:type="dxa"/>
            <w:shd w:val="clear" w:color="auto" w:fill="CCEDFF"/>
          </w:tcPr>
          <w:p w14:paraId="055D74BA"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12,009</w:t>
            </w:r>
          </w:p>
        </w:tc>
        <w:tc>
          <w:tcPr>
            <w:tcW w:w="1230" w:type="dxa"/>
            <w:shd w:val="clear" w:color="auto" w:fill="CCEDFF"/>
          </w:tcPr>
          <w:p w14:paraId="6D53C2CF" w14:textId="77777777" w:rsidR="00AE2255" w:rsidRDefault="00000000">
            <w:pPr>
              <w:pStyle w:val="TableParagraph"/>
              <w:tabs>
                <w:tab w:val="left" w:pos="470"/>
              </w:tabs>
              <w:spacing w:before="0" w:line="225" w:lineRule="exact"/>
              <w:ind w:right="102"/>
              <w:rPr>
                <w:sz w:val="20"/>
              </w:rPr>
            </w:pPr>
            <w:r>
              <w:rPr>
                <w:spacing w:val="-10"/>
                <w:sz w:val="20"/>
              </w:rPr>
              <w:t>$</w:t>
            </w:r>
            <w:r>
              <w:rPr>
                <w:sz w:val="20"/>
              </w:rPr>
              <w:tab/>
            </w:r>
            <w:r>
              <w:rPr>
                <w:spacing w:val="-2"/>
                <w:sz w:val="20"/>
              </w:rPr>
              <w:t>10,334</w:t>
            </w:r>
          </w:p>
        </w:tc>
        <w:tc>
          <w:tcPr>
            <w:tcW w:w="1207" w:type="dxa"/>
            <w:shd w:val="clear" w:color="auto" w:fill="CCEDFF"/>
          </w:tcPr>
          <w:p w14:paraId="416564BA" w14:textId="77777777" w:rsidR="00AE2255" w:rsidRDefault="00000000">
            <w:pPr>
              <w:pStyle w:val="TableParagraph"/>
              <w:tabs>
                <w:tab w:val="left" w:pos="470"/>
              </w:tabs>
              <w:spacing w:before="0" w:line="225" w:lineRule="exact"/>
              <w:ind w:right="79"/>
              <w:rPr>
                <w:sz w:val="20"/>
              </w:rPr>
            </w:pPr>
            <w:r>
              <w:rPr>
                <w:spacing w:val="-10"/>
                <w:sz w:val="20"/>
              </w:rPr>
              <w:t>$</w:t>
            </w:r>
            <w:r>
              <w:rPr>
                <w:sz w:val="20"/>
              </w:rPr>
              <w:tab/>
            </w:r>
            <w:r>
              <w:rPr>
                <w:spacing w:val="-2"/>
                <w:sz w:val="20"/>
              </w:rPr>
              <w:t>49,012</w:t>
            </w:r>
          </w:p>
        </w:tc>
      </w:tr>
      <w:tr w:rsidR="00AE2255" w14:paraId="4E5452FD" w14:textId="77777777">
        <w:trPr>
          <w:trHeight w:val="255"/>
        </w:trPr>
        <w:tc>
          <w:tcPr>
            <w:tcW w:w="4185" w:type="dxa"/>
          </w:tcPr>
          <w:p w14:paraId="54853E8A" w14:textId="77777777" w:rsidR="00AE2255" w:rsidRDefault="00000000">
            <w:pPr>
              <w:pStyle w:val="TableParagraph"/>
              <w:spacing w:before="27" w:line="208" w:lineRule="exact"/>
              <w:ind w:left="187"/>
              <w:jc w:val="left"/>
              <w:rPr>
                <w:sz w:val="20"/>
              </w:rPr>
            </w:pPr>
            <w:r>
              <w:rPr>
                <w:spacing w:val="-2"/>
                <w:sz w:val="20"/>
              </w:rPr>
              <w:t>Europe</w:t>
            </w:r>
          </w:p>
        </w:tc>
        <w:tc>
          <w:tcPr>
            <w:tcW w:w="1188" w:type="dxa"/>
          </w:tcPr>
          <w:p w14:paraId="16BD1252" w14:textId="77777777" w:rsidR="00AE2255" w:rsidRDefault="00000000">
            <w:pPr>
              <w:pStyle w:val="TableParagraph"/>
              <w:spacing w:before="0" w:line="225" w:lineRule="exact"/>
              <w:ind w:right="112"/>
              <w:rPr>
                <w:sz w:val="20"/>
              </w:rPr>
            </w:pPr>
            <w:r>
              <w:rPr>
                <w:spacing w:val="-2"/>
                <w:sz w:val="20"/>
              </w:rPr>
              <w:t>3,283</w:t>
            </w:r>
          </w:p>
        </w:tc>
        <w:tc>
          <w:tcPr>
            <w:tcW w:w="1220" w:type="dxa"/>
          </w:tcPr>
          <w:p w14:paraId="6E7493A0" w14:textId="77777777" w:rsidR="00AE2255" w:rsidRDefault="00000000">
            <w:pPr>
              <w:pStyle w:val="TableParagraph"/>
              <w:spacing w:before="0" w:line="225" w:lineRule="exact"/>
              <w:ind w:right="102"/>
              <w:rPr>
                <w:sz w:val="20"/>
              </w:rPr>
            </w:pPr>
            <w:r>
              <w:rPr>
                <w:spacing w:val="-5"/>
                <w:sz w:val="20"/>
              </w:rPr>
              <w:t>767</w:t>
            </w:r>
          </w:p>
        </w:tc>
        <w:tc>
          <w:tcPr>
            <w:tcW w:w="1230" w:type="dxa"/>
          </w:tcPr>
          <w:p w14:paraId="0950580A" w14:textId="77777777" w:rsidR="00AE2255" w:rsidRDefault="00000000">
            <w:pPr>
              <w:pStyle w:val="TableParagraph"/>
              <w:spacing w:before="0" w:line="225" w:lineRule="exact"/>
              <w:ind w:right="102"/>
              <w:rPr>
                <w:sz w:val="20"/>
              </w:rPr>
            </w:pPr>
            <w:r>
              <w:rPr>
                <w:spacing w:val="-5"/>
                <w:sz w:val="20"/>
              </w:rPr>
              <w:t>806</w:t>
            </w:r>
          </w:p>
        </w:tc>
        <w:tc>
          <w:tcPr>
            <w:tcW w:w="1230" w:type="dxa"/>
          </w:tcPr>
          <w:p w14:paraId="6A4E354C" w14:textId="77777777" w:rsidR="00AE2255" w:rsidRDefault="00000000">
            <w:pPr>
              <w:pStyle w:val="TableParagraph"/>
              <w:spacing w:before="0" w:line="225" w:lineRule="exact"/>
              <w:ind w:right="102"/>
              <w:rPr>
                <w:sz w:val="20"/>
              </w:rPr>
            </w:pPr>
            <w:r>
              <w:rPr>
                <w:spacing w:val="-2"/>
                <w:sz w:val="20"/>
              </w:rPr>
              <w:t>1,478</w:t>
            </w:r>
          </w:p>
        </w:tc>
        <w:tc>
          <w:tcPr>
            <w:tcW w:w="1207" w:type="dxa"/>
          </w:tcPr>
          <w:p w14:paraId="555F9141" w14:textId="77777777" w:rsidR="00AE2255" w:rsidRDefault="00000000">
            <w:pPr>
              <w:pStyle w:val="TableParagraph"/>
              <w:spacing w:before="0" w:line="225" w:lineRule="exact"/>
              <w:ind w:right="79"/>
              <w:rPr>
                <w:sz w:val="20"/>
              </w:rPr>
            </w:pPr>
            <w:r>
              <w:rPr>
                <w:spacing w:val="-2"/>
                <w:sz w:val="20"/>
              </w:rPr>
              <w:t>6,334</w:t>
            </w:r>
          </w:p>
        </w:tc>
      </w:tr>
      <w:tr w:rsidR="00AE2255" w14:paraId="7E734268" w14:textId="77777777">
        <w:trPr>
          <w:trHeight w:val="255"/>
        </w:trPr>
        <w:tc>
          <w:tcPr>
            <w:tcW w:w="4185" w:type="dxa"/>
            <w:shd w:val="clear" w:color="auto" w:fill="CCEDFF"/>
          </w:tcPr>
          <w:p w14:paraId="14008EBA" w14:textId="77777777" w:rsidR="00AE2255" w:rsidRDefault="00000000">
            <w:pPr>
              <w:pStyle w:val="TableParagraph"/>
              <w:spacing w:before="27" w:line="208" w:lineRule="exact"/>
              <w:ind w:left="187"/>
              <w:jc w:val="left"/>
              <w:rPr>
                <w:sz w:val="20"/>
              </w:rPr>
            </w:pPr>
            <w:r>
              <w:rPr>
                <w:sz w:val="20"/>
              </w:rPr>
              <w:t>Asia</w:t>
            </w:r>
            <w:r>
              <w:rPr>
                <w:spacing w:val="-4"/>
                <w:sz w:val="20"/>
              </w:rPr>
              <w:t xml:space="preserve"> </w:t>
            </w:r>
            <w:r>
              <w:rPr>
                <w:spacing w:val="-2"/>
                <w:sz w:val="20"/>
              </w:rPr>
              <w:t>Pacific</w:t>
            </w:r>
          </w:p>
        </w:tc>
        <w:tc>
          <w:tcPr>
            <w:tcW w:w="1188" w:type="dxa"/>
            <w:shd w:val="clear" w:color="auto" w:fill="CCEDFF"/>
          </w:tcPr>
          <w:p w14:paraId="74702EBD" w14:textId="77777777" w:rsidR="00AE2255" w:rsidRDefault="00000000">
            <w:pPr>
              <w:pStyle w:val="TableParagraph"/>
              <w:spacing w:before="0" w:line="225" w:lineRule="exact"/>
              <w:ind w:right="112"/>
              <w:rPr>
                <w:sz w:val="20"/>
              </w:rPr>
            </w:pPr>
            <w:r>
              <w:rPr>
                <w:spacing w:val="-2"/>
                <w:sz w:val="20"/>
              </w:rPr>
              <w:t>3,162</w:t>
            </w:r>
          </w:p>
        </w:tc>
        <w:tc>
          <w:tcPr>
            <w:tcW w:w="1220" w:type="dxa"/>
            <w:shd w:val="clear" w:color="auto" w:fill="CCEDFF"/>
          </w:tcPr>
          <w:p w14:paraId="0EBDF935" w14:textId="77777777" w:rsidR="00AE2255" w:rsidRDefault="00000000">
            <w:pPr>
              <w:pStyle w:val="TableParagraph"/>
              <w:spacing w:before="0" w:line="225" w:lineRule="exact"/>
              <w:ind w:right="102"/>
              <w:rPr>
                <w:sz w:val="20"/>
              </w:rPr>
            </w:pPr>
            <w:r>
              <w:rPr>
                <w:spacing w:val="-5"/>
                <w:sz w:val="20"/>
              </w:rPr>
              <w:t>280</w:t>
            </w:r>
          </w:p>
        </w:tc>
        <w:tc>
          <w:tcPr>
            <w:tcW w:w="1230" w:type="dxa"/>
            <w:shd w:val="clear" w:color="auto" w:fill="CCEDFF"/>
          </w:tcPr>
          <w:p w14:paraId="290E1323" w14:textId="77777777" w:rsidR="00AE2255" w:rsidRDefault="00000000">
            <w:pPr>
              <w:pStyle w:val="TableParagraph"/>
              <w:spacing w:before="0" w:line="225" w:lineRule="exact"/>
              <w:ind w:right="102"/>
              <w:rPr>
                <w:sz w:val="20"/>
              </w:rPr>
            </w:pPr>
            <w:r>
              <w:rPr>
                <w:spacing w:val="-2"/>
                <w:sz w:val="20"/>
              </w:rPr>
              <w:t>1,666</w:t>
            </w:r>
          </w:p>
        </w:tc>
        <w:tc>
          <w:tcPr>
            <w:tcW w:w="1230" w:type="dxa"/>
            <w:shd w:val="clear" w:color="auto" w:fill="CCEDFF"/>
          </w:tcPr>
          <w:p w14:paraId="1C00F7FD" w14:textId="77777777" w:rsidR="00AE2255" w:rsidRDefault="00000000">
            <w:pPr>
              <w:pStyle w:val="TableParagraph"/>
              <w:spacing w:before="0" w:line="225" w:lineRule="exact"/>
              <w:ind w:right="102"/>
              <w:rPr>
                <w:sz w:val="20"/>
              </w:rPr>
            </w:pPr>
            <w:r>
              <w:rPr>
                <w:spacing w:val="-5"/>
                <w:sz w:val="20"/>
              </w:rPr>
              <w:t>68</w:t>
            </w:r>
          </w:p>
        </w:tc>
        <w:tc>
          <w:tcPr>
            <w:tcW w:w="1207" w:type="dxa"/>
            <w:shd w:val="clear" w:color="auto" w:fill="CCEDFF"/>
          </w:tcPr>
          <w:p w14:paraId="6C366951" w14:textId="77777777" w:rsidR="00AE2255" w:rsidRDefault="00000000">
            <w:pPr>
              <w:pStyle w:val="TableParagraph"/>
              <w:spacing w:before="0" w:line="225" w:lineRule="exact"/>
              <w:ind w:right="79"/>
              <w:rPr>
                <w:sz w:val="20"/>
              </w:rPr>
            </w:pPr>
            <w:r>
              <w:rPr>
                <w:spacing w:val="-2"/>
                <w:sz w:val="20"/>
              </w:rPr>
              <w:t>5,176</w:t>
            </w:r>
          </w:p>
        </w:tc>
      </w:tr>
      <w:tr w:rsidR="00AE2255" w14:paraId="58A003E7" w14:textId="77777777">
        <w:trPr>
          <w:trHeight w:val="255"/>
        </w:trPr>
        <w:tc>
          <w:tcPr>
            <w:tcW w:w="4185" w:type="dxa"/>
          </w:tcPr>
          <w:p w14:paraId="26C784E5" w14:textId="77777777" w:rsidR="00AE2255" w:rsidRDefault="00000000">
            <w:pPr>
              <w:pStyle w:val="TableParagraph"/>
              <w:spacing w:before="27" w:line="208" w:lineRule="exact"/>
              <w:ind w:left="187"/>
              <w:jc w:val="left"/>
              <w:rPr>
                <w:sz w:val="20"/>
              </w:rPr>
            </w:pPr>
            <w:r>
              <w:rPr>
                <w:sz w:val="20"/>
              </w:rPr>
              <w:t>Middle</w:t>
            </w:r>
            <w:r>
              <w:rPr>
                <w:spacing w:val="-6"/>
                <w:sz w:val="20"/>
              </w:rPr>
              <w:t xml:space="preserve"> </w:t>
            </w:r>
            <w:r>
              <w:rPr>
                <w:spacing w:val="-4"/>
                <w:sz w:val="20"/>
              </w:rPr>
              <w:t>East</w:t>
            </w:r>
          </w:p>
        </w:tc>
        <w:tc>
          <w:tcPr>
            <w:tcW w:w="1188" w:type="dxa"/>
          </w:tcPr>
          <w:p w14:paraId="4F421B6F" w14:textId="77777777" w:rsidR="00AE2255" w:rsidRDefault="00000000">
            <w:pPr>
              <w:pStyle w:val="TableParagraph"/>
              <w:spacing w:before="0" w:line="225" w:lineRule="exact"/>
              <w:ind w:right="112"/>
              <w:rPr>
                <w:sz w:val="20"/>
              </w:rPr>
            </w:pPr>
            <w:r>
              <w:rPr>
                <w:spacing w:val="-2"/>
                <w:sz w:val="20"/>
              </w:rPr>
              <w:t>1,344</w:t>
            </w:r>
          </w:p>
        </w:tc>
        <w:tc>
          <w:tcPr>
            <w:tcW w:w="1220" w:type="dxa"/>
          </w:tcPr>
          <w:p w14:paraId="36234DC9" w14:textId="77777777" w:rsidR="00AE2255" w:rsidRDefault="00000000">
            <w:pPr>
              <w:pStyle w:val="TableParagraph"/>
              <w:spacing w:before="0" w:line="225" w:lineRule="exact"/>
              <w:ind w:right="102"/>
              <w:rPr>
                <w:sz w:val="20"/>
              </w:rPr>
            </w:pPr>
            <w:r>
              <w:rPr>
                <w:spacing w:val="-2"/>
                <w:sz w:val="20"/>
              </w:rPr>
              <w:t>1,749</w:t>
            </w:r>
          </w:p>
        </w:tc>
        <w:tc>
          <w:tcPr>
            <w:tcW w:w="1230" w:type="dxa"/>
          </w:tcPr>
          <w:p w14:paraId="036BF768" w14:textId="77777777" w:rsidR="00AE2255" w:rsidRDefault="00000000">
            <w:pPr>
              <w:pStyle w:val="TableParagraph"/>
              <w:spacing w:before="0" w:line="225" w:lineRule="exact"/>
              <w:ind w:right="102"/>
              <w:rPr>
                <w:sz w:val="20"/>
              </w:rPr>
            </w:pPr>
            <w:r>
              <w:rPr>
                <w:spacing w:val="-5"/>
                <w:sz w:val="20"/>
              </w:rPr>
              <w:t>847</w:t>
            </w:r>
          </w:p>
        </w:tc>
        <w:tc>
          <w:tcPr>
            <w:tcW w:w="1230" w:type="dxa"/>
          </w:tcPr>
          <w:p w14:paraId="5FFF0D06" w14:textId="77777777" w:rsidR="00AE2255" w:rsidRDefault="00000000">
            <w:pPr>
              <w:pStyle w:val="TableParagraph"/>
              <w:spacing w:before="0" w:line="225" w:lineRule="exact"/>
              <w:ind w:right="102"/>
              <w:rPr>
                <w:sz w:val="20"/>
              </w:rPr>
            </w:pPr>
            <w:r>
              <w:rPr>
                <w:sz w:val="20"/>
              </w:rPr>
              <w:t>—</w:t>
            </w:r>
          </w:p>
        </w:tc>
        <w:tc>
          <w:tcPr>
            <w:tcW w:w="1207" w:type="dxa"/>
          </w:tcPr>
          <w:p w14:paraId="56A37A84" w14:textId="77777777" w:rsidR="00AE2255" w:rsidRDefault="00000000">
            <w:pPr>
              <w:pStyle w:val="TableParagraph"/>
              <w:spacing w:before="0" w:line="225" w:lineRule="exact"/>
              <w:ind w:right="79"/>
              <w:rPr>
                <w:sz w:val="20"/>
              </w:rPr>
            </w:pPr>
            <w:r>
              <w:rPr>
                <w:spacing w:val="-2"/>
                <w:sz w:val="20"/>
              </w:rPr>
              <w:t>3,940</w:t>
            </w:r>
          </w:p>
        </w:tc>
      </w:tr>
      <w:tr w:rsidR="00AE2255" w14:paraId="71415CCD" w14:textId="77777777">
        <w:trPr>
          <w:trHeight w:val="245"/>
        </w:trPr>
        <w:tc>
          <w:tcPr>
            <w:tcW w:w="4185" w:type="dxa"/>
            <w:tcBorders>
              <w:bottom w:val="single" w:sz="8" w:space="0" w:color="000000"/>
            </w:tcBorders>
            <w:shd w:val="clear" w:color="auto" w:fill="CCEDFF"/>
          </w:tcPr>
          <w:p w14:paraId="0DC2889E" w14:textId="77777777" w:rsidR="00AE2255" w:rsidRDefault="00000000">
            <w:pPr>
              <w:pStyle w:val="TableParagraph"/>
              <w:spacing w:before="27" w:line="198" w:lineRule="exact"/>
              <w:ind w:left="187"/>
              <w:jc w:val="left"/>
              <w:rPr>
                <w:sz w:val="20"/>
              </w:rPr>
            </w:pPr>
            <w:r>
              <w:rPr>
                <w:spacing w:val="-2"/>
                <w:sz w:val="20"/>
              </w:rPr>
              <w:t>Other</w:t>
            </w:r>
          </w:p>
        </w:tc>
        <w:tc>
          <w:tcPr>
            <w:tcW w:w="1188" w:type="dxa"/>
            <w:tcBorders>
              <w:bottom w:val="single" w:sz="8" w:space="0" w:color="000000"/>
            </w:tcBorders>
            <w:shd w:val="clear" w:color="auto" w:fill="CCEDFF"/>
          </w:tcPr>
          <w:p w14:paraId="7AFFC4C0" w14:textId="77777777" w:rsidR="00AE2255" w:rsidRDefault="00000000">
            <w:pPr>
              <w:pStyle w:val="TableParagraph"/>
              <w:spacing w:before="0" w:line="225" w:lineRule="exact"/>
              <w:ind w:right="112"/>
              <w:rPr>
                <w:sz w:val="20"/>
              </w:rPr>
            </w:pPr>
            <w:r>
              <w:rPr>
                <w:spacing w:val="-5"/>
                <w:sz w:val="20"/>
              </w:rPr>
              <w:t>223</w:t>
            </w:r>
          </w:p>
        </w:tc>
        <w:tc>
          <w:tcPr>
            <w:tcW w:w="1220" w:type="dxa"/>
            <w:tcBorders>
              <w:bottom w:val="single" w:sz="8" w:space="0" w:color="000000"/>
            </w:tcBorders>
            <w:shd w:val="clear" w:color="auto" w:fill="CCEDFF"/>
          </w:tcPr>
          <w:p w14:paraId="412BF229" w14:textId="77777777" w:rsidR="00AE2255" w:rsidRDefault="00000000">
            <w:pPr>
              <w:pStyle w:val="TableParagraph"/>
              <w:spacing w:before="0" w:line="225" w:lineRule="exact"/>
              <w:ind w:right="102"/>
              <w:rPr>
                <w:sz w:val="20"/>
              </w:rPr>
            </w:pPr>
            <w:r>
              <w:rPr>
                <w:spacing w:val="-5"/>
                <w:sz w:val="20"/>
              </w:rPr>
              <w:t>46</w:t>
            </w:r>
          </w:p>
        </w:tc>
        <w:tc>
          <w:tcPr>
            <w:tcW w:w="1230" w:type="dxa"/>
            <w:tcBorders>
              <w:bottom w:val="single" w:sz="8" w:space="0" w:color="000000"/>
            </w:tcBorders>
            <w:shd w:val="clear" w:color="auto" w:fill="CCEDFF"/>
          </w:tcPr>
          <w:p w14:paraId="4DF5E4D6" w14:textId="77777777" w:rsidR="00AE2255" w:rsidRDefault="00000000">
            <w:pPr>
              <w:pStyle w:val="TableParagraph"/>
              <w:spacing w:before="0" w:line="225" w:lineRule="exact"/>
              <w:ind w:right="102"/>
              <w:rPr>
                <w:sz w:val="20"/>
              </w:rPr>
            </w:pPr>
            <w:r>
              <w:rPr>
                <w:spacing w:val="-5"/>
                <w:sz w:val="20"/>
              </w:rPr>
              <w:t>667</w:t>
            </w:r>
          </w:p>
        </w:tc>
        <w:tc>
          <w:tcPr>
            <w:tcW w:w="1230" w:type="dxa"/>
            <w:tcBorders>
              <w:bottom w:val="single" w:sz="8" w:space="0" w:color="000000"/>
            </w:tcBorders>
            <w:shd w:val="clear" w:color="auto" w:fill="CCEDFF"/>
          </w:tcPr>
          <w:p w14:paraId="6D58CCB1" w14:textId="77777777" w:rsidR="00AE2255" w:rsidRDefault="00000000">
            <w:pPr>
              <w:pStyle w:val="TableParagraph"/>
              <w:spacing w:before="0" w:line="225" w:lineRule="exact"/>
              <w:ind w:right="102"/>
              <w:rPr>
                <w:sz w:val="20"/>
              </w:rPr>
            </w:pPr>
            <w:r>
              <w:rPr>
                <w:sz w:val="20"/>
              </w:rPr>
              <w:t>—</w:t>
            </w:r>
          </w:p>
        </w:tc>
        <w:tc>
          <w:tcPr>
            <w:tcW w:w="1207" w:type="dxa"/>
            <w:tcBorders>
              <w:bottom w:val="single" w:sz="8" w:space="0" w:color="000000"/>
            </w:tcBorders>
            <w:shd w:val="clear" w:color="auto" w:fill="CCEDFF"/>
          </w:tcPr>
          <w:p w14:paraId="02B1922C" w14:textId="77777777" w:rsidR="00AE2255" w:rsidRDefault="00000000">
            <w:pPr>
              <w:pStyle w:val="TableParagraph"/>
              <w:spacing w:before="0" w:line="225" w:lineRule="exact"/>
              <w:ind w:right="79"/>
              <w:rPr>
                <w:sz w:val="20"/>
              </w:rPr>
            </w:pPr>
            <w:r>
              <w:rPr>
                <w:spacing w:val="-5"/>
                <w:sz w:val="20"/>
              </w:rPr>
              <w:t>936</w:t>
            </w:r>
          </w:p>
        </w:tc>
      </w:tr>
      <w:tr w:rsidR="00AE2255" w14:paraId="4C55231A" w14:textId="77777777">
        <w:trPr>
          <w:trHeight w:val="220"/>
        </w:trPr>
        <w:tc>
          <w:tcPr>
            <w:tcW w:w="4185" w:type="dxa"/>
            <w:tcBorders>
              <w:top w:val="single" w:sz="8" w:space="0" w:color="000000"/>
              <w:bottom w:val="single" w:sz="18" w:space="0" w:color="000000"/>
            </w:tcBorders>
          </w:tcPr>
          <w:p w14:paraId="739214DD" w14:textId="77777777" w:rsidR="00AE2255" w:rsidRDefault="00000000">
            <w:pPr>
              <w:pStyle w:val="TableParagraph"/>
              <w:spacing w:before="17" w:line="186" w:lineRule="exact"/>
              <w:ind w:left="277"/>
              <w:jc w:val="left"/>
              <w:rPr>
                <w:sz w:val="20"/>
              </w:rPr>
            </w:pPr>
            <w:r>
              <w:rPr>
                <w:sz w:val="20"/>
              </w:rPr>
              <w:t>Total</w:t>
            </w:r>
            <w:r>
              <w:rPr>
                <w:spacing w:val="-3"/>
                <w:sz w:val="20"/>
              </w:rPr>
              <w:t xml:space="preserve"> </w:t>
            </w:r>
            <w:r>
              <w:rPr>
                <w:sz w:val="20"/>
              </w:rPr>
              <w:t>net</w:t>
            </w:r>
            <w:r>
              <w:rPr>
                <w:spacing w:val="-3"/>
                <w:sz w:val="20"/>
              </w:rPr>
              <w:t xml:space="preserve"> </w:t>
            </w:r>
            <w:r>
              <w:rPr>
                <w:spacing w:val="-2"/>
                <w:sz w:val="20"/>
              </w:rPr>
              <w:t>sales</w:t>
            </w:r>
          </w:p>
        </w:tc>
        <w:tc>
          <w:tcPr>
            <w:tcW w:w="1188" w:type="dxa"/>
            <w:tcBorders>
              <w:top w:val="single" w:sz="8" w:space="0" w:color="000000"/>
              <w:bottom w:val="single" w:sz="18" w:space="0" w:color="000000"/>
            </w:tcBorders>
          </w:tcPr>
          <w:p w14:paraId="463764E3" w14:textId="77777777" w:rsidR="00AE2255" w:rsidRDefault="00000000">
            <w:pPr>
              <w:pStyle w:val="TableParagraph"/>
              <w:tabs>
                <w:tab w:val="left" w:pos="470"/>
              </w:tabs>
              <w:spacing w:before="0" w:line="203" w:lineRule="exact"/>
              <w:ind w:right="112"/>
              <w:rPr>
                <w:sz w:val="20"/>
              </w:rPr>
            </w:pPr>
            <w:r>
              <w:rPr>
                <w:spacing w:val="-10"/>
                <w:sz w:val="20"/>
              </w:rPr>
              <w:t>$</w:t>
            </w:r>
            <w:r>
              <w:rPr>
                <w:sz w:val="20"/>
              </w:rPr>
              <w:tab/>
            </w:r>
            <w:r>
              <w:rPr>
                <w:spacing w:val="-2"/>
                <w:sz w:val="20"/>
              </w:rPr>
              <w:t>26,266</w:t>
            </w:r>
          </w:p>
        </w:tc>
        <w:tc>
          <w:tcPr>
            <w:tcW w:w="1220" w:type="dxa"/>
            <w:tcBorders>
              <w:top w:val="single" w:sz="8" w:space="0" w:color="000000"/>
              <w:bottom w:val="single" w:sz="18" w:space="0" w:color="000000"/>
            </w:tcBorders>
          </w:tcPr>
          <w:p w14:paraId="56262304" w14:textId="77777777" w:rsidR="00AE2255" w:rsidRDefault="00000000">
            <w:pPr>
              <w:pStyle w:val="TableParagraph"/>
              <w:tabs>
                <w:tab w:val="left" w:pos="470"/>
              </w:tabs>
              <w:spacing w:before="0" w:line="203" w:lineRule="exact"/>
              <w:ind w:right="102"/>
              <w:rPr>
                <w:sz w:val="20"/>
              </w:rPr>
            </w:pPr>
            <w:r>
              <w:rPr>
                <w:spacing w:val="-10"/>
                <w:sz w:val="20"/>
              </w:rPr>
              <w:t>$</w:t>
            </w:r>
            <w:r>
              <w:rPr>
                <w:sz w:val="20"/>
              </w:rPr>
              <w:tab/>
            </w:r>
            <w:r>
              <w:rPr>
                <w:spacing w:val="-2"/>
                <w:sz w:val="20"/>
              </w:rPr>
              <w:t>11,257</w:t>
            </w:r>
          </w:p>
        </w:tc>
        <w:tc>
          <w:tcPr>
            <w:tcW w:w="1230" w:type="dxa"/>
            <w:tcBorders>
              <w:top w:val="single" w:sz="8" w:space="0" w:color="000000"/>
              <w:bottom w:val="single" w:sz="18" w:space="0" w:color="000000"/>
            </w:tcBorders>
          </w:tcPr>
          <w:p w14:paraId="101A4665" w14:textId="77777777" w:rsidR="00AE2255" w:rsidRDefault="00000000">
            <w:pPr>
              <w:pStyle w:val="TableParagraph"/>
              <w:tabs>
                <w:tab w:val="left" w:pos="470"/>
              </w:tabs>
              <w:spacing w:before="0" w:line="203" w:lineRule="exact"/>
              <w:ind w:right="102"/>
              <w:rPr>
                <w:sz w:val="20"/>
              </w:rPr>
            </w:pPr>
            <w:r>
              <w:rPr>
                <w:spacing w:val="-10"/>
                <w:sz w:val="20"/>
              </w:rPr>
              <w:t>$</w:t>
            </w:r>
            <w:r>
              <w:rPr>
                <w:sz w:val="20"/>
              </w:rPr>
              <w:tab/>
            </w:r>
            <w:r>
              <w:rPr>
                <w:spacing w:val="-2"/>
                <w:sz w:val="20"/>
              </w:rPr>
              <w:t>15,995</w:t>
            </w:r>
          </w:p>
        </w:tc>
        <w:tc>
          <w:tcPr>
            <w:tcW w:w="1230" w:type="dxa"/>
            <w:tcBorders>
              <w:top w:val="single" w:sz="8" w:space="0" w:color="000000"/>
              <w:bottom w:val="single" w:sz="18" w:space="0" w:color="000000"/>
            </w:tcBorders>
          </w:tcPr>
          <w:p w14:paraId="5B0B406B" w14:textId="77777777" w:rsidR="00AE2255" w:rsidRDefault="00000000">
            <w:pPr>
              <w:pStyle w:val="TableParagraph"/>
              <w:tabs>
                <w:tab w:val="left" w:pos="470"/>
              </w:tabs>
              <w:spacing w:before="0" w:line="203" w:lineRule="exact"/>
              <w:ind w:right="102"/>
              <w:rPr>
                <w:sz w:val="20"/>
              </w:rPr>
            </w:pPr>
            <w:r>
              <w:rPr>
                <w:spacing w:val="-10"/>
                <w:sz w:val="20"/>
              </w:rPr>
              <w:t>$</w:t>
            </w:r>
            <w:r>
              <w:rPr>
                <w:sz w:val="20"/>
              </w:rPr>
              <w:tab/>
            </w:r>
            <w:r>
              <w:rPr>
                <w:spacing w:val="-2"/>
                <w:sz w:val="20"/>
              </w:rPr>
              <w:t>11,880</w:t>
            </w:r>
          </w:p>
        </w:tc>
        <w:tc>
          <w:tcPr>
            <w:tcW w:w="1207" w:type="dxa"/>
            <w:tcBorders>
              <w:top w:val="single" w:sz="8" w:space="0" w:color="000000"/>
              <w:bottom w:val="single" w:sz="18" w:space="0" w:color="000000"/>
            </w:tcBorders>
          </w:tcPr>
          <w:p w14:paraId="59B33DC2" w14:textId="77777777" w:rsidR="00AE2255" w:rsidRDefault="00000000">
            <w:pPr>
              <w:pStyle w:val="TableParagraph"/>
              <w:tabs>
                <w:tab w:val="left" w:pos="470"/>
              </w:tabs>
              <w:spacing w:before="0" w:line="203" w:lineRule="exact"/>
              <w:ind w:right="79"/>
              <w:rPr>
                <w:sz w:val="20"/>
              </w:rPr>
            </w:pPr>
            <w:r>
              <w:rPr>
                <w:spacing w:val="-10"/>
                <w:sz w:val="20"/>
              </w:rPr>
              <w:t>$</w:t>
            </w:r>
            <w:r>
              <w:rPr>
                <w:sz w:val="20"/>
              </w:rPr>
              <w:tab/>
            </w:r>
            <w:r>
              <w:rPr>
                <w:spacing w:val="-2"/>
                <w:sz w:val="20"/>
              </w:rPr>
              <w:t>65,398</w:t>
            </w:r>
          </w:p>
        </w:tc>
      </w:tr>
    </w:tbl>
    <w:p w14:paraId="79307E4C" w14:textId="77777777" w:rsidR="00AE2255" w:rsidRDefault="00000000">
      <w:pPr>
        <w:tabs>
          <w:tab w:val="left" w:pos="969"/>
        </w:tabs>
        <w:spacing w:before="99" w:line="249" w:lineRule="auto"/>
        <w:ind w:left="970" w:right="430" w:hanging="360"/>
        <w:rPr>
          <w:sz w:val="18"/>
        </w:rPr>
      </w:pPr>
      <w:r>
        <w:rPr>
          <w:spacing w:val="-4"/>
          <w:sz w:val="18"/>
          <w:vertAlign w:val="superscript"/>
        </w:rPr>
        <w:t>(a)</w:t>
      </w:r>
      <w:r>
        <w:rPr>
          <w:sz w:val="18"/>
        </w:rPr>
        <w:tab/>
        <w:t>International sales include FMS contracted through the U.S. Government, direct commercial sales with international governments and</w:t>
      </w:r>
      <w:r>
        <w:rPr>
          <w:spacing w:val="40"/>
          <w:sz w:val="18"/>
        </w:rPr>
        <w:t xml:space="preserve"> </w:t>
      </w:r>
      <w:r>
        <w:rPr>
          <w:sz w:val="18"/>
        </w:rPr>
        <w:t>commercial and other sales to international customers.</w:t>
      </w:r>
    </w:p>
    <w:p w14:paraId="546A325A" w14:textId="77777777" w:rsidR="00AE2255" w:rsidRDefault="00AE2255">
      <w:pPr>
        <w:pStyle w:val="BodyText"/>
        <w:spacing w:before="1"/>
        <w:rPr>
          <w:sz w:val="17"/>
        </w:rPr>
      </w:pPr>
    </w:p>
    <w:p w14:paraId="091A9392" w14:textId="77777777" w:rsidR="00AE2255" w:rsidRDefault="00000000">
      <w:pPr>
        <w:pStyle w:val="BodyText"/>
        <w:spacing w:line="249" w:lineRule="auto"/>
        <w:ind w:left="610" w:right="428" w:firstLine="360"/>
        <w:jc w:val="both"/>
      </w:pPr>
      <w:r>
        <w:t>Our Aeronautics business segment includes our largest program, the F-35 Lightning II Joint Strike Fighter, an international multi-role, multi-variant, stealth fighter aircraft. Net sales for the F-35 program represented approximately 27% of our consolidated net sales during both 2022 and 2021 and 28% during 2020.</w:t>
      </w:r>
    </w:p>
    <w:p w14:paraId="5B9BF897" w14:textId="77777777" w:rsidR="00AE2255" w:rsidRDefault="00AE2255">
      <w:pPr>
        <w:pStyle w:val="BodyText"/>
        <w:spacing w:before="3"/>
        <w:rPr>
          <w:sz w:val="17"/>
        </w:rPr>
      </w:pPr>
    </w:p>
    <w:p w14:paraId="099CADAC" w14:textId="77777777" w:rsidR="00AE2255" w:rsidRDefault="00000000">
      <w:pPr>
        <w:pStyle w:val="Heading3"/>
        <w:spacing w:before="1"/>
      </w:pPr>
      <w:r>
        <w:t>Capital</w:t>
      </w:r>
      <w:r>
        <w:rPr>
          <w:spacing w:val="-8"/>
        </w:rPr>
        <w:t xml:space="preserve"> </w:t>
      </w:r>
      <w:r>
        <w:t>Expenditures,</w:t>
      </w:r>
      <w:r>
        <w:rPr>
          <w:spacing w:val="-5"/>
        </w:rPr>
        <w:t xml:space="preserve"> </w:t>
      </w:r>
      <w:r>
        <w:t>PP&amp;E</w:t>
      </w:r>
      <w:r>
        <w:rPr>
          <w:spacing w:val="-6"/>
        </w:rPr>
        <w:t xml:space="preserve"> </w:t>
      </w:r>
      <w:r>
        <w:t>Depreciation</w:t>
      </w:r>
      <w:r>
        <w:rPr>
          <w:spacing w:val="-6"/>
        </w:rPr>
        <w:t xml:space="preserve"> </w:t>
      </w:r>
      <w:r>
        <w:t>and</w:t>
      </w:r>
      <w:r>
        <w:rPr>
          <w:spacing w:val="-5"/>
        </w:rPr>
        <w:t xml:space="preserve"> </w:t>
      </w:r>
      <w:r>
        <w:t>Software</w:t>
      </w:r>
      <w:r>
        <w:rPr>
          <w:spacing w:val="-5"/>
        </w:rPr>
        <w:t xml:space="preserve"> </w:t>
      </w:r>
      <w:r>
        <w:t>Amortization,</w:t>
      </w:r>
      <w:r>
        <w:rPr>
          <w:spacing w:val="-5"/>
        </w:rPr>
        <w:t xml:space="preserve"> </w:t>
      </w:r>
      <w:r>
        <w:t>and</w:t>
      </w:r>
      <w:r>
        <w:rPr>
          <w:spacing w:val="-5"/>
        </w:rPr>
        <w:t xml:space="preserve"> </w:t>
      </w:r>
      <w:r>
        <w:t>Amortization</w:t>
      </w:r>
      <w:r>
        <w:rPr>
          <w:spacing w:val="-6"/>
        </w:rPr>
        <w:t xml:space="preserve"> </w:t>
      </w:r>
      <w:r>
        <w:t>of</w:t>
      </w:r>
      <w:r>
        <w:rPr>
          <w:spacing w:val="-5"/>
        </w:rPr>
        <w:t xml:space="preserve"> </w:t>
      </w:r>
      <w:r>
        <w:t>Purchased</w:t>
      </w:r>
      <w:r>
        <w:rPr>
          <w:spacing w:val="-4"/>
        </w:rPr>
        <w:t xml:space="preserve"> </w:t>
      </w:r>
      <w:r>
        <w:rPr>
          <w:spacing w:val="-2"/>
        </w:rPr>
        <w:t>Intangibles</w:t>
      </w:r>
    </w:p>
    <w:p w14:paraId="5ABF59C7" w14:textId="77777777" w:rsidR="00AE2255" w:rsidRDefault="00AE2255">
      <w:pPr>
        <w:pStyle w:val="BodyText"/>
        <w:spacing w:before="7"/>
        <w:rPr>
          <w:b/>
          <w:i/>
          <w:sz w:val="12"/>
        </w:rPr>
      </w:pPr>
    </w:p>
    <w:tbl>
      <w:tblPr>
        <w:tblW w:w="0" w:type="auto"/>
        <w:tblInd w:w="617" w:type="dxa"/>
        <w:tblLayout w:type="fixed"/>
        <w:tblCellMar>
          <w:left w:w="0" w:type="dxa"/>
          <w:right w:w="0" w:type="dxa"/>
        </w:tblCellMar>
        <w:tblLook w:val="01E0" w:firstRow="1" w:lastRow="1" w:firstColumn="1" w:lastColumn="1" w:noHBand="0" w:noVBand="0"/>
      </w:tblPr>
      <w:tblGrid>
        <w:gridCol w:w="6013"/>
        <w:gridCol w:w="1703"/>
        <w:gridCol w:w="602"/>
        <w:gridCol w:w="373"/>
        <w:gridCol w:w="602"/>
        <w:gridCol w:w="373"/>
        <w:gridCol w:w="594"/>
      </w:tblGrid>
      <w:tr w:rsidR="00AE2255" w14:paraId="76F6333B" w14:textId="77777777">
        <w:trPr>
          <w:trHeight w:val="241"/>
        </w:trPr>
        <w:tc>
          <w:tcPr>
            <w:tcW w:w="6013" w:type="dxa"/>
            <w:tcBorders>
              <w:bottom w:val="single" w:sz="8" w:space="0" w:color="auto"/>
            </w:tcBorders>
          </w:tcPr>
          <w:p w14:paraId="79E40D44" w14:textId="77777777" w:rsidR="00AE2255" w:rsidRDefault="00AE2255">
            <w:pPr>
              <w:pStyle w:val="TableParagraph"/>
              <w:spacing w:before="0"/>
              <w:jc w:val="left"/>
              <w:rPr>
                <w:sz w:val="16"/>
              </w:rPr>
            </w:pPr>
          </w:p>
        </w:tc>
        <w:tc>
          <w:tcPr>
            <w:tcW w:w="2305" w:type="dxa"/>
            <w:gridSpan w:val="2"/>
            <w:tcBorders>
              <w:bottom w:val="single" w:sz="8" w:space="0" w:color="auto"/>
            </w:tcBorders>
          </w:tcPr>
          <w:p w14:paraId="3CDDF213" w14:textId="77777777" w:rsidR="00AE2255" w:rsidRDefault="00000000">
            <w:pPr>
              <w:pStyle w:val="TableParagraph"/>
              <w:spacing w:before="0" w:line="221" w:lineRule="exact"/>
              <w:ind w:right="88"/>
              <w:rPr>
                <w:b/>
                <w:sz w:val="20"/>
              </w:rPr>
            </w:pPr>
            <w:r>
              <w:rPr>
                <w:b/>
                <w:spacing w:val="-4"/>
                <w:sz w:val="20"/>
              </w:rPr>
              <w:t>2022</w:t>
            </w:r>
          </w:p>
        </w:tc>
        <w:tc>
          <w:tcPr>
            <w:tcW w:w="975" w:type="dxa"/>
            <w:gridSpan w:val="2"/>
            <w:tcBorders>
              <w:bottom w:val="single" w:sz="8" w:space="0" w:color="auto"/>
            </w:tcBorders>
          </w:tcPr>
          <w:p w14:paraId="299C8CDC" w14:textId="77777777" w:rsidR="00AE2255" w:rsidRDefault="00000000">
            <w:pPr>
              <w:pStyle w:val="TableParagraph"/>
              <w:spacing w:before="0" w:line="221" w:lineRule="exact"/>
              <w:ind w:left="484"/>
              <w:jc w:val="left"/>
              <w:rPr>
                <w:b/>
                <w:sz w:val="20"/>
              </w:rPr>
            </w:pPr>
            <w:r>
              <w:rPr>
                <w:b/>
                <w:spacing w:val="-4"/>
                <w:sz w:val="20"/>
              </w:rPr>
              <w:t>2021</w:t>
            </w:r>
          </w:p>
        </w:tc>
        <w:tc>
          <w:tcPr>
            <w:tcW w:w="967" w:type="dxa"/>
            <w:gridSpan w:val="2"/>
            <w:tcBorders>
              <w:bottom w:val="single" w:sz="8" w:space="0" w:color="auto"/>
            </w:tcBorders>
          </w:tcPr>
          <w:p w14:paraId="75D4921C" w14:textId="77777777" w:rsidR="00AE2255" w:rsidRDefault="00000000">
            <w:pPr>
              <w:pStyle w:val="TableParagraph"/>
              <w:spacing w:before="0" w:line="221" w:lineRule="exact"/>
              <w:ind w:left="484"/>
              <w:jc w:val="left"/>
              <w:rPr>
                <w:b/>
                <w:sz w:val="20"/>
              </w:rPr>
            </w:pPr>
            <w:r>
              <w:rPr>
                <w:b/>
                <w:spacing w:val="-4"/>
                <w:sz w:val="20"/>
              </w:rPr>
              <w:t>2020</w:t>
            </w:r>
          </w:p>
        </w:tc>
      </w:tr>
      <w:tr w:rsidR="00AE2255" w14:paraId="46199EDE" w14:textId="77777777">
        <w:trPr>
          <w:trHeight w:val="245"/>
        </w:trPr>
        <w:tc>
          <w:tcPr>
            <w:tcW w:w="6013" w:type="dxa"/>
            <w:tcBorders>
              <w:top w:val="single" w:sz="8" w:space="0" w:color="CCEDFF"/>
            </w:tcBorders>
            <w:shd w:val="clear" w:color="auto" w:fill="CCEDFF"/>
          </w:tcPr>
          <w:p w14:paraId="5E185066" w14:textId="77777777" w:rsidR="00AE2255" w:rsidRDefault="00000000">
            <w:pPr>
              <w:pStyle w:val="TableParagraph"/>
              <w:spacing w:before="13" w:line="211" w:lineRule="exact"/>
              <w:ind w:left="52"/>
              <w:jc w:val="left"/>
              <w:rPr>
                <w:b/>
                <w:sz w:val="20"/>
              </w:rPr>
            </w:pPr>
            <w:r>
              <w:rPr>
                <w:b/>
                <w:sz w:val="20"/>
              </w:rPr>
              <w:t>Capital</w:t>
            </w:r>
            <w:r>
              <w:rPr>
                <w:b/>
                <w:spacing w:val="-4"/>
                <w:sz w:val="20"/>
              </w:rPr>
              <w:t xml:space="preserve"> </w:t>
            </w:r>
            <w:r>
              <w:rPr>
                <w:b/>
                <w:spacing w:val="-2"/>
                <w:sz w:val="20"/>
              </w:rPr>
              <w:t>expenditures</w:t>
            </w:r>
          </w:p>
        </w:tc>
        <w:tc>
          <w:tcPr>
            <w:tcW w:w="2305" w:type="dxa"/>
            <w:gridSpan w:val="2"/>
            <w:tcBorders>
              <w:top w:val="single" w:sz="8" w:space="0" w:color="CCEDFF"/>
            </w:tcBorders>
            <w:shd w:val="clear" w:color="auto" w:fill="CCEDFF"/>
          </w:tcPr>
          <w:p w14:paraId="65D13D88" w14:textId="77777777" w:rsidR="00AE2255" w:rsidRDefault="00AE2255">
            <w:pPr>
              <w:pStyle w:val="TableParagraph"/>
              <w:spacing w:before="0"/>
              <w:jc w:val="left"/>
              <w:rPr>
                <w:sz w:val="16"/>
              </w:rPr>
            </w:pPr>
          </w:p>
        </w:tc>
        <w:tc>
          <w:tcPr>
            <w:tcW w:w="975" w:type="dxa"/>
            <w:gridSpan w:val="2"/>
            <w:tcBorders>
              <w:top w:val="single" w:sz="8" w:space="0" w:color="CCEDFF"/>
            </w:tcBorders>
            <w:shd w:val="clear" w:color="auto" w:fill="CCEDFF"/>
          </w:tcPr>
          <w:p w14:paraId="27327A80" w14:textId="77777777" w:rsidR="00AE2255" w:rsidRDefault="00AE2255">
            <w:pPr>
              <w:pStyle w:val="TableParagraph"/>
              <w:spacing w:before="0"/>
              <w:jc w:val="left"/>
              <w:rPr>
                <w:sz w:val="16"/>
              </w:rPr>
            </w:pPr>
          </w:p>
        </w:tc>
        <w:tc>
          <w:tcPr>
            <w:tcW w:w="967" w:type="dxa"/>
            <w:gridSpan w:val="2"/>
            <w:tcBorders>
              <w:top w:val="single" w:sz="8" w:space="0" w:color="CCEDFF"/>
            </w:tcBorders>
            <w:shd w:val="clear" w:color="auto" w:fill="CCEDFF"/>
          </w:tcPr>
          <w:p w14:paraId="56925026" w14:textId="77777777" w:rsidR="00AE2255" w:rsidRDefault="00AE2255">
            <w:pPr>
              <w:pStyle w:val="TableParagraph"/>
              <w:spacing w:before="0"/>
              <w:jc w:val="left"/>
              <w:rPr>
                <w:sz w:val="16"/>
              </w:rPr>
            </w:pPr>
          </w:p>
        </w:tc>
      </w:tr>
      <w:tr w:rsidR="00AE2255" w14:paraId="69B175BC" w14:textId="77777777">
        <w:trPr>
          <w:trHeight w:val="256"/>
        </w:trPr>
        <w:tc>
          <w:tcPr>
            <w:tcW w:w="6013" w:type="dxa"/>
          </w:tcPr>
          <w:p w14:paraId="5FF0750D" w14:textId="77777777" w:rsidR="00AE2255" w:rsidRDefault="00000000">
            <w:pPr>
              <w:pStyle w:val="TableParagraph"/>
              <w:spacing w:before="27" w:line="208" w:lineRule="exact"/>
              <w:ind w:left="172"/>
              <w:jc w:val="left"/>
              <w:rPr>
                <w:sz w:val="20"/>
              </w:rPr>
            </w:pPr>
            <w:r>
              <w:rPr>
                <w:spacing w:val="-2"/>
                <w:sz w:val="20"/>
              </w:rPr>
              <w:t>Aeronautics</w:t>
            </w:r>
          </w:p>
        </w:tc>
        <w:tc>
          <w:tcPr>
            <w:tcW w:w="2305" w:type="dxa"/>
            <w:gridSpan w:val="2"/>
          </w:tcPr>
          <w:p w14:paraId="26C75BBA" w14:textId="77777777" w:rsidR="00AE2255" w:rsidRDefault="00000000">
            <w:pPr>
              <w:pStyle w:val="TableParagraph"/>
              <w:tabs>
                <w:tab w:val="left" w:pos="1885"/>
              </w:tabs>
              <w:spacing w:before="0" w:line="225" w:lineRule="exact"/>
              <w:ind w:left="1419"/>
              <w:jc w:val="left"/>
              <w:rPr>
                <w:b/>
                <w:sz w:val="20"/>
              </w:rPr>
            </w:pPr>
            <w:r>
              <w:rPr>
                <w:b/>
                <w:spacing w:val="-10"/>
                <w:sz w:val="20"/>
              </w:rPr>
              <w:t>$</w:t>
            </w:r>
            <w:r>
              <w:rPr>
                <w:b/>
                <w:sz w:val="20"/>
              </w:rPr>
              <w:tab/>
            </w:r>
            <w:r>
              <w:rPr>
                <w:b/>
                <w:spacing w:val="-5"/>
                <w:sz w:val="20"/>
              </w:rPr>
              <w:t>461</w:t>
            </w:r>
          </w:p>
        </w:tc>
        <w:tc>
          <w:tcPr>
            <w:tcW w:w="975" w:type="dxa"/>
            <w:gridSpan w:val="2"/>
          </w:tcPr>
          <w:p w14:paraId="4916A68B" w14:textId="77777777" w:rsidR="00AE2255" w:rsidRDefault="00000000">
            <w:pPr>
              <w:pStyle w:val="TableParagraph"/>
              <w:tabs>
                <w:tab w:val="left" w:pos="555"/>
              </w:tabs>
              <w:spacing w:before="0" w:line="225" w:lineRule="exact"/>
              <w:ind w:left="89"/>
              <w:jc w:val="left"/>
              <w:rPr>
                <w:sz w:val="20"/>
              </w:rPr>
            </w:pPr>
            <w:r>
              <w:rPr>
                <w:spacing w:val="-10"/>
                <w:sz w:val="20"/>
              </w:rPr>
              <w:t>$</w:t>
            </w:r>
            <w:r>
              <w:rPr>
                <w:sz w:val="20"/>
              </w:rPr>
              <w:tab/>
            </w:r>
            <w:r>
              <w:rPr>
                <w:spacing w:val="-5"/>
                <w:sz w:val="20"/>
              </w:rPr>
              <w:t>477</w:t>
            </w:r>
          </w:p>
        </w:tc>
        <w:tc>
          <w:tcPr>
            <w:tcW w:w="967" w:type="dxa"/>
            <w:gridSpan w:val="2"/>
          </w:tcPr>
          <w:p w14:paraId="04FFF047" w14:textId="77777777" w:rsidR="00AE2255" w:rsidRDefault="00000000">
            <w:pPr>
              <w:pStyle w:val="TableParagraph"/>
              <w:tabs>
                <w:tab w:val="left" w:pos="555"/>
              </w:tabs>
              <w:spacing w:before="0" w:line="225" w:lineRule="exact"/>
              <w:ind w:left="89"/>
              <w:jc w:val="left"/>
              <w:rPr>
                <w:sz w:val="20"/>
              </w:rPr>
            </w:pPr>
            <w:r>
              <w:rPr>
                <w:spacing w:val="-10"/>
                <w:sz w:val="20"/>
              </w:rPr>
              <w:t>$</w:t>
            </w:r>
            <w:r>
              <w:rPr>
                <w:sz w:val="20"/>
              </w:rPr>
              <w:tab/>
            </w:r>
            <w:r>
              <w:rPr>
                <w:spacing w:val="-5"/>
                <w:sz w:val="20"/>
              </w:rPr>
              <w:t>534</w:t>
            </w:r>
          </w:p>
        </w:tc>
      </w:tr>
      <w:tr w:rsidR="00AE2255" w14:paraId="5E79B3C6" w14:textId="77777777">
        <w:trPr>
          <w:trHeight w:val="255"/>
        </w:trPr>
        <w:tc>
          <w:tcPr>
            <w:tcW w:w="6013" w:type="dxa"/>
            <w:shd w:val="clear" w:color="auto" w:fill="CCEDFF"/>
          </w:tcPr>
          <w:p w14:paraId="57FE9200" w14:textId="77777777" w:rsidR="00AE2255" w:rsidRDefault="00000000">
            <w:pPr>
              <w:pStyle w:val="TableParagraph"/>
              <w:spacing w:before="27" w:line="208" w:lineRule="exact"/>
              <w:ind w:left="172"/>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305" w:type="dxa"/>
            <w:gridSpan w:val="2"/>
            <w:shd w:val="clear" w:color="auto" w:fill="CCEDFF"/>
          </w:tcPr>
          <w:p w14:paraId="5C33E8A2" w14:textId="77777777" w:rsidR="00AE2255" w:rsidRDefault="00000000">
            <w:pPr>
              <w:pStyle w:val="TableParagraph"/>
              <w:spacing w:before="0" w:line="225" w:lineRule="exact"/>
              <w:ind w:right="117"/>
              <w:rPr>
                <w:b/>
                <w:sz w:val="20"/>
              </w:rPr>
            </w:pPr>
            <w:r>
              <w:rPr>
                <w:b/>
                <w:spacing w:val="-5"/>
                <w:sz w:val="20"/>
              </w:rPr>
              <w:t>253</w:t>
            </w:r>
          </w:p>
        </w:tc>
        <w:tc>
          <w:tcPr>
            <w:tcW w:w="975" w:type="dxa"/>
            <w:gridSpan w:val="2"/>
            <w:shd w:val="clear" w:color="auto" w:fill="CCEDFF"/>
          </w:tcPr>
          <w:p w14:paraId="4E707880" w14:textId="77777777" w:rsidR="00AE2255" w:rsidRDefault="00000000">
            <w:pPr>
              <w:pStyle w:val="TableParagraph"/>
              <w:spacing w:before="0" w:line="225" w:lineRule="exact"/>
              <w:ind w:left="555"/>
              <w:jc w:val="left"/>
              <w:rPr>
                <w:sz w:val="20"/>
              </w:rPr>
            </w:pPr>
            <w:r>
              <w:rPr>
                <w:spacing w:val="-5"/>
                <w:sz w:val="20"/>
              </w:rPr>
              <w:t>304</w:t>
            </w:r>
          </w:p>
        </w:tc>
        <w:tc>
          <w:tcPr>
            <w:tcW w:w="967" w:type="dxa"/>
            <w:gridSpan w:val="2"/>
            <w:shd w:val="clear" w:color="auto" w:fill="CCEDFF"/>
          </w:tcPr>
          <w:p w14:paraId="4BCBA4AF" w14:textId="77777777" w:rsidR="00AE2255" w:rsidRDefault="00000000">
            <w:pPr>
              <w:pStyle w:val="TableParagraph"/>
              <w:spacing w:before="0" w:line="225" w:lineRule="exact"/>
              <w:ind w:left="555"/>
              <w:jc w:val="left"/>
              <w:rPr>
                <w:sz w:val="20"/>
              </w:rPr>
            </w:pPr>
            <w:r>
              <w:rPr>
                <w:spacing w:val="-5"/>
                <w:sz w:val="20"/>
              </w:rPr>
              <w:t>391</w:t>
            </w:r>
          </w:p>
        </w:tc>
      </w:tr>
      <w:tr w:rsidR="00AE2255" w14:paraId="656FBD7B" w14:textId="77777777">
        <w:trPr>
          <w:trHeight w:val="255"/>
        </w:trPr>
        <w:tc>
          <w:tcPr>
            <w:tcW w:w="6013" w:type="dxa"/>
          </w:tcPr>
          <w:p w14:paraId="7DF2A9D6" w14:textId="77777777" w:rsidR="00AE2255" w:rsidRDefault="00000000">
            <w:pPr>
              <w:pStyle w:val="TableParagraph"/>
              <w:spacing w:before="27" w:line="208" w:lineRule="exact"/>
              <w:ind w:left="172"/>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305" w:type="dxa"/>
            <w:gridSpan w:val="2"/>
          </w:tcPr>
          <w:p w14:paraId="616A810F" w14:textId="77777777" w:rsidR="00AE2255" w:rsidRDefault="00000000">
            <w:pPr>
              <w:pStyle w:val="TableParagraph"/>
              <w:spacing w:before="0" w:line="225" w:lineRule="exact"/>
              <w:ind w:right="117"/>
              <w:rPr>
                <w:b/>
                <w:sz w:val="20"/>
              </w:rPr>
            </w:pPr>
            <w:r>
              <w:rPr>
                <w:b/>
                <w:spacing w:val="-5"/>
                <w:sz w:val="20"/>
              </w:rPr>
              <w:t>266</w:t>
            </w:r>
          </w:p>
        </w:tc>
        <w:tc>
          <w:tcPr>
            <w:tcW w:w="975" w:type="dxa"/>
            <w:gridSpan w:val="2"/>
          </w:tcPr>
          <w:p w14:paraId="4DE60247" w14:textId="77777777" w:rsidR="00AE2255" w:rsidRDefault="00000000">
            <w:pPr>
              <w:pStyle w:val="TableParagraph"/>
              <w:spacing w:before="0" w:line="225" w:lineRule="exact"/>
              <w:ind w:left="555"/>
              <w:jc w:val="left"/>
              <w:rPr>
                <w:sz w:val="20"/>
              </w:rPr>
            </w:pPr>
            <w:r>
              <w:rPr>
                <w:spacing w:val="-5"/>
                <w:sz w:val="20"/>
              </w:rPr>
              <w:t>279</w:t>
            </w:r>
          </w:p>
        </w:tc>
        <w:tc>
          <w:tcPr>
            <w:tcW w:w="967" w:type="dxa"/>
            <w:gridSpan w:val="2"/>
          </w:tcPr>
          <w:p w14:paraId="0BF231DE" w14:textId="77777777" w:rsidR="00AE2255" w:rsidRDefault="00000000">
            <w:pPr>
              <w:pStyle w:val="TableParagraph"/>
              <w:spacing w:before="0" w:line="225" w:lineRule="exact"/>
              <w:ind w:left="555"/>
              <w:jc w:val="left"/>
              <w:rPr>
                <w:sz w:val="20"/>
              </w:rPr>
            </w:pPr>
            <w:r>
              <w:rPr>
                <w:spacing w:val="-5"/>
                <w:sz w:val="20"/>
              </w:rPr>
              <w:t>311</w:t>
            </w:r>
          </w:p>
        </w:tc>
      </w:tr>
      <w:tr w:rsidR="00AE2255" w14:paraId="1D9A4B2D" w14:textId="77777777">
        <w:trPr>
          <w:trHeight w:val="245"/>
        </w:trPr>
        <w:tc>
          <w:tcPr>
            <w:tcW w:w="6013" w:type="dxa"/>
            <w:tcBorders>
              <w:bottom w:val="single" w:sz="8" w:space="0" w:color="CCEDFF"/>
            </w:tcBorders>
            <w:shd w:val="clear" w:color="auto" w:fill="CCEDFF"/>
          </w:tcPr>
          <w:p w14:paraId="0AC4FB7E" w14:textId="77777777" w:rsidR="00AE2255" w:rsidRDefault="00000000">
            <w:pPr>
              <w:pStyle w:val="TableParagraph"/>
              <w:spacing w:before="27" w:line="198" w:lineRule="exact"/>
              <w:ind w:left="172"/>
              <w:jc w:val="left"/>
              <w:rPr>
                <w:sz w:val="20"/>
              </w:rPr>
            </w:pPr>
            <w:r>
              <w:rPr>
                <w:spacing w:val="-2"/>
                <w:sz w:val="20"/>
              </w:rPr>
              <w:t>Space</w:t>
            </w:r>
          </w:p>
        </w:tc>
        <w:tc>
          <w:tcPr>
            <w:tcW w:w="2305" w:type="dxa"/>
            <w:gridSpan w:val="2"/>
            <w:tcBorders>
              <w:bottom w:val="single" w:sz="8" w:space="0" w:color="CCEDFF"/>
            </w:tcBorders>
            <w:shd w:val="clear" w:color="auto" w:fill="CCEDFF"/>
          </w:tcPr>
          <w:p w14:paraId="41F0C227" w14:textId="77777777" w:rsidR="00AE2255" w:rsidRDefault="00000000">
            <w:pPr>
              <w:pStyle w:val="TableParagraph"/>
              <w:spacing w:before="0" w:line="225" w:lineRule="exact"/>
              <w:ind w:right="117"/>
              <w:rPr>
                <w:b/>
                <w:sz w:val="20"/>
              </w:rPr>
            </w:pPr>
            <w:r>
              <w:rPr>
                <w:b/>
                <w:spacing w:val="-5"/>
                <w:sz w:val="20"/>
              </w:rPr>
              <w:t>391</w:t>
            </w:r>
          </w:p>
        </w:tc>
        <w:tc>
          <w:tcPr>
            <w:tcW w:w="975" w:type="dxa"/>
            <w:gridSpan w:val="2"/>
            <w:tcBorders>
              <w:bottom w:val="single" w:sz="8" w:space="0" w:color="CCEDFF"/>
            </w:tcBorders>
            <w:shd w:val="clear" w:color="auto" w:fill="CCEDFF"/>
          </w:tcPr>
          <w:p w14:paraId="4C55208B" w14:textId="77777777" w:rsidR="00AE2255" w:rsidRDefault="00000000">
            <w:pPr>
              <w:pStyle w:val="TableParagraph"/>
              <w:spacing w:before="0" w:line="225" w:lineRule="exact"/>
              <w:ind w:left="555"/>
              <w:jc w:val="left"/>
              <w:rPr>
                <w:sz w:val="20"/>
              </w:rPr>
            </w:pPr>
            <w:r>
              <w:rPr>
                <w:spacing w:val="-5"/>
                <w:sz w:val="20"/>
              </w:rPr>
              <w:t>305</w:t>
            </w:r>
          </w:p>
        </w:tc>
        <w:tc>
          <w:tcPr>
            <w:tcW w:w="967" w:type="dxa"/>
            <w:gridSpan w:val="2"/>
            <w:tcBorders>
              <w:bottom w:val="single" w:sz="8" w:space="0" w:color="CCEDFF"/>
            </w:tcBorders>
            <w:shd w:val="clear" w:color="auto" w:fill="CCEDFF"/>
          </w:tcPr>
          <w:p w14:paraId="78CE4E2F" w14:textId="77777777" w:rsidR="00AE2255" w:rsidRDefault="00000000">
            <w:pPr>
              <w:pStyle w:val="TableParagraph"/>
              <w:spacing w:before="0" w:line="225" w:lineRule="exact"/>
              <w:ind w:left="555"/>
              <w:jc w:val="left"/>
              <w:rPr>
                <w:sz w:val="20"/>
              </w:rPr>
            </w:pPr>
            <w:r>
              <w:rPr>
                <w:spacing w:val="-5"/>
                <w:sz w:val="20"/>
              </w:rPr>
              <w:t>403</w:t>
            </w:r>
          </w:p>
        </w:tc>
      </w:tr>
      <w:tr w:rsidR="00AE2255" w14:paraId="5C25EE34" w14:textId="77777777">
        <w:trPr>
          <w:trHeight w:val="245"/>
        </w:trPr>
        <w:tc>
          <w:tcPr>
            <w:tcW w:w="6013" w:type="dxa"/>
            <w:tcBorders>
              <w:top w:val="single" w:sz="8" w:space="0" w:color="auto"/>
            </w:tcBorders>
          </w:tcPr>
          <w:p w14:paraId="4342B89E" w14:textId="77777777" w:rsidR="00AE2255" w:rsidRDefault="00000000">
            <w:pPr>
              <w:pStyle w:val="TableParagraph"/>
              <w:spacing w:before="17" w:line="208" w:lineRule="exact"/>
              <w:ind w:left="292"/>
              <w:jc w:val="left"/>
              <w:rPr>
                <w:sz w:val="20"/>
              </w:rPr>
            </w:pPr>
            <w:r>
              <w:rPr>
                <w:sz w:val="20"/>
              </w:rPr>
              <w:t>Total</w:t>
            </w:r>
            <w:r>
              <w:rPr>
                <w:spacing w:val="-5"/>
                <w:sz w:val="20"/>
              </w:rPr>
              <w:t xml:space="preserve"> </w:t>
            </w:r>
            <w:r>
              <w:rPr>
                <w:sz w:val="20"/>
              </w:rPr>
              <w:t>business</w:t>
            </w:r>
            <w:r>
              <w:rPr>
                <w:spacing w:val="-5"/>
                <w:sz w:val="20"/>
              </w:rPr>
              <w:t xml:space="preserve"> </w:t>
            </w:r>
            <w:r>
              <w:rPr>
                <w:sz w:val="20"/>
              </w:rPr>
              <w:t>segment</w:t>
            </w:r>
            <w:r>
              <w:rPr>
                <w:spacing w:val="-5"/>
                <w:sz w:val="20"/>
              </w:rPr>
              <w:t xml:space="preserve"> </w:t>
            </w:r>
            <w:r>
              <w:rPr>
                <w:sz w:val="20"/>
              </w:rPr>
              <w:t>capital</w:t>
            </w:r>
            <w:r>
              <w:rPr>
                <w:spacing w:val="-5"/>
                <w:sz w:val="20"/>
              </w:rPr>
              <w:t xml:space="preserve"> </w:t>
            </w:r>
            <w:r>
              <w:rPr>
                <w:spacing w:val="-2"/>
                <w:sz w:val="20"/>
              </w:rPr>
              <w:t>expenditures</w:t>
            </w:r>
          </w:p>
        </w:tc>
        <w:tc>
          <w:tcPr>
            <w:tcW w:w="2305" w:type="dxa"/>
            <w:gridSpan w:val="2"/>
            <w:tcBorders>
              <w:top w:val="single" w:sz="8" w:space="0" w:color="auto"/>
            </w:tcBorders>
          </w:tcPr>
          <w:p w14:paraId="71B152DF" w14:textId="77777777" w:rsidR="00AE2255" w:rsidRDefault="00000000">
            <w:pPr>
              <w:pStyle w:val="TableParagraph"/>
              <w:spacing w:before="0" w:line="215" w:lineRule="exact"/>
              <w:ind w:right="117"/>
              <w:rPr>
                <w:b/>
                <w:sz w:val="20"/>
              </w:rPr>
            </w:pPr>
            <w:r>
              <w:rPr>
                <w:b/>
                <w:spacing w:val="-2"/>
                <w:sz w:val="20"/>
              </w:rPr>
              <w:t>1,371</w:t>
            </w:r>
          </w:p>
        </w:tc>
        <w:tc>
          <w:tcPr>
            <w:tcW w:w="975" w:type="dxa"/>
            <w:gridSpan w:val="2"/>
            <w:tcBorders>
              <w:top w:val="single" w:sz="8" w:space="0" w:color="auto"/>
            </w:tcBorders>
          </w:tcPr>
          <w:p w14:paraId="3AC52E2C" w14:textId="77777777" w:rsidR="00AE2255" w:rsidRDefault="00000000">
            <w:pPr>
              <w:pStyle w:val="TableParagraph"/>
              <w:spacing w:before="0" w:line="215" w:lineRule="exact"/>
              <w:ind w:left="405"/>
              <w:jc w:val="left"/>
              <w:rPr>
                <w:sz w:val="20"/>
              </w:rPr>
            </w:pPr>
            <w:r>
              <w:rPr>
                <w:spacing w:val="-2"/>
                <w:sz w:val="20"/>
              </w:rPr>
              <w:t>1,365</w:t>
            </w:r>
          </w:p>
        </w:tc>
        <w:tc>
          <w:tcPr>
            <w:tcW w:w="967" w:type="dxa"/>
            <w:gridSpan w:val="2"/>
            <w:tcBorders>
              <w:top w:val="single" w:sz="8" w:space="0" w:color="auto"/>
            </w:tcBorders>
          </w:tcPr>
          <w:p w14:paraId="39891CE2" w14:textId="77777777" w:rsidR="00AE2255" w:rsidRDefault="00000000">
            <w:pPr>
              <w:pStyle w:val="TableParagraph"/>
              <w:spacing w:before="0" w:line="215" w:lineRule="exact"/>
              <w:ind w:left="405"/>
              <w:jc w:val="left"/>
              <w:rPr>
                <w:sz w:val="20"/>
              </w:rPr>
            </w:pPr>
            <w:r>
              <w:rPr>
                <w:spacing w:val="-2"/>
                <w:sz w:val="20"/>
              </w:rPr>
              <w:t>1,639</w:t>
            </w:r>
          </w:p>
        </w:tc>
      </w:tr>
      <w:tr w:rsidR="00AE2255" w14:paraId="5D5FA52B" w14:textId="77777777">
        <w:trPr>
          <w:trHeight w:val="245"/>
        </w:trPr>
        <w:tc>
          <w:tcPr>
            <w:tcW w:w="6013" w:type="dxa"/>
            <w:tcBorders>
              <w:bottom w:val="single" w:sz="8" w:space="0" w:color="CCEDFF"/>
            </w:tcBorders>
            <w:shd w:val="clear" w:color="auto" w:fill="CCEDFF"/>
          </w:tcPr>
          <w:p w14:paraId="36303482" w14:textId="77777777" w:rsidR="00AE2255" w:rsidRDefault="00000000">
            <w:pPr>
              <w:pStyle w:val="TableParagraph"/>
              <w:spacing w:before="27" w:line="198" w:lineRule="exact"/>
              <w:ind w:left="172"/>
              <w:jc w:val="left"/>
              <w:rPr>
                <w:sz w:val="20"/>
              </w:rPr>
            </w:pPr>
            <w:r>
              <w:rPr>
                <w:sz w:val="20"/>
              </w:rPr>
              <w:t>Corporate</w:t>
            </w:r>
            <w:r>
              <w:rPr>
                <w:spacing w:val="-4"/>
                <w:sz w:val="20"/>
              </w:rPr>
              <w:t xml:space="preserve"> </w:t>
            </w:r>
            <w:r>
              <w:rPr>
                <w:spacing w:val="-2"/>
                <w:sz w:val="20"/>
              </w:rPr>
              <w:t>activities</w:t>
            </w:r>
          </w:p>
        </w:tc>
        <w:tc>
          <w:tcPr>
            <w:tcW w:w="2305" w:type="dxa"/>
            <w:gridSpan w:val="2"/>
            <w:tcBorders>
              <w:bottom w:val="single" w:sz="8" w:space="0" w:color="CCEDFF"/>
            </w:tcBorders>
            <w:shd w:val="clear" w:color="auto" w:fill="CCEDFF"/>
          </w:tcPr>
          <w:p w14:paraId="725B1D1D" w14:textId="77777777" w:rsidR="00AE2255" w:rsidRDefault="00000000">
            <w:pPr>
              <w:pStyle w:val="TableParagraph"/>
              <w:spacing w:before="0" w:line="225" w:lineRule="exact"/>
              <w:ind w:right="117"/>
              <w:rPr>
                <w:b/>
                <w:sz w:val="20"/>
              </w:rPr>
            </w:pPr>
            <w:r>
              <w:rPr>
                <w:b/>
                <w:spacing w:val="-5"/>
                <w:sz w:val="20"/>
              </w:rPr>
              <w:t>299</w:t>
            </w:r>
          </w:p>
        </w:tc>
        <w:tc>
          <w:tcPr>
            <w:tcW w:w="975" w:type="dxa"/>
            <w:gridSpan w:val="2"/>
            <w:tcBorders>
              <w:bottom w:val="single" w:sz="8" w:space="0" w:color="CCEDFF"/>
            </w:tcBorders>
            <w:shd w:val="clear" w:color="auto" w:fill="CCEDFF"/>
          </w:tcPr>
          <w:p w14:paraId="2C78E316" w14:textId="77777777" w:rsidR="00AE2255" w:rsidRDefault="00000000">
            <w:pPr>
              <w:pStyle w:val="TableParagraph"/>
              <w:spacing w:before="0" w:line="225" w:lineRule="exact"/>
              <w:ind w:left="555"/>
              <w:jc w:val="left"/>
              <w:rPr>
                <w:sz w:val="20"/>
              </w:rPr>
            </w:pPr>
            <w:r>
              <w:rPr>
                <w:spacing w:val="-5"/>
                <w:sz w:val="20"/>
              </w:rPr>
              <w:t>157</w:t>
            </w:r>
          </w:p>
        </w:tc>
        <w:tc>
          <w:tcPr>
            <w:tcW w:w="967" w:type="dxa"/>
            <w:gridSpan w:val="2"/>
            <w:tcBorders>
              <w:bottom w:val="single" w:sz="8" w:space="0" w:color="CCEDFF"/>
            </w:tcBorders>
            <w:shd w:val="clear" w:color="auto" w:fill="CCEDFF"/>
          </w:tcPr>
          <w:p w14:paraId="34AC9F14" w14:textId="77777777" w:rsidR="00AE2255" w:rsidRDefault="00000000">
            <w:pPr>
              <w:pStyle w:val="TableParagraph"/>
              <w:spacing w:before="0" w:line="225" w:lineRule="exact"/>
              <w:ind w:left="555"/>
              <w:jc w:val="left"/>
              <w:rPr>
                <w:sz w:val="20"/>
              </w:rPr>
            </w:pPr>
            <w:r>
              <w:rPr>
                <w:spacing w:val="-5"/>
                <w:sz w:val="20"/>
              </w:rPr>
              <w:t>127</w:t>
            </w:r>
          </w:p>
        </w:tc>
      </w:tr>
      <w:tr w:rsidR="00AE2255" w14:paraId="3332EDAE" w14:textId="77777777">
        <w:trPr>
          <w:trHeight w:val="233"/>
        </w:trPr>
        <w:tc>
          <w:tcPr>
            <w:tcW w:w="6013" w:type="dxa"/>
            <w:tcBorders>
              <w:top w:val="single" w:sz="8" w:space="0" w:color="auto"/>
              <w:bottom w:val="single" w:sz="8" w:space="0" w:color="auto"/>
            </w:tcBorders>
          </w:tcPr>
          <w:p w14:paraId="395059D5" w14:textId="77777777" w:rsidR="00AE2255" w:rsidRDefault="00000000">
            <w:pPr>
              <w:pStyle w:val="TableParagraph"/>
              <w:spacing w:before="17" w:line="198" w:lineRule="exact"/>
              <w:ind w:left="292"/>
              <w:jc w:val="left"/>
              <w:rPr>
                <w:sz w:val="20"/>
              </w:rPr>
            </w:pPr>
            <w:r>
              <w:rPr>
                <w:sz w:val="20"/>
              </w:rPr>
              <w:t>Total</w:t>
            </w:r>
            <w:r>
              <w:rPr>
                <w:spacing w:val="-5"/>
                <w:sz w:val="20"/>
              </w:rPr>
              <w:t xml:space="preserve"> </w:t>
            </w:r>
            <w:r>
              <w:rPr>
                <w:sz w:val="20"/>
              </w:rPr>
              <w:t>capital</w:t>
            </w:r>
            <w:r>
              <w:rPr>
                <w:spacing w:val="-5"/>
                <w:sz w:val="20"/>
              </w:rPr>
              <w:t xml:space="preserve"> </w:t>
            </w:r>
            <w:r>
              <w:rPr>
                <w:spacing w:val="-2"/>
                <w:sz w:val="20"/>
              </w:rPr>
              <w:t>expenditures</w:t>
            </w:r>
          </w:p>
        </w:tc>
        <w:tc>
          <w:tcPr>
            <w:tcW w:w="2305" w:type="dxa"/>
            <w:gridSpan w:val="2"/>
            <w:tcBorders>
              <w:top w:val="single" w:sz="8" w:space="0" w:color="auto"/>
              <w:bottom w:val="single" w:sz="8" w:space="0" w:color="auto"/>
            </w:tcBorders>
          </w:tcPr>
          <w:p w14:paraId="5A9319D8" w14:textId="77777777" w:rsidR="00AE2255" w:rsidRDefault="00000000">
            <w:pPr>
              <w:pStyle w:val="TableParagraph"/>
              <w:tabs>
                <w:tab w:val="left" w:pos="1735"/>
              </w:tabs>
              <w:spacing w:before="0" w:line="215" w:lineRule="exact"/>
              <w:ind w:left="1419"/>
              <w:jc w:val="left"/>
              <w:rPr>
                <w:b/>
                <w:sz w:val="20"/>
              </w:rPr>
            </w:pPr>
            <w:r>
              <w:rPr>
                <w:b/>
                <w:spacing w:val="-10"/>
                <w:sz w:val="20"/>
              </w:rPr>
              <w:t>$</w:t>
            </w:r>
            <w:r>
              <w:rPr>
                <w:b/>
                <w:sz w:val="20"/>
              </w:rPr>
              <w:tab/>
            </w:r>
            <w:r>
              <w:rPr>
                <w:b/>
                <w:spacing w:val="-2"/>
                <w:sz w:val="20"/>
              </w:rPr>
              <w:t>1,670</w:t>
            </w:r>
          </w:p>
        </w:tc>
        <w:tc>
          <w:tcPr>
            <w:tcW w:w="975" w:type="dxa"/>
            <w:gridSpan w:val="2"/>
            <w:tcBorders>
              <w:top w:val="single" w:sz="8" w:space="0" w:color="auto"/>
              <w:bottom w:val="single" w:sz="8" w:space="0" w:color="auto"/>
            </w:tcBorders>
          </w:tcPr>
          <w:p w14:paraId="585348A9" w14:textId="77777777" w:rsidR="00AE2255" w:rsidRDefault="00000000">
            <w:pPr>
              <w:pStyle w:val="TableParagraph"/>
              <w:tabs>
                <w:tab w:val="left" w:pos="405"/>
              </w:tabs>
              <w:spacing w:before="0" w:line="215" w:lineRule="exact"/>
              <w:ind w:left="89"/>
              <w:jc w:val="left"/>
              <w:rPr>
                <w:sz w:val="20"/>
              </w:rPr>
            </w:pPr>
            <w:r>
              <w:rPr>
                <w:spacing w:val="-10"/>
                <w:sz w:val="20"/>
              </w:rPr>
              <w:t>$</w:t>
            </w:r>
            <w:r>
              <w:rPr>
                <w:sz w:val="20"/>
              </w:rPr>
              <w:tab/>
            </w:r>
            <w:r>
              <w:rPr>
                <w:spacing w:val="-2"/>
                <w:sz w:val="20"/>
              </w:rPr>
              <w:t>1,522</w:t>
            </w:r>
          </w:p>
        </w:tc>
        <w:tc>
          <w:tcPr>
            <w:tcW w:w="967" w:type="dxa"/>
            <w:gridSpan w:val="2"/>
            <w:tcBorders>
              <w:top w:val="single" w:sz="8" w:space="0" w:color="auto"/>
              <w:bottom w:val="single" w:sz="8" w:space="0" w:color="auto"/>
            </w:tcBorders>
          </w:tcPr>
          <w:p w14:paraId="0E176965" w14:textId="77777777" w:rsidR="00AE2255" w:rsidRDefault="00000000">
            <w:pPr>
              <w:pStyle w:val="TableParagraph"/>
              <w:tabs>
                <w:tab w:val="left" w:pos="405"/>
              </w:tabs>
              <w:spacing w:before="0" w:line="215" w:lineRule="exact"/>
              <w:ind w:left="89"/>
              <w:jc w:val="left"/>
              <w:rPr>
                <w:sz w:val="20"/>
              </w:rPr>
            </w:pPr>
            <w:r>
              <w:rPr>
                <w:spacing w:val="-10"/>
                <w:sz w:val="20"/>
              </w:rPr>
              <w:t>$</w:t>
            </w:r>
            <w:r>
              <w:rPr>
                <w:sz w:val="20"/>
              </w:rPr>
              <w:tab/>
            </w:r>
            <w:r>
              <w:rPr>
                <w:spacing w:val="-2"/>
                <w:sz w:val="20"/>
              </w:rPr>
              <w:t>1,766</w:t>
            </w:r>
          </w:p>
        </w:tc>
      </w:tr>
      <w:tr w:rsidR="00AE2255" w14:paraId="6E5504A7" w14:textId="77777777">
        <w:trPr>
          <w:trHeight w:val="245"/>
        </w:trPr>
        <w:tc>
          <w:tcPr>
            <w:tcW w:w="6013" w:type="dxa"/>
            <w:tcBorders>
              <w:top w:val="single" w:sz="8" w:space="0" w:color="CCEDFF"/>
            </w:tcBorders>
            <w:shd w:val="clear" w:color="auto" w:fill="CCEDFF"/>
          </w:tcPr>
          <w:p w14:paraId="43D50992" w14:textId="77777777" w:rsidR="00AE2255" w:rsidRDefault="00000000">
            <w:pPr>
              <w:pStyle w:val="TableParagraph"/>
              <w:spacing w:before="13" w:line="211" w:lineRule="exact"/>
              <w:ind w:left="52"/>
              <w:jc w:val="left"/>
              <w:rPr>
                <w:b/>
                <w:sz w:val="20"/>
              </w:rPr>
            </w:pPr>
            <w:r>
              <w:rPr>
                <w:b/>
                <w:sz w:val="20"/>
              </w:rPr>
              <w:t>PP&amp;E</w:t>
            </w:r>
            <w:r>
              <w:rPr>
                <w:b/>
                <w:spacing w:val="-7"/>
                <w:sz w:val="20"/>
              </w:rPr>
              <w:t xml:space="preserve"> </w:t>
            </w:r>
            <w:r>
              <w:rPr>
                <w:b/>
                <w:sz w:val="20"/>
              </w:rPr>
              <w:t>depreciation</w:t>
            </w:r>
            <w:r>
              <w:rPr>
                <w:b/>
                <w:spacing w:val="-5"/>
                <w:sz w:val="20"/>
              </w:rPr>
              <w:t xml:space="preserve"> </w:t>
            </w:r>
            <w:r>
              <w:rPr>
                <w:b/>
                <w:sz w:val="20"/>
              </w:rPr>
              <w:t>and</w:t>
            </w:r>
            <w:r>
              <w:rPr>
                <w:b/>
                <w:spacing w:val="-4"/>
                <w:sz w:val="20"/>
              </w:rPr>
              <w:t xml:space="preserve"> </w:t>
            </w:r>
            <w:r>
              <w:rPr>
                <w:b/>
                <w:sz w:val="20"/>
              </w:rPr>
              <w:t>software</w:t>
            </w:r>
            <w:r>
              <w:rPr>
                <w:b/>
                <w:spacing w:val="-5"/>
                <w:sz w:val="20"/>
              </w:rPr>
              <w:t xml:space="preserve"> </w:t>
            </w:r>
            <w:r>
              <w:rPr>
                <w:b/>
                <w:sz w:val="20"/>
              </w:rPr>
              <w:t>amortization</w:t>
            </w:r>
            <w:r>
              <w:rPr>
                <w:b/>
                <w:spacing w:val="-4"/>
                <w:sz w:val="20"/>
              </w:rPr>
              <w:t xml:space="preserve"> </w:t>
            </w:r>
            <w:r>
              <w:rPr>
                <w:b/>
                <w:spacing w:val="-5"/>
                <w:sz w:val="20"/>
                <w:vertAlign w:val="superscript"/>
              </w:rPr>
              <w:t>(a)</w:t>
            </w:r>
          </w:p>
        </w:tc>
        <w:tc>
          <w:tcPr>
            <w:tcW w:w="2305" w:type="dxa"/>
            <w:gridSpan w:val="2"/>
            <w:tcBorders>
              <w:top w:val="single" w:sz="8" w:space="0" w:color="CCEDFF"/>
            </w:tcBorders>
            <w:shd w:val="clear" w:color="auto" w:fill="CCEDFF"/>
          </w:tcPr>
          <w:p w14:paraId="5EDD0C51" w14:textId="77777777" w:rsidR="00AE2255" w:rsidRDefault="00AE2255">
            <w:pPr>
              <w:pStyle w:val="TableParagraph"/>
              <w:spacing w:before="0"/>
              <w:jc w:val="left"/>
              <w:rPr>
                <w:sz w:val="16"/>
              </w:rPr>
            </w:pPr>
          </w:p>
        </w:tc>
        <w:tc>
          <w:tcPr>
            <w:tcW w:w="975" w:type="dxa"/>
            <w:gridSpan w:val="2"/>
            <w:tcBorders>
              <w:top w:val="single" w:sz="8" w:space="0" w:color="CCEDFF"/>
            </w:tcBorders>
            <w:shd w:val="clear" w:color="auto" w:fill="CCEDFF"/>
          </w:tcPr>
          <w:p w14:paraId="612E56F1" w14:textId="77777777" w:rsidR="00AE2255" w:rsidRDefault="00AE2255">
            <w:pPr>
              <w:pStyle w:val="TableParagraph"/>
              <w:spacing w:before="0"/>
              <w:jc w:val="left"/>
              <w:rPr>
                <w:sz w:val="16"/>
              </w:rPr>
            </w:pPr>
          </w:p>
        </w:tc>
        <w:tc>
          <w:tcPr>
            <w:tcW w:w="967" w:type="dxa"/>
            <w:gridSpan w:val="2"/>
            <w:tcBorders>
              <w:top w:val="single" w:sz="8" w:space="0" w:color="CCEDFF"/>
            </w:tcBorders>
            <w:shd w:val="clear" w:color="auto" w:fill="CCEDFF"/>
          </w:tcPr>
          <w:p w14:paraId="49CA3B62" w14:textId="77777777" w:rsidR="00AE2255" w:rsidRDefault="00AE2255">
            <w:pPr>
              <w:pStyle w:val="TableParagraph"/>
              <w:spacing w:before="0"/>
              <w:jc w:val="left"/>
              <w:rPr>
                <w:sz w:val="16"/>
              </w:rPr>
            </w:pPr>
          </w:p>
        </w:tc>
      </w:tr>
      <w:tr w:rsidR="00AE2255" w14:paraId="12AFDB93" w14:textId="77777777">
        <w:trPr>
          <w:trHeight w:val="256"/>
        </w:trPr>
        <w:tc>
          <w:tcPr>
            <w:tcW w:w="6013" w:type="dxa"/>
          </w:tcPr>
          <w:p w14:paraId="4EA063A4" w14:textId="77777777" w:rsidR="00AE2255" w:rsidRDefault="00000000">
            <w:pPr>
              <w:pStyle w:val="TableParagraph"/>
              <w:spacing w:before="27" w:line="208" w:lineRule="exact"/>
              <w:ind w:left="172"/>
              <w:jc w:val="left"/>
              <w:rPr>
                <w:sz w:val="20"/>
              </w:rPr>
            </w:pPr>
            <w:r>
              <w:rPr>
                <w:spacing w:val="-2"/>
                <w:sz w:val="20"/>
              </w:rPr>
              <w:t>Aeronautics</w:t>
            </w:r>
          </w:p>
        </w:tc>
        <w:tc>
          <w:tcPr>
            <w:tcW w:w="2305" w:type="dxa"/>
            <w:gridSpan w:val="2"/>
          </w:tcPr>
          <w:p w14:paraId="7A1B76D9" w14:textId="77777777" w:rsidR="00AE2255" w:rsidRDefault="00000000">
            <w:pPr>
              <w:pStyle w:val="TableParagraph"/>
              <w:tabs>
                <w:tab w:val="left" w:pos="1885"/>
              </w:tabs>
              <w:spacing w:before="0" w:line="225" w:lineRule="exact"/>
              <w:ind w:left="1419"/>
              <w:jc w:val="left"/>
              <w:rPr>
                <w:b/>
                <w:sz w:val="20"/>
              </w:rPr>
            </w:pPr>
            <w:r>
              <w:rPr>
                <w:b/>
                <w:spacing w:val="-10"/>
                <w:sz w:val="20"/>
              </w:rPr>
              <w:t>$</w:t>
            </w:r>
            <w:r>
              <w:rPr>
                <w:b/>
                <w:sz w:val="20"/>
              </w:rPr>
              <w:tab/>
            </w:r>
            <w:r>
              <w:rPr>
                <w:b/>
                <w:spacing w:val="-5"/>
                <w:sz w:val="20"/>
              </w:rPr>
              <w:t>383</w:t>
            </w:r>
          </w:p>
        </w:tc>
        <w:tc>
          <w:tcPr>
            <w:tcW w:w="975" w:type="dxa"/>
            <w:gridSpan w:val="2"/>
          </w:tcPr>
          <w:p w14:paraId="0AAB4EBB" w14:textId="77777777" w:rsidR="00AE2255" w:rsidRDefault="00000000">
            <w:pPr>
              <w:pStyle w:val="TableParagraph"/>
              <w:tabs>
                <w:tab w:val="left" w:pos="555"/>
              </w:tabs>
              <w:spacing w:before="0" w:line="225" w:lineRule="exact"/>
              <w:ind w:left="89"/>
              <w:jc w:val="left"/>
              <w:rPr>
                <w:sz w:val="20"/>
              </w:rPr>
            </w:pPr>
            <w:r>
              <w:rPr>
                <w:spacing w:val="-10"/>
                <w:sz w:val="20"/>
              </w:rPr>
              <w:t>$</w:t>
            </w:r>
            <w:r>
              <w:rPr>
                <w:sz w:val="20"/>
              </w:rPr>
              <w:tab/>
            </w:r>
            <w:r>
              <w:rPr>
                <w:spacing w:val="-5"/>
                <w:sz w:val="20"/>
              </w:rPr>
              <w:t>348</w:t>
            </w:r>
          </w:p>
        </w:tc>
        <w:tc>
          <w:tcPr>
            <w:tcW w:w="967" w:type="dxa"/>
            <w:gridSpan w:val="2"/>
          </w:tcPr>
          <w:p w14:paraId="68F824FD" w14:textId="77777777" w:rsidR="00AE2255" w:rsidRDefault="00000000">
            <w:pPr>
              <w:pStyle w:val="TableParagraph"/>
              <w:tabs>
                <w:tab w:val="left" w:pos="555"/>
              </w:tabs>
              <w:spacing w:before="0" w:line="225" w:lineRule="exact"/>
              <w:ind w:left="89"/>
              <w:jc w:val="left"/>
              <w:rPr>
                <w:sz w:val="20"/>
              </w:rPr>
            </w:pPr>
            <w:r>
              <w:rPr>
                <w:spacing w:val="-10"/>
                <w:sz w:val="20"/>
              </w:rPr>
              <w:t>$</w:t>
            </w:r>
            <w:r>
              <w:rPr>
                <w:sz w:val="20"/>
              </w:rPr>
              <w:tab/>
            </w:r>
            <w:r>
              <w:rPr>
                <w:spacing w:val="-5"/>
                <w:sz w:val="20"/>
              </w:rPr>
              <w:t>348</w:t>
            </w:r>
          </w:p>
        </w:tc>
      </w:tr>
      <w:tr w:rsidR="00AE2255" w14:paraId="1D7705FC" w14:textId="77777777">
        <w:trPr>
          <w:trHeight w:val="255"/>
        </w:trPr>
        <w:tc>
          <w:tcPr>
            <w:tcW w:w="6013" w:type="dxa"/>
            <w:shd w:val="clear" w:color="auto" w:fill="CCEDFF"/>
          </w:tcPr>
          <w:p w14:paraId="7F874BD3" w14:textId="77777777" w:rsidR="00AE2255" w:rsidRDefault="00000000">
            <w:pPr>
              <w:pStyle w:val="TableParagraph"/>
              <w:spacing w:before="27" w:line="208" w:lineRule="exact"/>
              <w:ind w:left="172"/>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305" w:type="dxa"/>
            <w:gridSpan w:val="2"/>
            <w:shd w:val="clear" w:color="auto" w:fill="CCEDFF"/>
          </w:tcPr>
          <w:p w14:paraId="0474CB0D" w14:textId="77777777" w:rsidR="00AE2255" w:rsidRDefault="00000000">
            <w:pPr>
              <w:pStyle w:val="TableParagraph"/>
              <w:spacing w:before="0" w:line="225" w:lineRule="exact"/>
              <w:ind w:right="117"/>
              <w:rPr>
                <w:b/>
                <w:sz w:val="20"/>
              </w:rPr>
            </w:pPr>
            <w:r>
              <w:rPr>
                <w:b/>
                <w:spacing w:val="-5"/>
                <w:sz w:val="20"/>
              </w:rPr>
              <w:t>160</w:t>
            </w:r>
          </w:p>
        </w:tc>
        <w:tc>
          <w:tcPr>
            <w:tcW w:w="975" w:type="dxa"/>
            <w:gridSpan w:val="2"/>
            <w:shd w:val="clear" w:color="auto" w:fill="CCEDFF"/>
          </w:tcPr>
          <w:p w14:paraId="0F9E6CB2" w14:textId="77777777" w:rsidR="00AE2255" w:rsidRDefault="00000000">
            <w:pPr>
              <w:pStyle w:val="TableParagraph"/>
              <w:spacing w:before="0" w:line="225" w:lineRule="exact"/>
              <w:ind w:left="555"/>
              <w:jc w:val="left"/>
              <w:rPr>
                <w:sz w:val="20"/>
              </w:rPr>
            </w:pPr>
            <w:r>
              <w:rPr>
                <w:spacing w:val="-5"/>
                <w:sz w:val="20"/>
              </w:rPr>
              <w:t>153</w:t>
            </w:r>
          </w:p>
        </w:tc>
        <w:tc>
          <w:tcPr>
            <w:tcW w:w="967" w:type="dxa"/>
            <w:gridSpan w:val="2"/>
            <w:shd w:val="clear" w:color="auto" w:fill="CCEDFF"/>
          </w:tcPr>
          <w:p w14:paraId="4BBC9A44" w14:textId="77777777" w:rsidR="00AE2255" w:rsidRDefault="00000000">
            <w:pPr>
              <w:pStyle w:val="TableParagraph"/>
              <w:spacing w:before="0" w:line="225" w:lineRule="exact"/>
              <w:ind w:left="555"/>
              <w:jc w:val="left"/>
              <w:rPr>
                <w:sz w:val="20"/>
              </w:rPr>
            </w:pPr>
            <w:r>
              <w:rPr>
                <w:spacing w:val="-5"/>
                <w:sz w:val="20"/>
              </w:rPr>
              <w:t>136</w:t>
            </w:r>
          </w:p>
        </w:tc>
      </w:tr>
      <w:tr w:rsidR="00AE2255" w14:paraId="080F2DCB" w14:textId="77777777">
        <w:trPr>
          <w:trHeight w:val="255"/>
        </w:trPr>
        <w:tc>
          <w:tcPr>
            <w:tcW w:w="6013" w:type="dxa"/>
          </w:tcPr>
          <w:p w14:paraId="7A2D61DF" w14:textId="77777777" w:rsidR="00AE2255" w:rsidRDefault="00000000">
            <w:pPr>
              <w:pStyle w:val="TableParagraph"/>
              <w:spacing w:before="27" w:line="208" w:lineRule="exact"/>
              <w:ind w:left="172"/>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305" w:type="dxa"/>
            <w:gridSpan w:val="2"/>
          </w:tcPr>
          <w:p w14:paraId="3A10933C" w14:textId="77777777" w:rsidR="00AE2255" w:rsidRDefault="00000000">
            <w:pPr>
              <w:pStyle w:val="TableParagraph"/>
              <w:spacing w:before="0" w:line="225" w:lineRule="exact"/>
              <w:ind w:right="117"/>
              <w:rPr>
                <w:b/>
                <w:sz w:val="20"/>
              </w:rPr>
            </w:pPr>
            <w:r>
              <w:rPr>
                <w:b/>
                <w:spacing w:val="-5"/>
                <w:sz w:val="20"/>
              </w:rPr>
              <w:t>245</w:t>
            </w:r>
          </w:p>
        </w:tc>
        <w:tc>
          <w:tcPr>
            <w:tcW w:w="975" w:type="dxa"/>
            <w:gridSpan w:val="2"/>
          </w:tcPr>
          <w:p w14:paraId="28ED3BF1" w14:textId="77777777" w:rsidR="00AE2255" w:rsidRDefault="00000000">
            <w:pPr>
              <w:pStyle w:val="TableParagraph"/>
              <w:spacing w:before="0" w:line="225" w:lineRule="exact"/>
              <w:ind w:left="555"/>
              <w:jc w:val="left"/>
              <w:rPr>
                <w:sz w:val="20"/>
              </w:rPr>
            </w:pPr>
            <w:r>
              <w:rPr>
                <w:spacing w:val="-5"/>
                <w:sz w:val="20"/>
              </w:rPr>
              <w:t>250</w:t>
            </w:r>
          </w:p>
        </w:tc>
        <w:tc>
          <w:tcPr>
            <w:tcW w:w="967" w:type="dxa"/>
            <w:gridSpan w:val="2"/>
          </w:tcPr>
          <w:p w14:paraId="3021498B" w14:textId="77777777" w:rsidR="00AE2255" w:rsidRDefault="00000000">
            <w:pPr>
              <w:pStyle w:val="TableParagraph"/>
              <w:spacing w:before="0" w:line="225" w:lineRule="exact"/>
              <w:ind w:left="555"/>
              <w:jc w:val="left"/>
              <w:rPr>
                <w:sz w:val="20"/>
              </w:rPr>
            </w:pPr>
            <w:r>
              <w:rPr>
                <w:spacing w:val="-5"/>
                <w:sz w:val="20"/>
              </w:rPr>
              <w:t>244</w:t>
            </w:r>
          </w:p>
        </w:tc>
      </w:tr>
      <w:tr w:rsidR="00AE2255" w14:paraId="4A0C0C49" w14:textId="77777777">
        <w:trPr>
          <w:trHeight w:val="245"/>
        </w:trPr>
        <w:tc>
          <w:tcPr>
            <w:tcW w:w="6013" w:type="dxa"/>
            <w:tcBorders>
              <w:bottom w:val="single" w:sz="8" w:space="0" w:color="CCEDFF"/>
            </w:tcBorders>
            <w:shd w:val="clear" w:color="auto" w:fill="CCEDFF"/>
          </w:tcPr>
          <w:p w14:paraId="495C857C" w14:textId="77777777" w:rsidR="00AE2255" w:rsidRDefault="00000000">
            <w:pPr>
              <w:pStyle w:val="TableParagraph"/>
              <w:spacing w:before="27" w:line="198" w:lineRule="exact"/>
              <w:ind w:left="172"/>
              <w:jc w:val="left"/>
              <w:rPr>
                <w:sz w:val="20"/>
              </w:rPr>
            </w:pPr>
            <w:r>
              <w:rPr>
                <w:spacing w:val="-2"/>
                <w:sz w:val="20"/>
              </w:rPr>
              <w:t>Space</w:t>
            </w:r>
          </w:p>
        </w:tc>
        <w:tc>
          <w:tcPr>
            <w:tcW w:w="2305" w:type="dxa"/>
            <w:gridSpan w:val="2"/>
            <w:tcBorders>
              <w:bottom w:val="single" w:sz="8" w:space="0" w:color="CCEDFF"/>
            </w:tcBorders>
            <w:shd w:val="clear" w:color="auto" w:fill="CCEDFF"/>
          </w:tcPr>
          <w:p w14:paraId="7D79BD7C" w14:textId="77777777" w:rsidR="00AE2255" w:rsidRDefault="00000000">
            <w:pPr>
              <w:pStyle w:val="TableParagraph"/>
              <w:spacing w:before="0" w:line="225" w:lineRule="exact"/>
              <w:ind w:right="117"/>
              <w:rPr>
                <w:b/>
                <w:sz w:val="20"/>
              </w:rPr>
            </w:pPr>
            <w:r>
              <w:rPr>
                <w:b/>
                <w:spacing w:val="-5"/>
                <w:sz w:val="20"/>
              </w:rPr>
              <w:t>201</w:t>
            </w:r>
          </w:p>
        </w:tc>
        <w:tc>
          <w:tcPr>
            <w:tcW w:w="975" w:type="dxa"/>
            <w:gridSpan w:val="2"/>
            <w:tcBorders>
              <w:bottom w:val="single" w:sz="8" w:space="0" w:color="CCEDFF"/>
            </w:tcBorders>
            <w:shd w:val="clear" w:color="auto" w:fill="CCEDFF"/>
          </w:tcPr>
          <w:p w14:paraId="42673D46" w14:textId="77777777" w:rsidR="00AE2255" w:rsidRDefault="00000000">
            <w:pPr>
              <w:pStyle w:val="TableParagraph"/>
              <w:spacing w:before="0" w:line="225" w:lineRule="exact"/>
              <w:ind w:left="555"/>
              <w:jc w:val="left"/>
              <w:rPr>
                <w:sz w:val="20"/>
              </w:rPr>
            </w:pPr>
            <w:r>
              <w:rPr>
                <w:spacing w:val="-5"/>
                <w:sz w:val="20"/>
              </w:rPr>
              <w:t>205</w:t>
            </w:r>
          </w:p>
        </w:tc>
        <w:tc>
          <w:tcPr>
            <w:tcW w:w="967" w:type="dxa"/>
            <w:gridSpan w:val="2"/>
            <w:tcBorders>
              <w:bottom w:val="single" w:sz="8" w:space="0" w:color="CCEDFF"/>
            </w:tcBorders>
            <w:shd w:val="clear" w:color="auto" w:fill="CCEDFF"/>
          </w:tcPr>
          <w:p w14:paraId="0DA690C2" w14:textId="77777777" w:rsidR="00AE2255" w:rsidRDefault="00000000">
            <w:pPr>
              <w:pStyle w:val="TableParagraph"/>
              <w:spacing w:before="0" w:line="225" w:lineRule="exact"/>
              <w:ind w:left="555"/>
              <w:jc w:val="left"/>
              <w:rPr>
                <w:sz w:val="20"/>
              </w:rPr>
            </w:pPr>
            <w:r>
              <w:rPr>
                <w:spacing w:val="-5"/>
                <w:sz w:val="20"/>
              </w:rPr>
              <w:t>182</w:t>
            </w:r>
          </w:p>
        </w:tc>
      </w:tr>
      <w:tr w:rsidR="00AE2255" w14:paraId="2EFEA0D6" w14:textId="77777777">
        <w:trPr>
          <w:trHeight w:val="245"/>
        </w:trPr>
        <w:tc>
          <w:tcPr>
            <w:tcW w:w="6013" w:type="dxa"/>
            <w:tcBorders>
              <w:top w:val="single" w:sz="8" w:space="0" w:color="auto"/>
            </w:tcBorders>
          </w:tcPr>
          <w:p w14:paraId="4B4033FF" w14:textId="77777777" w:rsidR="00AE2255" w:rsidRDefault="00000000">
            <w:pPr>
              <w:pStyle w:val="TableParagraph"/>
              <w:spacing w:before="17" w:line="208" w:lineRule="exact"/>
              <w:ind w:left="292"/>
              <w:jc w:val="left"/>
              <w:rPr>
                <w:sz w:val="20"/>
              </w:rPr>
            </w:pPr>
            <w:r>
              <w:rPr>
                <w:sz w:val="20"/>
              </w:rPr>
              <w:t>Total</w:t>
            </w:r>
            <w:r>
              <w:rPr>
                <w:spacing w:val="-5"/>
                <w:sz w:val="20"/>
              </w:rPr>
              <w:t xml:space="preserve"> </w:t>
            </w:r>
            <w:r>
              <w:rPr>
                <w:sz w:val="20"/>
              </w:rPr>
              <w:t>business</w:t>
            </w:r>
            <w:r>
              <w:rPr>
                <w:spacing w:val="-5"/>
                <w:sz w:val="20"/>
              </w:rPr>
              <w:t xml:space="preserve"> </w:t>
            </w:r>
            <w:r>
              <w:rPr>
                <w:sz w:val="20"/>
              </w:rPr>
              <w:t>segment</w:t>
            </w:r>
            <w:r>
              <w:rPr>
                <w:spacing w:val="-5"/>
                <w:sz w:val="20"/>
              </w:rPr>
              <w:t xml:space="preserve"> </w:t>
            </w:r>
            <w:r>
              <w:rPr>
                <w:sz w:val="20"/>
              </w:rPr>
              <w:t>depreciation</w:t>
            </w:r>
            <w:r>
              <w:rPr>
                <w:spacing w:val="-4"/>
                <w:sz w:val="20"/>
              </w:rPr>
              <w:t xml:space="preserve"> </w:t>
            </w:r>
            <w:r>
              <w:rPr>
                <w:sz w:val="20"/>
              </w:rPr>
              <w:t>and</w:t>
            </w:r>
            <w:r>
              <w:rPr>
                <w:spacing w:val="-3"/>
                <w:sz w:val="20"/>
              </w:rPr>
              <w:t xml:space="preserve"> </w:t>
            </w:r>
            <w:r>
              <w:rPr>
                <w:spacing w:val="-2"/>
                <w:sz w:val="20"/>
              </w:rPr>
              <w:t>amortization</w:t>
            </w:r>
          </w:p>
        </w:tc>
        <w:tc>
          <w:tcPr>
            <w:tcW w:w="2305" w:type="dxa"/>
            <w:gridSpan w:val="2"/>
            <w:tcBorders>
              <w:top w:val="single" w:sz="8" w:space="0" w:color="auto"/>
            </w:tcBorders>
          </w:tcPr>
          <w:p w14:paraId="7917918E" w14:textId="77777777" w:rsidR="00AE2255" w:rsidRDefault="00000000">
            <w:pPr>
              <w:pStyle w:val="TableParagraph"/>
              <w:spacing w:before="0" w:line="215" w:lineRule="exact"/>
              <w:ind w:right="117"/>
              <w:rPr>
                <w:b/>
                <w:sz w:val="20"/>
              </w:rPr>
            </w:pPr>
            <w:r>
              <w:rPr>
                <w:b/>
                <w:spacing w:val="-5"/>
                <w:sz w:val="20"/>
              </w:rPr>
              <w:t>989</w:t>
            </w:r>
          </w:p>
        </w:tc>
        <w:tc>
          <w:tcPr>
            <w:tcW w:w="975" w:type="dxa"/>
            <w:gridSpan w:val="2"/>
            <w:tcBorders>
              <w:top w:val="single" w:sz="8" w:space="0" w:color="auto"/>
            </w:tcBorders>
          </w:tcPr>
          <w:p w14:paraId="1837DF36" w14:textId="77777777" w:rsidR="00AE2255" w:rsidRDefault="00000000">
            <w:pPr>
              <w:pStyle w:val="TableParagraph"/>
              <w:spacing w:before="0" w:line="215" w:lineRule="exact"/>
              <w:ind w:left="555"/>
              <w:jc w:val="left"/>
              <w:rPr>
                <w:sz w:val="20"/>
              </w:rPr>
            </w:pPr>
            <w:r>
              <w:rPr>
                <w:spacing w:val="-5"/>
                <w:sz w:val="20"/>
              </w:rPr>
              <w:t>956</w:t>
            </w:r>
          </w:p>
        </w:tc>
        <w:tc>
          <w:tcPr>
            <w:tcW w:w="967" w:type="dxa"/>
            <w:gridSpan w:val="2"/>
            <w:tcBorders>
              <w:top w:val="single" w:sz="8" w:space="0" w:color="auto"/>
            </w:tcBorders>
          </w:tcPr>
          <w:p w14:paraId="327AE060" w14:textId="77777777" w:rsidR="00AE2255" w:rsidRDefault="00000000">
            <w:pPr>
              <w:pStyle w:val="TableParagraph"/>
              <w:spacing w:before="0" w:line="215" w:lineRule="exact"/>
              <w:ind w:left="555"/>
              <w:jc w:val="left"/>
              <w:rPr>
                <w:sz w:val="20"/>
              </w:rPr>
            </w:pPr>
            <w:r>
              <w:rPr>
                <w:spacing w:val="-5"/>
                <w:sz w:val="20"/>
              </w:rPr>
              <w:t>910</w:t>
            </w:r>
          </w:p>
        </w:tc>
      </w:tr>
      <w:tr w:rsidR="00AE2255" w14:paraId="6383CE46" w14:textId="77777777">
        <w:trPr>
          <w:trHeight w:val="288"/>
        </w:trPr>
        <w:tc>
          <w:tcPr>
            <w:tcW w:w="6013" w:type="dxa"/>
            <w:tcBorders>
              <w:bottom w:val="single" w:sz="8" w:space="0" w:color="CCEDFF"/>
            </w:tcBorders>
            <w:shd w:val="clear" w:color="auto" w:fill="CCEDFF"/>
          </w:tcPr>
          <w:p w14:paraId="796D0309" w14:textId="77777777" w:rsidR="00AE2255" w:rsidRDefault="00000000">
            <w:pPr>
              <w:pStyle w:val="TableParagraph"/>
              <w:spacing w:before="27"/>
              <w:ind w:left="172"/>
              <w:jc w:val="left"/>
              <w:rPr>
                <w:sz w:val="20"/>
              </w:rPr>
            </w:pPr>
            <w:r>
              <w:rPr>
                <w:sz w:val="20"/>
              </w:rPr>
              <w:t>Corporate</w:t>
            </w:r>
            <w:r>
              <w:rPr>
                <w:spacing w:val="-4"/>
                <w:sz w:val="20"/>
              </w:rPr>
              <w:t xml:space="preserve"> </w:t>
            </w:r>
            <w:r>
              <w:rPr>
                <w:spacing w:val="-2"/>
                <w:sz w:val="20"/>
              </w:rPr>
              <w:t>activities</w:t>
            </w:r>
          </w:p>
        </w:tc>
        <w:tc>
          <w:tcPr>
            <w:tcW w:w="2305" w:type="dxa"/>
            <w:gridSpan w:val="2"/>
            <w:tcBorders>
              <w:bottom w:val="single" w:sz="8" w:space="0" w:color="CCEDFF"/>
            </w:tcBorders>
            <w:shd w:val="clear" w:color="auto" w:fill="CCEDFF"/>
          </w:tcPr>
          <w:p w14:paraId="661A738B" w14:textId="77777777" w:rsidR="00AE2255" w:rsidRDefault="00000000">
            <w:pPr>
              <w:pStyle w:val="TableParagraph"/>
              <w:spacing w:before="40" w:line="230" w:lineRule="exact"/>
              <w:ind w:right="117"/>
              <w:rPr>
                <w:b/>
                <w:sz w:val="20"/>
              </w:rPr>
            </w:pPr>
            <w:r>
              <w:rPr>
                <w:b/>
                <w:spacing w:val="-5"/>
                <w:sz w:val="20"/>
              </w:rPr>
              <w:t>167</w:t>
            </w:r>
          </w:p>
        </w:tc>
        <w:tc>
          <w:tcPr>
            <w:tcW w:w="975" w:type="dxa"/>
            <w:gridSpan w:val="2"/>
            <w:tcBorders>
              <w:bottom w:val="single" w:sz="8" w:space="0" w:color="CCEDFF"/>
            </w:tcBorders>
            <w:shd w:val="clear" w:color="auto" w:fill="CCEDFF"/>
          </w:tcPr>
          <w:p w14:paraId="1FCF7E54" w14:textId="77777777" w:rsidR="00AE2255" w:rsidRDefault="00000000">
            <w:pPr>
              <w:pStyle w:val="TableParagraph"/>
              <w:spacing w:before="40" w:line="230" w:lineRule="exact"/>
              <w:ind w:left="555"/>
              <w:jc w:val="left"/>
              <w:rPr>
                <w:sz w:val="20"/>
              </w:rPr>
            </w:pPr>
            <w:r>
              <w:rPr>
                <w:spacing w:val="-5"/>
                <w:sz w:val="20"/>
              </w:rPr>
              <w:t>123</w:t>
            </w:r>
          </w:p>
        </w:tc>
        <w:tc>
          <w:tcPr>
            <w:tcW w:w="967" w:type="dxa"/>
            <w:gridSpan w:val="2"/>
            <w:tcBorders>
              <w:bottom w:val="single" w:sz="8" w:space="0" w:color="CCEDFF"/>
            </w:tcBorders>
            <w:shd w:val="clear" w:color="auto" w:fill="CCEDFF"/>
          </w:tcPr>
          <w:p w14:paraId="762E2664" w14:textId="77777777" w:rsidR="00AE2255" w:rsidRDefault="00000000">
            <w:pPr>
              <w:pStyle w:val="TableParagraph"/>
              <w:spacing w:before="40" w:line="230" w:lineRule="exact"/>
              <w:ind w:left="555"/>
              <w:jc w:val="left"/>
              <w:rPr>
                <w:sz w:val="20"/>
              </w:rPr>
            </w:pPr>
            <w:r>
              <w:rPr>
                <w:spacing w:val="-5"/>
                <w:sz w:val="20"/>
              </w:rPr>
              <w:t>109</w:t>
            </w:r>
          </w:p>
        </w:tc>
      </w:tr>
      <w:tr w:rsidR="00AE2255" w14:paraId="22243D9B" w14:textId="77777777">
        <w:trPr>
          <w:trHeight w:val="235"/>
        </w:trPr>
        <w:tc>
          <w:tcPr>
            <w:tcW w:w="6013" w:type="dxa"/>
            <w:tcBorders>
              <w:top w:val="single" w:sz="8" w:space="0" w:color="auto"/>
              <w:bottom w:val="single" w:sz="8" w:space="0" w:color="auto"/>
            </w:tcBorders>
          </w:tcPr>
          <w:p w14:paraId="528D4EB0" w14:textId="77777777" w:rsidR="00AE2255" w:rsidRDefault="00000000">
            <w:pPr>
              <w:pStyle w:val="TableParagraph"/>
              <w:spacing w:before="0" w:line="215" w:lineRule="exact"/>
              <w:ind w:left="292"/>
              <w:jc w:val="left"/>
              <w:rPr>
                <w:sz w:val="20"/>
              </w:rPr>
            </w:pPr>
            <w:r>
              <w:rPr>
                <w:sz w:val="20"/>
              </w:rPr>
              <w:t>Total</w:t>
            </w:r>
            <w:r>
              <w:rPr>
                <w:spacing w:val="-5"/>
                <w:sz w:val="20"/>
              </w:rPr>
              <w:t xml:space="preserve"> </w:t>
            </w:r>
            <w:r>
              <w:rPr>
                <w:sz w:val="20"/>
              </w:rPr>
              <w:t>depreciation</w:t>
            </w:r>
            <w:r>
              <w:rPr>
                <w:spacing w:val="-4"/>
                <w:sz w:val="20"/>
              </w:rPr>
              <w:t xml:space="preserve"> </w:t>
            </w:r>
            <w:r>
              <w:rPr>
                <w:sz w:val="20"/>
              </w:rPr>
              <w:t>and</w:t>
            </w:r>
            <w:r>
              <w:rPr>
                <w:spacing w:val="-3"/>
                <w:sz w:val="20"/>
              </w:rPr>
              <w:t xml:space="preserve"> </w:t>
            </w:r>
            <w:r>
              <w:rPr>
                <w:spacing w:val="-2"/>
                <w:sz w:val="20"/>
              </w:rPr>
              <w:t>amortization</w:t>
            </w:r>
          </w:p>
        </w:tc>
        <w:tc>
          <w:tcPr>
            <w:tcW w:w="2305" w:type="dxa"/>
            <w:gridSpan w:val="2"/>
            <w:tcBorders>
              <w:top w:val="single" w:sz="8" w:space="0" w:color="auto"/>
              <w:bottom w:val="single" w:sz="8" w:space="0" w:color="auto"/>
            </w:tcBorders>
          </w:tcPr>
          <w:p w14:paraId="12108810" w14:textId="77777777" w:rsidR="00AE2255" w:rsidRDefault="00000000">
            <w:pPr>
              <w:pStyle w:val="TableParagraph"/>
              <w:tabs>
                <w:tab w:val="left" w:pos="1735"/>
              </w:tabs>
              <w:spacing w:before="0" w:line="215" w:lineRule="exact"/>
              <w:ind w:left="1419"/>
              <w:jc w:val="left"/>
              <w:rPr>
                <w:b/>
                <w:sz w:val="20"/>
              </w:rPr>
            </w:pPr>
            <w:r>
              <w:rPr>
                <w:b/>
                <w:spacing w:val="-10"/>
                <w:sz w:val="20"/>
              </w:rPr>
              <w:t>$</w:t>
            </w:r>
            <w:r>
              <w:rPr>
                <w:b/>
                <w:sz w:val="20"/>
              </w:rPr>
              <w:tab/>
            </w:r>
            <w:r>
              <w:rPr>
                <w:b/>
                <w:spacing w:val="-2"/>
                <w:sz w:val="20"/>
              </w:rPr>
              <w:t>1,156</w:t>
            </w:r>
          </w:p>
        </w:tc>
        <w:tc>
          <w:tcPr>
            <w:tcW w:w="975" w:type="dxa"/>
            <w:gridSpan w:val="2"/>
            <w:tcBorders>
              <w:top w:val="single" w:sz="8" w:space="0" w:color="auto"/>
              <w:bottom w:val="single" w:sz="8" w:space="0" w:color="auto"/>
            </w:tcBorders>
          </w:tcPr>
          <w:p w14:paraId="1F40844A" w14:textId="77777777" w:rsidR="00AE2255" w:rsidRDefault="00000000">
            <w:pPr>
              <w:pStyle w:val="TableParagraph"/>
              <w:tabs>
                <w:tab w:val="left" w:pos="405"/>
              </w:tabs>
              <w:spacing w:before="0" w:line="215" w:lineRule="exact"/>
              <w:ind w:left="89"/>
              <w:jc w:val="left"/>
              <w:rPr>
                <w:sz w:val="20"/>
              </w:rPr>
            </w:pPr>
            <w:r>
              <w:rPr>
                <w:spacing w:val="-10"/>
                <w:sz w:val="20"/>
              </w:rPr>
              <w:t>$</w:t>
            </w:r>
            <w:r>
              <w:rPr>
                <w:sz w:val="20"/>
              </w:rPr>
              <w:tab/>
            </w:r>
            <w:r>
              <w:rPr>
                <w:spacing w:val="-2"/>
                <w:sz w:val="20"/>
              </w:rPr>
              <w:t>1,079</w:t>
            </w:r>
          </w:p>
        </w:tc>
        <w:tc>
          <w:tcPr>
            <w:tcW w:w="967" w:type="dxa"/>
            <w:gridSpan w:val="2"/>
            <w:tcBorders>
              <w:top w:val="single" w:sz="8" w:space="0" w:color="auto"/>
              <w:bottom w:val="single" w:sz="8" w:space="0" w:color="auto"/>
            </w:tcBorders>
          </w:tcPr>
          <w:p w14:paraId="091FC063" w14:textId="77777777" w:rsidR="00AE2255" w:rsidRDefault="00000000">
            <w:pPr>
              <w:pStyle w:val="TableParagraph"/>
              <w:tabs>
                <w:tab w:val="left" w:pos="405"/>
              </w:tabs>
              <w:spacing w:before="0" w:line="215" w:lineRule="exact"/>
              <w:ind w:left="89"/>
              <w:jc w:val="left"/>
              <w:rPr>
                <w:sz w:val="20"/>
              </w:rPr>
            </w:pPr>
            <w:r>
              <w:rPr>
                <w:spacing w:val="-10"/>
                <w:sz w:val="20"/>
              </w:rPr>
              <w:t>$</w:t>
            </w:r>
            <w:r>
              <w:rPr>
                <w:sz w:val="20"/>
              </w:rPr>
              <w:tab/>
            </w:r>
            <w:r>
              <w:rPr>
                <w:spacing w:val="-2"/>
                <w:sz w:val="20"/>
              </w:rPr>
              <w:t>1,019</w:t>
            </w:r>
          </w:p>
        </w:tc>
      </w:tr>
      <w:tr w:rsidR="00AE2255" w14:paraId="0B93A367" w14:textId="77777777">
        <w:trPr>
          <w:trHeight w:val="245"/>
        </w:trPr>
        <w:tc>
          <w:tcPr>
            <w:tcW w:w="6013" w:type="dxa"/>
            <w:tcBorders>
              <w:top w:val="single" w:sz="8" w:space="0" w:color="CCEDFF"/>
            </w:tcBorders>
            <w:shd w:val="clear" w:color="auto" w:fill="CCEDFF"/>
          </w:tcPr>
          <w:p w14:paraId="635C1A27" w14:textId="77777777" w:rsidR="00AE2255" w:rsidRDefault="00000000">
            <w:pPr>
              <w:pStyle w:val="TableParagraph"/>
              <w:spacing w:before="13" w:line="211" w:lineRule="exact"/>
              <w:ind w:left="52"/>
              <w:jc w:val="left"/>
              <w:rPr>
                <w:b/>
                <w:sz w:val="20"/>
              </w:rPr>
            </w:pPr>
            <w:r>
              <w:rPr>
                <w:b/>
                <w:sz w:val="20"/>
              </w:rPr>
              <w:t>Amortization</w:t>
            </w:r>
            <w:r>
              <w:rPr>
                <w:b/>
                <w:spacing w:val="-5"/>
                <w:sz w:val="20"/>
              </w:rPr>
              <w:t xml:space="preserve"> </w:t>
            </w:r>
            <w:r>
              <w:rPr>
                <w:b/>
                <w:sz w:val="20"/>
              </w:rPr>
              <w:t>of</w:t>
            </w:r>
            <w:r>
              <w:rPr>
                <w:b/>
                <w:spacing w:val="-5"/>
                <w:sz w:val="20"/>
              </w:rPr>
              <w:t xml:space="preserve"> </w:t>
            </w:r>
            <w:r>
              <w:rPr>
                <w:b/>
                <w:sz w:val="20"/>
              </w:rPr>
              <w:t>purchased</w:t>
            </w:r>
            <w:r>
              <w:rPr>
                <w:b/>
                <w:spacing w:val="-4"/>
                <w:sz w:val="20"/>
              </w:rPr>
              <w:t xml:space="preserve"> </w:t>
            </w:r>
            <w:r>
              <w:rPr>
                <w:b/>
                <w:spacing w:val="-2"/>
                <w:sz w:val="20"/>
              </w:rPr>
              <w:t>intangibles</w:t>
            </w:r>
          </w:p>
        </w:tc>
        <w:tc>
          <w:tcPr>
            <w:tcW w:w="2305" w:type="dxa"/>
            <w:gridSpan w:val="2"/>
            <w:tcBorders>
              <w:top w:val="single" w:sz="8" w:space="0" w:color="CCEDFF"/>
            </w:tcBorders>
            <w:shd w:val="clear" w:color="auto" w:fill="CCEDFF"/>
          </w:tcPr>
          <w:p w14:paraId="5F6448DF" w14:textId="77777777" w:rsidR="00AE2255" w:rsidRDefault="00AE2255">
            <w:pPr>
              <w:pStyle w:val="TableParagraph"/>
              <w:spacing w:before="0"/>
              <w:jc w:val="left"/>
              <w:rPr>
                <w:sz w:val="16"/>
              </w:rPr>
            </w:pPr>
          </w:p>
        </w:tc>
        <w:tc>
          <w:tcPr>
            <w:tcW w:w="975" w:type="dxa"/>
            <w:gridSpan w:val="2"/>
            <w:tcBorders>
              <w:top w:val="single" w:sz="8" w:space="0" w:color="CCEDFF"/>
            </w:tcBorders>
            <w:shd w:val="clear" w:color="auto" w:fill="CCEDFF"/>
          </w:tcPr>
          <w:p w14:paraId="254C72C6" w14:textId="77777777" w:rsidR="00AE2255" w:rsidRDefault="00AE2255">
            <w:pPr>
              <w:pStyle w:val="TableParagraph"/>
              <w:spacing w:before="0"/>
              <w:jc w:val="left"/>
              <w:rPr>
                <w:sz w:val="16"/>
              </w:rPr>
            </w:pPr>
          </w:p>
        </w:tc>
        <w:tc>
          <w:tcPr>
            <w:tcW w:w="967" w:type="dxa"/>
            <w:gridSpan w:val="2"/>
            <w:tcBorders>
              <w:top w:val="single" w:sz="8" w:space="0" w:color="CCEDFF"/>
            </w:tcBorders>
            <w:shd w:val="clear" w:color="auto" w:fill="CCEDFF"/>
          </w:tcPr>
          <w:p w14:paraId="00DBCEA8" w14:textId="77777777" w:rsidR="00AE2255" w:rsidRDefault="00AE2255">
            <w:pPr>
              <w:pStyle w:val="TableParagraph"/>
              <w:spacing w:before="0"/>
              <w:jc w:val="left"/>
              <w:rPr>
                <w:sz w:val="16"/>
              </w:rPr>
            </w:pPr>
          </w:p>
        </w:tc>
      </w:tr>
      <w:tr w:rsidR="00AE2255" w14:paraId="02C1A066" w14:textId="77777777">
        <w:trPr>
          <w:trHeight w:val="256"/>
        </w:trPr>
        <w:tc>
          <w:tcPr>
            <w:tcW w:w="6013" w:type="dxa"/>
          </w:tcPr>
          <w:p w14:paraId="39F06BE1" w14:textId="77777777" w:rsidR="00AE2255" w:rsidRDefault="00000000">
            <w:pPr>
              <w:pStyle w:val="TableParagraph"/>
              <w:spacing w:before="27" w:line="208" w:lineRule="exact"/>
              <w:ind w:left="172"/>
              <w:jc w:val="left"/>
              <w:rPr>
                <w:sz w:val="20"/>
              </w:rPr>
            </w:pPr>
            <w:r>
              <w:rPr>
                <w:spacing w:val="-2"/>
                <w:sz w:val="20"/>
              </w:rPr>
              <w:t>Aeronautics</w:t>
            </w:r>
          </w:p>
        </w:tc>
        <w:tc>
          <w:tcPr>
            <w:tcW w:w="2305" w:type="dxa"/>
            <w:gridSpan w:val="2"/>
          </w:tcPr>
          <w:p w14:paraId="57676453" w14:textId="77777777" w:rsidR="00AE2255" w:rsidRDefault="00000000">
            <w:pPr>
              <w:pStyle w:val="TableParagraph"/>
              <w:tabs>
                <w:tab w:val="left" w:pos="2085"/>
              </w:tabs>
              <w:spacing w:before="0" w:line="225" w:lineRule="exact"/>
              <w:ind w:left="1419"/>
              <w:jc w:val="left"/>
              <w:rPr>
                <w:b/>
                <w:sz w:val="20"/>
              </w:rPr>
            </w:pPr>
            <w:r>
              <w:rPr>
                <w:b/>
                <w:spacing w:val="-10"/>
                <w:sz w:val="20"/>
              </w:rPr>
              <w:t>$</w:t>
            </w:r>
            <w:r>
              <w:rPr>
                <w:b/>
                <w:sz w:val="20"/>
              </w:rPr>
              <w:tab/>
            </w:r>
            <w:r>
              <w:rPr>
                <w:b/>
                <w:spacing w:val="-10"/>
                <w:sz w:val="20"/>
              </w:rPr>
              <w:t>1</w:t>
            </w:r>
          </w:p>
        </w:tc>
        <w:tc>
          <w:tcPr>
            <w:tcW w:w="975" w:type="dxa"/>
            <w:gridSpan w:val="2"/>
          </w:tcPr>
          <w:p w14:paraId="3480B48C" w14:textId="77777777" w:rsidR="00AE2255" w:rsidRDefault="00000000">
            <w:pPr>
              <w:pStyle w:val="TableParagraph"/>
              <w:tabs>
                <w:tab w:val="left" w:pos="755"/>
              </w:tabs>
              <w:spacing w:before="0" w:line="225" w:lineRule="exact"/>
              <w:ind w:left="89"/>
              <w:jc w:val="left"/>
              <w:rPr>
                <w:sz w:val="20"/>
              </w:rPr>
            </w:pPr>
            <w:r>
              <w:rPr>
                <w:spacing w:val="-10"/>
                <w:sz w:val="20"/>
              </w:rPr>
              <w:t>$</w:t>
            </w:r>
            <w:r>
              <w:rPr>
                <w:sz w:val="20"/>
              </w:rPr>
              <w:tab/>
            </w:r>
            <w:r>
              <w:rPr>
                <w:spacing w:val="-10"/>
                <w:sz w:val="20"/>
              </w:rPr>
              <w:t>1</w:t>
            </w:r>
          </w:p>
        </w:tc>
        <w:tc>
          <w:tcPr>
            <w:tcW w:w="967" w:type="dxa"/>
            <w:gridSpan w:val="2"/>
          </w:tcPr>
          <w:p w14:paraId="489B2405" w14:textId="77777777" w:rsidR="00AE2255" w:rsidRDefault="00000000">
            <w:pPr>
              <w:pStyle w:val="TableParagraph"/>
              <w:tabs>
                <w:tab w:val="left" w:pos="655"/>
              </w:tabs>
              <w:spacing w:before="0" w:line="225" w:lineRule="exact"/>
              <w:ind w:left="89"/>
              <w:jc w:val="left"/>
              <w:rPr>
                <w:sz w:val="20"/>
              </w:rPr>
            </w:pPr>
            <w:r>
              <w:rPr>
                <w:spacing w:val="-10"/>
                <w:sz w:val="20"/>
              </w:rPr>
              <w:t>$</w:t>
            </w:r>
            <w:r>
              <w:rPr>
                <w:sz w:val="20"/>
              </w:rPr>
              <w:tab/>
            </w:r>
            <w:r>
              <w:rPr>
                <w:spacing w:val="-10"/>
                <w:sz w:val="20"/>
              </w:rPr>
              <w:t>—</w:t>
            </w:r>
          </w:p>
        </w:tc>
      </w:tr>
      <w:tr w:rsidR="00AE2255" w14:paraId="061DD39C" w14:textId="77777777">
        <w:trPr>
          <w:trHeight w:val="255"/>
        </w:trPr>
        <w:tc>
          <w:tcPr>
            <w:tcW w:w="6013" w:type="dxa"/>
            <w:shd w:val="clear" w:color="auto" w:fill="CCEDFF"/>
          </w:tcPr>
          <w:p w14:paraId="59330E98" w14:textId="77777777" w:rsidR="00AE2255" w:rsidRDefault="00000000">
            <w:pPr>
              <w:pStyle w:val="TableParagraph"/>
              <w:spacing w:before="27" w:line="208" w:lineRule="exact"/>
              <w:ind w:left="172"/>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2305" w:type="dxa"/>
            <w:gridSpan w:val="2"/>
            <w:shd w:val="clear" w:color="auto" w:fill="CCEDFF"/>
          </w:tcPr>
          <w:p w14:paraId="16C3B723" w14:textId="77777777" w:rsidR="00AE2255" w:rsidRDefault="00000000">
            <w:pPr>
              <w:pStyle w:val="TableParagraph"/>
              <w:spacing w:before="0" w:line="225" w:lineRule="exact"/>
              <w:ind w:right="117"/>
              <w:rPr>
                <w:b/>
                <w:sz w:val="20"/>
              </w:rPr>
            </w:pPr>
            <w:r>
              <w:rPr>
                <w:b/>
                <w:sz w:val="20"/>
              </w:rPr>
              <w:t>2</w:t>
            </w:r>
          </w:p>
        </w:tc>
        <w:tc>
          <w:tcPr>
            <w:tcW w:w="975" w:type="dxa"/>
            <w:gridSpan w:val="2"/>
            <w:shd w:val="clear" w:color="auto" w:fill="CCEDFF"/>
          </w:tcPr>
          <w:p w14:paraId="6D5582FE" w14:textId="77777777" w:rsidR="00AE2255" w:rsidRDefault="00000000">
            <w:pPr>
              <w:pStyle w:val="TableParagraph"/>
              <w:spacing w:before="0" w:line="225" w:lineRule="exact"/>
              <w:ind w:right="117"/>
              <w:rPr>
                <w:sz w:val="20"/>
              </w:rPr>
            </w:pPr>
            <w:r>
              <w:rPr>
                <w:sz w:val="20"/>
              </w:rPr>
              <w:t>2</w:t>
            </w:r>
          </w:p>
        </w:tc>
        <w:tc>
          <w:tcPr>
            <w:tcW w:w="967" w:type="dxa"/>
            <w:gridSpan w:val="2"/>
            <w:shd w:val="clear" w:color="auto" w:fill="CCEDFF"/>
          </w:tcPr>
          <w:p w14:paraId="048F3CD8" w14:textId="77777777" w:rsidR="00AE2255" w:rsidRDefault="00000000">
            <w:pPr>
              <w:pStyle w:val="TableParagraph"/>
              <w:spacing w:before="0" w:line="225" w:lineRule="exact"/>
              <w:ind w:right="109"/>
              <w:rPr>
                <w:sz w:val="20"/>
              </w:rPr>
            </w:pPr>
            <w:r>
              <w:rPr>
                <w:sz w:val="20"/>
              </w:rPr>
              <w:t>2</w:t>
            </w:r>
          </w:p>
        </w:tc>
      </w:tr>
      <w:tr w:rsidR="00AE2255" w14:paraId="3B5C14F5" w14:textId="77777777">
        <w:trPr>
          <w:trHeight w:val="255"/>
        </w:trPr>
        <w:tc>
          <w:tcPr>
            <w:tcW w:w="6013" w:type="dxa"/>
          </w:tcPr>
          <w:p w14:paraId="414BB06F" w14:textId="77777777" w:rsidR="00AE2255" w:rsidRDefault="00000000">
            <w:pPr>
              <w:pStyle w:val="TableParagraph"/>
              <w:spacing w:before="27" w:line="208" w:lineRule="exact"/>
              <w:ind w:left="172"/>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2305" w:type="dxa"/>
            <w:gridSpan w:val="2"/>
          </w:tcPr>
          <w:p w14:paraId="0FBC64F9" w14:textId="77777777" w:rsidR="00AE2255" w:rsidRDefault="00000000">
            <w:pPr>
              <w:pStyle w:val="TableParagraph"/>
              <w:spacing w:before="0" w:line="225" w:lineRule="exact"/>
              <w:ind w:right="117"/>
              <w:rPr>
                <w:b/>
                <w:sz w:val="20"/>
              </w:rPr>
            </w:pPr>
            <w:r>
              <w:rPr>
                <w:b/>
                <w:spacing w:val="-5"/>
                <w:sz w:val="20"/>
              </w:rPr>
              <w:t>233</w:t>
            </w:r>
          </w:p>
        </w:tc>
        <w:tc>
          <w:tcPr>
            <w:tcW w:w="975" w:type="dxa"/>
            <w:gridSpan w:val="2"/>
          </w:tcPr>
          <w:p w14:paraId="497A6558" w14:textId="77777777" w:rsidR="00AE2255" w:rsidRDefault="00000000">
            <w:pPr>
              <w:pStyle w:val="TableParagraph"/>
              <w:spacing w:before="0" w:line="225" w:lineRule="exact"/>
              <w:ind w:left="555"/>
              <w:jc w:val="left"/>
              <w:rPr>
                <w:sz w:val="20"/>
              </w:rPr>
            </w:pPr>
            <w:r>
              <w:rPr>
                <w:spacing w:val="-5"/>
                <w:sz w:val="20"/>
              </w:rPr>
              <w:t>232</w:t>
            </w:r>
          </w:p>
        </w:tc>
        <w:tc>
          <w:tcPr>
            <w:tcW w:w="967" w:type="dxa"/>
            <w:gridSpan w:val="2"/>
          </w:tcPr>
          <w:p w14:paraId="778EC658" w14:textId="77777777" w:rsidR="00AE2255" w:rsidRDefault="00000000">
            <w:pPr>
              <w:pStyle w:val="TableParagraph"/>
              <w:spacing w:before="0" w:line="225" w:lineRule="exact"/>
              <w:ind w:left="555"/>
              <w:jc w:val="left"/>
              <w:rPr>
                <w:sz w:val="20"/>
              </w:rPr>
            </w:pPr>
            <w:r>
              <w:rPr>
                <w:spacing w:val="-5"/>
                <w:sz w:val="20"/>
              </w:rPr>
              <w:t>232</w:t>
            </w:r>
          </w:p>
        </w:tc>
      </w:tr>
      <w:tr w:rsidR="00AE2255" w14:paraId="5C920E3F" w14:textId="77777777">
        <w:trPr>
          <w:trHeight w:val="243"/>
        </w:trPr>
        <w:tc>
          <w:tcPr>
            <w:tcW w:w="6013" w:type="dxa"/>
            <w:tcBorders>
              <w:bottom w:val="single" w:sz="8" w:space="0" w:color="CCEDFF"/>
            </w:tcBorders>
            <w:shd w:val="clear" w:color="auto" w:fill="CCEDFF"/>
          </w:tcPr>
          <w:p w14:paraId="569CBF90" w14:textId="77777777" w:rsidR="00AE2255" w:rsidRDefault="00000000">
            <w:pPr>
              <w:pStyle w:val="TableParagraph"/>
              <w:spacing w:before="27" w:line="198" w:lineRule="exact"/>
              <w:ind w:left="172"/>
              <w:jc w:val="left"/>
              <w:rPr>
                <w:sz w:val="20"/>
              </w:rPr>
            </w:pPr>
            <w:r>
              <w:rPr>
                <w:spacing w:val="-2"/>
                <w:sz w:val="20"/>
              </w:rPr>
              <w:t>Space</w:t>
            </w:r>
          </w:p>
        </w:tc>
        <w:tc>
          <w:tcPr>
            <w:tcW w:w="2305" w:type="dxa"/>
            <w:gridSpan w:val="2"/>
            <w:tcBorders>
              <w:bottom w:val="single" w:sz="8" w:space="0" w:color="CCEDFF"/>
            </w:tcBorders>
            <w:shd w:val="clear" w:color="auto" w:fill="CCEDFF"/>
          </w:tcPr>
          <w:p w14:paraId="566DD8DE" w14:textId="77777777" w:rsidR="00AE2255" w:rsidRDefault="00000000">
            <w:pPr>
              <w:pStyle w:val="TableParagraph"/>
              <w:spacing w:before="0" w:line="225" w:lineRule="exact"/>
              <w:ind w:right="117"/>
              <w:rPr>
                <w:b/>
                <w:sz w:val="20"/>
              </w:rPr>
            </w:pPr>
            <w:r>
              <w:rPr>
                <w:b/>
                <w:spacing w:val="-5"/>
                <w:sz w:val="20"/>
              </w:rPr>
              <w:t>12</w:t>
            </w:r>
          </w:p>
        </w:tc>
        <w:tc>
          <w:tcPr>
            <w:tcW w:w="975" w:type="dxa"/>
            <w:gridSpan w:val="2"/>
            <w:tcBorders>
              <w:bottom w:val="single" w:sz="8" w:space="0" w:color="CCEDFF"/>
            </w:tcBorders>
            <w:shd w:val="clear" w:color="auto" w:fill="CCEDFF"/>
          </w:tcPr>
          <w:p w14:paraId="4F25A985" w14:textId="77777777" w:rsidR="00AE2255" w:rsidRDefault="00000000">
            <w:pPr>
              <w:pStyle w:val="TableParagraph"/>
              <w:spacing w:before="0" w:line="225" w:lineRule="exact"/>
              <w:ind w:right="117"/>
              <w:rPr>
                <w:sz w:val="20"/>
              </w:rPr>
            </w:pPr>
            <w:r>
              <w:rPr>
                <w:spacing w:val="-5"/>
                <w:sz w:val="20"/>
              </w:rPr>
              <w:t>50</w:t>
            </w:r>
          </w:p>
        </w:tc>
        <w:tc>
          <w:tcPr>
            <w:tcW w:w="967" w:type="dxa"/>
            <w:gridSpan w:val="2"/>
            <w:tcBorders>
              <w:bottom w:val="single" w:sz="8" w:space="0" w:color="CCEDFF"/>
            </w:tcBorders>
            <w:shd w:val="clear" w:color="auto" w:fill="CCEDFF"/>
          </w:tcPr>
          <w:p w14:paraId="72E52A3B" w14:textId="77777777" w:rsidR="00AE2255" w:rsidRDefault="00000000">
            <w:pPr>
              <w:pStyle w:val="TableParagraph"/>
              <w:spacing w:before="0" w:line="225" w:lineRule="exact"/>
              <w:ind w:right="109"/>
              <w:rPr>
                <w:sz w:val="20"/>
              </w:rPr>
            </w:pPr>
            <w:r>
              <w:rPr>
                <w:spacing w:val="-5"/>
                <w:sz w:val="20"/>
              </w:rPr>
              <w:t>37</w:t>
            </w:r>
          </w:p>
        </w:tc>
      </w:tr>
      <w:tr w:rsidR="00AE2255" w14:paraId="6620A796" w14:textId="77777777">
        <w:trPr>
          <w:trHeight w:val="222"/>
        </w:trPr>
        <w:tc>
          <w:tcPr>
            <w:tcW w:w="6013" w:type="dxa"/>
            <w:tcBorders>
              <w:bottom w:val="single" w:sz="18" w:space="0" w:color="000000"/>
            </w:tcBorders>
          </w:tcPr>
          <w:p w14:paraId="6A39679E" w14:textId="77777777" w:rsidR="00AE2255" w:rsidRDefault="00000000">
            <w:pPr>
              <w:pStyle w:val="TableParagraph"/>
              <w:spacing w:before="0" w:line="199" w:lineRule="exact"/>
              <w:ind w:left="292"/>
              <w:jc w:val="left"/>
              <w:rPr>
                <w:sz w:val="20"/>
              </w:rPr>
            </w:pPr>
            <w:r>
              <w:rPr>
                <w:sz w:val="20"/>
              </w:rPr>
              <w:t>Total</w:t>
            </w:r>
            <w:r>
              <w:rPr>
                <w:spacing w:val="-5"/>
                <w:sz w:val="20"/>
              </w:rPr>
              <w:t xml:space="preserve"> </w:t>
            </w:r>
            <w:r>
              <w:rPr>
                <w:sz w:val="20"/>
              </w:rPr>
              <w:t>amortization</w:t>
            </w:r>
            <w:r>
              <w:rPr>
                <w:spacing w:val="-4"/>
                <w:sz w:val="20"/>
              </w:rPr>
              <w:t xml:space="preserve"> </w:t>
            </w:r>
            <w:r>
              <w:rPr>
                <w:sz w:val="20"/>
              </w:rPr>
              <w:t>of</w:t>
            </w:r>
            <w:r>
              <w:rPr>
                <w:spacing w:val="-4"/>
                <w:sz w:val="20"/>
              </w:rPr>
              <w:t xml:space="preserve"> </w:t>
            </w:r>
            <w:r>
              <w:rPr>
                <w:sz w:val="20"/>
              </w:rPr>
              <w:t>purchased</w:t>
            </w:r>
            <w:r>
              <w:rPr>
                <w:spacing w:val="-3"/>
                <w:sz w:val="20"/>
              </w:rPr>
              <w:t xml:space="preserve"> </w:t>
            </w:r>
            <w:r>
              <w:rPr>
                <w:spacing w:val="-2"/>
                <w:sz w:val="20"/>
              </w:rPr>
              <w:t>intangibles</w:t>
            </w:r>
          </w:p>
        </w:tc>
        <w:tc>
          <w:tcPr>
            <w:tcW w:w="1703" w:type="dxa"/>
            <w:tcBorders>
              <w:bottom w:val="single" w:sz="18" w:space="0" w:color="000000"/>
            </w:tcBorders>
          </w:tcPr>
          <w:p w14:paraId="37490558" w14:textId="77777777" w:rsidR="00AE2255" w:rsidRDefault="00000000">
            <w:pPr>
              <w:pStyle w:val="TableParagraph"/>
              <w:spacing w:before="0" w:line="199" w:lineRule="exact"/>
              <w:ind w:right="181"/>
              <w:rPr>
                <w:b/>
                <w:sz w:val="20"/>
              </w:rPr>
            </w:pPr>
            <w:r>
              <w:rPr>
                <w:b/>
                <w:sz w:val="20"/>
              </w:rPr>
              <w:t>$</w:t>
            </w:r>
          </w:p>
        </w:tc>
        <w:tc>
          <w:tcPr>
            <w:tcW w:w="602" w:type="dxa"/>
            <w:tcBorders>
              <w:bottom w:val="single" w:sz="18" w:space="0" w:color="000000"/>
            </w:tcBorders>
          </w:tcPr>
          <w:p w14:paraId="075EDEDC" w14:textId="77777777" w:rsidR="00AE2255" w:rsidRDefault="00000000">
            <w:pPr>
              <w:pStyle w:val="TableParagraph"/>
              <w:spacing w:before="0" w:line="199" w:lineRule="exact"/>
              <w:ind w:left="182"/>
              <w:jc w:val="left"/>
              <w:rPr>
                <w:b/>
                <w:sz w:val="20"/>
              </w:rPr>
            </w:pPr>
            <w:r>
              <w:rPr>
                <w:b/>
                <w:spacing w:val="-5"/>
                <w:sz w:val="20"/>
              </w:rPr>
              <w:t>248</w:t>
            </w:r>
          </w:p>
        </w:tc>
        <w:tc>
          <w:tcPr>
            <w:tcW w:w="373" w:type="dxa"/>
            <w:tcBorders>
              <w:bottom w:val="single" w:sz="18" w:space="0" w:color="000000"/>
            </w:tcBorders>
          </w:tcPr>
          <w:p w14:paraId="5D9841E3" w14:textId="77777777" w:rsidR="00AE2255" w:rsidRDefault="00000000">
            <w:pPr>
              <w:pStyle w:val="TableParagraph"/>
              <w:spacing w:before="0" w:line="199" w:lineRule="exact"/>
              <w:ind w:left="89"/>
              <w:jc w:val="left"/>
              <w:rPr>
                <w:sz w:val="20"/>
              </w:rPr>
            </w:pPr>
            <w:r>
              <w:rPr>
                <w:sz w:val="20"/>
              </w:rPr>
              <w:t>$</w:t>
            </w:r>
          </w:p>
        </w:tc>
        <w:tc>
          <w:tcPr>
            <w:tcW w:w="602" w:type="dxa"/>
            <w:tcBorders>
              <w:bottom w:val="single" w:sz="18" w:space="0" w:color="000000"/>
            </w:tcBorders>
          </w:tcPr>
          <w:p w14:paraId="3524827F" w14:textId="77777777" w:rsidR="00AE2255" w:rsidRDefault="00000000">
            <w:pPr>
              <w:pStyle w:val="TableParagraph"/>
              <w:spacing w:before="0" w:line="199" w:lineRule="exact"/>
              <w:ind w:left="182"/>
              <w:jc w:val="left"/>
              <w:rPr>
                <w:sz w:val="20"/>
              </w:rPr>
            </w:pPr>
            <w:r>
              <w:rPr>
                <w:spacing w:val="-5"/>
                <w:sz w:val="20"/>
              </w:rPr>
              <w:t>285</w:t>
            </w:r>
          </w:p>
        </w:tc>
        <w:tc>
          <w:tcPr>
            <w:tcW w:w="373" w:type="dxa"/>
            <w:tcBorders>
              <w:bottom w:val="single" w:sz="18" w:space="0" w:color="000000"/>
            </w:tcBorders>
          </w:tcPr>
          <w:p w14:paraId="54AF2497" w14:textId="77777777" w:rsidR="00AE2255" w:rsidRDefault="00000000">
            <w:pPr>
              <w:pStyle w:val="TableParagraph"/>
              <w:spacing w:before="0" w:line="199" w:lineRule="exact"/>
              <w:ind w:left="89"/>
              <w:jc w:val="left"/>
              <w:rPr>
                <w:sz w:val="20"/>
              </w:rPr>
            </w:pPr>
            <w:r>
              <w:rPr>
                <w:sz w:val="20"/>
              </w:rPr>
              <w:t>$</w:t>
            </w:r>
          </w:p>
        </w:tc>
        <w:tc>
          <w:tcPr>
            <w:tcW w:w="594" w:type="dxa"/>
            <w:tcBorders>
              <w:bottom w:val="single" w:sz="18" w:space="0" w:color="000000"/>
            </w:tcBorders>
          </w:tcPr>
          <w:p w14:paraId="5E1BA89E" w14:textId="77777777" w:rsidR="00AE2255" w:rsidRDefault="00000000">
            <w:pPr>
              <w:pStyle w:val="TableParagraph"/>
              <w:spacing w:before="0" w:line="199" w:lineRule="exact"/>
              <w:ind w:left="182"/>
              <w:jc w:val="left"/>
              <w:rPr>
                <w:sz w:val="20"/>
              </w:rPr>
            </w:pPr>
            <w:r>
              <w:rPr>
                <w:spacing w:val="-5"/>
                <w:sz w:val="20"/>
              </w:rPr>
              <w:t>271</w:t>
            </w:r>
          </w:p>
        </w:tc>
      </w:tr>
    </w:tbl>
    <w:p w14:paraId="0DCA1ECE" w14:textId="77777777" w:rsidR="00AE2255" w:rsidRDefault="00000000">
      <w:pPr>
        <w:tabs>
          <w:tab w:val="left" w:pos="969"/>
        </w:tabs>
        <w:spacing w:before="118"/>
        <w:ind w:left="610"/>
        <w:rPr>
          <w:sz w:val="18"/>
        </w:rPr>
      </w:pPr>
      <w:r>
        <w:rPr>
          <w:spacing w:val="-5"/>
          <w:sz w:val="18"/>
          <w:vertAlign w:val="superscript"/>
        </w:rPr>
        <w:t>(a)</w:t>
      </w:r>
      <w:r>
        <w:rPr>
          <w:sz w:val="18"/>
        </w:rPr>
        <w:tab/>
        <w:t>Excludes</w:t>
      </w:r>
      <w:r>
        <w:rPr>
          <w:spacing w:val="-2"/>
          <w:sz w:val="18"/>
        </w:rPr>
        <w:t xml:space="preserve"> </w:t>
      </w:r>
      <w:r>
        <w:rPr>
          <w:sz w:val="18"/>
        </w:rPr>
        <w:t xml:space="preserve">amortization of purchased </w:t>
      </w:r>
      <w:r>
        <w:rPr>
          <w:spacing w:val="-2"/>
          <w:sz w:val="18"/>
        </w:rPr>
        <w:t>intangibles.</w:t>
      </w:r>
    </w:p>
    <w:p w14:paraId="1E0C7B3C" w14:textId="77777777" w:rsidR="00AE2255" w:rsidRDefault="00AE2255">
      <w:pPr>
        <w:rPr>
          <w:sz w:val="18"/>
        </w:rPr>
        <w:sectPr w:rsidR="00AE2255">
          <w:pgSz w:w="12240" w:h="15840"/>
          <w:pgMar w:top="440" w:right="560" w:bottom="720" w:left="380" w:header="230" w:footer="531" w:gutter="0"/>
          <w:cols w:space="720"/>
        </w:sectPr>
      </w:pPr>
    </w:p>
    <w:p w14:paraId="5FE081B0" w14:textId="77777777" w:rsidR="00AE2255" w:rsidRDefault="00AE2255">
      <w:pPr>
        <w:pStyle w:val="BodyText"/>
        <w:spacing w:before="7"/>
        <w:rPr>
          <w:sz w:val="22"/>
        </w:rPr>
      </w:pPr>
    </w:p>
    <w:p w14:paraId="42DC356C" w14:textId="77777777" w:rsidR="00AE2255" w:rsidRDefault="00000000">
      <w:pPr>
        <w:pStyle w:val="Heading3"/>
        <w:spacing w:before="92"/>
      </w:pPr>
      <w:r>
        <w:rPr>
          <w:spacing w:val="-2"/>
        </w:rPr>
        <w:t>Assets</w:t>
      </w:r>
    </w:p>
    <w:p w14:paraId="14FA4D13" w14:textId="77777777" w:rsidR="00AE2255" w:rsidRDefault="00AE2255">
      <w:pPr>
        <w:pStyle w:val="BodyText"/>
        <w:rPr>
          <w:b/>
          <w:i/>
          <w:sz w:val="22"/>
        </w:rPr>
      </w:pPr>
    </w:p>
    <w:p w14:paraId="616B8766" w14:textId="77777777" w:rsidR="00AE2255" w:rsidRDefault="00000000">
      <w:pPr>
        <w:pStyle w:val="BodyText"/>
        <w:ind w:left="970"/>
      </w:pPr>
      <w:r>
        <w:t>Total</w:t>
      </w:r>
      <w:r>
        <w:rPr>
          <w:spacing w:val="-4"/>
        </w:rPr>
        <w:t xml:space="preserve"> </w:t>
      </w:r>
      <w:r>
        <w:t>assets</w:t>
      </w:r>
      <w:r>
        <w:rPr>
          <w:spacing w:val="-3"/>
        </w:rPr>
        <w:t xml:space="preserve"> </w:t>
      </w:r>
      <w:r>
        <w:t>for</w:t>
      </w:r>
      <w:r>
        <w:rPr>
          <w:spacing w:val="-2"/>
        </w:rPr>
        <w:t xml:space="preserve"> </w:t>
      </w:r>
      <w:r>
        <w:t>each</w:t>
      </w:r>
      <w:r>
        <w:rPr>
          <w:spacing w:val="-3"/>
        </w:rPr>
        <w:t xml:space="preserve"> </w:t>
      </w:r>
      <w:r>
        <w:t>of</w:t>
      </w:r>
      <w:r>
        <w:rPr>
          <w:spacing w:val="-2"/>
        </w:rPr>
        <w:t xml:space="preserve"> </w:t>
      </w:r>
      <w:r>
        <w:t>our</w:t>
      </w:r>
      <w:r>
        <w:rPr>
          <w:spacing w:val="-2"/>
        </w:rPr>
        <w:t xml:space="preserve"> </w:t>
      </w:r>
      <w:r>
        <w:t>business</w:t>
      </w:r>
      <w:r>
        <w:rPr>
          <w:spacing w:val="-3"/>
        </w:rPr>
        <w:t xml:space="preserve"> </w:t>
      </w:r>
      <w:r>
        <w:t>segments</w:t>
      </w:r>
      <w:r>
        <w:rPr>
          <w:spacing w:val="-4"/>
        </w:rPr>
        <w:t xml:space="preserve"> </w:t>
      </w:r>
      <w:r>
        <w:t>were</w:t>
      </w:r>
      <w:r>
        <w:rPr>
          <w:spacing w:val="-3"/>
        </w:rPr>
        <w:t xml:space="preserve"> </w:t>
      </w:r>
      <w:r>
        <w:t>as</w:t>
      </w:r>
      <w:r>
        <w:rPr>
          <w:spacing w:val="-3"/>
        </w:rPr>
        <w:t xml:space="preserve"> </w:t>
      </w:r>
      <w:r>
        <w:t>follows</w:t>
      </w:r>
      <w:r>
        <w:rPr>
          <w:spacing w:val="-3"/>
        </w:rPr>
        <w:t xml:space="preserve"> </w:t>
      </w:r>
      <w:r>
        <w:t>(in</w:t>
      </w:r>
      <w:r>
        <w:rPr>
          <w:spacing w:val="-2"/>
        </w:rPr>
        <w:t xml:space="preserve"> millions):</w:t>
      </w:r>
    </w:p>
    <w:p w14:paraId="7536486A" w14:textId="77777777" w:rsidR="00AE2255" w:rsidRDefault="00AE2255">
      <w:pPr>
        <w:pStyle w:val="BodyText"/>
        <w:spacing w:before="4"/>
        <w:rPr>
          <w:sz w:val="5"/>
        </w:rPr>
      </w:pPr>
    </w:p>
    <w:tbl>
      <w:tblPr>
        <w:tblW w:w="0" w:type="auto"/>
        <w:tblInd w:w="617" w:type="dxa"/>
        <w:tblLayout w:type="fixed"/>
        <w:tblCellMar>
          <w:left w:w="0" w:type="dxa"/>
          <w:right w:w="0" w:type="dxa"/>
        </w:tblCellMar>
        <w:tblLook w:val="01E0" w:firstRow="1" w:lastRow="1" w:firstColumn="1" w:lastColumn="1" w:noHBand="0" w:noVBand="0"/>
      </w:tblPr>
      <w:tblGrid>
        <w:gridCol w:w="5444"/>
        <w:gridCol w:w="3848"/>
        <w:gridCol w:w="937"/>
      </w:tblGrid>
      <w:tr w:rsidR="00AE2255" w14:paraId="6F90BA47" w14:textId="77777777">
        <w:trPr>
          <w:trHeight w:val="241"/>
        </w:trPr>
        <w:tc>
          <w:tcPr>
            <w:tcW w:w="5444" w:type="dxa"/>
            <w:tcBorders>
              <w:bottom w:val="single" w:sz="8" w:space="0" w:color="auto"/>
            </w:tcBorders>
          </w:tcPr>
          <w:p w14:paraId="3E850E15" w14:textId="77777777" w:rsidR="00AE2255" w:rsidRDefault="00AE2255">
            <w:pPr>
              <w:pStyle w:val="TableParagraph"/>
              <w:spacing w:before="0"/>
              <w:jc w:val="left"/>
              <w:rPr>
                <w:sz w:val="16"/>
              </w:rPr>
            </w:pPr>
          </w:p>
        </w:tc>
        <w:tc>
          <w:tcPr>
            <w:tcW w:w="3848" w:type="dxa"/>
            <w:tcBorders>
              <w:bottom w:val="single" w:sz="8" w:space="0" w:color="auto"/>
            </w:tcBorders>
          </w:tcPr>
          <w:p w14:paraId="117A13F9" w14:textId="77777777" w:rsidR="00AE2255" w:rsidRDefault="00000000">
            <w:pPr>
              <w:pStyle w:val="TableParagraph"/>
              <w:spacing w:before="0" w:line="221" w:lineRule="exact"/>
              <w:ind w:right="87"/>
              <w:rPr>
                <w:b/>
                <w:sz w:val="20"/>
              </w:rPr>
            </w:pPr>
            <w:r>
              <w:rPr>
                <w:b/>
                <w:spacing w:val="-4"/>
                <w:sz w:val="20"/>
              </w:rPr>
              <w:t>2022</w:t>
            </w:r>
          </w:p>
        </w:tc>
        <w:tc>
          <w:tcPr>
            <w:tcW w:w="937" w:type="dxa"/>
            <w:tcBorders>
              <w:bottom w:val="single" w:sz="8" w:space="0" w:color="auto"/>
            </w:tcBorders>
          </w:tcPr>
          <w:p w14:paraId="135CF0DB" w14:textId="77777777" w:rsidR="00AE2255" w:rsidRDefault="00000000">
            <w:pPr>
              <w:pStyle w:val="TableParagraph"/>
              <w:spacing w:before="0" w:line="221" w:lineRule="exact"/>
              <w:ind w:right="49"/>
              <w:rPr>
                <w:b/>
                <w:sz w:val="20"/>
              </w:rPr>
            </w:pPr>
            <w:r>
              <w:rPr>
                <w:b/>
                <w:spacing w:val="-4"/>
                <w:sz w:val="20"/>
              </w:rPr>
              <w:t>2021</w:t>
            </w:r>
          </w:p>
        </w:tc>
      </w:tr>
      <w:tr w:rsidR="00AE2255" w14:paraId="3BE99DE0" w14:textId="77777777">
        <w:trPr>
          <w:trHeight w:val="245"/>
        </w:trPr>
        <w:tc>
          <w:tcPr>
            <w:tcW w:w="5444" w:type="dxa"/>
            <w:tcBorders>
              <w:top w:val="single" w:sz="8" w:space="0" w:color="CCEDFF"/>
            </w:tcBorders>
            <w:shd w:val="clear" w:color="auto" w:fill="CCEDFF"/>
          </w:tcPr>
          <w:p w14:paraId="1E4722E4" w14:textId="77777777" w:rsidR="00AE2255" w:rsidRDefault="00000000">
            <w:pPr>
              <w:pStyle w:val="TableParagraph"/>
              <w:spacing w:before="0" w:line="215" w:lineRule="exact"/>
              <w:ind w:left="52"/>
              <w:jc w:val="left"/>
              <w:rPr>
                <w:b/>
                <w:sz w:val="20"/>
              </w:rPr>
            </w:pPr>
            <w:r>
              <w:rPr>
                <w:b/>
                <w:spacing w:val="-2"/>
                <w:sz w:val="20"/>
              </w:rPr>
              <w:t>Assets</w:t>
            </w:r>
          </w:p>
        </w:tc>
        <w:tc>
          <w:tcPr>
            <w:tcW w:w="3848" w:type="dxa"/>
            <w:tcBorders>
              <w:top w:val="single" w:sz="8" w:space="0" w:color="CCEDFF"/>
            </w:tcBorders>
            <w:shd w:val="clear" w:color="auto" w:fill="CCEDFF"/>
          </w:tcPr>
          <w:p w14:paraId="2A124A4A" w14:textId="77777777" w:rsidR="00AE2255" w:rsidRDefault="00AE2255">
            <w:pPr>
              <w:pStyle w:val="TableParagraph"/>
              <w:spacing w:before="0"/>
              <w:jc w:val="left"/>
              <w:rPr>
                <w:sz w:val="16"/>
              </w:rPr>
            </w:pPr>
          </w:p>
        </w:tc>
        <w:tc>
          <w:tcPr>
            <w:tcW w:w="937" w:type="dxa"/>
            <w:tcBorders>
              <w:top w:val="single" w:sz="8" w:space="0" w:color="CCEDFF"/>
            </w:tcBorders>
            <w:shd w:val="clear" w:color="auto" w:fill="CCEDFF"/>
          </w:tcPr>
          <w:p w14:paraId="1AB8BAF9" w14:textId="77777777" w:rsidR="00AE2255" w:rsidRDefault="00AE2255">
            <w:pPr>
              <w:pStyle w:val="TableParagraph"/>
              <w:spacing w:before="0"/>
              <w:jc w:val="left"/>
              <w:rPr>
                <w:sz w:val="16"/>
              </w:rPr>
            </w:pPr>
          </w:p>
        </w:tc>
      </w:tr>
      <w:tr w:rsidR="00AE2255" w14:paraId="61540CEE" w14:textId="77777777">
        <w:trPr>
          <w:trHeight w:val="256"/>
        </w:trPr>
        <w:tc>
          <w:tcPr>
            <w:tcW w:w="5444" w:type="dxa"/>
          </w:tcPr>
          <w:p w14:paraId="0C5A75CA" w14:textId="77777777" w:rsidR="00AE2255" w:rsidRDefault="00000000">
            <w:pPr>
              <w:pStyle w:val="TableParagraph"/>
              <w:spacing w:before="27" w:line="208" w:lineRule="exact"/>
              <w:ind w:left="187"/>
              <w:jc w:val="left"/>
              <w:rPr>
                <w:sz w:val="20"/>
              </w:rPr>
            </w:pPr>
            <w:r>
              <w:rPr>
                <w:spacing w:val="-2"/>
                <w:sz w:val="20"/>
              </w:rPr>
              <w:t>Aeronautics</w:t>
            </w:r>
          </w:p>
        </w:tc>
        <w:tc>
          <w:tcPr>
            <w:tcW w:w="3848" w:type="dxa"/>
          </w:tcPr>
          <w:p w14:paraId="056590F1" w14:textId="77777777" w:rsidR="00AE2255" w:rsidRDefault="00000000">
            <w:pPr>
              <w:pStyle w:val="TableParagraph"/>
              <w:spacing w:before="0" w:line="225" w:lineRule="exact"/>
              <w:ind w:right="116"/>
              <w:rPr>
                <w:b/>
                <w:sz w:val="20"/>
              </w:rPr>
            </w:pPr>
            <w:r>
              <w:rPr>
                <w:b/>
                <w:sz w:val="20"/>
              </w:rPr>
              <w:t>$</w:t>
            </w:r>
            <w:r>
              <w:rPr>
                <w:b/>
                <w:spacing w:val="65"/>
                <w:sz w:val="20"/>
              </w:rPr>
              <w:t xml:space="preserve"> </w:t>
            </w:r>
            <w:r>
              <w:rPr>
                <w:b/>
                <w:spacing w:val="-2"/>
                <w:sz w:val="20"/>
              </w:rPr>
              <w:t>12,055</w:t>
            </w:r>
          </w:p>
        </w:tc>
        <w:tc>
          <w:tcPr>
            <w:tcW w:w="937" w:type="dxa"/>
          </w:tcPr>
          <w:p w14:paraId="247616C3" w14:textId="77777777" w:rsidR="00AE2255" w:rsidRDefault="00000000">
            <w:pPr>
              <w:pStyle w:val="TableParagraph"/>
              <w:spacing w:before="0" w:line="225" w:lineRule="exact"/>
              <w:ind w:right="78"/>
              <w:rPr>
                <w:sz w:val="20"/>
              </w:rPr>
            </w:pPr>
            <w:r>
              <w:rPr>
                <w:sz w:val="20"/>
              </w:rPr>
              <w:t>$</w:t>
            </w:r>
            <w:r>
              <w:rPr>
                <w:spacing w:val="65"/>
                <w:sz w:val="20"/>
              </w:rPr>
              <w:t xml:space="preserve"> </w:t>
            </w:r>
            <w:r>
              <w:rPr>
                <w:spacing w:val="-2"/>
                <w:sz w:val="20"/>
              </w:rPr>
              <w:t>10,756</w:t>
            </w:r>
          </w:p>
        </w:tc>
      </w:tr>
      <w:tr w:rsidR="00AE2255" w14:paraId="5A04BE2C" w14:textId="77777777">
        <w:trPr>
          <w:trHeight w:val="255"/>
        </w:trPr>
        <w:tc>
          <w:tcPr>
            <w:tcW w:w="5444" w:type="dxa"/>
            <w:shd w:val="clear" w:color="auto" w:fill="CCEDFF"/>
          </w:tcPr>
          <w:p w14:paraId="7080FB59" w14:textId="77777777" w:rsidR="00AE2255" w:rsidRDefault="00000000">
            <w:pPr>
              <w:pStyle w:val="TableParagraph"/>
              <w:spacing w:before="27" w:line="208" w:lineRule="exact"/>
              <w:ind w:left="187"/>
              <w:jc w:val="left"/>
              <w:rPr>
                <w:sz w:val="20"/>
              </w:rPr>
            </w:pPr>
            <w:r>
              <w:rPr>
                <w:sz w:val="20"/>
              </w:rPr>
              <w:t>Missiles</w:t>
            </w:r>
            <w:r>
              <w:rPr>
                <w:spacing w:val="-5"/>
                <w:sz w:val="20"/>
              </w:rPr>
              <w:t xml:space="preserve"> </w:t>
            </w:r>
            <w:r>
              <w:rPr>
                <w:sz w:val="20"/>
              </w:rPr>
              <w:t>and</w:t>
            </w:r>
            <w:r>
              <w:rPr>
                <w:spacing w:val="-3"/>
                <w:sz w:val="20"/>
              </w:rPr>
              <w:t xml:space="preserve"> </w:t>
            </w:r>
            <w:r>
              <w:rPr>
                <w:sz w:val="20"/>
              </w:rPr>
              <w:t>Fire</w:t>
            </w:r>
            <w:r>
              <w:rPr>
                <w:spacing w:val="-4"/>
                <w:sz w:val="20"/>
              </w:rPr>
              <w:t xml:space="preserve"> </w:t>
            </w:r>
            <w:r>
              <w:rPr>
                <w:spacing w:val="-2"/>
                <w:sz w:val="20"/>
              </w:rPr>
              <w:t>Control</w:t>
            </w:r>
          </w:p>
        </w:tc>
        <w:tc>
          <w:tcPr>
            <w:tcW w:w="3848" w:type="dxa"/>
            <w:shd w:val="clear" w:color="auto" w:fill="CCEDFF"/>
          </w:tcPr>
          <w:p w14:paraId="1F376CF6" w14:textId="77777777" w:rsidR="00AE2255" w:rsidRDefault="00000000">
            <w:pPr>
              <w:pStyle w:val="TableParagraph"/>
              <w:spacing w:before="0" w:line="225" w:lineRule="exact"/>
              <w:ind w:right="116"/>
              <w:rPr>
                <w:b/>
                <w:sz w:val="20"/>
              </w:rPr>
            </w:pPr>
            <w:r>
              <w:rPr>
                <w:b/>
                <w:spacing w:val="-2"/>
                <w:sz w:val="20"/>
              </w:rPr>
              <w:t>5,788</w:t>
            </w:r>
          </w:p>
        </w:tc>
        <w:tc>
          <w:tcPr>
            <w:tcW w:w="937" w:type="dxa"/>
            <w:shd w:val="clear" w:color="auto" w:fill="CCEDFF"/>
          </w:tcPr>
          <w:p w14:paraId="2C5BD4F0" w14:textId="77777777" w:rsidR="00AE2255" w:rsidRDefault="00000000">
            <w:pPr>
              <w:pStyle w:val="TableParagraph"/>
              <w:spacing w:before="0" w:line="225" w:lineRule="exact"/>
              <w:ind w:right="78"/>
              <w:rPr>
                <w:sz w:val="20"/>
              </w:rPr>
            </w:pPr>
            <w:r>
              <w:rPr>
                <w:spacing w:val="-2"/>
                <w:sz w:val="20"/>
              </w:rPr>
              <w:t>5,243</w:t>
            </w:r>
          </w:p>
        </w:tc>
      </w:tr>
      <w:tr w:rsidR="00AE2255" w14:paraId="76BB89DE" w14:textId="77777777">
        <w:trPr>
          <w:trHeight w:val="255"/>
        </w:trPr>
        <w:tc>
          <w:tcPr>
            <w:tcW w:w="5444" w:type="dxa"/>
          </w:tcPr>
          <w:p w14:paraId="030086AA" w14:textId="77777777" w:rsidR="00AE2255" w:rsidRDefault="00000000">
            <w:pPr>
              <w:pStyle w:val="TableParagraph"/>
              <w:spacing w:before="27" w:line="208" w:lineRule="exact"/>
              <w:ind w:left="187"/>
              <w:jc w:val="left"/>
              <w:rPr>
                <w:sz w:val="20"/>
              </w:rPr>
            </w:pPr>
            <w:r>
              <w:rPr>
                <w:sz w:val="20"/>
              </w:rPr>
              <w:t>Rotary</w:t>
            </w:r>
            <w:r>
              <w:rPr>
                <w:spacing w:val="-3"/>
                <w:sz w:val="20"/>
              </w:rPr>
              <w:t xml:space="preserve"> </w:t>
            </w:r>
            <w:r>
              <w:rPr>
                <w:sz w:val="20"/>
              </w:rPr>
              <w:t>and</w:t>
            </w:r>
            <w:r>
              <w:rPr>
                <w:spacing w:val="-3"/>
                <w:sz w:val="20"/>
              </w:rPr>
              <w:t xml:space="preserve"> </w:t>
            </w:r>
            <w:r>
              <w:rPr>
                <w:sz w:val="20"/>
              </w:rPr>
              <w:t>Mission</w:t>
            </w:r>
            <w:r>
              <w:rPr>
                <w:spacing w:val="-3"/>
                <w:sz w:val="20"/>
              </w:rPr>
              <w:t xml:space="preserve"> </w:t>
            </w:r>
            <w:r>
              <w:rPr>
                <w:spacing w:val="-2"/>
                <w:sz w:val="20"/>
              </w:rPr>
              <w:t>Systems</w:t>
            </w:r>
          </w:p>
        </w:tc>
        <w:tc>
          <w:tcPr>
            <w:tcW w:w="3848" w:type="dxa"/>
          </w:tcPr>
          <w:p w14:paraId="463AD1B8" w14:textId="77777777" w:rsidR="00AE2255" w:rsidRDefault="00000000">
            <w:pPr>
              <w:pStyle w:val="TableParagraph"/>
              <w:spacing w:before="0" w:line="225" w:lineRule="exact"/>
              <w:ind w:right="116"/>
              <w:rPr>
                <w:b/>
                <w:sz w:val="20"/>
              </w:rPr>
            </w:pPr>
            <w:r>
              <w:rPr>
                <w:b/>
                <w:spacing w:val="-2"/>
                <w:sz w:val="20"/>
              </w:rPr>
              <w:t>17,988</w:t>
            </w:r>
          </w:p>
        </w:tc>
        <w:tc>
          <w:tcPr>
            <w:tcW w:w="937" w:type="dxa"/>
          </w:tcPr>
          <w:p w14:paraId="598C4EE5" w14:textId="77777777" w:rsidR="00AE2255" w:rsidRDefault="00000000">
            <w:pPr>
              <w:pStyle w:val="TableParagraph"/>
              <w:spacing w:before="0" w:line="225" w:lineRule="exact"/>
              <w:ind w:right="78"/>
              <w:rPr>
                <w:sz w:val="20"/>
              </w:rPr>
            </w:pPr>
            <w:r>
              <w:rPr>
                <w:spacing w:val="-2"/>
                <w:sz w:val="20"/>
              </w:rPr>
              <w:t>17,664</w:t>
            </w:r>
          </w:p>
        </w:tc>
      </w:tr>
      <w:tr w:rsidR="00AE2255" w14:paraId="737623C5" w14:textId="77777777">
        <w:trPr>
          <w:trHeight w:val="245"/>
        </w:trPr>
        <w:tc>
          <w:tcPr>
            <w:tcW w:w="5444" w:type="dxa"/>
            <w:tcBorders>
              <w:bottom w:val="single" w:sz="8" w:space="0" w:color="CCEDFF"/>
            </w:tcBorders>
            <w:shd w:val="clear" w:color="auto" w:fill="CCEDFF"/>
          </w:tcPr>
          <w:p w14:paraId="13A51252" w14:textId="77777777" w:rsidR="00AE2255" w:rsidRDefault="00000000">
            <w:pPr>
              <w:pStyle w:val="TableParagraph"/>
              <w:spacing w:before="27" w:line="198" w:lineRule="exact"/>
              <w:ind w:left="187"/>
              <w:jc w:val="left"/>
              <w:rPr>
                <w:sz w:val="20"/>
              </w:rPr>
            </w:pPr>
            <w:r>
              <w:rPr>
                <w:spacing w:val="-2"/>
                <w:sz w:val="20"/>
              </w:rPr>
              <w:t>Space</w:t>
            </w:r>
          </w:p>
        </w:tc>
        <w:tc>
          <w:tcPr>
            <w:tcW w:w="3848" w:type="dxa"/>
            <w:tcBorders>
              <w:bottom w:val="single" w:sz="8" w:space="0" w:color="CCEDFF"/>
            </w:tcBorders>
            <w:shd w:val="clear" w:color="auto" w:fill="CCEDFF"/>
          </w:tcPr>
          <w:p w14:paraId="3EBC9341" w14:textId="77777777" w:rsidR="00AE2255" w:rsidRDefault="00000000">
            <w:pPr>
              <w:pStyle w:val="TableParagraph"/>
              <w:spacing w:before="0" w:line="225" w:lineRule="exact"/>
              <w:ind w:right="116"/>
              <w:rPr>
                <w:b/>
                <w:sz w:val="20"/>
              </w:rPr>
            </w:pPr>
            <w:r>
              <w:rPr>
                <w:b/>
                <w:spacing w:val="-2"/>
                <w:sz w:val="20"/>
              </w:rPr>
              <w:t>6,351</w:t>
            </w:r>
          </w:p>
        </w:tc>
        <w:tc>
          <w:tcPr>
            <w:tcW w:w="937" w:type="dxa"/>
            <w:tcBorders>
              <w:bottom w:val="single" w:sz="8" w:space="0" w:color="CCEDFF"/>
            </w:tcBorders>
            <w:shd w:val="clear" w:color="auto" w:fill="CCEDFF"/>
          </w:tcPr>
          <w:p w14:paraId="6369F8AE" w14:textId="77777777" w:rsidR="00AE2255" w:rsidRDefault="00000000">
            <w:pPr>
              <w:pStyle w:val="TableParagraph"/>
              <w:spacing w:before="0" w:line="225" w:lineRule="exact"/>
              <w:ind w:right="78"/>
              <w:rPr>
                <w:sz w:val="20"/>
              </w:rPr>
            </w:pPr>
            <w:r>
              <w:rPr>
                <w:spacing w:val="-2"/>
                <w:sz w:val="20"/>
              </w:rPr>
              <w:t>6,199</w:t>
            </w:r>
          </w:p>
        </w:tc>
      </w:tr>
      <w:tr w:rsidR="00AE2255" w14:paraId="5D6F9699" w14:textId="77777777">
        <w:trPr>
          <w:trHeight w:val="240"/>
        </w:trPr>
        <w:tc>
          <w:tcPr>
            <w:tcW w:w="5444" w:type="dxa"/>
            <w:tcBorders>
              <w:top w:val="single" w:sz="8" w:space="0" w:color="auto"/>
            </w:tcBorders>
          </w:tcPr>
          <w:p w14:paraId="16472060" w14:textId="77777777" w:rsidR="00AE2255" w:rsidRDefault="00000000">
            <w:pPr>
              <w:pStyle w:val="TableParagraph"/>
              <w:spacing w:before="0" w:line="215" w:lineRule="exact"/>
              <w:ind w:left="52"/>
              <w:jc w:val="left"/>
              <w:rPr>
                <w:sz w:val="20"/>
              </w:rPr>
            </w:pPr>
            <w:r>
              <w:rPr>
                <w:sz w:val="20"/>
              </w:rPr>
              <w:t>Total</w:t>
            </w:r>
            <w:r>
              <w:rPr>
                <w:spacing w:val="-5"/>
                <w:sz w:val="20"/>
              </w:rPr>
              <w:t xml:space="preserve"> </w:t>
            </w:r>
            <w:r>
              <w:rPr>
                <w:sz w:val="20"/>
              </w:rPr>
              <w:t>business</w:t>
            </w:r>
            <w:r>
              <w:rPr>
                <w:spacing w:val="-5"/>
                <w:sz w:val="20"/>
              </w:rPr>
              <w:t xml:space="preserve"> </w:t>
            </w:r>
            <w:r>
              <w:rPr>
                <w:sz w:val="20"/>
              </w:rPr>
              <w:t>segment</w:t>
            </w:r>
            <w:r>
              <w:rPr>
                <w:spacing w:val="-4"/>
                <w:sz w:val="20"/>
              </w:rPr>
              <w:t xml:space="preserve"> </w:t>
            </w:r>
            <w:r>
              <w:rPr>
                <w:spacing w:val="-2"/>
                <w:sz w:val="20"/>
              </w:rPr>
              <w:t>assets</w:t>
            </w:r>
          </w:p>
        </w:tc>
        <w:tc>
          <w:tcPr>
            <w:tcW w:w="3848" w:type="dxa"/>
            <w:tcBorders>
              <w:top w:val="single" w:sz="8" w:space="0" w:color="auto"/>
            </w:tcBorders>
          </w:tcPr>
          <w:p w14:paraId="41B1B441" w14:textId="77777777" w:rsidR="00AE2255" w:rsidRDefault="00000000">
            <w:pPr>
              <w:pStyle w:val="TableParagraph"/>
              <w:spacing w:before="0" w:line="215" w:lineRule="exact"/>
              <w:ind w:right="116"/>
              <w:rPr>
                <w:b/>
                <w:sz w:val="20"/>
              </w:rPr>
            </w:pPr>
            <w:r>
              <w:rPr>
                <w:b/>
                <w:spacing w:val="-2"/>
                <w:sz w:val="20"/>
              </w:rPr>
              <w:t>42,182</w:t>
            </w:r>
          </w:p>
        </w:tc>
        <w:tc>
          <w:tcPr>
            <w:tcW w:w="937" w:type="dxa"/>
            <w:tcBorders>
              <w:top w:val="single" w:sz="8" w:space="0" w:color="auto"/>
            </w:tcBorders>
          </w:tcPr>
          <w:p w14:paraId="595CEFFD" w14:textId="77777777" w:rsidR="00AE2255" w:rsidRDefault="00000000">
            <w:pPr>
              <w:pStyle w:val="TableParagraph"/>
              <w:spacing w:before="0" w:line="215" w:lineRule="exact"/>
              <w:ind w:right="78"/>
              <w:rPr>
                <w:sz w:val="20"/>
              </w:rPr>
            </w:pPr>
            <w:r>
              <w:rPr>
                <w:spacing w:val="-2"/>
                <w:sz w:val="20"/>
              </w:rPr>
              <w:t>39,862</w:t>
            </w:r>
          </w:p>
        </w:tc>
      </w:tr>
      <w:tr w:rsidR="00AE2255" w14:paraId="78D3F2DB" w14:textId="77777777">
        <w:trPr>
          <w:trHeight w:val="247"/>
        </w:trPr>
        <w:tc>
          <w:tcPr>
            <w:tcW w:w="5444" w:type="dxa"/>
            <w:tcBorders>
              <w:bottom w:val="single" w:sz="8" w:space="0" w:color="CCEDFF"/>
            </w:tcBorders>
            <w:shd w:val="clear" w:color="auto" w:fill="CCEDFF"/>
          </w:tcPr>
          <w:p w14:paraId="1CF155AF" w14:textId="77777777" w:rsidR="00AE2255" w:rsidRDefault="00000000">
            <w:pPr>
              <w:pStyle w:val="TableParagraph"/>
              <w:spacing w:before="0" w:line="225" w:lineRule="exact"/>
              <w:ind w:left="187"/>
              <w:jc w:val="left"/>
              <w:rPr>
                <w:sz w:val="20"/>
              </w:rPr>
            </w:pPr>
            <w:r>
              <w:rPr>
                <w:sz w:val="20"/>
              </w:rPr>
              <w:t>Corporate</w:t>
            </w:r>
            <w:r>
              <w:rPr>
                <w:spacing w:val="-5"/>
                <w:sz w:val="20"/>
              </w:rPr>
              <w:t xml:space="preserve"> </w:t>
            </w:r>
            <w:r>
              <w:rPr>
                <w:sz w:val="20"/>
              </w:rPr>
              <w:t>assets</w:t>
            </w:r>
            <w:r>
              <w:rPr>
                <w:spacing w:val="-5"/>
                <w:sz w:val="20"/>
              </w:rPr>
              <w:t xml:space="preserve"> </w:t>
            </w:r>
            <w:r>
              <w:rPr>
                <w:spacing w:val="-5"/>
                <w:sz w:val="20"/>
                <w:vertAlign w:val="superscript"/>
              </w:rPr>
              <w:t>(a)</w:t>
            </w:r>
          </w:p>
        </w:tc>
        <w:tc>
          <w:tcPr>
            <w:tcW w:w="3848" w:type="dxa"/>
            <w:tcBorders>
              <w:bottom w:val="single" w:sz="8" w:space="0" w:color="CCEDFF"/>
            </w:tcBorders>
            <w:shd w:val="clear" w:color="auto" w:fill="CCEDFF"/>
          </w:tcPr>
          <w:p w14:paraId="7170D5D7" w14:textId="77777777" w:rsidR="00AE2255" w:rsidRDefault="00000000">
            <w:pPr>
              <w:pStyle w:val="TableParagraph"/>
              <w:spacing w:before="0" w:line="225" w:lineRule="exact"/>
              <w:ind w:right="116"/>
              <w:rPr>
                <w:b/>
                <w:sz w:val="20"/>
              </w:rPr>
            </w:pPr>
            <w:r>
              <w:rPr>
                <w:b/>
                <w:spacing w:val="-2"/>
                <w:sz w:val="20"/>
              </w:rPr>
              <w:t>10,698</w:t>
            </w:r>
          </w:p>
        </w:tc>
        <w:tc>
          <w:tcPr>
            <w:tcW w:w="937" w:type="dxa"/>
            <w:tcBorders>
              <w:bottom w:val="single" w:sz="8" w:space="0" w:color="CCEDFF"/>
            </w:tcBorders>
            <w:shd w:val="clear" w:color="auto" w:fill="CCEDFF"/>
          </w:tcPr>
          <w:p w14:paraId="10C88CF3" w14:textId="77777777" w:rsidR="00AE2255" w:rsidRDefault="00000000">
            <w:pPr>
              <w:pStyle w:val="TableParagraph"/>
              <w:spacing w:before="0" w:line="225" w:lineRule="exact"/>
              <w:ind w:right="78"/>
              <w:rPr>
                <w:sz w:val="20"/>
              </w:rPr>
            </w:pPr>
            <w:r>
              <w:rPr>
                <w:spacing w:val="-2"/>
                <w:sz w:val="20"/>
              </w:rPr>
              <w:t>11,011</w:t>
            </w:r>
          </w:p>
        </w:tc>
      </w:tr>
      <w:tr w:rsidR="00AE2255" w14:paraId="3A4229F8" w14:textId="77777777">
        <w:trPr>
          <w:trHeight w:val="222"/>
        </w:trPr>
        <w:tc>
          <w:tcPr>
            <w:tcW w:w="5444" w:type="dxa"/>
            <w:tcBorders>
              <w:top w:val="single" w:sz="8" w:space="0" w:color="auto"/>
              <w:bottom w:val="single" w:sz="18" w:space="0" w:color="000000"/>
            </w:tcBorders>
          </w:tcPr>
          <w:p w14:paraId="7618BEAE" w14:textId="77777777" w:rsidR="00AE2255" w:rsidRDefault="00000000">
            <w:pPr>
              <w:pStyle w:val="TableParagraph"/>
              <w:spacing w:before="17" w:line="186" w:lineRule="exact"/>
              <w:ind w:left="52"/>
              <w:jc w:val="left"/>
              <w:rPr>
                <w:sz w:val="20"/>
              </w:rPr>
            </w:pPr>
            <w:r>
              <w:rPr>
                <w:sz w:val="20"/>
              </w:rPr>
              <w:t>Total</w:t>
            </w:r>
            <w:r>
              <w:rPr>
                <w:spacing w:val="-4"/>
                <w:sz w:val="20"/>
              </w:rPr>
              <w:t xml:space="preserve"> </w:t>
            </w:r>
            <w:r>
              <w:rPr>
                <w:spacing w:val="-2"/>
                <w:sz w:val="20"/>
              </w:rPr>
              <w:t>assets</w:t>
            </w:r>
          </w:p>
        </w:tc>
        <w:tc>
          <w:tcPr>
            <w:tcW w:w="3848" w:type="dxa"/>
            <w:tcBorders>
              <w:top w:val="single" w:sz="8" w:space="0" w:color="auto"/>
              <w:bottom w:val="single" w:sz="18" w:space="0" w:color="000000"/>
            </w:tcBorders>
          </w:tcPr>
          <w:p w14:paraId="2E58149F" w14:textId="77777777" w:rsidR="00AE2255" w:rsidRDefault="00000000">
            <w:pPr>
              <w:pStyle w:val="TableParagraph"/>
              <w:spacing w:before="0" w:line="203" w:lineRule="exact"/>
              <w:ind w:right="116"/>
              <w:rPr>
                <w:b/>
                <w:sz w:val="20"/>
              </w:rPr>
            </w:pPr>
            <w:r>
              <w:rPr>
                <w:b/>
                <w:sz w:val="20"/>
              </w:rPr>
              <w:t>$</w:t>
            </w:r>
            <w:r>
              <w:rPr>
                <w:b/>
                <w:spacing w:val="65"/>
                <w:sz w:val="20"/>
              </w:rPr>
              <w:t xml:space="preserve"> </w:t>
            </w:r>
            <w:r>
              <w:rPr>
                <w:b/>
                <w:spacing w:val="-2"/>
                <w:sz w:val="20"/>
              </w:rPr>
              <w:t>52,880</w:t>
            </w:r>
          </w:p>
        </w:tc>
        <w:tc>
          <w:tcPr>
            <w:tcW w:w="937" w:type="dxa"/>
            <w:tcBorders>
              <w:top w:val="single" w:sz="8" w:space="0" w:color="auto"/>
              <w:bottom w:val="single" w:sz="18" w:space="0" w:color="000000"/>
            </w:tcBorders>
          </w:tcPr>
          <w:p w14:paraId="041BD189" w14:textId="77777777" w:rsidR="00AE2255" w:rsidRDefault="00000000">
            <w:pPr>
              <w:pStyle w:val="TableParagraph"/>
              <w:spacing w:before="0" w:line="203" w:lineRule="exact"/>
              <w:ind w:right="78"/>
              <w:rPr>
                <w:sz w:val="20"/>
              </w:rPr>
            </w:pPr>
            <w:r>
              <w:rPr>
                <w:sz w:val="20"/>
              </w:rPr>
              <w:t>$</w:t>
            </w:r>
            <w:r>
              <w:rPr>
                <w:spacing w:val="65"/>
                <w:sz w:val="20"/>
              </w:rPr>
              <w:t xml:space="preserve"> </w:t>
            </w:r>
            <w:r>
              <w:rPr>
                <w:spacing w:val="-2"/>
                <w:sz w:val="20"/>
              </w:rPr>
              <w:t>50,873</w:t>
            </w:r>
          </w:p>
        </w:tc>
      </w:tr>
    </w:tbl>
    <w:p w14:paraId="1750E796" w14:textId="77777777" w:rsidR="00AE2255" w:rsidRDefault="00000000">
      <w:pPr>
        <w:spacing w:before="37" w:line="249" w:lineRule="auto"/>
        <w:ind w:left="970" w:right="424" w:hanging="360"/>
        <w:jc w:val="both"/>
        <w:rPr>
          <w:sz w:val="18"/>
        </w:rPr>
      </w:pPr>
      <w:r>
        <w:rPr>
          <w:sz w:val="18"/>
          <w:vertAlign w:val="superscript"/>
        </w:rPr>
        <w:t>(a)</w:t>
      </w:r>
      <w:r>
        <w:rPr>
          <w:spacing w:val="66"/>
          <w:sz w:val="18"/>
        </w:rPr>
        <w:t xml:space="preserve">  </w:t>
      </w:r>
      <w:r>
        <w:rPr>
          <w:sz w:val="18"/>
        </w:rPr>
        <w:t>Corporate</w:t>
      </w:r>
      <w:r>
        <w:rPr>
          <w:spacing w:val="12"/>
          <w:sz w:val="18"/>
        </w:rPr>
        <w:t xml:space="preserve"> </w:t>
      </w:r>
      <w:r>
        <w:rPr>
          <w:sz w:val="18"/>
        </w:rPr>
        <w:t>assets</w:t>
      </w:r>
      <w:r>
        <w:rPr>
          <w:spacing w:val="12"/>
          <w:sz w:val="18"/>
        </w:rPr>
        <w:t xml:space="preserve"> </w:t>
      </w:r>
      <w:r>
        <w:rPr>
          <w:sz w:val="18"/>
        </w:rPr>
        <w:t>primarily</w:t>
      </w:r>
      <w:r>
        <w:rPr>
          <w:spacing w:val="12"/>
          <w:sz w:val="18"/>
        </w:rPr>
        <w:t xml:space="preserve"> </w:t>
      </w:r>
      <w:r>
        <w:rPr>
          <w:sz w:val="18"/>
        </w:rPr>
        <w:t>include</w:t>
      </w:r>
      <w:r>
        <w:rPr>
          <w:spacing w:val="12"/>
          <w:sz w:val="18"/>
        </w:rPr>
        <w:t xml:space="preserve"> </w:t>
      </w:r>
      <w:r>
        <w:rPr>
          <w:sz w:val="18"/>
        </w:rPr>
        <w:t>cash</w:t>
      </w:r>
      <w:r>
        <w:rPr>
          <w:spacing w:val="12"/>
          <w:sz w:val="18"/>
        </w:rPr>
        <w:t xml:space="preserve"> </w:t>
      </w:r>
      <w:r>
        <w:rPr>
          <w:sz w:val="18"/>
        </w:rPr>
        <w:t>and</w:t>
      </w:r>
      <w:r>
        <w:rPr>
          <w:spacing w:val="12"/>
          <w:sz w:val="18"/>
        </w:rPr>
        <w:t xml:space="preserve"> </w:t>
      </w:r>
      <w:r>
        <w:rPr>
          <w:sz w:val="18"/>
        </w:rPr>
        <w:t>cash</w:t>
      </w:r>
      <w:r>
        <w:rPr>
          <w:spacing w:val="12"/>
          <w:sz w:val="18"/>
        </w:rPr>
        <w:t xml:space="preserve"> </w:t>
      </w:r>
      <w:r>
        <w:rPr>
          <w:sz w:val="18"/>
        </w:rPr>
        <w:t>equivalents,</w:t>
      </w:r>
      <w:r>
        <w:rPr>
          <w:spacing w:val="12"/>
          <w:sz w:val="18"/>
        </w:rPr>
        <w:t xml:space="preserve"> </w:t>
      </w:r>
      <w:r>
        <w:rPr>
          <w:sz w:val="18"/>
        </w:rPr>
        <w:t>deferred</w:t>
      </w:r>
      <w:r>
        <w:rPr>
          <w:spacing w:val="12"/>
          <w:sz w:val="18"/>
        </w:rPr>
        <w:t xml:space="preserve"> </w:t>
      </w:r>
      <w:r>
        <w:rPr>
          <w:sz w:val="18"/>
        </w:rPr>
        <w:t>income</w:t>
      </w:r>
      <w:r>
        <w:rPr>
          <w:spacing w:val="12"/>
          <w:sz w:val="18"/>
        </w:rPr>
        <w:t xml:space="preserve"> </w:t>
      </w:r>
      <w:r>
        <w:rPr>
          <w:sz w:val="18"/>
        </w:rPr>
        <w:t>taxes,</w:t>
      </w:r>
      <w:r>
        <w:rPr>
          <w:spacing w:val="12"/>
          <w:sz w:val="18"/>
        </w:rPr>
        <w:t xml:space="preserve"> </w:t>
      </w:r>
      <w:r>
        <w:rPr>
          <w:sz w:val="18"/>
        </w:rPr>
        <w:t>assets</w:t>
      </w:r>
      <w:r>
        <w:rPr>
          <w:spacing w:val="12"/>
          <w:sz w:val="18"/>
        </w:rPr>
        <w:t xml:space="preserve"> </w:t>
      </w:r>
      <w:r>
        <w:rPr>
          <w:sz w:val="18"/>
        </w:rPr>
        <w:t>for</w:t>
      </w:r>
      <w:r>
        <w:rPr>
          <w:spacing w:val="12"/>
          <w:sz w:val="18"/>
        </w:rPr>
        <w:t xml:space="preserve"> </w:t>
      </w:r>
      <w:r>
        <w:rPr>
          <w:sz w:val="18"/>
        </w:rPr>
        <w:t>the</w:t>
      </w:r>
      <w:r>
        <w:rPr>
          <w:spacing w:val="12"/>
          <w:sz w:val="18"/>
        </w:rPr>
        <w:t xml:space="preserve"> </w:t>
      </w:r>
      <w:r>
        <w:rPr>
          <w:sz w:val="18"/>
        </w:rPr>
        <w:t>portion</w:t>
      </w:r>
      <w:r>
        <w:rPr>
          <w:spacing w:val="12"/>
          <w:sz w:val="18"/>
        </w:rPr>
        <w:t xml:space="preserve"> </w:t>
      </w:r>
      <w:r>
        <w:rPr>
          <w:sz w:val="18"/>
        </w:rPr>
        <w:t>of</w:t>
      </w:r>
      <w:r>
        <w:rPr>
          <w:spacing w:val="12"/>
          <w:sz w:val="18"/>
        </w:rPr>
        <w:t xml:space="preserve"> </w:t>
      </w:r>
      <w:r>
        <w:rPr>
          <w:sz w:val="18"/>
        </w:rPr>
        <w:t>environmental</w:t>
      </w:r>
      <w:r>
        <w:rPr>
          <w:spacing w:val="12"/>
          <w:sz w:val="18"/>
        </w:rPr>
        <w:t xml:space="preserve"> </w:t>
      </w:r>
      <w:r>
        <w:rPr>
          <w:sz w:val="18"/>
        </w:rPr>
        <w:t>costs</w:t>
      </w:r>
      <w:r>
        <w:rPr>
          <w:spacing w:val="12"/>
          <w:sz w:val="18"/>
        </w:rPr>
        <w:t xml:space="preserve"> </w:t>
      </w:r>
      <w:r>
        <w:rPr>
          <w:sz w:val="18"/>
        </w:rPr>
        <w:t>that are probable of future recovery, property, plant and equipment, investments held in a separate trust for deferred compensation plans and other marketable investments.</w:t>
      </w:r>
    </w:p>
    <w:p w14:paraId="15D12CD4" w14:textId="77777777" w:rsidR="00AE2255" w:rsidRDefault="00AE2255">
      <w:pPr>
        <w:pStyle w:val="BodyText"/>
        <w:spacing w:before="3"/>
        <w:rPr>
          <w:sz w:val="18"/>
        </w:rPr>
      </w:pPr>
    </w:p>
    <w:p w14:paraId="14B1717F" w14:textId="77777777" w:rsidR="00AE2255" w:rsidRDefault="00000000">
      <w:pPr>
        <w:pStyle w:val="Heading2"/>
      </w:pPr>
      <w:bookmarkStart w:id="51" w:name="Note_4_–_Receivables,_net"/>
      <w:bookmarkEnd w:id="51"/>
      <w:r>
        <w:t>Note</w:t>
      </w:r>
      <w:r>
        <w:rPr>
          <w:spacing w:val="-6"/>
        </w:rPr>
        <w:t xml:space="preserve"> </w:t>
      </w:r>
      <w:r>
        <w:t>4</w:t>
      </w:r>
      <w:r>
        <w:rPr>
          <w:spacing w:val="-3"/>
        </w:rPr>
        <w:t xml:space="preserve"> </w:t>
      </w:r>
      <w:r>
        <w:t>–</w:t>
      </w:r>
      <w:r>
        <w:rPr>
          <w:spacing w:val="-3"/>
        </w:rPr>
        <w:t xml:space="preserve"> </w:t>
      </w:r>
      <w:r>
        <w:t>Receivables,</w:t>
      </w:r>
      <w:r>
        <w:rPr>
          <w:spacing w:val="-3"/>
        </w:rPr>
        <w:t xml:space="preserve"> </w:t>
      </w:r>
      <w:r>
        <w:t>net,</w:t>
      </w:r>
      <w:r>
        <w:rPr>
          <w:spacing w:val="-2"/>
        </w:rPr>
        <w:t xml:space="preserve"> </w:t>
      </w:r>
      <w:r>
        <w:t>Contract</w:t>
      </w:r>
      <w:r>
        <w:rPr>
          <w:spacing w:val="-3"/>
        </w:rPr>
        <w:t xml:space="preserve"> </w:t>
      </w:r>
      <w:r>
        <w:t>Assets</w:t>
      </w:r>
      <w:r>
        <w:rPr>
          <w:spacing w:val="-4"/>
        </w:rPr>
        <w:t xml:space="preserve"> </w:t>
      </w:r>
      <w:r>
        <w:t>and</w:t>
      </w:r>
      <w:r>
        <w:rPr>
          <w:spacing w:val="-4"/>
        </w:rPr>
        <w:t xml:space="preserve"> </w:t>
      </w:r>
      <w:r>
        <w:t>Contract</w:t>
      </w:r>
      <w:r>
        <w:rPr>
          <w:spacing w:val="-2"/>
        </w:rPr>
        <w:t xml:space="preserve"> Liabilities</w:t>
      </w:r>
    </w:p>
    <w:p w14:paraId="765BDC9E" w14:textId="77777777" w:rsidR="00AE2255" w:rsidRDefault="00AE2255">
      <w:pPr>
        <w:pStyle w:val="BodyText"/>
        <w:spacing w:before="3" w:after="1"/>
        <w:rPr>
          <w:b/>
          <w:sz w:val="19"/>
        </w:rPr>
      </w:pPr>
    </w:p>
    <w:tbl>
      <w:tblPr>
        <w:tblW w:w="0" w:type="auto"/>
        <w:tblInd w:w="617" w:type="dxa"/>
        <w:tblLayout w:type="fixed"/>
        <w:tblCellMar>
          <w:left w:w="0" w:type="dxa"/>
          <w:right w:w="0" w:type="dxa"/>
        </w:tblCellMar>
        <w:tblLook w:val="01E0" w:firstRow="1" w:lastRow="1" w:firstColumn="1" w:lastColumn="1" w:noHBand="0" w:noVBand="0"/>
      </w:tblPr>
      <w:tblGrid>
        <w:gridCol w:w="7782"/>
        <w:gridCol w:w="1511"/>
        <w:gridCol w:w="938"/>
      </w:tblGrid>
      <w:tr w:rsidR="00AE2255" w14:paraId="00B454AE" w14:textId="77777777">
        <w:trPr>
          <w:trHeight w:val="267"/>
        </w:trPr>
        <w:tc>
          <w:tcPr>
            <w:tcW w:w="7782" w:type="dxa"/>
          </w:tcPr>
          <w:p w14:paraId="3D2B7E2D" w14:textId="77777777" w:rsidR="00AE2255" w:rsidRDefault="00000000">
            <w:pPr>
              <w:pStyle w:val="TableParagraph"/>
              <w:spacing w:before="0" w:line="221" w:lineRule="exact"/>
              <w:ind w:left="360"/>
              <w:jc w:val="left"/>
              <w:rPr>
                <w:sz w:val="20"/>
              </w:rPr>
            </w:pPr>
            <w:r>
              <w:rPr>
                <w:sz w:val="20"/>
              </w:rPr>
              <w:t>Receivables,</w:t>
            </w:r>
            <w:r>
              <w:rPr>
                <w:spacing w:val="-6"/>
                <w:sz w:val="20"/>
              </w:rPr>
              <w:t xml:space="preserve"> </w:t>
            </w:r>
            <w:r>
              <w:rPr>
                <w:sz w:val="20"/>
              </w:rPr>
              <w:t>net,</w:t>
            </w:r>
            <w:r>
              <w:rPr>
                <w:spacing w:val="-4"/>
                <w:sz w:val="20"/>
              </w:rPr>
              <w:t xml:space="preserve"> </w:t>
            </w:r>
            <w:r>
              <w:rPr>
                <w:sz w:val="20"/>
              </w:rPr>
              <w:t>contract</w:t>
            </w:r>
            <w:r>
              <w:rPr>
                <w:spacing w:val="-5"/>
                <w:sz w:val="20"/>
              </w:rPr>
              <w:t xml:space="preserve"> </w:t>
            </w:r>
            <w:r>
              <w:rPr>
                <w:sz w:val="20"/>
              </w:rPr>
              <w:t>assets</w:t>
            </w:r>
            <w:r>
              <w:rPr>
                <w:spacing w:val="-4"/>
                <w:sz w:val="20"/>
              </w:rPr>
              <w:t xml:space="preserve"> </w:t>
            </w:r>
            <w:r>
              <w:rPr>
                <w:sz w:val="20"/>
              </w:rPr>
              <w:t>and</w:t>
            </w:r>
            <w:r>
              <w:rPr>
                <w:spacing w:val="-4"/>
                <w:sz w:val="20"/>
              </w:rPr>
              <w:t xml:space="preserve"> </w:t>
            </w:r>
            <w:r>
              <w:rPr>
                <w:sz w:val="20"/>
              </w:rPr>
              <w:t>contract</w:t>
            </w:r>
            <w:r>
              <w:rPr>
                <w:spacing w:val="-5"/>
                <w:sz w:val="20"/>
              </w:rPr>
              <w:t xml:space="preserve"> </w:t>
            </w:r>
            <w:r>
              <w:rPr>
                <w:sz w:val="20"/>
              </w:rPr>
              <w:t>liabilities</w:t>
            </w:r>
            <w:r>
              <w:rPr>
                <w:spacing w:val="-5"/>
                <w:sz w:val="20"/>
              </w:rPr>
              <w:t xml:space="preserve"> </w:t>
            </w:r>
            <w:r>
              <w:rPr>
                <w:sz w:val="20"/>
              </w:rPr>
              <w:t>were</w:t>
            </w:r>
            <w:r>
              <w:rPr>
                <w:spacing w:val="-4"/>
                <w:sz w:val="20"/>
              </w:rPr>
              <w:t xml:space="preserve"> </w:t>
            </w:r>
            <w:r>
              <w:rPr>
                <w:sz w:val="20"/>
              </w:rPr>
              <w:t>as</w:t>
            </w:r>
            <w:r>
              <w:rPr>
                <w:spacing w:val="-5"/>
                <w:sz w:val="20"/>
              </w:rPr>
              <w:t xml:space="preserve"> </w:t>
            </w:r>
            <w:r>
              <w:rPr>
                <w:sz w:val="20"/>
              </w:rPr>
              <w:t>follows</w:t>
            </w:r>
            <w:r>
              <w:rPr>
                <w:spacing w:val="-5"/>
                <w:sz w:val="20"/>
              </w:rPr>
              <w:t xml:space="preserve"> </w:t>
            </w:r>
            <w:r>
              <w:rPr>
                <w:sz w:val="20"/>
              </w:rPr>
              <w:t>(in</w:t>
            </w:r>
            <w:r>
              <w:rPr>
                <w:spacing w:val="-3"/>
                <w:sz w:val="20"/>
              </w:rPr>
              <w:t xml:space="preserve"> </w:t>
            </w:r>
            <w:r>
              <w:rPr>
                <w:spacing w:val="-2"/>
                <w:sz w:val="20"/>
              </w:rPr>
              <w:t>millions):</w:t>
            </w:r>
          </w:p>
        </w:tc>
        <w:tc>
          <w:tcPr>
            <w:tcW w:w="2449" w:type="dxa"/>
            <w:gridSpan w:val="2"/>
          </w:tcPr>
          <w:p w14:paraId="48946A06" w14:textId="77777777" w:rsidR="00AE2255" w:rsidRDefault="00AE2255">
            <w:pPr>
              <w:pStyle w:val="TableParagraph"/>
              <w:spacing w:before="0"/>
              <w:jc w:val="left"/>
              <w:rPr>
                <w:sz w:val="18"/>
              </w:rPr>
            </w:pPr>
          </w:p>
        </w:tc>
      </w:tr>
      <w:tr w:rsidR="00AE2255" w14:paraId="6958EECE" w14:textId="77777777">
        <w:trPr>
          <w:trHeight w:val="287"/>
        </w:trPr>
        <w:tc>
          <w:tcPr>
            <w:tcW w:w="7782" w:type="dxa"/>
            <w:tcBorders>
              <w:bottom w:val="single" w:sz="8" w:space="0" w:color="auto"/>
            </w:tcBorders>
          </w:tcPr>
          <w:p w14:paraId="21214B4A" w14:textId="77777777" w:rsidR="00AE2255" w:rsidRDefault="00AE2255">
            <w:pPr>
              <w:pStyle w:val="TableParagraph"/>
              <w:spacing w:before="0"/>
              <w:jc w:val="left"/>
              <w:rPr>
                <w:sz w:val="18"/>
              </w:rPr>
            </w:pPr>
          </w:p>
        </w:tc>
        <w:tc>
          <w:tcPr>
            <w:tcW w:w="1511" w:type="dxa"/>
            <w:tcBorders>
              <w:bottom w:val="single" w:sz="8" w:space="0" w:color="auto"/>
            </w:tcBorders>
          </w:tcPr>
          <w:p w14:paraId="15521294" w14:textId="77777777" w:rsidR="00AE2255" w:rsidRDefault="00000000">
            <w:pPr>
              <w:pStyle w:val="TableParagraph"/>
              <w:spacing w:before="37" w:line="230" w:lineRule="exact"/>
              <w:ind w:right="88"/>
              <w:rPr>
                <w:b/>
                <w:sz w:val="20"/>
              </w:rPr>
            </w:pPr>
            <w:r>
              <w:rPr>
                <w:b/>
                <w:spacing w:val="-4"/>
                <w:sz w:val="20"/>
              </w:rPr>
              <w:t>2022</w:t>
            </w:r>
          </w:p>
        </w:tc>
        <w:tc>
          <w:tcPr>
            <w:tcW w:w="938" w:type="dxa"/>
            <w:tcBorders>
              <w:bottom w:val="single" w:sz="8" w:space="0" w:color="auto"/>
            </w:tcBorders>
          </w:tcPr>
          <w:p w14:paraId="089F7BB1" w14:textId="77777777" w:rsidR="00AE2255" w:rsidRDefault="00000000">
            <w:pPr>
              <w:pStyle w:val="TableParagraph"/>
              <w:spacing w:before="37" w:line="230" w:lineRule="exact"/>
              <w:ind w:right="51"/>
              <w:rPr>
                <w:b/>
                <w:sz w:val="20"/>
              </w:rPr>
            </w:pPr>
            <w:r>
              <w:rPr>
                <w:b/>
                <w:spacing w:val="-4"/>
                <w:sz w:val="20"/>
              </w:rPr>
              <w:t>2021</w:t>
            </w:r>
          </w:p>
        </w:tc>
      </w:tr>
      <w:tr w:rsidR="00AE2255" w14:paraId="58A95863" w14:textId="77777777">
        <w:trPr>
          <w:trHeight w:val="275"/>
        </w:trPr>
        <w:tc>
          <w:tcPr>
            <w:tcW w:w="7782" w:type="dxa"/>
            <w:tcBorders>
              <w:top w:val="single" w:sz="8" w:space="0" w:color="CCEDFF"/>
            </w:tcBorders>
            <w:shd w:val="clear" w:color="auto" w:fill="CCEDFF"/>
          </w:tcPr>
          <w:p w14:paraId="13CE518F" w14:textId="77777777" w:rsidR="00AE2255" w:rsidRDefault="00000000">
            <w:pPr>
              <w:pStyle w:val="TableParagraph"/>
              <w:spacing w:before="17"/>
              <w:ind w:left="187"/>
              <w:jc w:val="left"/>
              <w:rPr>
                <w:sz w:val="20"/>
              </w:rPr>
            </w:pPr>
            <w:r>
              <w:rPr>
                <w:sz w:val="20"/>
              </w:rPr>
              <w:t>Receivables,</w:t>
            </w:r>
            <w:r>
              <w:rPr>
                <w:spacing w:val="-9"/>
                <w:sz w:val="20"/>
              </w:rPr>
              <w:t xml:space="preserve"> </w:t>
            </w:r>
            <w:r>
              <w:rPr>
                <w:spacing w:val="-5"/>
                <w:sz w:val="20"/>
              </w:rPr>
              <w:t>net</w:t>
            </w:r>
          </w:p>
        </w:tc>
        <w:tc>
          <w:tcPr>
            <w:tcW w:w="1511" w:type="dxa"/>
            <w:tcBorders>
              <w:top w:val="single" w:sz="8" w:space="0" w:color="CCEDFF"/>
            </w:tcBorders>
            <w:shd w:val="clear" w:color="auto" w:fill="CCEDFF"/>
          </w:tcPr>
          <w:p w14:paraId="6D1B885A" w14:textId="77777777" w:rsidR="00AE2255" w:rsidRDefault="00000000">
            <w:pPr>
              <w:pStyle w:val="TableParagraph"/>
              <w:tabs>
                <w:tab w:val="left" w:pos="315"/>
              </w:tabs>
              <w:spacing w:before="15"/>
              <w:ind w:right="117"/>
              <w:rPr>
                <w:b/>
                <w:sz w:val="20"/>
              </w:rPr>
            </w:pPr>
            <w:r>
              <w:rPr>
                <w:b/>
                <w:spacing w:val="-10"/>
                <w:sz w:val="20"/>
              </w:rPr>
              <w:t>$</w:t>
            </w:r>
            <w:r>
              <w:rPr>
                <w:b/>
                <w:sz w:val="20"/>
              </w:rPr>
              <w:tab/>
            </w:r>
            <w:r>
              <w:rPr>
                <w:b/>
                <w:spacing w:val="-2"/>
                <w:sz w:val="20"/>
              </w:rPr>
              <w:t>2,505</w:t>
            </w:r>
          </w:p>
        </w:tc>
        <w:tc>
          <w:tcPr>
            <w:tcW w:w="938" w:type="dxa"/>
            <w:tcBorders>
              <w:top w:val="single" w:sz="8" w:space="0" w:color="CCEDFF"/>
            </w:tcBorders>
            <w:shd w:val="clear" w:color="auto" w:fill="CCEDFF"/>
          </w:tcPr>
          <w:p w14:paraId="544AE7BE" w14:textId="77777777" w:rsidR="00AE2255" w:rsidRDefault="00000000">
            <w:pPr>
              <w:pStyle w:val="TableParagraph"/>
              <w:tabs>
                <w:tab w:val="left" w:pos="315"/>
              </w:tabs>
              <w:spacing w:before="15"/>
              <w:ind w:right="80"/>
              <w:rPr>
                <w:sz w:val="20"/>
              </w:rPr>
            </w:pPr>
            <w:r>
              <w:rPr>
                <w:spacing w:val="-10"/>
                <w:sz w:val="20"/>
              </w:rPr>
              <w:t>$</w:t>
            </w:r>
            <w:r>
              <w:rPr>
                <w:sz w:val="20"/>
              </w:rPr>
              <w:tab/>
            </w:r>
            <w:r>
              <w:rPr>
                <w:spacing w:val="-2"/>
                <w:sz w:val="20"/>
              </w:rPr>
              <w:t>1,963</w:t>
            </w:r>
          </w:p>
        </w:tc>
      </w:tr>
      <w:tr w:rsidR="00AE2255" w14:paraId="26F06B9F" w14:textId="77777777">
        <w:trPr>
          <w:trHeight w:val="285"/>
        </w:trPr>
        <w:tc>
          <w:tcPr>
            <w:tcW w:w="7782" w:type="dxa"/>
          </w:tcPr>
          <w:p w14:paraId="73B0AB2C" w14:textId="77777777" w:rsidR="00AE2255" w:rsidRDefault="00000000">
            <w:pPr>
              <w:pStyle w:val="TableParagraph"/>
              <w:spacing w:before="27"/>
              <w:ind w:left="187"/>
              <w:jc w:val="left"/>
              <w:rPr>
                <w:sz w:val="20"/>
              </w:rPr>
            </w:pPr>
            <w:r>
              <w:rPr>
                <w:sz w:val="20"/>
              </w:rPr>
              <w:t>Contract</w:t>
            </w:r>
            <w:r>
              <w:rPr>
                <w:spacing w:val="-5"/>
                <w:sz w:val="20"/>
              </w:rPr>
              <w:t xml:space="preserve"> </w:t>
            </w:r>
            <w:r>
              <w:rPr>
                <w:spacing w:val="-2"/>
                <w:sz w:val="20"/>
              </w:rPr>
              <w:t>assets</w:t>
            </w:r>
          </w:p>
        </w:tc>
        <w:tc>
          <w:tcPr>
            <w:tcW w:w="1511" w:type="dxa"/>
          </w:tcPr>
          <w:p w14:paraId="5BA3B5B0" w14:textId="77777777" w:rsidR="00AE2255" w:rsidRDefault="00000000">
            <w:pPr>
              <w:pStyle w:val="TableParagraph"/>
              <w:ind w:right="117"/>
              <w:rPr>
                <w:b/>
                <w:sz w:val="20"/>
              </w:rPr>
            </w:pPr>
            <w:r>
              <w:rPr>
                <w:b/>
                <w:spacing w:val="-2"/>
                <w:sz w:val="20"/>
              </w:rPr>
              <w:t>12,318</w:t>
            </w:r>
          </w:p>
        </w:tc>
        <w:tc>
          <w:tcPr>
            <w:tcW w:w="938" w:type="dxa"/>
          </w:tcPr>
          <w:p w14:paraId="327E00C6" w14:textId="77777777" w:rsidR="00AE2255" w:rsidRDefault="00000000">
            <w:pPr>
              <w:pStyle w:val="TableParagraph"/>
              <w:ind w:right="80"/>
              <w:rPr>
                <w:sz w:val="20"/>
              </w:rPr>
            </w:pPr>
            <w:r>
              <w:rPr>
                <w:spacing w:val="-2"/>
                <w:sz w:val="20"/>
              </w:rPr>
              <w:t>10,579</w:t>
            </w:r>
          </w:p>
        </w:tc>
      </w:tr>
      <w:tr w:rsidR="00AE2255" w14:paraId="3A5E2BC0" w14:textId="77777777">
        <w:trPr>
          <w:trHeight w:val="262"/>
        </w:trPr>
        <w:tc>
          <w:tcPr>
            <w:tcW w:w="7782" w:type="dxa"/>
            <w:tcBorders>
              <w:bottom w:val="single" w:sz="18" w:space="0" w:color="CCEDFF"/>
            </w:tcBorders>
            <w:shd w:val="clear" w:color="auto" w:fill="CCEDFF"/>
          </w:tcPr>
          <w:p w14:paraId="705D755F" w14:textId="77777777" w:rsidR="00AE2255" w:rsidRDefault="00000000">
            <w:pPr>
              <w:pStyle w:val="TableParagraph"/>
              <w:spacing w:before="27" w:line="216" w:lineRule="exact"/>
              <w:ind w:left="187"/>
              <w:jc w:val="left"/>
              <w:rPr>
                <w:sz w:val="20"/>
              </w:rPr>
            </w:pPr>
            <w:r>
              <w:rPr>
                <w:sz w:val="20"/>
              </w:rPr>
              <w:t>Contract</w:t>
            </w:r>
            <w:r>
              <w:rPr>
                <w:spacing w:val="-5"/>
                <w:sz w:val="20"/>
              </w:rPr>
              <w:t xml:space="preserve"> </w:t>
            </w:r>
            <w:r>
              <w:rPr>
                <w:spacing w:val="-2"/>
                <w:sz w:val="20"/>
              </w:rPr>
              <w:t>liabilities</w:t>
            </w:r>
          </w:p>
        </w:tc>
        <w:tc>
          <w:tcPr>
            <w:tcW w:w="1511" w:type="dxa"/>
            <w:tcBorders>
              <w:bottom w:val="single" w:sz="18" w:space="0" w:color="CCEDFF"/>
            </w:tcBorders>
            <w:shd w:val="clear" w:color="auto" w:fill="CCEDFF"/>
          </w:tcPr>
          <w:p w14:paraId="4C6CA9B5" w14:textId="77777777" w:rsidR="00AE2255" w:rsidRDefault="00000000">
            <w:pPr>
              <w:pStyle w:val="TableParagraph"/>
              <w:spacing w:line="217" w:lineRule="exact"/>
              <w:ind w:right="117"/>
              <w:rPr>
                <w:b/>
                <w:sz w:val="20"/>
              </w:rPr>
            </w:pPr>
            <w:r>
              <w:rPr>
                <w:b/>
                <w:spacing w:val="-2"/>
                <w:sz w:val="20"/>
              </w:rPr>
              <w:t>8,488</w:t>
            </w:r>
          </w:p>
        </w:tc>
        <w:tc>
          <w:tcPr>
            <w:tcW w:w="938" w:type="dxa"/>
            <w:tcBorders>
              <w:bottom w:val="single" w:sz="18" w:space="0" w:color="CCEDFF"/>
            </w:tcBorders>
            <w:shd w:val="clear" w:color="auto" w:fill="CCEDFF"/>
          </w:tcPr>
          <w:p w14:paraId="7FB769AE" w14:textId="77777777" w:rsidR="00AE2255" w:rsidRDefault="00000000">
            <w:pPr>
              <w:pStyle w:val="TableParagraph"/>
              <w:spacing w:line="217" w:lineRule="exact"/>
              <w:ind w:right="80"/>
              <w:rPr>
                <w:sz w:val="20"/>
              </w:rPr>
            </w:pPr>
            <w:r>
              <w:rPr>
                <w:spacing w:val="-2"/>
                <w:sz w:val="20"/>
              </w:rPr>
              <w:t>8,107</w:t>
            </w:r>
          </w:p>
        </w:tc>
      </w:tr>
    </w:tbl>
    <w:p w14:paraId="49C1422F" w14:textId="77777777" w:rsidR="00AE2255" w:rsidRDefault="00AE2255">
      <w:pPr>
        <w:pStyle w:val="BodyText"/>
        <w:spacing w:before="3"/>
        <w:rPr>
          <w:b/>
          <w:sz w:val="18"/>
        </w:rPr>
      </w:pPr>
    </w:p>
    <w:p w14:paraId="1614F253" w14:textId="77777777" w:rsidR="00AE2255" w:rsidRDefault="00000000">
      <w:pPr>
        <w:pStyle w:val="BodyText"/>
        <w:spacing w:line="249" w:lineRule="auto"/>
        <w:ind w:left="610" w:right="427" w:firstLine="360"/>
        <w:jc w:val="both"/>
      </w:pPr>
      <w:r>
        <w:t>Receivables,</w:t>
      </w:r>
      <w:r>
        <w:rPr>
          <w:spacing w:val="-3"/>
        </w:rPr>
        <w:t xml:space="preserve"> </w:t>
      </w:r>
      <w:r>
        <w:t>net</w:t>
      </w:r>
      <w:r>
        <w:rPr>
          <w:spacing w:val="-3"/>
        </w:rPr>
        <w:t xml:space="preserve"> </w:t>
      </w:r>
      <w:r>
        <w:t>consist</w:t>
      </w:r>
      <w:r>
        <w:rPr>
          <w:spacing w:val="-3"/>
        </w:rPr>
        <w:t xml:space="preserve"> </w:t>
      </w:r>
      <w:r>
        <w:t>of</w:t>
      </w:r>
      <w:r>
        <w:rPr>
          <w:spacing w:val="-3"/>
        </w:rPr>
        <w:t xml:space="preserve"> </w:t>
      </w:r>
      <w:r>
        <w:t>approximately</w:t>
      </w:r>
      <w:r>
        <w:rPr>
          <w:spacing w:val="-3"/>
        </w:rPr>
        <w:t xml:space="preserve"> </w:t>
      </w:r>
      <w:r>
        <w:t>$1.8</w:t>
      </w:r>
      <w:r>
        <w:rPr>
          <w:spacing w:val="-3"/>
        </w:rPr>
        <w:t xml:space="preserve"> </w:t>
      </w:r>
      <w:r>
        <w:t>billion</w:t>
      </w:r>
      <w:r>
        <w:rPr>
          <w:spacing w:val="-3"/>
        </w:rPr>
        <w:t xml:space="preserve"> </w:t>
      </w:r>
      <w:r>
        <w:t>from</w:t>
      </w:r>
      <w:r>
        <w:rPr>
          <w:spacing w:val="-3"/>
        </w:rPr>
        <w:t xml:space="preserve"> </w:t>
      </w:r>
      <w:r>
        <w:t>the</w:t>
      </w:r>
      <w:r>
        <w:rPr>
          <w:spacing w:val="-3"/>
        </w:rPr>
        <w:t xml:space="preserve"> </w:t>
      </w:r>
      <w:r>
        <w:t>U.S.</w:t>
      </w:r>
      <w:r>
        <w:rPr>
          <w:spacing w:val="-3"/>
        </w:rPr>
        <w:t xml:space="preserve"> </w:t>
      </w:r>
      <w:r>
        <w:t>Government</w:t>
      </w:r>
      <w:r>
        <w:rPr>
          <w:spacing w:val="-3"/>
        </w:rPr>
        <w:t xml:space="preserve"> </w:t>
      </w:r>
      <w:r>
        <w:t>and</w:t>
      </w:r>
      <w:r>
        <w:rPr>
          <w:spacing w:val="-3"/>
        </w:rPr>
        <w:t xml:space="preserve"> </w:t>
      </w:r>
      <w:r>
        <w:t>$732</w:t>
      </w:r>
      <w:r>
        <w:rPr>
          <w:spacing w:val="-3"/>
        </w:rPr>
        <w:t xml:space="preserve"> </w:t>
      </w:r>
      <w:r>
        <w:t>million</w:t>
      </w:r>
      <w:r>
        <w:rPr>
          <w:spacing w:val="-3"/>
        </w:rPr>
        <w:t xml:space="preserve"> </w:t>
      </w:r>
      <w:r>
        <w:t>from</w:t>
      </w:r>
      <w:r>
        <w:rPr>
          <w:spacing w:val="-3"/>
        </w:rPr>
        <w:t xml:space="preserve"> </w:t>
      </w:r>
      <w:r>
        <w:t>other</w:t>
      </w:r>
      <w:r>
        <w:rPr>
          <w:spacing w:val="-3"/>
        </w:rPr>
        <w:t xml:space="preserve"> </w:t>
      </w:r>
      <w:r>
        <w:t xml:space="preserve">governments and commercial customers as of December 31, 2022. Substantially all accounts receivable </w:t>
      </w:r>
      <w:proofErr w:type="gramStart"/>
      <w:r>
        <w:t>at</w:t>
      </w:r>
      <w:proofErr w:type="gramEnd"/>
      <w:r>
        <w:t xml:space="preserve"> December 31, 2022 are expected</w:t>
      </w:r>
      <w:r>
        <w:rPr>
          <w:spacing w:val="40"/>
        </w:rPr>
        <w:t xml:space="preserve"> </w:t>
      </w:r>
      <w:r>
        <w:t xml:space="preserve">to be collected in 2023. We do not believe we have significant exposure to credit risk as </w:t>
      </w:r>
      <w:proofErr w:type="gramStart"/>
      <w:r>
        <w:t>the majority of</w:t>
      </w:r>
      <w:proofErr w:type="gramEnd"/>
      <w:r>
        <w:t xml:space="preserve"> our accounts receivable are due from the U.S. Government either as the ultimate customer or in connection with foreign military sales.</w:t>
      </w:r>
    </w:p>
    <w:p w14:paraId="3CA1072F" w14:textId="77777777" w:rsidR="00AE2255" w:rsidRDefault="00AE2255">
      <w:pPr>
        <w:pStyle w:val="BodyText"/>
        <w:spacing w:before="8"/>
        <w:rPr>
          <w:sz w:val="17"/>
        </w:rPr>
      </w:pPr>
    </w:p>
    <w:p w14:paraId="089D7649" w14:textId="77777777" w:rsidR="00AE2255" w:rsidRDefault="00000000">
      <w:pPr>
        <w:pStyle w:val="BodyText"/>
        <w:spacing w:line="249" w:lineRule="auto"/>
        <w:ind w:left="610" w:right="428" w:firstLine="360"/>
        <w:jc w:val="both"/>
      </w:pPr>
      <w:r>
        <w:t xml:space="preserve">Contract assets are net of progress payments and </w:t>
      </w:r>
      <w:proofErr w:type="gramStart"/>
      <w:r>
        <w:t>performance based</w:t>
      </w:r>
      <w:proofErr w:type="gramEnd"/>
      <w:r>
        <w:t xml:space="preserve"> payments from our customers as well as advance payments from non-U.S. Government customers totaling approximately $47.0 billion and $43.9 billion as of December 31,</w:t>
      </w:r>
      <w:r>
        <w:rPr>
          <w:spacing w:val="40"/>
        </w:rPr>
        <w:t xml:space="preserve"> </w:t>
      </w:r>
      <w:r>
        <w:t xml:space="preserve">2022 and 2021. Contract assets increased $1.7 billion during 2022, primarily due to the recognition of revenue related to the satisfaction or partial satisfaction of performance obligations during 2022 for which we have not yet billed our customers (primarily on the F-35 program at Aeronautics). There were no significant credit or impairment losses related to our contract assets during 2022 and 2021. We expect to bill our customers for the majority of the December 31, </w:t>
      </w:r>
      <w:proofErr w:type="gramStart"/>
      <w:r>
        <w:t>2022</w:t>
      </w:r>
      <w:proofErr w:type="gramEnd"/>
      <w:r>
        <w:t xml:space="preserve"> contract assets during </w:t>
      </w:r>
      <w:r>
        <w:rPr>
          <w:spacing w:val="-2"/>
        </w:rPr>
        <w:t>2023.</w:t>
      </w:r>
    </w:p>
    <w:p w14:paraId="1BCF8AB1" w14:textId="77777777" w:rsidR="00AE2255" w:rsidRDefault="00AE2255">
      <w:pPr>
        <w:pStyle w:val="BodyText"/>
        <w:spacing w:before="10"/>
        <w:rPr>
          <w:sz w:val="17"/>
        </w:rPr>
      </w:pPr>
    </w:p>
    <w:p w14:paraId="04085650" w14:textId="77777777" w:rsidR="00AE2255" w:rsidRDefault="00000000">
      <w:pPr>
        <w:pStyle w:val="BodyText"/>
        <w:spacing w:line="249" w:lineRule="auto"/>
        <w:ind w:left="610" w:right="429" w:firstLine="360"/>
        <w:jc w:val="both"/>
      </w:pPr>
      <w:r>
        <w:t xml:space="preserve">Contract liabilities increased $381 million during 2022, primarily due to payments received </w:t>
      </w:r>
      <w:proofErr w:type="gramStart"/>
      <w:r>
        <w:t>in excess of</w:t>
      </w:r>
      <w:proofErr w:type="gramEnd"/>
      <w:r>
        <w:t xml:space="preserve"> revenue</w:t>
      </w:r>
      <w:r>
        <w:rPr>
          <w:spacing w:val="40"/>
        </w:rPr>
        <w:t xml:space="preserve"> </w:t>
      </w:r>
      <w:r>
        <w:t>recognized</w:t>
      </w:r>
      <w:r>
        <w:rPr>
          <w:spacing w:val="40"/>
        </w:rPr>
        <w:t xml:space="preserve"> </w:t>
      </w:r>
      <w:r>
        <w:t>on</w:t>
      </w:r>
      <w:r>
        <w:rPr>
          <w:spacing w:val="40"/>
        </w:rPr>
        <w:t xml:space="preserve"> </w:t>
      </w:r>
      <w:r>
        <w:t>these</w:t>
      </w:r>
      <w:r>
        <w:rPr>
          <w:spacing w:val="40"/>
        </w:rPr>
        <w:t xml:space="preserve"> </w:t>
      </w:r>
      <w:r>
        <w:t>performance</w:t>
      </w:r>
      <w:r>
        <w:rPr>
          <w:spacing w:val="40"/>
        </w:rPr>
        <w:t xml:space="preserve"> </w:t>
      </w:r>
      <w:r>
        <w:t>obligations.</w:t>
      </w:r>
      <w:r>
        <w:rPr>
          <w:spacing w:val="40"/>
        </w:rPr>
        <w:t xml:space="preserve"> </w:t>
      </w:r>
      <w:r>
        <w:t>During</w:t>
      </w:r>
      <w:r>
        <w:rPr>
          <w:spacing w:val="40"/>
        </w:rPr>
        <w:t xml:space="preserve"> </w:t>
      </w:r>
      <w:r>
        <w:t>2022,</w:t>
      </w:r>
      <w:r>
        <w:rPr>
          <w:spacing w:val="40"/>
        </w:rPr>
        <w:t xml:space="preserve"> </w:t>
      </w:r>
      <w:r>
        <w:t>we</w:t>
      </w:r>
      <w:r>
        <w:rPr>
          <w:spacing w:val="40"/>
        </w:rPr>
        <w:t xml:space="preserve"> </w:t>
      </w:r>
      <w:r>
        <w:t>recognized</w:t>
      </w:r>
      <w:r>
        <w:rPr>
          <w:spacing w:val="40"/>
        </w:rPr>
        <w:t xml:space="preserve"> </w:t>
      </w:r>
      <w:r>
        <w:t>$4.8</w:t>
      </w:r>
      <w:r>
        <w:rPr>
          <w:spacing w:val="40"/>
        </w:rPr>
        <w:t xml:space="preserve"> </w:t>
      </w:r>
      <w:r>
        <w:t>billion</w:t>
      </w:r>
      <w:r>
        <w:rPr>
          <w:spacing w:val="40"/>
        </w:rPr>
        <w:t xml:space="preserve"> </w:t>
      </w:r>
      <w:r>
        <w:t>of</w:t>
      </w:r>
      <w:r>
        <w:rPr>
          <w:spacing w:val="40"/>
        </w:rPr>
        <w:t xml:space="preserve"> </w:t>
      </w:r>
      <w:r>
        <w:t>our</w:t>
      </w:r>
      <w:r>
        <w:rPr>
          <w:spacing w:val="40"/>
        </w:rPr>
        <w:t xml:space="preserve"> </w:t>
      </w:r>
      <w:r>
        <w:t>contract</w:t>
      </w:r>
      <w:r>
        <w:rPr>
          <w:spacing w:val="40"/>
        </w:rPr>
        <w:t xml:space="preserve"> </w:t>
      </w:r>
      <w:r>
        <w:t>liabilities</w:t>
      </w:r>
      <w:r>
        <w:rPr>
          <w:spacing w:val="40"/>
        </w:rPr>
        <w:t xml:space="preserve"> </w:t>
      </w:r>
      <w:proofErr w:type="gramStart"/>
      <w:r>
        <w:t>at</w:t>
      </w:r>
      <w:proofErr w:type="gramEnd"/>
      <w:r>
        <w:t xml:space="preserve"> December 31, 2021 as revenue. During 2021, we recognized $4.5 billion of our contract liabilities </w:t>
      </w:r>
      <w:proofErr w:type="gramStart"/>
      <w:r>
        <w:t>at</w:t>
      </w:r>
      <w:proofErr w:type="gramEnd"/>
      <w:r>
        <w:t xml:space="preserve"> December 31, 2020 as revenue. During 2020, we recognized $4.0 billion of our contract liabilities </w:t>
      </w:r>
      <w:proofErr w:type="gramStart"/>
      <w:r>
        <w:t>at</w:t>
      </w:r>
      <w:proofErr w:type="gramEnd"/>
      <w:r>
        <w:t xml:space="preserve"> December 31, 2019 as revenue.</w:t>
      </w:r>
    </w:p>
    <w:p w14:paraId="4EE3DC68" w14:textId="77777777" w:rsidR="00AE2255" w:rsidRDefault="00AE2255">
      <w:pPr>
        <w:pStyle w:val="BodyText"/>
        <w:spacing w:before="10"/>
        <w:rPr>
          <w:sz w:val="27"/>
        </w:rPr>
      </w:pPr>
    </w:p>
    <w:p w14:paraId="168B551B" w14:textId="77777777" w:rsidR="00AE2255" w:rsidRDefault="00000000">
      <w:pPr>
        <w:pStyle w:val="Heading2"/>
      </w:pPr>
      <w:bookmarkStart w:id="52" w:name="Note_5_–_Inventories"/>
      <w:bookmarkEnd w:id="52"/>
      <w:r>
        <w:t>Note</w:t>
      </w:r>
      <w:r>
        <w:rPr>
          <w:spacing w:val="-2"/>
        </w:rPr>
        <w:t xml:space="preserve"> </w:t>
      </w:r>
      <w:r>
        <w:t xml:space="preserve">5 – </w:t>
      </w:r>
      <w:r>
        <w:rPr>
          <w:spacing w:val="-2"/>
        </w:rPr>
        <w:t>Inventories</w:t>
      </w:r>
    </w:p>
    <w:p w14:paraId="7A4C9FAF" w14:textId="77777777" w:rsidR="00AE2255" w:rsidRDefault="00AE2255">
      <w:pPr>
        <w:pStyle w:val="BodyText"/>
        <w:spacing w:before="6"/>
        <w:rPr>
          <w:b/>
          <w:sz w:val="18"/>
        </w:rPr>
      </w:pPr>
    </w:p>
    <w:p w14:paraId="6896E339" w14:textId="77777777" w:rsidR="00AE2255" w:rsidRDefault="00000000">
      <w:pPr>
        <w:pStyle w:val="BodyText"/>
        <w:ind w:left="970"/>
      </w:pPr>
      <w:r>
        <w:t>Inventories</w:t>
      </w:r>
      <w:r>
        <w:rPr>
          <w:spacing w:val="-4"/>
        </w:rPr>
        <w:t xml:space="preserve"> </w:t>
      </w:r>
      <w:r>
        <w:t>consisted</w:t>
      </w:r>
      <w:r>
        <w:rPr>
          <w:spacing w:val="-3"/>
        </w:rPr>
        <w:t xml:space="preserve"> </w:t>
      </w:r>
      <w:r>
        <w:t>of</w:t>
      </w:r>
      <w:r>
        <w:rPr>
          <w:spacing w:val="-2"/>
        </w:rPr>
        <w:t xml:space="preserve"> </w:t>
      </w:r>
      <w:r>
        <w:t>the</w:t>
      </w:r>
      <w:r>
        <w:rPr>
          <w:spacing w:val="-4"/>
        </w:rPr>
        <w:t xml:space="preserve"> </w:t>
      </w:r>
      <w:r>
        <w:t>following</w:t>
      </w:r>
      <w:r>
        <w:rPr>
          <w:spacing w:val="-3"/>
        </w:rPr>
        <w:t xml:space="preserve"> </w:t>
      </w:r>
      <w:r>
        <w:t>(in</w:t>
      </w:r>
      <w:r>
        <w:rPr>
          <w:spacing w:val="-2"/>
        </w:rPr>
        <w:t xml:space="preserve"> millions):</w:t>
      </w:r>
    </w:p>
    <w:p w14:paraId="7F97FC36" w14:textId="77777777" w:rsidR="00AE2255" w:rsidRDefault="00AE2255">
      <w:pPr>
        <w:pStyle w:val="BodyText"/>
        <w:rPr>
          <w:sz w:val="8"/>
        </w:rPr>
      </w:pPr>
    </w:p>
    <w:tbl>
      <w:tblPr>
        <w:tblW w:w="0" w:type="auto"/>
        <w:tblInd w:w="617" w:type="dxa"/>
        <w:tblLayout w:type="fixed"/>
        <w:tblCellMar>
          <w:left w:w="0" w:type="dxa"/>
          <w:right w:w="0" w:type="dxa"/>
        </w:tblCellMar>
        <w:tblLook w:val="01E0" w:firstRow="1" w:lastRow="1" w:firstColumn="1" w:lastColumn="1" w:noHBand="0" w:noVBand="0"/>
      </w:tblPr>
      <w:tblGrid>
        <w:gridCol w:w="5429"/>
        <w:gridCol w:w="3864"/>
        <w:gridCol w:w="938"/>
      </w:tblGrid>
      <w:tr w:rsidR="00AE2255" w14:paraId="629F80CE" w14:textId="77777777">
        <w:trPr>
          <w:trHeight w:val="241"/>
        </w:trPr>
        <w:tc>
          <w:tcPr>
            <w:tcW w:w="5429" w:type="dxa"/>
            <w:tcBorders>
              <w:bottom w:val="single" w:sz="8" w:space="0" w:color="auto"/>
            </w:tcBorders>
          </w:tcPr>
          <w:p w14:paraId="04B3A326" w14:textId="77777777" w:rsidR="00AE2255" w:rsidRDefault="00AE2255">
            <w:pPr>
              <w:pStyle w:val="TableParagraph"/>
              <w:spacing w:before="0"/>
              <w:jc w:val="left"/>
              <w:rPr>
                <w:sz w:val="16"/>
              </w:rPr>
            </w:pPr>
          </w:p>
        </w:tc>
        <w:tc>
          <w:tcPr>
            <w:tcW w:w="3864" w:type="dxa"/>
            <w:tcBorders>
              <w:bottom w:val="single" w:sz="8" w:space="0" w:color="auto"/>
            </w:tcBorders>
          </w:tcPr>
          <w:p w14:paraId="7A86A245" w14:textId="77777777" w:rsidR="00AE2255" w:rsidRDefault="00000000">
            <w:pPr>
              <w:pStyle w:val="TableParagraph"/>
              <w:spacing w:before="0" w:line="221" w:lineRule="exact"/>
              <w:ind w:right="88"/>
              <w:rPr>
                <w:b/>
                <w:sz w:val="20"/>
              </w:rPr>
            </w:pPr>
            <w:r>
              <w:rPr>
                <w:b/>
                <w:spacing w:val="-4"/>
                <w:sz w:val="20"/>
              </w:rPr>
              <w:t>2022</w:t>
            </w:r>
          </w:p>
        </w:tc>
        <w:tc>
          <w:tcPr>
            <w:tcW w:w="938" w:type="dxa"/>
            <w:tcBorders>
              <w:bottom w:val="single" w:sz="8" w:space="0" w:color="auto"/>
            </w:tcBorders>
          </w:tcPr>
          <w:p w14:paraId="1A0C3D7C" w14:textId="77777777" w:rsidR="00AE2255" w:rsidRDefault="00000000">
            <w:pPr>
              <w:pStyle w:val="TableParagraph"/>
              <w:spacing w:before="0" w:line="221" w:lineRule="exact"/>
              <w:ind w:right="51"/>
              <w:rPr>
                <w:b/>
                <w:sz w:val="20"/>
              </w:rPr>
            </w:pPr>
            <w:r>
              <w:rPr>
                <w:b/>
                <w:spacing w:val="-4"/>
                <w:sz w:val="20"/>
              </w:rPr>
              <w:t>2021</w:t>
            </w:r>
          </w:p>
        </w:tc>
      </w:tr>
      <w:tr w:rsidR="00AE2255" w14:paraId="17188660" w14:textId="77777777">
        <w:trPr>
          <w:trHeight w:val="275"/>
        </w:trPr>
        <w:tc>
          <w:tcPr>
            <w:tcW w:w="5429" w:type="dxa"/>
            <w:tcBorders>
              <w:top w:val="single" w:sz="8" w:space="0" w:color="CCEDFF"/>
            </w:tcBorders>
            <w:shd w:val="clear" w:color="auto" w:fill="CCEDFF"/>
          </w:tcPr>
          <w:p w14:paraId="1C1D58F9" w14:textId="77777777" w:rsidR="00AE2255" w:rsidRDefault="00000000">
            <w:pPr>
              <w:pStyle w:val="TableParagraph"/>
              <w:spacing w:before="15"/>
              <w:ind w:left="52"/>
              <w:jc w:val="left"/>
              <w:rPr>
                <w:sz w:val="20"/>
              </w:rPr>
            </w:pPr>
            <w:r>
              <w:rPr>
                <w:sz w:val="20"/>
              </w:rPr>
              <w:t>Materials,</w:t>
            </w:r>
            <w:r>
              <w:rPr>
                <w:spacing w:val="-5"/>
                <w:sz w:val="20"/>
              </w:rPr>
              <w:t xml:space="preserve"> </w:t>
            </w:r>
            <w:proofErr w:type="gramStart"/>
            <w:r>
              <w:rPr>
                <w:sz w:val="20"/>
              </w:rPr>
              <w:t>spares</w:t>
            </w:r>
            <w:proofErr w:type="gramEnd"/>
            <w:r>
              <w:rPr>
                <w:spacing w:val="-4"/>
                <w:sz w:val="20"/>
              </w:rPr>
              <w:t xml:space="preserve"> </w:t>
            </w:r>
            <w:r>
              <w:rPr>
                <w:sz w:val="20"/>
              </w:rPr>
              <w:t>and</w:t>
            </w:r>
            <w:r>
              <w:rPr>
                <w:spacing w:val="-4"/>
                <w:sz w:val="20"/>
              </w:rPr>
              <w:t xml:space="preserve"> </w:t>
            </w:r>
            <w:r>
              <w:rPr>
                <w:spacing w:val="-2"/>
                <w:sz w:val="20"/>
              </w:rPr>
              <w:t>supplies</w:t>
            </w:r>
          </w:p>
        </w:tc>
        <w:tc>
          <w:tcPr>
            <w:tcW w:w="3864" w:type="dxa"/>
            <w:tcBorders>
              <w:top w:val="single" w:sz="8" w:space="0" w:color="CCEDFF"/>
            </w:tcBorders>
            <w:shd w:val="clear" w:color="auto" w:fill="CCEDFF"/>
          </w:tcPr>
          <w:p w14:paraId="2CEAFEC8" w14:textId="77777777" w:rsidR="00AE2255" w:rsidRDefault="00000000">
            <w:pPr>
              <w:pStyle w:val="TableParagraph"/>
              <w:tabs>
                <w:tab w:val="left" w:pos="465"/>
              </w:tabs>
              <w:spacing w:before="15"/>
              <w:ind w:right="117"/>
              <w:rPr>
                <w:b/>
                <w:sz w:val="20"/>
              </w:rPr>
            </w:pPr>
            <w:r>
              <w:rPr>
                <w:b/>
                <w:spacing w:val="-10"/>
                <w:sz w:val="20"/>
              </w:rPr>
              <w:t>$</w:t>
            </w:r>
            <w:r>
              <w:rPr>
                <w:b/>
                <w:sz w:val="20"/>
              </w:rPr>
              <w:tab/>
            </w:r>
            <w:r>
              <w:rPr>
                <w:b/>
                <w:spacing w:val="-5"/>
                <w:sz w:val="20"/>
              </w:rPr>
              <w:t>599</w:t>
            </w:r>
          </w:p>
        </w:tc>
        <w:tc>
          <w:tcPr>
            <w:tcW w:w="938" w:type="dxa"/>
            <w:tcBorders>
              <w:top w:val="single" w:sz="8" w:space="0" w:color="CCEDFF"/>
            </w:tcBorders>
            <w:shd w:val="clear" w:color="auto" w:fill="CCEDFF"/>
          </w:tcPr>
          <w:p w14:paraId="4E3D0C95" w14:textId="77777777" w:rsidR="00AE2255" w:rsidRDefault="00000000">
            <w:pPr>
              <w:pStyle w:val="TableParagraph"/>
              <w:tabs>
                <w:tab w:val="left" w:pos="465"/>
              </w:tabs>
              <w:spacing w:before="15"/>
              <w:ind w:right="80"/>
              <w:rPr>
                <w:sz w:val="20"/>
              </w:rPr>
            </w:pPr>
            <w:r>
              <w:rPr>
                <w:spacing w:val="-10"/>
                <w:sz w:val="20"/>
              </w:rPr>
              <w:t>$</w:t>
            </w:r>
            <w:r>
              <w:rPr>
                <w:sz w:val="20"/>
              </w:rPr>
              <w:tab/>
            </w:r>
            <w:r>
              <w:rPr>
                <w:spacing w:val="-5"/>
                <w:sz w:val="20"/>
              </w:rPr>
              <w:t>624</w:t>
            </w:r>
          </w:p>
        </w:tc>
      </w:tr>
      <w:tr w:rsidR="00AE2255" w14:paraId="17B75875" w14:textId="77777777">
        <w:trPr>
          <w:trHeight w:val="285"/>
        </w:trPr>
        <w:tc>
          <w:tcPr>
            <w:tcW w:w="5429" w:type="dxa"/>
          </w:tcPr>
          <w:p w14:paraId="22E7C6FA" w14:textId="77777777" w:rsidR="00AE2255" w:rsidRDefault="00000000">
            <w:pPr>
              <w:pStyle w:val="TableParagraph"/>
              <w:spacing w:before="27"/>
              <w:ind w:left="52"/>
              <w:jc w:val="left"/>
              <w:rPr>
                <w:sz w:val="20"/>
              </w:rPr>
            </w:pPr>
            <w:r>
              <w:rPr>
                <w:spacing w:val="-2"/>
                <w:sz w:val="20"/>
              </w:rPr>
              <w:t>Work-in-process</w:t>
            </w:r>
          </w:p>
        </w:tc>
        <w:tc>
          <w:tcPr>
            <w:tcW w:w="3864" w:type="dxa"/>
          </w:tcPr>
          <w:p w14:paraId="30C91DD8" w14:textId="77777777" w:rsidR="00AE2255" w:rsidRDefault="00000000">
            <w:pPr>
              <w:pStyle w:val="TableParagraph"/>
              <w:ind w:right="117"/>
              <w:rPr>
                <w:b/>
                <w:sz w:val="20"/>
              </w:rPr>
            </w:pPr>
            <w:r>
              <w:rPr>
                <w:b/>
                <w:spacing w:val="-2"/>
                <w:sz w:val="20"/>
              </w:rPr>
              <w:t>2,297</w:t>
            </w:r>
          </w:p>
        </w:tc>
        <w:tc>
          <w:tcPr>
            <w:tcW w:w="938" w:type="dxa"/>
          </w:tcPr>
          <w:p w14:paraId="2E8AA3B6" w14:textId="77777777" w:rsidR="00AE2255" w:rsidRDefault="00000000">
            <w:pPr>
              <w:pStyle w:val="TableParagraph"/>
              <w:ind w:right="80"/>
              <w:rPr>
                <w:sz w:val="20"/>
              </w:rPr>
            </w:pPr>
            <w:r>
              <w:rPr>
                <w:spacing w:val="-2"/>
                <w:sz w:val="20"/>
              </w:rPr>
              <w:t>2,163</w:t>
            </w:r>
          </w:p>
        </w:tc>
      </w:tr>
      <w:tr w:rsidR="00AE2255" w14:paraId="16B292F9" w14:textId="77777777">
        <w:trPr>
          <w:trHeight w:val="275"/>
        </w:trPr>
        <w:tc>
          <w:tcPr>
            <w:tcW w:w="5429" w:type="dxa"/>
            <w:tcBorders>
              <w:bottom w:val="single" w:sz="8" w:space="0" w:color="CCEDFF"/>
            </w:tcBorders>
            <w:shd w:val="clear" w:color="auto" w:fill="CCEDFF"/>
          </w:tcPr>
          <w:p w14:paraId="6FC94416" w14:textId="77777777" w:rsidR="00AE2255" w:rsidRDefault="00000000">
            <w:pPr>
              <w:pStyle w:val="TableParagraph"/>
              <w:spacing w:before="27" w:line="228" w:lineRule="exact"/>
              <w:ind w:left="52"/>
              <w:jc w:val="left"/>
              <w:rPr>
                <w:sz w:val="20"/>
              </w:rPr>
            </w:pPr>
            <w:r>
              <w:rPr>
                <w:sz w:val="20"/>
              </w:rPr>
              <w:t>Finished</w:t>
            </w:r>
            <w:r>
              <w:rPr>
                <w:spacing w:val="-5"/>
                <w:sz w:val="20"/>
              </w:rPr>
              <w:t xml:space="preserve"> </w:t>
            </w:r>
            <w:r>
              <w:rPr>
                <w:spacing w:val="-2"/>
                <w:sz w:val="20"/>
              </w:rPr>
              <w:t>goods</w:t>
            </w:r>
          </w:p>
        </w:tc>
        <w:tc>
          <w:tcPr>
            <w:tcW w:w="3864" w:type="dxa"/>
            <w:tcBorders>
              <w:bottom w:val="single" w:sz="8" w:space="0" w:color="CCEDFF"/>
            </w:tcBorders>
            <w:shd w:val="clear" w:color="auto" w:fill="CCEDFF"/>
          </w:tcPr>
          <w:p w14:paraId="1745FA0E" w14:textId="77777777" w:rsidR="00AE2255" w:rsidRDefault="00000000">
            <w:pPr>
              <w:pStyle w:val="TableParagraph"/>
              <w:spacing w:line="230" w:lineRule="exact"/>
              <w:ind w:right="117"/>
              <w:rPr>
                <w:b/>
                <w:sz w:val="20"/>
              </w:rPr>
            </w:pPr>
            <w:r>
              <w:rPr>
                <w:b/>
                <w:spacing w:val="-5"/>
                <w:sz w:val="20"/>
              </w:rPr>
              <w:t>192</w:t>
            </w:r>
          </w:p>
        </w:tc>
        <w:tc>
          <w:tcPr>
            <w:tcW w:w="938" w:type="dxa"/>
            <w:tcBorders>
              <w:bottom w:val="single" w:sz="8" w:space="0" w:color="CCEDFF"/>
            </w:tcBorders>
            <w:shd w:val="clear" w:color="auto" w:fill="CCEDFF"/>
          </w:tcPr>
          <w:p w14:paraId="72969A83" w14:textId="77777777" w:rsidR="00AE2255" w:rsidRDefault="00000000">
            <w:pPr>
              <w:pStyle w:val="TableParagraph"/>
              <w:spacing w:line="230" w:lineRule="exact"/>
              <w:ind w:right="80"/>
              <w:rPr>
                <w:sz w:val="20"/>
              </w:rPr>
            </w:pPr>
            <w:r>
              <w:rPr>
                <w:spacing w:val="-5"/>
                <w:sz w:val="20"/>
              </w:rPr>
              <w:t>194</w:t>
            </w:r>
          </w:p>
        </w:tc>
      </w:tr>
      <w:tr w:rsidR="00AE2255" w14:paraId="1F8C6372" w14:textId="77777777">
        <w:trPr>
          <w:trHeight w:val="252"/>
        </w:trPr>
        <w:tc>
          <w:tcPr>
            <w:tcW w:w="5429" w:type="dxa"/>
            <w:tcBorders>
              <w:top w:val="single" w:sz="8" w:space="0" w:color="auto"/>
              <w:bottom w:val="single" w:sz="18" w:space="0" w:color="000000"/>
            </w:tcBorders>
          </w:tcPr>
          <w:p w14:paraId="5BBD05D7" w14:textId="77777777" w:rsidR="00AE2255" w:rsidRDefault="00000000">
            <w:pPr>
              <w:pStyle w:val="TableParagraph"/>
              <w:spacing w:before="17" w:line="216" w:lineRule="exact"/>
              <w:ind w:left="52"/>
              <w:jc w:val="left"/>
              <w:rPr>
                <w:sz w:val="20"/>
              </w:rPr>
            </w:pPr>
            <w:r>
              <w:rPr>
                <w:sz w:val="20"/>
              </w:rPr>
              <w:t>Total</w:t>
            </w:r>
            <w:r>
              <w:rPr>
                <w:spacing w:val="-4"/>
                <w:sz w:val="20"/>
              </w:rPr>
              <w:t xml:space="preserve"> </w:t>
            </w:r>
            <w:r>
              <w:rPr>
                <w:spacing w:val="-2"/>
                <w:sz w:val="20"/>
              </w:rPr>
              <w:t>inventories</w:t>
            </w:r>
          </w:p>
        </w:tc>
        <w:tc>
          <w:tcPr>
            <w:tcW w:w="3864" w:type="dxa"/>
            <w:tcBorders>
              <w:top w:val="single" w:sz="8" w:space="0" w:color="auto"/>
              <w:bottom w:val="single" w:sz="18" w:space="0" w:color="000000"/>
            </w:tcBorders>
          </w:tcPr>
          <w:p w14:paraId="7D95E976" w14:textId="77777777" w:rsidR="00AE2255" w:rsidRDefault="00000000">
            <w:pPr>
              <w:pStyle w:val="TableParagraph"/>
              <w:tabs>
                <w:tab w:val="left" w:pos="315"/>
              </w:tabs>
              <w:spacing w:before="15" w:line="217" w:lineRule="exact"/>
              <w:ind w:right="117"/>
              <w:rPr>
                <w:b/>
                <w:sz w:val="20"/>
              </w:rPr>
            </w:pPr>
            <w:r>
              <w:rPr>
                <w:b/>
                <w:spacing w:val="-10"/>
                <w:sz w:val="20"/>
              </w:rPr>
              <w:t>$</w:t>
            </w:r>
            <w:r>
              <w:rPr>
                <w:b/>
                <w:sz w:val="20"/>
              </w:rPr>
              <w:tab/>
            </w:r>
            <w:r>
              <w:rPr>
                <w:b/>
                <w:spacing w:val="-2"/>
                <w:sz w:val="20"/>
              </w:rPr>
              <w:t>3,088</w:t>
            </w:r>
          </w:p>
        </w:tc>
        <w:tc>
          <w:tcPr>
            <w:tcW w:w="938" w:type="dxa"/>
            <w:tcBorders>
              <w:top w:val="single" w:sz="8" w:space="0" w:color="auto"/>
              <w:bottom w:val="single" w:sz="18" w:space="0" w:color="000000"/>
            </w:tcBorders>
          </w:tcPr>
          <w:p w14:paraId="7B2A4455" w14:textId="77777777" w:rsidR="00AE2255" w:rsidRDefault="00000000">
            <w:pPr>
              <w:pStyle w:val="TableParagraph"/>
              <w:tabs>
                <w:tab w:val="left" w:pos="315"/>
              </w:tabs>
              <w:spacing w:before="15" w:line="217" w:lineRule="exact"/>
              <w:ind w:right="80"/>
              <w:rPr>
                <w:sz w:val="20"/>
              </w:rPr>
            </w:pPr>
            <w:r>
              <w:rPr>
                <w:spacing w:val="-10"/>
                <w:sz w:val="20"/>
              </w:rPr>
              <w:t>$</w:t>
            </w:r>
            <w:r>
              <w:rPr>
                <w:sz w:val="20"/>
              </w:rPr>
              <w:tab/>
            </w:r>
            <w:r>
              <w:rPr>
                <w:spacing w:val="-2"/>
                <w:sz w:val="20"/>
              </w:rPr>
              <w:t>2,981</w:t>
            </w:r>
          </w:p>
        </w:tc>
      </w:tr>
    </w:tbl>
    <w:p w14:paraId="67CFDBE9" w14:textId="77777777" w:rsidR="00AE2255" w:rsidRDefault="00AE2255">
      <w:pPr>
        <w:pStyle w:val="BodyText"/>
      </w:pPr>
    </w:p>
    <w:p w14:paraId="2C346F22" w14:textId="77777777" w:rsidR="00AE2255" w:rsidRDefault="00000000">
      <w:pPr>
        <w:pStyle w:val="BodyText"/>
        <w:spacing w:line="249" w:lineRule="auto"/>
        <w:ind w:left="610" w:right="429" w:firstLine="450"/>
        <w:jc w:val="both"/>
      </w:pPr>
      <w:r>
        <w:t>Costs</w:t>
      </w:r>
      <w:r>
        <w:rPr>
          <w:spacing w:val="-1"/>
        </w:rPr>
        <w:t xml:space="preserve"> </w:t>
      </w:r>
      <w:r>
        <w:t>incurred</w:t>
      </w:r>
      <w:r>
        <w:rPr>
          <w:spacing w:val="-1"/>
        </w:rPr>
        <w:t xml:space="preserve"> </w:t>
      </w:r>
      <w:r>
        <w:t>to</w:t>
      </w:r>
      <w:r>
        <w:rPr>
          <w:spacing w:val="-1"/>
        </w:rPr>
        <w:t xml:space="preserve"> </w:t>
      </w:r>
      <w:r>
        <w:t>fulfill</w:t>
      </w:r>
      <w:r>
        <w:rPr>
          <w:spacing w:val="-1"/>
        </w:rPr>
        <w:t xml:space="preserve"> </w:t>
      </w:r>
      <w:r>
        <w:t>a</w:t>
      </w:r>
      <w:r>
        <w:rPr>
          <w:spacing w:val="-1"/>
        </w:rPr>
        <w:t xml:space="preserve"> </w:t>
      </w:r>
      <w:r>
        <w:t>contract</w:t>
      </w:r>
      <w:r>
        <w:rPr>
          <w:spacing w:val="-1"/>
        </w:rPr>
        <w:t xml:space="preserve"> </w:t>
      </w:r>
      <w:r>
        <w:t>in</w:t>
      </w:r>
      <w:r>
        <w:rPr>
          <w:spacing w:val="-1"/>
        </w:rPr>
        <w:t xml:space="preserve"> </w:t>
      </w:r>
      <w:r>
        <w:t>advance</w:t>
      </w:r>
      <w:r>
        <w:rPr>
          <w:spacing w:val="-1"/>
        </w:rPr>
        <w:t xml:space="preserve"> </w:t>
      </w:r>
      <w:r>
        <w:t>of</w:t>
      </w:r>
      <w:r>
        <w:rPr>
          <w:spacing w:val="-1"/>
        </w:rPr>
        <w:t xml:space="preserve"> </w:t>
      </w:r>
      <w:r>
        <w:t>the</w:t>
      </w:r>
      <w:r>
        <w:rPr>
          <w:spacing w:val="-1"/>
        </w:rPr>
        <w:t xml:space="preserve"> </w:t>
      </w:r>
      <w:r>
        <w:t>contract</w:t>
      </w:r>
      <w:r>
        <w:rPr>
          <w:spacing w:val="-1"/>
        </w:rPr>
        <w:t xml:space="preserve"> </w:t>
      </w:r>
      <w:r>
        <w:t>being</w:t>
      </w:r>
      <w:r>
        <w:rPr>
          <w:spacing w:val="-1"/>
        </w:rPr>
        <w:t xml:space="preserve"> </w:t>
      </w:r>
      <w:r>
        <w:t>awarded</w:t>
      </w:r>
      <w:r>
        <w:rPr>
          <w:spacing w:val="-1"/>
        </w:rPr>
        <w:t xml:space="preserve"> </w:t>
      </w:r>
      <w:r>
        <w:t>are</w:t>
      </w:r>
      <w:r>
        <w:rPr>
          <w:spacing w:val="-1"/>
        </w:rPr>
        <w:t xml:space="preserve"> </w:t>
      </w:r>
      <w:r>
        <w:t>included</w:t>
      </w:r>
      <w:r>
        <w:rPr>
          <w:spacing w:val="-1"/>
        </w:rPr>
        <w:t xml:space="preserve"> </w:t>
      </w:r>
      <w:r>
        <w:t>in</w:t>
      </w:r>
      <w:r>
        <w:rPr>
          <w:spacing w:val="-1"/>
        </w:rPr>
        <w:t xml:space="preserve"> </w:t>
      </w:r>
      <w:r>
        <w:t>inventories</w:t>
      </w:r>
      <w:r>
        <w:rPr>
          <w:spacing w:val="-1"/>
        </w:rPr>
        <w:t xml:space="preserve"> </w:t>
      </w:r>
      <w:r>
        <w:t>as</w:t>
      </w:r>
      <w:r>
        <w:rPr>
          <w:spacing w:val="-1"/>
        </w:rPr>
        <w:t xml:space="preserve"> </w:t>
      </w:r>
      <w:r>
        <w:t>work-in-process if we determine that those costs relate directly to a contract or to an anticipated contract that we can specifically identify and determine that contract award is probable, the costs generate or enhance resources that will be used in satisfying performance obligations, and the costs are recoverable (referred to as pre-contract costs). Pre-contract costs that are initially capitalized in inventory</w:t>
      </w:r>
      <w:r>
        <w:rPr>
          <w:spacing w:val="-2"/>
        </w:rPr>
        <w:t xml:space="preserve"> </w:t>
      </w:r>
      <w:r>
        <w:t>are</w:t>
      </w:r>
      <w:r>
        <w:rPr>
          <w:spacing w:val="-2"/>
        </w:rPr>
        <w:t xml:space="preserve"> </w:t>
      </w:r>
      <w:r>
        <w:t>generally</w:t>
      </w:r>
      <w:r>
        <w:rPr>
          <w:spacing w:val="-2"/>
        </w:rPr>
        <w:t xml:space="preserve"> </w:t>
      </w:r>
      <w:r>
        <w:t>recognized</w:t>
      </w:r>
      <w:r>
        <w:rPr>
          <w:spacing w:val="-2"/>
        </w:rPr>
        <w:t xml:space="preserve"> </w:t>
      </w:r>
      <w:r>
        <w:t>as</w:t>
      </w:r>
      <w:r>
        <w:rPr>
          <w:spacing w:val="-2"/>
        </w:rPr>
        <w:t xml:space="preserve"> </w:t>
      </w:r>
      <w:r>
        <w:t>cost</w:t>
      </w:r>
      <w:r>
        <w:rPr>
          <w:spacing w:val="-2"/>
        </w:rPr>
        <w:t xml:space="preserve"> </w:t>
      </w:r>
      <w:r>
        <w:t>of</w:t>
      </w:r>
      <w:r>
        <w:rPr>
          <w:spacing w:val="-2"/>
        </w:rPr>
        <w:t xml:space="preserve"> </w:t>
      </w:r>
      <w:r>
        <w:t>sales</w:t>
      </w:r>
      <w:r>
        <w:rPr>
          <w:spacing w:val="-2"/>
        </w:rPr>
        <w:t xml:space="preserve"> </w:t>
      </w:r>
      <w:r>
        <w:t>consistent</w:t>
      </w:r>
      <w:r>
        <w:rPr>
          <w:spacing w:val="-2"/>
        </w:rPr>
        <w:t xml:space="preserve"> </w:t>
      </w:r>
      <w:r>
        <w:t>with</w:t>
      </w:r>
      <w:r>
        <w:rPr>
          <w:spacing w:val="-2"/>
        </w:rPr>
        <w:t xml:space="preserve"> </w:t>
      </w:r>
      <w:r>
        <w:t>the</w:t>
      </w:r>
      <w:r>
        <w:rPr>
          <w:spacing w:val="-2"/>
        </w:rPr>
        <w:t xml:space="preserve"> </w:t>
      </w:r>
      <w:r>
        <w:t>transfer</w:t>
      </w:r>
      <w:r>
        <w:rPr>
          <w:spacing w:val="-2"/>
        </w:rPr>
        <w:t xml:space="preserve"> </w:t>
      </w:r>
      <w:r>
        <w:t>of</w:t>
      </w:r>
      <w:r>
        <w:rPr>
          <w:spacing w:val="-2"/>
        </w:rPr>
        <w:t xml:space="preserve"> </w:t>
      </w:r>
      <w:r>
        <w:t>products</w:t>
      </w:r>
      <w:r>
        <w:rPr>
          <w:spacing w:val="-2"/>
        </w:rPr>
        <w:t xml:space="preserve"> </w:t>
      </w:r>
      <w:r>
        <w:t>and</w:t>
      </w:r>
      <w:r>
        <w:rPr>
          <w:spacing w:val="-2"/>
        </w:rPr>
        <w:t xml:space="preserve"> </w:t>
      </w:r>
      <w:r>
        <w:t>services</w:t>
      </w:r>
      <w:r>
        <w:rPr>
          <w:spacing w:val="-2"/>
        </w:rPr>
        <w:t xml:space="preserve"> </w:t>
      </w:r>
      <w:r>
        <w:t>to</w:t>
      </w:r>
      <w:r>
        <w:rPr>
          <w:spacing w:val="-2"/>
        </w:rPr>
        <w:t xml:space="preserve"> </w:t>
      </w:r>
      <w:r>
        <w:t>the</w:t>
      </w:r>
      <w:r>
        <w:rPr>
          <w:spacing w:val="-2"/>
        </w:rPr>
        <w:t xml:space="preserve"> </w:t>
      </w:r>
      <w:r>
        <w:t>customer</w:t>
      </w:r>
      <w:r>
        <w:rPr>
          <w:spacing w:val="-2"/>
        </w:rPr>
        <w:t xml:space="preserve"> </w:t>
      </w:r>
      <w:r>
        <w:t>upon</w:t>
      </w:r>
      <w:r>
        <w:rPr>
          <w:spacing w:val="-2"/>
        </w:rPr>
        <w:t xml:space="preserve"> </w:t>
      </w:r>
      <w:r>
        <w:t>the</w:t>
      </w:r>
    </w:p>
    <w:p w14:paraId="72983DFF" w14:textId="77777777" w:rsidR="00AE2255" w:rsidRDefault="00AE2255">
      <w:pPr>
        <w:spacing w:line="249" w:lineRule="auto"/>
        <w:jc w:val="both"/>
        <w:sectPr w:rsidR="00AE2255">
          <w:pgSz w:w="12240" w:h="15840"/>
          <w:pgMar w:top="440" w:right="560" w:bottom="720" w:left="380" w:header="230" w:footer="531" w:gutter="0"/>
          <w:cols w:space="720"/>
        </w:sectPr>
      </w:pPr>
    </w:p>
    <w:p w14:paraId="558F46E3" w14:textId="77777777" w:rsidR="00AE2255" w:rsidRDefault="00AE2255">
      <w:pPr>
        <w:pStyle w:val="BodyText"/>
        <w:spacing w:before="10"/>
        <w:rPr>
          <w:sz w:val="22"/>
        </w:rPr>
      </w:pPr>
    </w:p>
    <w:p w14:paraId="749F57FD" w14:textId="77777777" w:rsidR="00AE2255" w:rsidRDefault="00000000">
      <w:pPr>
        <w:pStyle w:val="BodyText"/>
        <w:spacing w:before="92" w:line="249" w:lineRule="auto"/>
        <w:ind w:left="610"/>
      </w:pPr>
      <w:r>
        <w:t>receipt</w:t>
      </w:r>
      <w:r>
        <w:rPr>
          <w:spacing w:val="39"/>
        </w:rPr>
        <w:t xml:space="preserve"> </w:t>
      </w:r>
      <w:r>
        <w:t>of</w:t>
      </w:r>
      <w:r>
        <w:rPr>
          <w:spacing w:val="40"/>
        </w:rPr>
        <w:t xml:space="preserve"> </w:t>
      </w:r>
      <w:r>
        <w:t>the</w:t>
      </w:r>
      <w:r>
        <w:rPr>
          <w:spacing w:val="39"/>
        </w:rPr>
        <w:t xml:space="preserve"> </w:t>
      </w:r>
      <w:r>
        <w:t>anticipated</w:t>
      </w:r>
      <w:r>
        <w:rPr>
          <w:spacing w:val="40"/>
        </w:rPr>
        <w:t xml:space="preserve"> </w:t>
      </w:r>
      <w:r>
        <w:t>contract.</w:t>
      </w:r>
      <w:r>
        <w:rPr>
          <w:spacing w:val="40"/>
        </w:rPr>
        <w:t xml:space="preserve"> </w:t>
      </w:r>
      <w:r>
        <w:t>All</w:t>
      </w:r>
      <w:r>
        <w:rPr>
          <w:spacing w:val="39"/>
        </w:rPr>
        <w:t xml:space="preserve"> </w:t>
      </w:r>
      <w:r>
        <w:t>other</w:t>
      </w:r>
      <w:r>
        <w:rPr>
          <w:spacing w:val="40"/>
        </w:rPr>
        <w:t xml:space="preserve"> </w:t>
      </w:r>
      <w:r>
        <w:t>pre-contract</w:t>
      </w:r>
      <w:r>
        <w:rPr>
          <w:spacing w:val="39"/>
        </w:rPr>
        <w:t xml:space="preserve"> </w:t>
      </w:r>
      <w:r>
        <w:t>costs,</w:t>
      </w:r>
      <w:r>
        <w:rPr>
          <w:spacing w:val="40"/>
        </w:rPr>
        <w:t xml:space="preserve"> </w:t>
      </w:r>
      <w:r>
        <w:t>including</w:t>
      </w:r>
      <w:r>
        <w:rPr>
          <w:spacing w:val="40"/>
        </w:rPr>
        <w:t xml:space="preserve"> </w:t>
      </w:r>
      <w:r>
        <w:t>start-up</w:t>
      </w:r>
      <w:r>
        <w:rPr>
          <w:spacing w:val="40"/>
        </w:rPr>
        <w:t xml:space="preserve"> </w:t>
      </w:r>
      <w:r>
        <w:t>costs,</w:t>
      </w:r>
      <w:r>
        <w:rPr>
          <w:spacing w:val="40"/>
        </w:rPr>
        <w:t xml:space="preserve"> </w:t>
      </w:r>
      <w:r>
        <w:t>are</w:t>
      </w:r>
      <w:r>
        <w:rPr>
          <w:spacing w:val="39"/>
        </w:rPr>
        <w:t xml:space="preserve"> </w:t>
      </w:r>
      <w:r>
        <w:t>expensed</w:t>
      </w:r>
      <w:r>
        <w:rPr>
          <w:spacing w:val="40"/>
        </w:rPr>
        <w:t xml:space="preserve"> </w:t>
      </w:r>
      <w:r>
        <w:t>as</w:t>
      </w:r>
      <w:r>
        <w:rPr>
          <w:spacing w:val="39"/>
        </w:rPr>
        <w:t xml:space="preserve"> </w:t>
      </w:r>
      <w:r>
        <w:t>incurred.</w:t>
      </w:r>
      <w:r>
        <w:rPr>
          <w:spacing w:val="40"/>
        </w:rPr>
        <w:t xml:space="preserve"> </w:t>
      </w:r>
      <w:r>
        <w:t>As</w:t>
      </w:r>
      <w:r>
        <w:rPr>
          <w:spacing w:val="39"/>
        </w:rPr>
        <w:t xml:space="preserve"> </w:t>
      </w:r>
      <w:r>
        <w:t xml:space="preserve">of December 31, </w:t>
      </w:r>
      <w:proofErr w:type="gramStart"/>
      <w:r>
        <w:t>2022</w:t>
      </w:r>
      <w:proofErr w:type="gramEnd"/>
      <w:r>
        <w:t xml:space="preserve"> and 2021, $791 million and $634 million of pre-contract costs were included in inventories.</w:t>
      </w:r>
    </w:p>
    <w:p w14:paraId="1FFF89D6" w14:textId="77777777" w:rsidR="00AE2255" w:rsidRDefault="00AE2255">
      <w:pPr>
        <w:pStyle w:val="BodyText"/>
        <w:spacing w:before="8"/>
        <w:rPr>
          <w:sz w:val="27"/>
        </w:rPr>
      </w:pPr>
    </w:p>
    <w:p w14:paraId="29579336" w14:textId="77777777" w:rsidR="00AE2255" w:rsidRDefault="00000000">
      <w:pPr>
        <w:pStyle w:val="Heading2"/>
      </w:pPr>
      <w:bookmarkStart w:id="53" w:name="Note_6_–_Property,_Plant_and_Equipment,_"/>
      <w:bookmarkEnd w:id="53"/>
      <w:r>
        <w:t>Note</w:t>
      </w:r>
      <w:r>
        <w:rPr>
          <w:spacing w:val="-4"/>
        </w:rPr>
        <w:t xml:space="preserve"> </w:t>
      </w:r>
      <w:r>
        <w:t>6</w:t>
      </w:r>
      <w:r>
        <w:rPr>
          <w:spacing w:val="-2"/>
        </w:rPr>
        <w:t xml:space="preserve"> </w:t>
      </w:r>
      <w:r>
        <w:t>–</w:t>
      </w:r>
      <w:r>
        <w:rPr>
          <w:spacing w:val="-3"/>
        </w:rPr>
        <w:t xml:space="preserve"> </w:t>
      </w:r>
      <w:r>
        <w:t>Property,</w:t>
      </w:r>
      <w:r>
        <w:rPr>
          <w:spacing w:val="-2"/>
        </w:rPr>
        <w:t xml:space="preserve"> </w:t>
      </w:r>
      <w:r>
        <w:t>Plant</w:t>
      </w:r>
      <w:r>
        <w:rPr>
          <w:spacing w:val="-3"/>
        </w:rPr>
        <w:t xml:space="preserve"> </w:t>
      </w:r>
      <w:r>
        <w:t>and</w:t>
      </w:r>
      <w:r>
        <w:rPr>
          <w:spacing w:val="-3"/>
        </w:rPr>
        <w:t xml:space="preserve"> </w:t>
      </w:r>
      <w:r>
        <w:t>Equipment,</w:t>
      </w:r>
      <w:r>
        <w:rPr>
          <w:spacing w:val="-2"/>
        </w:rPr>
        <w:t xml:space="preserve"> </w:t>
      </w:r>
      <w:r>
        <w:rPr>
          <w:spacing w:val="-5"/>
        </w:rPr>
        <w:t>net</w:t>
      </w:r>
    </w:p>
    <w:p w14:paraId="1FB74880" w14:textId="77777777" w:rsidR="00AE2255" w:rsidRDefault="00AE2255">
      <w:pPr>
        <w:pStyle w:val="BodyText"/>
        <w:spacing w:before="6"/>
        <w:rPr>
          <w:b/>
          <w:sz w:val="18"/>
        </w:rPr>
      </w:pPr>
    </w:p>
    <w:p w14:paraId="55650DB9" w14:textId="77777777" w:rsidR="00AE2255" w:rsidRDefault="00000000">
      <w:pPr>
        <w:pStyle w:val="BodyText"/>
        <w:ind w:left="970"/>
      </w:pPr>
      <w:r>
        <w:t>Property,</w:t>
      </w:r>
      <w:r>
        <w:rPr>
          <w:spacing w:val="-3"/>
        </w:rPr>
        <w:t xml:space="preserve"> </w:t>
      </w:r>
      <w:r>
        <w:t>plant</w:t>
      </w:r>
      <w:r>
        <w:rPr>
          <w:spacing w:val="-3"/>
        </w:rPr>
        <w:t xml:space="preserve"> </w:t>
      </w:r>
      <w:r>
        <w:t>and</w:t>
      </w:r>
      <w:r>
        <w:rPr>
          <w:spacing w:val="-3"/>
        </w:rPr>
        <w:t xml:space="preserve"> </w:t>
      </w:r>
      <w:r>
        <w:t>equipment,</w:t>
      </w:r>
      <w:r>
        <w:rPr>
          <w:spacing w:val="-2"/>
        </w:rPr>
        <w:t xml:space="preserve"> </w:t>
      </w:r>
      <w:r>
        <w:t>net</w:t>
      </w:r>
      <w:r>
        <w:rPr>
          <w:spacing w:val="-3"/>
        </w:rPr>
        <w:t xml:space="preserve"> </w:t>
      </w:r>
      <w:r>
        <w:t>consisted</w:t>
      </w:r>
      <w:r>
        <w:rPr>
          <w:spacing w:val="-3"/>
        </w:rPr>
        <w:t xml:space="preserve"> </w:t>
      </w:r>
      <w:r>
        <w:t>of</w:t>
      </w:r>
      <w:r>
        <w:rPr>
          <w:spacing w:val="-2"/>
        </w:rPr>
        <w:t xml:space="preserve"> </w:t>
      </w:r>
      <w:r>
        <w:t>the</w:t>
      </w:r>
      <w:r>
        <w:rPr>
          <w:spacing w:val="-4"/>
        </w:rPr>
        <w:t xml:space="preserve"> </w:t>
      </w:r>
      <w:r>
        <w:t>following</w:t>
      </w:r>
      <w:r>
        <w:rPr>
          <w:spacing w:val="-2"/>
        </w:rPr>
        <w:t xml:space="preserve"> </w:t>
      </w:r>
      <w:r>
        <w:t>(in</w:t>
      </w:r>
      <w:r>
        <w:rPr>
          <w:spacing w:val="-2"/>
        </w:rPr>
        <w:t xml:space="preserve"> millions):</w:t>
      </w:r>
    </w:p>
    <w:p w14:paraId="20CC4707" w14:textId="77777777" w:rsidR="00AE2255" w:rsidRDefault="00AE2255">
      <w:pPr>
        <w:pStyle w:val="BodyText"/>
        <w:spacing w:before="4"/>
        <w:rPr>
          <w:sz w:val="5"/>
        </w:rPr>
      </w:pPr>
    </w:p>
    <w:tbl>
      <w:tblPr>
        <w:tblW w:w="0" w:type="auto"/>
        <w:tblInd w:w="617" w:type="dxa"/>
        <w:tblLayout w:type="fixed"/>
        <w:tblCellMar>
          <w:left w:w="0" w:type="dxa"/>
          <w:right w:w="0" w:type="dxa"/>
        </w:tblCellMar>
        <w:tblLook w:val="01E0" w:firstRow="1" w:lastRow="1" w:firstColumn="1" w:lastColumn="1" w:noHBand="0" w:noVBand="0"/>
      </w:tblPr>
      <w:tblGrid>
        <w:gridCol w:w="5767"/>
        <w:gridCol w:w="3476"/>
        <w:gridCol w:w="1016"/>
      </w:tblGrid>
      <w:tr w:rsidR="00AE2255" w14:paraId="051EDAC7" w14:textId="77777777">
        <w:trPr>
          <w:trHeight w:val="241"/>
        </w:trPr>
        <w:tc>
          <w:tcPr>
            <w:tcW w:w="5767" w:type="dxa"/>
            <w:tcBorders>
              <w:bottom w:val="single" w:sz="8" w:space="0" w:color="000000"/>
            </w:tcBorders>
          </w:tcPr>
          <w:p w14:paraId="57CDA2B2" w14:textId="77777777" w:rsidR="00AE2255" w:rsidRDefault="00AE2255">
            <w:pPr>
              <w:pStyle w:val="TableParagraph"/>
              <w:spacing w:before="0"/>
              <w:jc w:val="left"/>
              <w:rPr>
                <w:sz w:val="16"/>
              </w:rPr>
            </w:pPr>
          </w:p>
        </w:tc>
        <w:tc>
          <w:tcPr>
            <w:tcW w:w="3476" w:type="dxa"/>
            <w:tcBorders>
              <w:bottom w:val="single" w:sz="8" w:space="0" w:color="000000"/>
            </w:tcBorders>
          </w:tcPr>
          <w:p w14:paraId="06E767A0" w14:textId="77777777" w:rsidR="00AE2255" w:rsidRDefault="00000000">
            <w:pPr>
              <w:pStyle w:val="TableParagraph"/>
              <w:spacing w:before="0" w:line="221" w:lineRule="exact"/>
              <w:ind w:right="98"/>
              <w:rPr>
                <w:b/>
                <w:sz w:val="20"/>
              </w:rPr>
            </w:pPr>
            <w:r>
              <w:rPr>
                <w:b/>
                <w:spacing w:val="-4"/>
                <w:sz w:val="20"/>
              </w:rPr>
              <w:t>2022</w:t>
            </w:r>
          </w:p>
        </w:tc>
        <w:tc>
          <w:tcPr>
            <w:tcW w:w="1016" w:type="dxa"/>
            <w:tcBorders>
              <w:bottom w:val="single" w:sz="8" w:space="0" w:color="000000"/>
            </w:tcBorders>
          </w:tcPr>
          <w:p w14:paraId="767F1A3F" w14:textId="77777777" w:rsidR="00AE2255" w:rsidRDefault="00000000">
            <w:pPr>
              <w:pStyle w:val="TableParagraph"/>
              <w:spacing w:before="0" w:line="221" w:lineRule="exact"/>
              <w:ind w:right="49"/>
              <w:rPr>
                <w:b/>
                <w:sz w:val="20"/>
              </w:rPr>
            </w:pPr>
            <w:r>
              <w:rPr>
                <w:b/>
                <w:spacing w:val="-4"/>
                <w:sz w:val="20"/>
              </w:rPr>
              <w:t>2021</w:t>
            </w:r>
          </w:p>
        </w:tc>
      </w:tr>
      <w:tr w:rsidR="00AE2255" w14:paraId="728C9384" w14:textId="77777777">
        <w:trPr>
          <w:trHeight w:val="275"/>
        </w:trPr>
        <w:tc>
          <w:tcPr>
            <w:tcW w:w="5767" w:type="dxa"/>
            <w:tcBorders>
              <w:top w:val="single" w:sz="8" w:space="0" w:color="000000"/>
            </w:tcBorders>
            <w:shd w:val="clear" w:color="auto" w:fill="CCEDFF"/>
          </w:tcPr>
          <w:p w14:paraId="0BBBA963" w14:textId="77777777" w:rsidR="00AE2255" w:rsidRDefault="00000000">
            <w:pPr>
              <w:pStyle w:val="TableParagraph"/>
              <w:spacing w:before="17"/>
              <w:ind w:left="52"/>
              <w:jc w:val="left"/>
              <w:rPr>
                <w:sz w:val="20"/>
              </w:rPr>
            </w:pPr>
            <w:r>
              <w:rPr>
                <w:spacing w:val="-4"/>
                <w:sz w:val="20"/>
              </w:rPr>
              <w:t>Land</w:t>
            </w:r>
          </w:p>
        </w:tc>
        <w:tc>
          <w:tcPr>
            <w:tcW w:w="3476" w:type="dxa"/>
            <w:tcBorders>
              <w:top w:val="single" w:sz="8" w:space="0" w:color="000000"/>
            </w:tcBorders>
            <w:shd w:val="clear" w:color="auto" w:fill="CCEDFF"/>
          </w:tcPr>
          <w:p w14:paraId="395DEB12" w14:textId="77777777" w:rsidR="00AE2255" w:rsidRDefault="00000000">
            <w:pPr>
              <w:pStyle w:val="TableParagraph"/>
              <w:tabs>
                <w:tab w:val="left" w:pos="555"/>
              </w:tabs>
              <w:spacing w:before="15"/>
              <w:ind w:right="127"/>
              <w:rPr>
                <w:b/>
                <w:sz w:val="20"/>
              </w:rPr>
            </w:pPr>
            <w:r>
              <w:rPr>
                <w:b/>
                <w:spacing w:val="-10"/>
                <w:sz w:val="20"/>
              </w:rPr>
              <w:t>$</w:t>
            </w:r>
            <w:r>
              <w:rPr>
                <w:b/>
                <w:sz w:val="20"/>
              </w:rPr>
              <w:tab/>
            </w:r>
            <w:r>
              <w:rPr>
                <w:b/>
                <w:spacing w:val="-5"/>
                <w:sz w:val="20"/>
              </w:rPr>
              <w:t>147</w:t>
            </w:r>
          </w:p>
        </w:tc>
        <w:tc>
          <w:tcPr>
            <w:tcW w:w="1016" w:type="dxa"/>
            <w:tcBorders>
              <w:top w:val="single" w:sz="8" w:space="0" w:color="000000"/>
            </w:tcBorders>
            <w:shd w:val="clear" w:color="auto" w:fill="CCEDFF"/>
          </w:tcPr>
          <w:p w14:paraId="630FDC8A" w14:textId="77777777" w:rsidR="00AE2255" w:rsidRDefault="00000000">
            <w:pPr>
              <w:pStyle w:val="TableParagraph"/>
              <w:tabs>
                <w:tab w:val="left" w:pos="570"/>
              </w:tabs>
              <w:spacing w:before="15"/>
              <w:ind w:right="78"/>
              <w:rPr>
                <w:sz w:val="20"/>
              </w:rPr>
            </w:pPr>
            <w:r>
              <w:rPr>
                <w:spacing w:val="-10"/>
                <w:sz w:val="20"/>
              </w:rPr>
              <w:t>$</w:t>
            </w:r>
            <w:r>
              <w:rPr>
                <w:sz w:val="20"/>
              </w:rPr>
              <w:tab/>
            </w:r>
            <w:r>
              <w:rPr>
                <w:spacing w:val="-5"/>
                <w:sz w:val="20"/>
              </w:rPr>
              <w:t>144</w:t>
            </w:r>
          </w:p>
        </w:tc>
      </w:tr>
      <w:tr w:rsidR="00AE2255" w14:paraId="5010C438" w14:textId="77777777">
        <w:trPr>
          <w:trHeight w:val="285"/>
        </w:trPr>
        <w:tc>
          <w:tcPr>
            <w:tcW w:w="5767" w:type="dxa"/>
          </w:tcPr>
          <w:p w14:paraId="160412B0" w14:textId="77777777" w:rsidR="00AE2255" w:rsidRDefault="00000000">
            <w:pPr>
              <w:pStyle w:val="TableParagraph"/>
              <w:spacing w:before="27"/>
              <w:ind w:left="52"/>
              <w:jc w:val="left"/>
              <w:rPr>
                <w:sz w:val="20"/>
              </w:rPr>
            </w:pPr>
            <w:r>
              <w:rPr>
                <w:spacing w:val="-2"/>
                <w:sz w:val="20"/>
              </w:rPr>
              <w:t>Buildings</w:t>
            </w:r>
          </w:p>
        </w:tc>
        <w:tc>
          <w:tcPr>
            <w:tcW w:w="3476" w:type="dxa"/>
          </w:tcPr>
          <w:p w14:paraId="354D946C" w14:textId="77777777" w:rsidR="00AE2255" w:rsidRDefault="00000000">
            <w:pPr>
              <w:pStyle w:val="TableParagraph"/>
              <w:ind w:right="127"/>
              <w:rPr>
                <w:b/>
                <w:sz w:val="20"/>
              </w:rPr>
            </w:pPr>
            <w:r>
              <w:rPr>
                <w:b/>
                <w:spacing w:val="-2"/>
                <w:sz w:val="20"/>
              </w:rPr>
              <w:t>8,555</w:t>
            </w:r>
          </w:p>
        </w:tc>
        <w:tc>
          <w:tcPr>
            <w:tcW w:w="1016" w:type="dxa"/>
          </w:tcPr>
          <w:p w14:paraId="7C43CCB2" w14:textId="77777777" w:rsidR="00AE2255" w:rsidRDefault="00000000">
            <w:pPr>
              <w:pStyle w:val="TableParagraph"/>
              <w:ind w:right="78"/>
              <w:rPr>
                <w:sz w:val="20"/>
              </w:rPr>
            </w:pPr>
            <w:r>
              <w:rPr>
                <w:spacing w:val="-2"/>
                <w:sz w:val="20"/>
              </w:rPr>
              <w:t>8,003</w:t>
            </w:r>
          </w:p>
        </w:tc>
      </w:tr>
      <w:tr w:rsidR="00AE2255" w14:paraId="01F1C545" w14:textId="77777777">
        <w:trPr>
          <w:trHeight w:val="285"/>
        </w:trPr>
        <w:tc>
          <w:tcPr>
            <w:tcW w:w="5767" w:type="dxa"/>
            <w:shd w:val="clear" w:color="auto" w:fill="CCEDFF"/>
          </w:tcPr>
          <w:p w14:paraId="2E44866A" w14:textId="77777777" w:rsidR="00AE2255" w:rsidRDefault="00000000">
            <w:pPr>
              <w:pStyle w:val="TableParagraph"/>
              <w:spacing w:before="27"/>
              <w:ind w:left="52"/>
              <w:jc w:val="left"/>
              <w:rPr>
                <w:sz w:val="20"/>
              </w:rPr>
            </w:pPr>
            <w:r>
              <w:rPr>
                <w:sz w:val="20"/>
              </w:rPr>
              <w:t>Machinery</w:t>
            </w:r>
            <w:r>
              <w:rPr>
                <w:spacing w:val="-3"/>
                <w:sz w:val="20"/>
              </w:rPr>
              <w:t xml:space="preserve"> </w:t>
            </w:r>
            <w:r>
              <w:rPr>
                <w:sz w:val="20"/>
              </w:rPr>
              <w:t>and</w:t>
            </w:r>
            <w:r>
              <w:rPr>
                <w:spacing w:val="-3"/>
                <w:sz w:val="20"/>
              </w:rPr>
              <w:t xml:space="preserve"> </w:t>
            </w:r>
            <w:r>
              <w:rPr>
                <w:spacing w:val="-2"/>
                <w:sz w:val="20"/>
              </w:rPr>
              <w:t>equipment</w:t>
            </w:r>
          </w:p>
        </w:tc>
        <w:tc>
          <w:tcPr>
            <w:tcW w:w="3476" w:type="dxa"/>
            <w:shd w:val="clear" w:color="auto" w:fill="CCEDFF"/>
          </w:tcPr>
          <w:p w14:paraId="15E563D5" w14:textId="77777777" w:rsidR="00AE2255" w:rsidRDefault="00000000">
            <w:pPr>
              <w:pStyle w:val="TableParagraph"/>
              <w:ind w:right="127"/>
              <w:rPr>
                <w:b/>
                <w:sz w:val="20"/>
              </w:rPr>
            </w:pPr>
            <w:r>
              <w:rPr>
                <w:b/>
                <w:spacing w:val="-2"/>
                <w:sz w:val="20"/>
              </w:rPr>
              <w:t>9,400</w:t>
            </w:r>
          </w:p>
        </w:tc>
        <w:tc>
          <w:tcPr>
            <w:tcW w:w="1016" w:type="dxa"/>
            <w:shd w:val="clear" w:color="auto" w:fill="CCEDFF"/>
          </w:tcPr>
          <w:p w14:paraId="1C339542" w14:textId="77777777" w:rsidR="00AE2255" w:rsidRDefault="00000000">
            <w:pPr>
              <w:pStyle w:val="TableParagraph"/>
              <w:ind w:right="78"/>
              <w:rPr>
                <w:sz w:val="20"/>
              </w:rPr>
            </w:pPr>
            <w:r>
              <w:rPr>
                <w:spacing w:val="-2"/>
                <w:sz w:val="20"/>
              </w:rPr>
              <w:t>9,053</w:t>
            </w:r>
          </w:p>
        </w:tc>
      </w:tr>
      <w:tr w:rsidR="00AE2255" w14:paraId="1144E5CD" w14:textId="77777777">
        <w:trPr>
          <w:trHeight w:val="275"/>
        </w:trPr>
        <w:tc>
          <w:tcPr>
            <w:tcW w:w="5767" w:type="dxa"/>
            <w:tcBorders>
              <w:bottom w:val="single" w:sz="8" w:space="0" w:color="000000"/>
            </w:tcBorders>
          </w:tcPr>
          <w:p w14:paraId="332995B3" w14:textId="77777777" w:rsidR="00AE2255" w:rsidRDefault="00000000">
            <w:pPr>
              <w:pStyle w:val="TableParagraph"/>
              <w:spacing w:before="27" w:line="228" w:lineRule="exact"/>
              <w:ind w:left="52"/>
              <w:jc w:val="left"/>
              <w:rPr>
                <w:sz w:val="20"/>
              </w:rPr>
            </w:pPr>
            <w:r>
              <w:rPr>
                <w:sz w:val="20"/>
              </w:rPr>
              <w:t>Construction</w:t>
            </w:r>
            <w:r>
              <w:rPr>
                <w:spacing w:val="-4"/>
                <w:sz w:val="20"/>
              </w:rPr>
              <w:t xml:space="preserve"> </w:t>
            </w:r>
            <w:r>
              <w:rPr>
                <w:sz w:val="20"/>
              </w:rPr>
              <w:t>in</w:t>
            </w:r>
            <w:r>
              <w:rPr>
                <w:spacing w:val="-3"/>
                <w:sz w:val="20"/>
              </w:rPr>
              <w:t xml:space="preserve"> </w:t>
            </w:r>
            <w:r>
              <w:rPr>
                <w:spacing w:val="-2"/>
                <w:sz w:val="20"/>
              </w:rPr>
              <w:t>progress</w:t>
            </w:r>
          </w:p>
        </w:tc>
        <w:tc>
          <w:tcPr>
            <w:tcW w:w="3476" w:type="dxa"/>
            <w:tcBorders>
              <w:bottom w:val="single" w:sz="8" w:space="0" w:color="000000"/>
            </w:tcBorders>
          </w:tcPr>
          <w:p w14:paraId="5D60BF42" w14:textId="77777777" w:rsidR="00AE2255" w:rsidRDefault="00000000">
            <w:pPr>
              <w:pStyle w:val="TableParagraph"/>
              <w:spacing w:line="230" w:lineRule="exact"/>
              <w:ind w:right="127"/>
              <w:rPr>
                <w:b/>
                <w:sz w:val="20"/>
              </w:rPr>
            </w:pPr>
            <w:r>
              <w:rPr>
                <w:b/>
                <w:spacing w:val="-2"/>
                <w:sz w:val="20"/>
              </w:rPr>
              <w:t>2,036</w:t>
            </w:r>
          </w:p>
        </w:tc>
        <w:tc>
          <w:tcPr>
            <w:tcW w:w="1016" w:type="dxa"/>
            <w:tcBorders>
              <w:bottom w:val="single" w:sz="8" w:space="0" w:color="000000"/>
            </w:tcBorders>
          </w:tcPr>
          <w:p w14:paraId="63961F8A" w14:textId="77777777" w:rsidR="00AE2255" w:rsidRDefault="00000000">
            <w:pPr>
              <w:pStyle w:val="TableParagraph"/>
              <w:spacing w:line="230" w:lineRule="exact"/>
              <w:ind w:right="78"/>
              <w:rPr>
                <w:sz w:val="20"/>
              </w:rPr>
            </w:pPr>
            <w:r>
              <w:rPr>
                <w:spacing w:val="-2"/>
                <w:sz w:val="20"/>
              </w:rPr>
              <w:t>1,900</w:t>
            </w:r>
          </w:p>
        </w:tc>
      </w:tr>
      <w:tr w:rsidR="00AE2255" w14:paraId="5FB56115" w14:textId="77777777">
        <w:trPr>
          <w:trHeight w:val="265"/>
        </w:trPr>
        <w:tc>
          <w:tcPr>
            <w:tcW w:w="5767" w:type="dxa"/>
            <w:tcBorders>
              <w:top w:val="single" w:sz="8" w:space="0" w:color="000000"/>
              <w:bottom w:val="single" w:sz="8" w:space="0" w:color="000000"/>
            </w:tcBorders>
            <w:shd w:val="clear" w:color="auto" w:fill="CCEDFF"/>
          </w:tcPr>
          <w:p w14:paraId="1B3095D5" w14:textId="77777777" w:rsidR="00AE2255" w:rsidRDefault="00000000">
            <w:pPr>
              <w:pStyle w:val="TableParagraph"/>
              <w:spacing w:before="17" w:line="228" w:lineRule="exact"/>
              <w:ind w:left="52"/>
              <w:jc w:val="left"/>
              <w:rPr>
                <w:sz w:val="20"/>
              </w:rPr>
            </w:pPr>
            <w:r>
              <w:rPr>
                <w:sz w:val="20"/>
              </w:rPr>
              <w:t>Total</w:t>
            </w:r>
            <w:r>
              <w:rPr>
                <w:spacing w:val="-3"/>
                <w:sz w:val="20"/>
              </w:rPr>
              <w:t xml:space="preserve"> </w:t>
            </w:r>
            <w:r>
              <w:rPr>
                <w:sz w:val="20"/>
              </w:rPr>
              <w:t>property,</w:t>
            </w:r>
            <w:r>
              <w:rPr>
                <w:spacing w:val="-2"/>
                <w:sz w:val="20"/>
              </w:rPr>
              <w:t xml:space="preserve"> </w:t>
            </w:r>
            <w:proofErr w:type="gramStart"/>
            <w:r>
              <w:rPr>
                <w:sz w:val="20"/>
              </w:rPr>
              <w:t>plant</w:t>
            </w:r>
            <w:proofErr w:type="gramEnd"/>
            <w:r>
              <w:rPr>
                <w:spacing w:val="-3"/>
                <w:sz w:val="20"/>
              </w:rPr>
              <w:t xml:space="preserve"> </w:t>
            </w:r>
            <w:r>
              <w:rPr>
                <w:sz w:val="20"/>
              </w:rPr>
              <w:t>and</w:t>
            </w:r>
            <w:r>
              <w:rPr>
                <w:spacing w:val="-2"/>
                <w:sz w:val="20"/>
              </w:rPr>
              <w:t xml:space="preserve"> equipment</w:t>
            </w:r>
          </w:p>
        </w:tc>
        <w:tc>
          <w:tcPr>
            <w:tcW w:w="3476" w:type="dxa"/>
            <w:tcBorders>
              <w:top w:val="single" w:sz="8" w:space="0" w:color="000000"/>
              <w:bottom w:val="single" w:sz="8" w:space="0" w:color="000000"/>
            </w:tcBorders>
            <w:shd w:val="clear" w:color="auto" w:fill="CCEDFF"/>
          </w:tcPr>
          <w:p w14:paraId="31F0D43C" w14:textId="77777777" w:rsidR="00AE2255" w:rsidRDefault="00000000">
            <w:pPr>
              <w:pStyle w:val="TableParagraph"/>
              <w:spacing w:before="15" w:line="230" w:lineRule="exact"/>
              <w:ind w:right="127"/>
              <w:rPr>
                <w:b/>
                <w:sz w:val="20"/>
              </w:rPr>
            </w:pPr>
            <w:r>
              <w:rPr>
                <w:b/>
                <w:spacing w:val="-2"/>
                <w:sz w:val="20"/>
              </w:rPr>
              <w:t>20,138</w:t>
            </w:r>
          </w:p>
        </w:tc>
        <w:tc>
          <w:tcPr>
            <w:tcW w:w="1016" w:type="dxa"/>
            <w:tcBorders>
              <w:top w:val="single" w:sz="8" w:space="0" w:color="000000"/>
              <w:bottom w:val="single" w:sz="8" w:space="0" w:color="000000"/>
            </w:tcBorders>
            <w:shd w:val="clear" w:color="auto" w:fill="CCEDFF"/>
          </w:tcPr>
          <w:p w14:paraId="7F0AE30D" w14:textId="77777777" w:rsidR="00AE2255" w:rsidRDefault="00000000">
            <w:pPr>
              <w:pStyle w:val="TableParagraph"/>
              <w:spacing w:before="15" w:line="230" w:lineRule="exact"/>
              <w:ind w:right="78"/>
              <w:rPr>
                <w:sz w:val="20"/>
              </w:rPr>
            </w:pPr>
            <w:r>
              <w:rPr>
                <w:spacing w:val="-2"/>
                <w:sz w:val="20"/>
              </w:rPr>
              <w:t>19,100</w:t>
            </w:r>
          </w:p>
        </w:tc>
      </w:tr>
      <w:tr w:rsidR="00AE2255" w14:paraId="22572ED9" w14:textId="77777777">
        <w:trPr>
          <w:trHeight w:val="265"/>
        </w:trPr>
        <w:tc>
          <w:tcPr>
            <w:tcW w:w="5767" w:type="dxa"/>
            <w:tcBorders>
              <w:top w:val="single" w:sz="8" w:space="0" w:color="000000"/>
              <w:bottom w:val="single" w:sz="8" w:space="0" w:color="000000"/>
            </w:tcBorders>
          </w:tcPr>
          <w:p w14:paraId="4C5A4A1B" w14:textId="77777777" w:rsidR="00AE2255" w:rsidRDefault="00000000">
            <w:pPr>
              <w:pStyle w:val="TableParagraph"/>
              <w:spacing w:before="17" w:line="228" w:lineRule="exact"/>
              <w:ind w:left="412"/>
              <w:jc w:val="left"/>
              <w:rPr>
                <w:sz w:val="20"/>
              </w:rPr>
            </w:pPr>
            <w:r>
              <w:rPr>
                <w:sz w:val="20"/>
              </w:rPr>
              <w:t>Less:</w:t>
            </w:r>
            <w:r>
              <w:rPr>
                <w:spacing w:val="-7"/>
                <w:sz w:val="20"/>
              </w:rPr>
              <w:t xml:space="preserve"> </w:t>
            </w:r>
            <w:r>
              <w:rPr>
                <w:sz w:val="20"/>
              </w:rPr>
              <w:t>accumulated</w:t>
            </w:r>
            <w:r>
              <w:rPr>
                <w:spacing w:val="-6"/>
                <w:sz w:val="20"/>
              </w:rPr>
              <w:t xml:space="preserve"> </w:t>
            </w:r>
            <w:r>
              <w:rPr>
                <w:spacing w:val="-2"/>
                <w:sz w:val="20"/>
              </w:rPr>
              <w:t>depreciation</w:t>
            </w:r>
          </w:p>
        </w:tc>
        <w:tc>
          <w:tcPr>
            <w:tcW w:w="3476" w:type="dxa"/>
            <w:tcBorders>
              <w:top w:val="single" w:sz="8" w:space="0" w:color="000000"/>
              <w:bottom w:val="single" w:sz="8" w:space="0" w:color="000000"/>
            </w:tcBorders>
          </w:tcPr>
          <w:p w14:paraId="3ED9C1BB" w14:textId="77777777" w:rsidR="00AE2255" w:rsidRDefault="00000000">
            <w:pPr>
              <w:pStyle w:val="TableParagraph"/>
              <w:spacing w:before="15" w:line="230" w:lineRule="exact"/>
              <w:ind w:right="62"/>
              <w:rPr>
                <w:b/>
                <w:sz w:val="20"/>
              </w:rPr>
            </w:pPr>
            <w:r>
              <w:rPr>
                <w:b/>
                <w:spacing w:val="-2"/>
                <w:sz w:val="20"/>
              </w:rPr>
              <w:t>(12,163)</w:t>
            </w:r>
          </w:p>
        </w:tc>
        <w:tc>
          <w:tcPr>
            <w:tcW w:w="1016" w:type="dxa"/>
            <w:tcBorders>
              <w:top w:val="single" w:sz="8" w:space="0" w:color="000000"/>
              <w:bottom w:val="single" w:sz="8" w:space="0" w:color="000000"/>
            </w:tcBorders>
          </w:tcPr>
          <w:p w14:paraId="42E9E732" w14:textId="77777777" w:rsidR="00AE2255" w:rsidRDefault="00000000">
            <w:pPr>
              <w:pStyle w:val="TableParagraph"/>
              <w:spacing w:before="15" w:line="230" w:lineRule="exact"/>
              <w:ind w:right="13"/>
              <w:rPr>
                <w:sz w:val="20"/>
              </w:rPr>
            </w:pPr>
            <w:r>
              <w:rPr>
                <w:spacing w:val="-2"/>
                <w:sz w:val="20"/>
              </w:rPr>
              <w:t>(11,503)</w:t>
            </w:r>
          </w:p>
        </w:tc>
      </w:tr>
      <w:tr w:rsidR="00AE2255" w14:paraId="47251B41" w14:textId="77777777">
        <w:trPr>
          <w:trHeight w:val="252"/>
        </w:trPr>
        <w:tc>
          <w:tcPr>
            <w:tcW w:w="5767" w:type="dxa"/>
            <w:tcBorders>
              <w:top w:val="single" w:sz="8" w:space="0" w:color="000000"/>
              <w:bottom w:val="single" w:sz="18" w:space="0" w:color="000000"/>
            </w:tcBorders>
            <w:shd w:val="clear" w:color="auto" w:fill="CCEDFF"/>
          </w:tcPr>
          <w:p w14:paraId="05AD11D4" w14:textId="77777777" w:rsidR="00AE2255" w:rsidRDefault="00000000">
            <w:pPr>
              <w:pStyle w:val="TableParagraph"/>
              <w:spacing w:before="17" w:line="216" w:lineRule="exact"/>
              <w:ind w:left="52"/>
              <w:jc w:val="left"/>
              <w:rPr>
                <w:sz w:val="20"/>
              </w:rPr>
            </w:pPr>
            <w:r>
              <w:rPr>
                <w:sz w:val="20"/>
              </w:rPr>
              <w:t>Total</w:t>
            </w:r>
            <w:r>
              <w:rPr>
                <w:spacing w:val="-4"/>
                <w:sz w:val="20"/>
              </w:rPr>
              <w:t xml:space="preserve"> </w:t>
            </w:r>
            <w:r>
              <w:rPr>
                <w:sz w:val="20"/>
              </w:rPr>
              <w:t>property,</w:t>
            </w:r>
            <w:r>
              <w:rPr>
                <w:spacing w:val="-3"/>
                <w:sz w:val="20"/>
              </w:rPr>
              <w:t xml:space="preserve"> </w:t>
            </w:r>
            <w:r>
              <w:rPr>
                <w:sz w:val="20"/>
              </w:rPr>
              <w:t>plant</w:t>
            </w:r>
            <w:r>
              <w:rPr>
                <w:spacing w:val="-3"/>
                <w:sz w:val="20"/>
              </w:rPr>
              <w:t xml:space="preserve"> </w:t>
            </w:r>
            <w:r>
              <w:rPr>
                <w:sz w:val="20"/>
              </w:rPr>
              <w:t>and</w:t>
            </w:r>
            <w:r>
              <w:rPr>
                <w:spacing w:val="-3"/>
                <w:sz w:val="20"/>
              </w:rPr>
              <w:t xml:space="preserve"> </w:t>
            </w:r>
            <w:r>
              <w:rPr>
                <w:sz w:val="20"/>
              </w:rPr>
              <w:t>equipment,</w:t>
            </w:r>
            <w:r>
              <w:rPr>
                <w:spacing w:val="-2"/>
                <w:sz w:val="20"/>
              </w:rPr>
              <w:t xml:space="preserve"> </w:t>
            </w:r>
            <w:r>
              <w:rPr>
                <w:spacing w:val="-5"/>
                <w:sz w:val="20"/>
              </w:rPr>
              <w:t>net</w:t>
            </w:r>
          </w:p>
        </w:tc>
        <w:tc>
          <w:tcPr>
            <w:tcW w:w="3476" w:type="dxa"/>
            <w:tcBorders>
              <w:top w:val="single" w:sz="8" w:space="0" w:color="000000"/>
              <w:bottom w:val="single" w:sz="18" w:space="0" w:color="000000"/>
            </w:tcBorders>
            <w:shd w:val="clear" w:color="auto" w:fill="CCEDFF"/>
          </w:tcPr>
          <w:p w14:paraId="5B91A112" w14:textId="77777777" w:rsidR="00AE2255" w:rsidRDefault="00000000">
            <w:pPr>
              <w:pStyle w:val="TableParagraph"/>
              <w:tabs>
                <w:tab w:val="left" w:pos="405"/>
              </w:tabs>
              <w:spacing w:before="15" w:line="217" w:lineRule="exact"/>
              <w:ind w:right="127"/>
              <w:rPr>
                <w:b/>
                <w:sz w:val="20"/>
              </w:rPr>
            </w:pPr>
            <w:r>
              <w:rPr>
                <w:b/>
                <w:spacing w:val="-10"/>
                <w:sz w:val="20"/>
              </w:rPr>
              <w:t>$</w:t>
            </w:r>
            <w:r>
              <w:rPr>
                <w:b/>
                <w:sz w:val="20"/>
              </w:rPr>
              <w:tab/>
            </w:r>
            <w:r>
              <w:rPr>
                <w:b/>
                <w:spacing w:val="-2"/>
                <w:sz w:val="20"/>
              </w:rPr>
              <w:t>7,975</w:t>
            </w:r>
          </w:p>
        </w:tc>
        <w:tc>
          <w:tcPr>
            <w:tcW w:w="1016" w:type="dxa"/>
            <w:tcBorders>
              <w:top w:val="single" w:sz="8" w:space="0" w:color="000000"/>
              <w:bottom w:val="single" w:sz="18" w:space="0" w:color="000000"/>
            </w:tcBorders>
            <w:shd w:val="clear" w:color="auto" w:fill="CCEDFF"/>
          </w:tcPr>
          <w:p w14:paraId="7CDD0C12" w14:textId="77777777" w:rsidR="00AE2255" w:rsidRDefault="00000000">
            <w:pPr>
              <w:pStyle w:val="TableParagraph"/>
              <w:tabs>
                <w:tab w:val="left" w:pos="420"/>
              </w:tabs>
              <w:spacing w:before="15" w:line="217" w:lineRule="exact"/>
              <w:ind w:right="78"/>
              <w:rPr>
                <w:sz w:val="20"/>
              </w:rPr>
            </w:pPr>
            <w:r>
              <w:rPr>
                <w:spacing w:val="-10"/>
                <w:sz w:val="20"/>
              </w:rPr>
              <w:t>$</w:t>
            </w:r>
            <w:r>
              <w:rPr>
                <w:sz w:val="20"/>
              </w:rPr>
              <w:tab/>
            </w:r>
            <w:r>
              <w:rPr>
                <w:spacing w:val="-2"/>
                <w:sz w:val="20"/>
              </w:rPr>
              <w:t>7,597</w:t>
            </w:r>
          </w:p>
        </w:tc>
      </w:tr>
    </w:tbl>
    <w:p w14:paraId="75936B3F" w14:textId="77777777" w:rsidR="00AE2255" w:rsidRDefault="00AE2255">
      <w:pPr>
        <w:pStyle w:val="BodyText"/>
      </w:pPr>
    </w:p>
    <w:p w14:paraId="33863989" w14:textId="77777777" w:rsidR="00AE2255" w:rsidRDefault="00000000">
      <w:pPr>
        <w:pStyle w:val="BodyText"/>
        <w:spacing w:line="249" w:lineRule="auto"/>
        <w:ind w:left="610" w:right="430" w:firstLine="360"/>
      </w:pPr>
      <w:r>
        <w:t xml:space="preserve">Depreciation expense related to plant and equipment was $903 million in 2022, $904 million in 2021 and $853 million in </w:t>
      </w:r>
      <w:r>
        <w:rPr>
          <w:spacing w:val="-2"/>
        </w:rPr>
        <w:t>2020.</w:t>
      </w:r>
    </w:p>
    <w:p w14:paraId="3F5A1B1B" w14:textId="77777777" w:rsidR="00AE2255" w:rsidRDefault="00AE2255">
      <w:pPr>
        <w:pStyle w:val="BodyText"/>
        <w:spacing w:before="9"/>
      </w:pPr>
    </w:p>
    <w:p w14:paraId="7ECEA895" w14:textId="77777777" w:rsidR="00AE2255" w:rsidRDefault="00000000">
      <w:pPr>
        <w:pStyle w:val="Heading2"/>
      </w:pPr>
      <w:bookmarkStart w:id="54" w:name="Note_7_–_Goodwill_and_Acquired_Intangibl"/>
      <w:bookmarkEnd w:id="54"/>
      <w:r>
        <w:t>Note</w:t>
      </w:r>
      <w:r>
        <w:rPr>
          <w:spacing w:val="-4"/>
        </w:rPr>
        <w:t xml:space="preserve"> </w:t>
      </w:r>
      <w:r>
        <w:t>7</w:t>
      </w:r>
      <w:r>
        <w:rPr>
          <w:spacing w:val="-2"/>
        </w:rPr>
        <w:t xml:space="preserve"> </w:t>
      </w:r>
      <w:r>
        <w:t>–</w:t>
      </w:r>
      <w:r>
        <w:rPr>
          <w:spacing w:val="-3"/>
        </w:rPr>
        <w:t xml:space="preserve"> </w:t>
      </w:r>
      <w:r>
        <w:t>Goodwill</w:t>
      </w:r>
      <w:r>
        <w:rPr>
          <w:spacing w:val="-3"/>
        </w:rPr>
        <w:t xml:space="preserve"> </w:t>
      </w:r>
      <w:r>
        <w:t>and</w:t>
      </w:r>
      <w:r>
        <w:rPr>
          <w:spacing w:val="-3"/>
        </w:rPr>
        <w:t xml:space="preserve"> </w:t>
      </w:r>
      <w:r>
        <w:t>Acquired</w:t>
      </w:r>
      <w:r>
        <w:rPr>
          <w:spacing w:val="-3"/>
        </w:rPr>
        <w:t xml:space="preserve"> </w:t>
      </w:r>
      <w:r>
        <w:rPr>
          <w:spacing w:val="-2"/>
        </w:rPr>
        <w:t>Intangibles</w:t>
      </w:r>
    </w:p>
    <w:p w14:paraId="59264ACC" w14:textId="77777777" w:rsidR="00AE2255" w:rsidRDefault="00AE2255">
      <w:pPr>
        <w:pStyle w:val="BodyText"/>
        <w:spacing w:before="6"/>
        <w:rPr>
          <w:b/>
          <w:sz w:val="18"/>
        </w:rPr>
      </w:pPr>
    </w:p>
    <w:p w14:paraId="2D1058E4" w14:textId="77777777" w:rsidR="00AE2255" w:rsidRDefault="00000000">
      <w:pPr>
        <w:pStyle w:val="BodyText"/>
        <w:ind w:left="970"/>
      </w:pPr>
      <w:r>
        <w:t>Changes</w:t>
      </w:r>
      <w:r>
        <w:rPr>
          <w:spacing w:val="-5"/>
        </w:rPr>
        <w:t xml:space="preserve"> </w:t>
      </w:r>
      <w:r>
        <w:t>in</w:t>
      </w:r>
      <w:r>
        <w:rPr>
          <w:spacing w:val="-3"/>
        </w:rPr>
        <w:t xml:space="preserve"> </w:t>
      </w:r>
      <w:r>
        <w:t>the</w:t>
      </w:r>
      <w:r>
        <w:rPr>
          <w:spacing w:val="-2"/>
        </w:rPr>
        <w:t xml:space="preserve"> </w:t>
      </w:r>
      <w:r>
        <w:t>carrying</w:t>
      </w:r>
      <w:r>
        <w:rPr>
          <w:spacing w:val="-3"/>
        </w:rPr>
        <w:t xml:space="preserve"> </w:t>
      </w:r>
      <w:r>
        <w:t>amount</w:t>
      </w:r>
      <w:r>
        <w:rPr>
          <w:spacing w:val="-2"/>
        </w:rPr>
        <w:t xml:space="preserve"> </w:t>
      </w:r>
      <w:r>
        <w:t>of</w:t>
      </w:r>
      <w:r>
        <w:rPr>
          <w:spacing w:val="-3"/>
        </w:rPr>
        <w:t xml:space="preserve"> </w:t>
      </w:r>
      <w:r>
        <w:t>goodwill</w:t>
      </w:r>
      <w:r>
        <w:rPr>
          <w:spacing w:val="-3"/>
        </w:rPr>
        <w:t xml:space="preserve"> </w:t>
      </w:r>
      <w:r>
        <w:t>by</w:t>
      </w:r>
      <w:r>
        <w:rPr>
          <w:spacing w:val="-2"/>
        </w:rPr>
        <w:t xml:space="preserve"> </w:t>
      </w:r>
      <w:r>
        <w:t>business</w:t>
      </w:r>
      <w:r>
        <w:rPr>
          <w:spacing w:val="-3"/>
        </w:rPr>
        <w:t xml:space="preserve"> </w:t>
      </w:r>
      <w:r>
        <w:t>segment</w:t>
      </w:r>
      <w:r>
        <w:rPr>
          <w:spacing w:val="-3"/>
        </w:rPr>
        <w:t xml:space="preserve"> </w:t>
      </w:r>
      <w:r>
        <w:t>were</w:t>
      </w:r>
      <w:r>
        <w:rPr>
          <w:spacing w:val="-2"/>
        </w:rPr>
        <w:t xml:space="preserve"> </w:t>
      </w:r>
      <w:r>
        <w:t>as</w:t>
      </w:r>
      <w:r>
        <w:rPr>
          <w:spacing w:val="-3"/>
        </w:rPr>
        <w:t xml:space="preserve"> </w:t>
      </w:r>
      <w:r>
        <w:t>follows</w:t>
      </w:r>
      <w:r>
        <w:rPr>
          <w:spacing w:val="-3"/>
        </w:rPr>
        <w:t xml:space="preserve"> </w:t>
      </w:r>
      <w:r>
        <w:t>(in</w:t>
      </w:r>
      <w:r>
        <w:rPr>
          <w:spacing w:val="-2"/>
        </w:rPr>
        <w:t xml:space="preserve"> millions):</w:t>
      </w:r>
    </w:p>
    <w:p w14:paraId="672EE211" w14:textId="77777777" w:rsidR="00AE2255" w:rsidRDefault="00AE2255">
      <w:pPr>
        <w:pStyle w:val="BodyText"/>
        <w:spacing w:before="4" w:after="1"/>
        <w:rPr>
          <w:sz w:val="25"/>
        </w:rPr>
      </w:pPr>
    </w:p>
    <w:tbl>
      <w:tblPr>
        <w:tblW w:w="0" w:type="auto"/>
        <w:tblInd w:w="617" w:type="dxa"/>
        <w:tblLayout w:type="fixed"/>
        <w:tblCellMar>
          <w:left w:w="0" w:type="dxa"/>
          <w:right w:w="0" w:type="dxa"/>
        </w:tblCellMar>
        <w:tblLook w:val="01E0" w:firstRow="1" w:lastRow="1" w:firstColumn="1" w:lastColumn="1" w:noHBand="0" w:noVBand="0"/>
      </w:tblPr>
      <w:tblGrid>
        <w:gridCol w:w="3337"/>
        <w:gridCol w:w="1962"/>
        <w:gridCol w:w="1254"/>
        <w:gridCol w:w="1231"/>
        <w:gridCol w:w="1231"/>
        <w:gridCol w:w="1250"/>
      </w:tblGrid>
      <w:tr w:rsidR="00AE2255" w14:paraId="75D330EE" w14:textId="77777777">
        <w:trPr>
          <w:trHeight w:val="241"/>
        </w:trPr>
        <w:tc>
          <w:tcPr>
            <w:tcW w:w="3337" w:type="dxa"/>
            <w:tcBorders>
              <w:bottom w:val="single" w:sz="8" w:space="0" w:color="auto"/>
            </w:tcBorders>
          </w:tcPr>
          <w:p w14:paraId="0CA38BB5" w14:textId="77777777" w:rsidR="00AE2255" w:rsidRDefault="00AE2255">
            <w:pPr>
              <w:pStyle w:val="TableParagraph"/>
              <w:spacing w:before="0"/>
              <w:jc w:val="left"/>
              <w:rPr>
                <w:sz w:val="16"/>
              </w:rPr>
            </w:pPr>
          </w:p>
        </w:tc>
        <w:tc>
          <w:tcPr>
            <w:tcW w:w="1962" w:type="dxa"/>
            <w:tcBorders>
              <w:bottom w:val="single" w:sz="8" w:space="0" w:color="auto"/>
            </w:tcBorders>
          </w:tcPr>
          <w:p w14:paraId="793356F2" w14:textId="77777777" w:rsidR="00AE2255" w:rsidRDefault="00000000">
            <w:pPr>
              <w:pStyle w:val="TableParagraph"/>
              <w:spacing w:before="0" w:line="221" w:lineRule="exact"/>
              <w:ind w:right="93"/>
              <w:rPr>
                <w:b/>
                <w:sz w:val="20"/>
              </w:rPr>
            </w:pPr>
            <w:r>
              <w:rPr>
                <w:b/>
                <w:spacing w:val="-2"/>
                <w:sz w:val="20"/>
              </w:rPr>
              <w:t>Aeronautics</w:t>
            </w:r>
          </w:p>
        </w:tc>
        <w:tc>
          <w:tcPr>
            <w:tcW w:w="1254" w:type="dxa"/>
            <w:tcBorders>
              <w:bottom w:val="single" w:sz="8" w:space="0" w:color="auto"/>
            </w:tcBorders>
          </w:tcPr>
          <w:p w14:paraId="419B8AF5" w14:textId="77777777" w:rsidR="00AE2255" w:rsidRDefault="00000000">
            <w:pPr>
              <w:pStyle w:val="TableParagraph"/>
              <w:spacing w:before="0" w:line="221" w:lineRule="exact"/>
              <w:ind w:left="391"/>
              <w:jc w:val="left"/>
              <w:rPr>
                <w:b/>
                <w:sz w:val="20"/>
              </w:rPr>
            </w:pPr>
            <w:r>
              <w:rPr>
                <w:b/>
                <w:spacing w:val="-5"/>
                <w:sz w:val="20"/>
              </w:rPr>
              <w:t>MFC</w:t>
            </w:r>
          </w:p>
        </w:tc>
        <w:tc>
          <w:tcPr>
            <w:tcW w:w="1231" w:type="dxa"/>
            <w:tcBorders>
              <w:bottom w:val="single" w:sz="8" w:space="0" w:color="auto"/>
            </w:tcBorders>
          </w:tcPr>
          <w:p w14:paraId="072EBB63" w14:textId="77777777" w:rsidR="00AE2255" w:rsidRDefault="00000000">
            <w:pPr>
              <w:pStyle w:val="TableParagraph"/>
              <w:spacing w:before="0" w:line="221" w:lineRule="exact"/>
              <w:ind w:left="372"/>
              <w:jc w:val="left"/>
              <w:rPr>
                <w:b/>
                <w:sz w:val="20"/>
              </w:rPr>
            </w:pPr>
            <w:r>
              <w:rPr>
                <w:b/>
                <w:spacing w:val="-5"/>
                <w:sz w:val="20"/>
              </w:rPr>
              <w:t>RMS</w:t>
            </w:r>
          </w:p>
        </w:tc>
        <w:tc>
          <w:tcPr>
            <w:tcW w:w="1231" w:type="dxa"/>
            <w:tcBorders>
              <w:bottom w:val="single" w:sz="8" w:space="0" w:color="auto"/>
            </w:tcBorders>
          </w:tcPr>
          <w:p w14:paraId="26D78B66" w14:textId="77777777" w:rsidR="00AE2255" w:rsidRDefault="00000000">
            <w:pPr>
              <w:pStyle w:val="TableParagraph"/>
              <w:spacing w:before="0" w:line="221" w:lineRule="exact"/>
              <w:ind w:left="343"/>
              <w:jc w:val="left"/>
              <w:rPr>
                <w:b/>
                <w:sz w:val="20"/>
              </w:rPr>
            </w:pPr>
            <w:r>
              <w:rPr>
                <w:b/>
                <w:spacing w:val="-2"/>
                <w:sz w:val="20"/>
              </w:rPr>
              <w:t>Space</w:t>
            </w:r>
          </w:p>
        </w:tc>
        <w:tc>
          <w:tcPr>
            <w:tcW w:w="1250" w:type="dxa"/>
            <w:tcBorders>
              <w:bottom w:val="single" w:sz="8" w:space="0" w:color="auto"/>
            </w:tcBorders>
          </w:tcPr>
          <w:p w14:paraId="360B9801" w14:textId="77777777" w:rsidR="00AE2255" w:rsidRDefault="00000000">
            <w:pPr>
              <w:pStyle w:val="TableParagraph"/>
              <w:spacing w:before="0" w:line="221" w:lineRule="exact"/>
              <w:ind w:left="364"/>
              <w:jc w:val="left"/>
              <w:rPr>
                <w:b/>
                <w:sz w:val="20"/>
              </w:rPr>
            </w:pPr>
            <w:r>
              <w:rPr>
                <w:b/>
                <w:spacing w:val="-2"/>
                <w:sz w:val="20"/>
              </w:rPr>
              <w:t>Total</w:t>
            </w:r>
          </w:p>
        </w:tc>
      </w:tr>
      <w:tr w:rsidR="00AE2255" w14:paraId="78119309" w14:textId="77777777">
        <w:trPr>
          <w:trHeight w:val="275"/>
        </w:trPr>
        <w:tc>
          <w:tcPr>
            <w:tcW w:w="3337" w:type="dxa"/>
            <w:tcBorders>
              <w:top w:val="single" w:sz="8" w:space="0" w:color="CCEDFF"/>
            </w:tcBorders>
            <w:shd w:val="clear" w:color="auto" w:fill="CCEDFF"/>
          </w:tcPr>
          <w:p w14:paraId="4209211B" w14:textId="77777777" w:rsidR="00AE2255" w:rsidRDefault="00000000">
            <w:pPr>
              <w:pStyle w:val="TableParagraph"/>
              <w:spacing w:before="15"/>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2020</w:t>
            </w:r>
          </w:p>
        </w:tc>
        <w:tc>
          <w:tcPr>
            <w:tcW w:w="1962" w:type="dxa"/>
            <w:tcBorders>
              <w:top w:val="single" w:sz="8" w:space="0" w:color="CCEDFF"/>
            </w:tcBorders>
            <w:shd w:val="clear" w:color="auto" w:fill="CCEDFF"/>
          </w:tcPr>
          <w:p w14:paraId="7347F261" w14:textId="77777777" w:rsidR="00AE2255" w:rsidRDefault="00000000">
            <w:pPr>
              <w:pStyle w:val="TableParagraph"/>
              <w:tabs>
                <w:tab w:val="left" w:pos="720"/>
              </w:tabs>
              <w:spacing w:before="15"/>
              <w:ind w:right="113"/>
              <w:rPr>
                <w:sz w:val="20"/>
              </w:rPr>
            </w:pPr>
            <w:r>
              <w:rPr>
                <w:spacing w:val="-10"/>
                <w:sz w:val="20"/>
              </w:rPr>
              <w:t>$</w:t>
            </w:r>
            <w:r>
              <w:rPr>
                <w:sz w:val="20"/>
              </w:rPr>
              <w:tab/>
            </w:r>
            <w:r>
              <w:rPr>
                <w:spacing w:val="-5"/>
                <w:sz w:val="20"/>
              </w:rPr>
              <w:t>187</w:t>
            </w:r>
          </w:p>
        </w:tc>
        <w:tc>
          <w:tcPr>
            <w:tcW w:w="1254" w:type="dxa"/>
            <w:tcBorders>
              <w:top w:val="single" w:sz="8" w:space="0" w:color="CCEDFF"/>
            </w:tcBorders>
            <w:shd w:val="clear" w:color="auto" w:fill="CCEDFF"/>
          </w:tcPr>
          <w:p w14:paraId="2A2A70D2" w14:textId="77777777" w:rsidR="00AE2255" w:rsidRDefault="00000000">
            <w:pPr>
              <w:pStyle w:val="TableParagraph"/>
              <w:tabs>
                <w:tab w:val="left" w:pos="570"/>
              </w:tabs>
              <w:spacing w:before="15"/>
              <w:ind w:right="137"/>
              <w:rPr>
                <w:sz w:val="20"/>
              </w:rPr>
            </w:pPr>
            <w:r>
              <w:rPr>
                <w:spacing w:val="-10"/>
                <w:sz w:val="20"/>
              </w:rPr>
              <w:t>$</w:t>
            </w:r>
            <w:r>
              <w:rPr>
                <w:sz w:val="20"/>
              </w:rPr>
              <w:tab/>
            </w:r>
            <w:r>
              <w:rPr>
                <w:spacing w:val="-2"/>
                <w:sz w:val="20"/>
              </w:rPr>
              <w:t>2,091</w:t>
            </w:r>
          </w:p>
        </w:tc>
        <w:tc>
          <w:tcPr>
            <w:tcW w:w="1231" w:type="dxa"/>
            <w:tcBorders>
              <w:top w:val="single" w:sz="8" w:space="0" w:color="CCEDFF"/>
            </w:tcBorders>
            <w:shd w:val="clear" w:color="auto" w:fill="CCEDFF"/>
          </w:tcPr>
          <w:p w14:paraId="3936EC40" w14:textId="77777777" w:rsidR="00AE2255" w:rsidRDefault="00000000">
            <w:pPr>
              <w:pStyle w:val="TableParagraph"/>
              <w:tabs>
                <w:tab w:val="left" w:pos="640"/>
              </w:tabs>
              <w:spacing w:before="15"/>
              <w:ind w:left="69"/>
              <w:jc w:val="left"/>
              <w:rPr>
                <w:sz w:val="20"/>
              </w:rPr>
            </w:pPr>
            <w:r>
              <w:rPr>
                <w:spacing w:val="-10"/>
                <w:sz w:val="20"/>
              </w:rPr>
              <w:t>$</w:t>
            </w:r>
            <w:r>
              <w:rPr>
                <w:sz w:val="20"/>
              </w:rPr>
              <w:tab/>
            </w:r>
            <w:r>
              <w:rPr>
                <w:spacing w:val="-2"/>
                <w:sz w:val="20"/>
              </w:rPr>
              <w:t>6,768</w:t>
            </w:r>
          </w:p>
        </w:tc>
        <w:tc>
          <w:tcPr>
            <w:tcW w:w="1231" w:type="dxa"/>
            <w:tcBorders>
              <w:top w:val="single" w:sz="8" w:space="0" w:color="CCEDFF"/>
            </w:tcBorders>
            <w:shd w:val="clear" w:color="auto" w:fill="CCEDFF"/>
          </w:tcPr>
          <w:p w14:paraId="0B12236D" w14:textId="77777777" w:rsidR="00AE2255" w:rsidRDefault="00000000">
            <w:pPr>
              <w:pStyle w:val="TableParagraph"/>
              <w:tabs>
                <w:tab w:val="left" w:pos="639"/>
              </w:tabs>
              <w:spacing w:before="15"/>
              <w:ind w:left="68"/>
              <w:jc w:val="left"/>
              <w:rPr>
                <w:sz w:val="20"/>
              </w:rPr>
            </w:pPr>
            <w:r>
              <w:rPr>
                <w:spacing w:val="-10"/>
                <w:sz w:val="20"/>
              </w:rPr>
              <w:t>$</w:t>
            </w:r>
            <w:r>
              <w:rPr>
                <w:sz w:val="20"/>
              </w:rPr>
              <w:tab/>
            </w:r>
            <w:r>
              <w:rPr>
                <w:spacing w:val="-2"/>
                <w:sz w:val="20"/>
              </w:rPr>
              <w:t>1,760</w:t>
            </w:r>
          </w:p>
        </w:tc>
        <w:tc>
          <w:tcPr>
            <w:tcW w:w="1250" w:type="dxa"/>
            <w:tcBorders>
              <w:top w:val="single" w:sz="8" w:space="0" w:color="CCEDFF"/>
            </w:tcBorders>
            <w:shd w:val="clear" w:color="auto" w:fill="CCEDFF"/>
          </w:tcPr>
          <w:p w14:paraId="51E5CDB6" w14:textId="77777777" w:rsidR="00AE2255" w:rsidRDefault="00000000">
            <w:pPr>
              <w:pStyle w:val="TableParagraph"/>
              <w:tabs>
                <w:tab w:val="left" w:pos="538"/>
              </w:tabs>
              <w:spacing w:before="15"/>
              <w:ind w:left="67"/>
              <w:jc w:val="left"/>
              <w:rPr>
                <w:sz w:val="20"/>
              </w:rPr>
            </w:pPr>
            <w:r>
              <w:rPr>
                <w:spacing w:val="-10"/>
                <w:sz w:val="20"/>
              </w:rPr>
              <w:t>$</w:t>
            </w:r>
            <w:r>
              <w:rPr>
                <w:sz w:val="20"/>
              </w:rPr>
              <w:tab/>
            </w:r>
            <w:r>
              <w:rPr>
                <w:spacing w:val="-2"/>
                <w:sz w:val="20"/>
              </w:rPr>
              <w:t>10,806</w:t>
            </w:r>
          </w:p>
        </w:tc>
      </w:tr>
      <w:tr w:rsidR="00AE2255" w14:paraId="6C8444C7" w14:textId="77777777">
        <w:trPr>
          <w:trHeight w:val="285"/>
        </w:trPr>
        <w:tc>
          <w:tcPr>
            <w:tcW w:w="3337" w:type="dxa"/>
          </w:tcPr>
          <w:p w14:paraId="5542AAE4" w14:textId="77777777" w:rsidR="00AE2255" w:rsidRDefault="00000000">
            <w:pPr>
              <w:pStyle w:val="TableParagraph"/>
              <w:ind w:left="187"/>
              <w:jc w:val="left"/>
              <w:rPr>
                <w:sz w:val="20"/>
              </w:rPr>
            </w:pPr>
            <w:r>
              <w:rPr>
                <w:spacing w:val="-2"/>
                <w:sz w:val="20"/>
              </w:rPr>
              <w:t>Acquisitions</w:t>
            </w:r>
          </w:p>
        </w:tc>
        <w:tc>
          <w:tcPr>
            <w:tcW w:w="1962" w:type="dxa"/>
          </w:tcPr>
          <w:p w14:paraId="79A2D8F2" w14:textId="77777777" w:rsidR="00AE2255" w:rsidRDefault="00000000">
            <w:pPr>
              <w:pStyle w:val="TableParagraph"/>
              <w:ind w:right="113"/>
              <w:rPr>
                <w:sz w:val="20"/>
              </w:rPr>
            </w:pPr>
            <w:r>
              <w:rPr>
                <w:sz w:val="20"/>
              </w:rPr>
              <w:t>—</w:t>
            </w:r>
          </w:p>
        </w:tc>
        <w:tc>
          <w:tcPr>
            <w:tcW w:w="1254" w:type="dxa"/>
          </w:tcPr>
          <w:p w14:paraId="7769C03C" w14:textId="77777777" w:rsidR="00AE2255" w:rsidRDefault="00000000">
            <w:pPr>
              <w:pStyle w:val="TableParagraph"/>
              <w:ind w:right="137"/>
              <w:rPr>
                <w:sz w:val="20"/>
              </w:rPr>
            </w:pPr>
            <w:r>
              <w:rPr>
                <w:sz w:val="20"/>
              </w:rPr>
              <w:t>—</w:t>
            </w:r>
          </w:p>
        </w:tc>
        <w:tc>
          <w:tcPr>
            <w:tcW w:w="1231" w:type="dxa"/>
          </w:tcPr>
          <w:p w14:paraId="2F00B59C" w14:textId="77777777" w:rsidR="00AE2255" w:rsidRDefault="00000000">
            <w:pPr>
              <w:pStyle w:val="TableParagraph"/>
              <w:ind w:right="138"/>
              <w:rPr>
                <w:sz w:val="20"/>
              </w:rPr>
            </w:pPr>
            <w:r>
              <w:rPr>
                <w:sz w:val="20"/>
              </w:rPr>
              <w:t>—</w:t>
            </w:r>
          </w:p>
        </w:tc>
        <w:tc>
          <w:tcPr>
            <w:tcW w:w="1231" w:type="dxa"/>
          </w:tcPr>
          <w:p w14:paraId="4943E63B" w14:textId="77777777" w:rsidR="00AE2255" w:rsidRDefault="00000000">
            <w:pPr>
              <w:pStyle w:val="TableParagraph"/>
              <w:ind w:right="139"/>
              <w:rPr>
                <w:sz w:val="20"/>
              </w:rPr>
            </w:pPr>
            <w:r>
              <w:rPr>
                <w:spacing w:val="-5"/>
                <w:sz w:val="20"/>
              </w:rPr>
              <w:t>17</w:t>
            </w:r>
          </w:p>
        </w:tc>
        <w:tc>
          <w:tcPr>
            <w:tcW w:w="1250" w:type="dxa"/>
          </w:tcPr>
          <w:p w14:paraId="4CE446FD" w14:textId="77777777" w:rsidR="00AE2255" w:rsidRDefault="00000000">
            <w:pPr>
              <w:pStyle w:val="TableParagraph"/>
              <w:ind w:right="159"/>
              <w:rPr>
                <w:sz w:val="20"/>
              </w:rPr>
            </w:pPr>
            <w:r>
              <w:rPr>
                <w:spacing w:val="-5"/>
                <w:sz w:val="20"/>
              </w:rPr>
              <w:t>17</w:t>
            </w:r>
          </w:p>
        </w:tc>
      </w:tr>
      <w:tr w:rsidR="00AE2255" w14:paraId="29228CEC" w14:textId="77777777">
        <w:trPr>
          <w:trHeight w:val="275"/>
        </w:trPr>
        <w:tc>
          <w:tcPr>
            <w:tcW w:w="3337" w:type="dxa"/>
            <w:tcBorders>
              <w:bottom w:val="single" w:sz="8" w:space="0" w:color="CCEDFF"/>
            </w:tcBorders>
            <w:shd w:val="clear" w:color="auto" w:fill="CCEDFF"/>
          </w:tcPr>
          <w:p w14:paraId="294F8393" w14:textId="77777777" w:rsidR="00AE2255" w:rsidRDefault="00000000">
            <w:pPr>
              <w:pStyle w:val="TableParagraph"/>
              <w:spacing w:line="230" w:lineRule="exact"/>
              <w:ind w:left="187"/>
              <w:jc w:val="left"/>
              <w:rPr>
                <w:sz w:val="20"/>
              </w:rPr>
            </w:pPr>
            <w:r>
              <w:rPr>
                <w:spacing w:val="-2"/>
                <w:sz w:val="20"/>
              </w:rPr>
              <w:t>Other</w:t>
            </w:r>
          </w:p>
        </w:tc>
        <w:tc>
          <w:tcPr>
            <w:tcW w:w="1962" w:type="dxa"/>
            <w:tcBorders>
              <w:bottom w:val="single" w:sz="8" w:space="0" w:color="CCEDFF"/>
            </w:tcBorders>
            <w:shd w:val="clear" w:color="auto" w:fill="CCEDFF"/>
          </w:tcPr>
          <w:p w14:paraId="6A776CDA" w14:textId="77777777" w:rsidR="00AE2255" w:rsidRDefault="00000000">
            <w:pPr>
              <w:pStyle w:val="TableParagraph"/>
              <w:spacing w:line="230" w:lineRule="exact"/>
              <w:ind w:right="113"/>
              <w:rPr>
                <w:b/>
                <w:sz w:val="20"/>
              </w:rPr>
            </w:pPr>
            <w:r>
              <w:rPr>
                <w:b/>
                <w:sz w:val="20"/>
              </w:rPr>
              <w:t>—</w:t>
            </w:r>
          </w:p>
        </w:tc>
        <w:tc>
          <w:tcPr>
            <w:tcW w:w="1254" w:type="dxa"/>
            <w:tcBorders>
              <w:bottom w:val="single" w:sz="8" w:space="0" w:color="CCEDFF"/>
            </w:tcBorders>
            <w:shd w:val="clear" w:color="auto" w:fill="CCEDFF"/>
          </w:tcPr>
          <w:p w14:paraId="0297C7DB" w14:textId="77777777" w:rsidR="00AE2255" w:rsidRDefault="00000000">
            <w:pPr>
              <w:pStyle w:val="TableParagraph"/>
              <w:spacing w:line="230" w:lineRule="exact"/>
              <w:ind w:right="72"/>
              <w:rPr>
                <w:sz w:val="20"/>
              </w:rPr>
            </w:pPr>
            <w:r>
              <w:rPr>
                <w:spacing w:val="-5"/>
                <w:sz w:val="20"/>
              </w:rPr>
              <w:t>(1)</w:t>
            </w:r>
          </w:p>
        </w:tc>
        <w:tc>
          <w:tcPr>
            <w:tcW w:w="1231" w:type="dxa"/>
            <w:tcBorders>
              <w:bottom w:val="single" w:sz="8" w:space="0" w:color="CCEDFF"/>
            </w:tcBorders>
            <w:shd w:val="clear" w:color="auto" w:fill="CCEDFF"/>
          </w:tcPr>
          <w:p w14:paraId="13DADC2D" w14:textId="77777777" w:rsidR="00AE2255" w:rsidRDefault="00000000">
            <w:pPr>
              <w:pStyle w:val="TableParagraph"/>
              <w:spacing w:line="230" w:lineRule="exact"/>
              <w:ind w:right="73"/>
              <w:rPr>
                <w:sz w:val="20"/>
              </w:rPr>
            </w:pPr>
            <w:r>
              <w:rPr>
                <w:spacing w:val="-5"/>
                <w:sz w:val="20"/>
              </w:rPr>
              <w:t>(9)</w:t>
            </w:r>
          </w:p>
        </w:tc>
        <w:tc>
          <w:tcPr>
            <w:tcW w:w="1231" w:type="dxa"/>
            <w:tcBorders>
              <w:bottom w:val="single" w:sz="8" w:space="0" w:color="CCEDFF"/>
            </w:tcBorders>
            <w:shd w:val="clear" w:color="auto" w:fill="CCEDFF"/>
          </w:tcPr>
          <w:p w14:paraId="4E3D65FE" w14:textId="77777777" w:rsidR="00AE2255" w:rsidRDefault="00000000">
            <w:pPr>
              <w:pStyle w:val="TableParagraph"/>
              <w:spacing w:line="230" w:lineRule="exact"/>
              <w:ind w:right="139"/>
              <w:rPr>
                <w:sz w:val="20"/>
              </w:rPr>
            </w:pPr>
            <w:r>
              <w:rPr>
                <w:sz w:val="20"/>
              </w:rPr>
              <w:t>—</w:t>
            </w:r>
          </w:p>
        </w:tc>
        <w:tc>
          <w:tcPr>
            <w:tcW w:w="1250" w:type="dxa"/>
            <w:tcBorders>
              <w:bottom w:val="single" w:sz="8" w:space="0" w:color="CCEDFF"/>
            </w:tcBorders>
            <w:shd w:val="clear" w:color="auto" w:fill="CCEDFF"/>
          </w:tcPr>
          <w:p w14:paraId="247EA23C" w14:textId="77777777" w:rsidR="00AE2255" w:rsidRDefault="00000000">
            <w:pPr>
              <w:pStyle w:val="TableParagraph"/>
              <w:spacing w:line="230" w:lineRule="exact"/>
              <w:ind w:right="94"/>
              <w:rPr>
                <w:sz w:val="20"/>
              </w:rPr>
            </w:pPr>
            <w:r>
              <w:rPr>
                <w:spacing w:val="-4"/>
                <w:sz w:val="20"/>
              </w:rPr>
              <w:t>(10)</w:t>
            </w:r>
          </w:p>
        </w:tc>
      </w:tr>
      <w:tr w:rsidR="00AE2255" w14:paraId="1D5F7A59" w14:textId="77777777">
        <w:trPr>
          <w:trHeight w:val="265"/>
        </w:trPr>
        <w:tc>
          <w:tcPr>
            <w:tcW w:w="3337" w:type="dxa"/>
            <w:tcBorders>
              <w:top w:val="single" w:sz="8" w:space="0" w:color="auto"/>
              <w:bottom w:val="single" w:sz="8" w:space="0" w:color="auto"/>
            </w:tcBorders>
          </w:tcPr>
          <w:p w14:paraId="2D850B42" w14:textId="77777777" w:rsidR="00AE2255" w:rsidRDefault="00000000">
            <w:pPr>
              <w:pStyle w:val="TableParagraph"/>
              <w:spacing w:before="15" w:line="230"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2021</w:t>
            </w:r>
          </w:p>
        </w:tc>
        <w:tc>
          <w:tcPr>
            <w:tcW w:w="1962" w:type="dxa"/>
            <w:tcBorders>
              <w:top w:val="single" w:sz="8" w:space="0" w:color="auto"/>
              <w:bottom w:val="single" w:sz="8" w:space="0" w:color="auto"/>
            </w:tcBorders>
          </w:tcPr>
          <w:p w14:paraId="640DAE6D" w14:textId="77777777" w:rsidR="00AE2255" w:rsidRDefault="00000000">
            <w:pPr>
              <w:pStyle w:val="TableParagraph"/>
              <w:spacing w:before="15" w:line="230" w:lineRule="exact"/>
              <w:ind w:right="113"/>
              <w:rPr>
                <w:sz w:val="20"/>
              </w:rPr>
            </w:pPr>
            <w:r>
              <w:rPr>
                <w:spacing w:val="-5"/>
                <w:sz w:val="20"/>
              </w:rPr>
              <w:t>187</w:t>
            </w:r>
          </w:p>
        </w:tc>
        <w:tc>
          <w:tcPr>
            <w:tcW w:w="1254" w:type="dxa"/>
            <w:tcBorders>
              <w:top w:val="single" w:sz="8" w:space="0" w:color="auto"/>
              <w:bottom w:val="single" w:sz="8" w:space="0" w:color="auto"/>
            </w:tcBorders>
          </w:tcPr>
          <w:p w14:paraId="7BE9886D" w14:textId="77777777" w:rsidR="00AE2255" w:rsidRDefault="00000000">
            <w:pPr>
              <w:pStyle w:val="TableParagraph"/>
              <w:spacing w:before="15" w:line="230" w:lineRule="exact"/>
              <w:ind w:right="137"/>
              <w:rPr>
                <w:sz w:val="20"/>
              </w:rPr>
            </w:pPr>
            <w:r>
              <w:rPr>
                <w:spacing w:val="-2"/>
                <w:sz w:val="20"/>
              </w:rPr>
              <w:t>2,090</w:t>
            </w:r>
          </w:p>
        </w:tc>
        <w:tc>
          <w:tcPr>
            <w:tcW w:w="1231" w:type="dxa"/>
            <w:tcBorders>
              <w:top w:val="single" w:sz="8" w:space="0" w:color="auto"/>
              <w:bottom w:val="single" w:sz="8" w:space="0" w:color="auto"/>
            </w:tcBorders>
          </w:tcPr>
          <w:p w14:paraId="4923AEF7" w14:textId="77777777" w:rsidR="00AE2255" w:rsidRDefault="00000000">
            <w:pPr>
              <w:pStyle w:val="TableParagraph"/>
              <w:spacing w:before="15" w:line="230" w:lineRule="exact"/>
              <w:ind w:right="138"/>
              <w:rPr>
                <w:sz w:val="20"/>
              </w:rPr>
            </w:pPr>
            <w:r>
              <w:rPr>
                <w:spacing w:val="-2"/>
                <w:sz w:val="20"/>
              </w:rPr>
              <w:t>6,759</w:t>
            </w:r>
          </w:p>
        </w:tc>
        <w:tc>
          <w:tcPr>
            <w:tcW w:w="1231" w:type="dxa"/>
            <w:tcBorders>
              <w:top w:val="single" w:sz="8" w:space="0" w:color="auto"/>
              <w:bottom w:val="single" w:sz="8" w:space="0" w:color="auto"/>
            </w:tcBorders>
          </w:tcPr>
          <w:p w14:paraId="78FC0CD3" w14:textId="77777777" w:rsidR="00AE2255" w:rsidRDefault="00000000">
            <w:pPr>
              <w:pStyle w:val="TableParagraph"/>
              <w:spacing w:before="15" w:line="230" w:lineRule="exact"/>
              <w:ind w:right="139"/>
              <w:rPr>
                <w:sz w:val="20"/>
              </w:rPr>
            </w:pPr>
            <w:r>
              <w:rPr>
                <w:spacing w:val="-2"/>
                <w:sz w:val="20"/>
              </w:rPr>
              <w:t>1,777</w:t>
            </w:r>
          </w:p>
        </w:tc>
        <w:tc>
          <w:tcPr>
            <w:tcW w:w="1250" w:type="dxa"/>
            <w:tcBorders>
              <w:top w:val="single" w:sz="8" w:space="0" w:color="auto"/>
              <w:bottom w:val="single" w:sz="8" w:space="0" w:color="auto"/>
            </w:tcBorders>
          </w:tcPr>
          <w:p w14:paraId="7884E559" w14:textId="77777777" w:rsidR="00AE2255" w:rsidRDefault="00000000">
            <w:pPr>
              <w:pStyle w:val="TableParagraph"/>
              <w:spacing w:before="15" w:line="230" w:lineRule="exact"/>
              <w:ind w:right="159"/>
              <w:rPr>
                <w:sz w:val="20"/>
              </w:rPr>
            </w:pPr>
            <w:r>
              <w:rPr>
                <w:spacing w:val="-2"/>
                <w:sz w:val="20"/>
              </w:rPr>
              <w:t>10,813</w:t>
            </w:r>
          </w:p>
        </w:tc>
      </w:tr>
      <w:tr w:rsidR="00AE2255" w14:paraId="60A91F12" w14:textId="77777777">
        <w:trPr>
          <w:trHeight w:val="275"/>
        </w:trPr>
        <w:tc>
          <w:tcPr>
            <w:tcW w:w="3337" w:type="dxa"/>
            <w:tcBorders>
              <w:top w:val="single" w:sz="8" w:space="0" w:color="CCEDFF"/>
            </w:tcBorders>
            <w:shd w:val="clear" w:color="auto" w:fill="CCEDFF"/>
          </w:tcPr>
          <w:p w14:paraId="72E57B46" w14:textId="77777777" w:rsidR="00AE2255" w:rsidRDefault="00000000">
            <w:pPr>
              <w:pStyle w:val="TableParagraph"/>
              <w:spacing w:before="15"/>
              <w:ind w:left="187"/>
              <w:jc w:val="left"/>
              <w:rPr>
                <w:sz w:val="20"/>
              </w:rPr>
            </w:pPr>
            <w:r>
              <w:rPr>
                <w:spacing w:val="-2"/>
                <w:sz w:val="20"/>
              </w:rPr>
              <w:t>Acquisitions</w:t>
            </w:r>
          </w:p>
        </w:tc>
        <w:tc>
          <w:tcPr>
            <w:tcW w:w="1962" w:type="dxa"/>
            <w:tcBorders>
              <w:top w:val="single" w:sz="8" w:space="0" w:color="CCEDFF"/>
            </w:tcBorders>
            <w:shd w:val="clear" w:color="auto" w:fill="CCEDFF"/>
          </w:tcPr>
          <w:p w14:paraId="68B72F8D" w14:textId="77777777" w:rsidR="00AE2255" w:rsidRDefault="00000000">
            <w:pPr>
              <w:pStyle w:val="TableParagraph"/>
              <w:spacing w:before="15"/>
              <w:ind w:right="113"/>
              <w:rPr>
                <w:b/>
                <w:sz w:val="20"/>
              </w:rPr>
            </w:pPr>
            <w:r>
              <w:rPr>
                <w:b/>
                <w:sz w:val="20"/>
              </w:rPr>
              <w:t>—</w:t>
            </w:r>
          </w:p>
        </w:tc>
        <w:tc>
          <w:tcPr>
            <w:tcW w:w="1254" w:type="dxa"/>
            <w:tcBorders>
              <w:top w:val="single" w:sz="8" w:space="0" w:color="CCEDFF"/>
            </w:tcBorders>
            <w:shd w:val="clear" w:color="auto" w:fill="CCEDFF"/>
          </w:tcPr>
          <w:p w14:paraId="56A82FA1" w14:textId="77777777" w:rsidR="00AE2255" w:rsidRDefault="00000000">
            <w:pPr>
              <w:pStyle w:val="TableParagraph"/>
              <w:spacing w:before="15"/>
              <w:ind w:right="137"/>
              <w:rPr>
                <w:b/>
                <w:sz w:val="20"/>
              </w:rPr>
            </w:pPr>
            <w:r>
              <w:rPr>
                <w:b/>
                <w:sz w:val="20"/>
              </w:rPr>
              <w:t>—</w:t>
            </w:r>
          </w:p>
        </w:tc>
        <w:tc>
          <w:tcPr>
            <w:tcW w:w="1231" w:type="dxa"/>
            <w:tcBorders>
              <w:top w:val="single" w:sz="8" w:space="0" w:color="CCEDFF"/>
            </w:tcBorders>
            <w:shd w:val="clear" w:color="auto" w:fill="CCEDFF"/>
          </w:tcPr>
          <w:p w14:paraId="0D38138D" w14:textId="77777777" w:rsidR="00AE2255" w:rsidRDefault="00000000">
            <w:pPr>
              <w:pStyle w:val="TableParagraph"/>
              <w:spacing w:before="15"/>
              <w:ind w:right="138"/>
              <w:rPr>
                <w:b/>
                <w:sz w:val="20"/>
              </w:rPr>
            </w:pPr>
            <w:r>
              <w:rPr>
                <w:b/>
                <w:sz w:val="20"/>
              </w:rPr>
              <w:t>3</w:t>
            </w:r>
          </w:p>
        </w:tc>
        <w:tc>
          <w:tcPr>
            <w:tcW w:w="1231" w:type="dxa"/>
            <w:tcBorders>
              <w:top w:val="single" w:sz="8" w:space="0" w:color="CCEDFF"/>
            </w:tcBorders>
            <w:shd w:val="clear" w:color="auto" w:fill="CCEDFF"/>
          </w:tcPr>
          <w:p w14:paraId="3B52B674" w14:textId="77777777" w:rsidR="00AE2255" w:rsidRDefault="00000000">
            <w:pPr>
              <w:pStyle w:val="TableParagraph"/>
              <w:spacing w:before="15"/>
              <w:ind w:right="139"/>
              <w:rPr>
                <w:b/>
                <w:sz w:val="20"/>
              </w:rPr>
            </w:pPr>
            <w:r>
              <w:rPr>
                <w:b/>
                <w:sz w:val="20"/>
              </w:rPr>
              <w:t>—</w:t>
            </w:r>
          </w:p>
        </w:tc>
        <w:tc>
          <w:tcPr>
            <w:tcW w:w="1250" w:type="dxa"/>
            <w:tcBorders>
              <w:top w:val="single" w:sz="8" w:space="0" w:color="CCEDFF"/>
            </w:tcBorders>
            <w:shd w:val="clear" w:color="auto" w:fill="CCEDFF"/>
          </w:tcPr>
          <w:p w14:paraId="6F2E5CC0" w14:textId="77777777" w:rsidR="00AE2255" w:rsidRDefault="00000000">
            <w:pPr>
              <w:pStyle w:val="TableParagraph"/>
              <w:spacing w:before="15"/>
              <w:ind w:right="159"/>
              <w:rPr>
                <w:b/>
                <w:sz w:val="20"/>
              </w:rPr>
            </w:pPr>
            <w:r>
              <w:rPr>
                <w:b/>
                <w:sz w:val="20"/>
              </w:rPr>
              <w:t>3</w:t>
            </w:r>
          </w:p>
        </w:tc>
      </w:tr>
      <w:tr w:rsidR="00AE2255" w14:paraId="23E219F5" w14:textId="77777777">
        <w:trPr>
          <w:trHeight w:val="275"/>
        </w:trPr>
        <w:tc>
          <w:tcPr>
            <w:tcW w:w="3337" w:type="dxa"/>
            <w:tcBorders>
              <w:bottom w:val="single" w:sz="8" w:space="0" w:color="auto"/>
            </w:tcBorders>
          </w:tcPr>
          <w:p w14:paraId="5319CFFA" w14:textId="77777777" w:rsidR="00AE2255" w:rsidRDefault="00000000">
            <w:pPr>
              <w:pStyle w:val="TableParagraph"/>
              <w:spacing w:line="230" w:lineRule="exact"/>
              <w:ind w:left="187"/>
              <w:jc w:val="left"/>
              <w:rPr>
                <w:sz w:val="20"/>
              </w:rPr>
            </w:pPr>
            <w:r>
              <w:rPr>
                <w:spacing w:val="-2"/>
                <w:sz w:val="20"/>
              </w:rPr>
              <w:t>Other</w:t>
            </w:r>
          </w:p>
        </w:tc>
        <w:tc>
          <w:tcPr>
            <w:tcW w:w="1962" w:type="dxa"/>
            <w:tcBorders>
              <w:bottom w:val="single" w:sz="8" w:space="0" w:color="auto"/>
            </w:tcBorders>
          </w:tcPr>
          <w:p w14:paraId="204C8CE1" w14:textId="77777777" w:rsidR="00AE2255" w:rsidRDefault="00000000">
            <w:pPr>
              <w:pStyle w:val="TableParagraph"/>
              <w:spacing w:line="230" w:lineRule="exact"/>
              <w:ind w:right="113"/>
              <w:rPr>
                <w:b/>
                <w:sz w:val="20"/>
              </w:rPr>
            </w:pPr>
            <w:r>
              <w:rPr>
                <w:b/>
                <w:sz w:val="20"/>
              </w:rPr>
              <w:t>9</w:t>
            </w:r>
          </w:p>
        </w:tc>
        <w:tc>
          <w:tcPr>
            <w:tcW w:w="1254" w:type="dxa"/>
            <w:tcBorders>
              <w:bottom w:val="single" w:sz="8" w:space="0" w:color="auto"/>
            </w:tcBorders>
          </w:tcPr>
          <w:p w14:paraId="33C54C29" w14:textId="77777777" w:rsidR="00AE2255" w:rsidRDefault="00000000">
            <w:pPr>
              <w:pStyle w:val="TableParagraph"/>
              <w:spacing w:line="230" w:lineRule="exact"/>
              <w:ind w:right="72"/>
              <w:rPr>
                <w:b/>
                <w:sz w:val="20"/>
              </w:rPr>
            </w:pPr>
            <w:r>
              <w:rPr>
                <w:b/>
                <w:spacing w:val="-5"/>
                <w:sz w:val="20"/>
              </w:rPr>
              <w:t>(7)</w:t>
            </w:r>
          </w:p>
        </w:tc>
        <w:tc>
          <w:tcPr>
            <w:tcW w:w="1231" w:type="dxa"/>
            <w:tcBorders>
              <w:bottom w:val="single" w:sz="8" w:space="0" w:color="auto"/>
            </w:tcBorders>
          </w:tcPr>
          <w:p w14:paraId="3307921E" w14:textId="77777777" w:rsidR="00AE2255" w:rsidRDefault="00000000">
            <w:pPr>
              <w:pStyle w:val="TableParagraph"/>
              <w:spacing w:line="230" w:lineRule="exact"/>
              <w:ind w:right="73"/>
              <w:rPr>
                <w:b/>
                <w:sz w:val="20"/>
              </w:rPr>
            </w:pPr>
            <w:r>
              <w:rPr>
                <w:b/>
                <w:spacing w:val="-4"/>
                <w:sz w:val="20"/>
              </w:rPr>
              <w:t>(36)</w:t>
            </w:r>
          </w:p>
        </w:tc>
        <w:tc>
          <w:tcPr>
            <w:tcW w:w="1231" w:type="dxa"/>
            <w:tcBorders>
              <w:bottom w:val="single" w:sz="8" w:space="0" w:color="auto"/>
            </w:tcBorders>
          </w:tcPr>
          <w:p w14:paraId="447D5ED7" w14:textId="77777777" w:rsidR="00AE2255" w:rsidRDefault="00000000">
            <w:pPr>
              <w:pStyle w:val="TableParagraph"/>
              <w:spacing w:line="230" w:lineRule="exact"/>
              <w:ind w:right="74"/>
              <w:rPr>
                <w:b/>
                <w:sz w:val="20"/>
              </w:rPr>
            </w:pPr>
            <w:r>
              <w:rPr>
                <w:b/>
                <w:spacing w:val="-5"/>
                <w:sz w:val="20"/>
              </w:rPr>
              <w:t>(2)</w:t>
            </w:r>
          </w:p>
        </w:tc>
        <w:tc>
          <w:tcPr>
            <w:tcW w:w="1250" w:type="dxa"/>
            <w:tcBorders>
              <w:bottom w:val="single" w:sz="8" w:space="0" w:color="auto"/>
            </w:tcBorders>
          </w:tcPr>
          <w:p w14:paraId="18AC450F" w14:textId="77777777" w:rsidR="00AE2255" w:rsidRDefault="00000000">
            <w:pPr>
              <w:pStyle w:val="TableParagraph"/>
              <w:spacing w:line="230" w:lineRule="exact"/>
              <w:ind w:right="94"/>
              <w:rPr>
                <w:b/>
                <w:sz w:val="20"/>
              </w:rPr>
            </w:pPr>
            <w:r>
              <w:rPr>
                <w:b/>
                <w:spacing w:val="-4"/>
                <w:sz w:val="20"/>
              </w:rPr>
              <w:t>(36)</w:t>
            </w:r>
          </w:p>
        </w:tc>
      </w:tr>
      <w:tr w:rsidR="00AE2255" w14:paraId="2A313A3E" w14:textId="77777777">
        <w:trPr>
          <w:trHeight w:val="252"/>
        </w:trPr>
        <w:tc>
          <w:tcPr>
            <w:tcW w:w="3337" w:type="dxa"/>
            <w:tcBorders>
              <w:top w:val="single" w:sz="8" w:space="0" w:color="CCEDFF"/>
              <w:bottom w:val="single" w:sz="18" w:space="0" w:color="CCEDFF"/>
            </w:tcBorders>
            <w:shd w:val="clear" w:color="auto" w:fill="CCEDFF"/>
          </w:tcPr>
          <w:p w14:paraId="340A86C0" w14:textId="77777777" w:rsidR="00AE2255" w:rsidRDefault="00000000">
            <w:pPr>
              <w:pStyle w:val="TableParagraph"/>
              <w:spacing w:before="15" w:line="217"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2022</w:t>
            </w:r>
          </w:p>
        </w:tc>
        <w:tc>
          <w:tcPr>
            <w:tcW w:w="1962" w:type="dxa"/>
            <w:tcBorders>
              <w:top w:val="single" w:sz="8" w:space="0" w:color="CCEDFF"/>
              <w:bottom w:val="single" w:sz="18" w:space="0" w:color="CCEDFF"/>
            </w:tcBorders>
            <w:shd w:val="clear" w:color="auto" w:fill="CCEDFF"/>
          </w:tcPr>
          <w:p w14:paraId="12E036D0" w14:textId="77777777" w:rsidR="00AE2255" w:rsidRDefault="00000000">
            <w:pPr>
              <w:pStyle w:val="TableParagraph"/>
              <w:tabs>
                <w:tab w:val="left" w:pos="720"/>
              </w:tabs>
              <w:spacing w:before="15" w:line="217" w:lineRule="exact"/>
              <w:ind w:right="113"/>
              <w:rPr>
                <w:b/>
                <w:sz w:val="20"/>
              </w:rPr>
            </w:pPr>
            <w:r>
              <w:rPr>
                <w:b/>
                <w:spacing w:val="-10"/>
                <w:sz w:val="20"/>
              </w:rPr>
              <w:t>$</w:t>
            </w:r>
            <w:r>
              <w:rPr>
                <w:b/>
                <w:sz w:val="20"/>
              </w:rPr>
              <w:tab/>
            </w:r>
            <w:r>
              <w:rPr>
                <w:b/>
                <w:spacing w:val="-5"/>
                <w:sz w:val="20"/>
              </w:rPr>
              <w:t>196</w:t>
            </w:r>
          </w:p>
        </w:tc>
        <w:tc>
          <w:tcPr>
            <w:tcW w:w="1254" w:type="dxa"/>
            <w:tcBorders>
              <w:top w:val="single" w:sz="8" w:space="0" w:color="CCEDFF"/>
              <w:bottom w:val="single" w:sz="18" w:space="0" w:color="CCEDFF"/>
            </w:tcBorders>
            <w:shd w:val="clear" w:color="auto" w:fill="CCEDFF"/>
          </w:tcPr>
          <w:p w14:paraId="3EA392D8" w14:textId="77777777" w:rsidR="00AE2255" w:rsidRDefault="00000000">
            <w:pPr>
              <w:pStyle w:val="TableParagraph"/>
              <w:tabs>
                <w:tab w:val="left" w:pos="570"/>
              </w:tabs>
              <w:spacing w:before="15" w:line="217" w:lineRule="exact"/>
              <w:ind w:right="137"/>
              <w:rPr>
                <w:b/>
                <w:sz w:val="20"/>
              </w:rPr>
            </w:pPr>
            <w:r>
              <w:rPr>
                <w:b/>
                <w:spacing w:val="-10"/>
                <w:sz w:val="20"/>
              </w:rPr>
              <w:t>$</w:t>
            </w:r>
            <w:r>
              <w:rPr>
                <w:b/>
                <w:sz w:val="20"/>
              </w:rPr>
              <w:tab/>
            </w:r>
            <w:r>
              <w:rPr>
                <w:b/>
                <w:spacing w:val="-2"/>
                <w:sz w:val="20"/>
              </w:rPr>
              <w:t>2,083</w:t>
            </w:r>
          </w:p>
        </w:tc>
        <w:tc>
          <w:tcPr>
            <w:tcW w:w="1231" w:type="dxa"/>
            <w:tcBorders>
              <w:top w:val="single" w:sz="8" w:space="0" w:color="CCEDFF"/>
              <w:bottom w:val="single" w:sz="18" w:space="0" w:color="CCEDFF"/>
            </w:tcBorders>
            <w:shd w:val="clear" w:color="auto" w:fill="CCEDFF"/>
          </w:tcPr>
          <w:p w14:paraId="244534AC" w14:textId="77777777" w:rsidR="00AE2255" w:rsidRDefault="00000000">
            <w:pPr>
              <w:pStyle w:val="TableParagraph"/>
              <w:tabs>
                <w:tab w:val="left" w:pos="640"/>
              </w:tabs>
              <w:spacing w:before="15" w:line="217" w:lineRule="exact"/>
              <w:ind w:left="69"/>
              <w:jc w:val="left"/>
              <w:rPr>
                <w:b/>
                <w:sz w:val="20"/>
              </w:rPr>
            </w:pPr>
            <w:r>
              <w:rPr>
                <w:b/>
                <w:spacing w:val="-10"/>
                <w:sz w:val="20"/>
              </w:rPr>
              <w:t>$</w:t>
            </w:r>
            <w:r>
              <w:rPr>
                <w:b/>
                <w:sz w:val="20"/>
              </w:rPr>
              <w:tab/>
            </w:r>
            <w:r>
              <w:rPr>
                <w:b/>
                <w:spacing w:val="-2"/>
                <w:sz w:val="20"/>
              </w:rPr>
              <w:t>6,726</w:t>
            </w:r>
          </w:p>
        </w:tc>
        <w:tc>
          <w:tcPr>
            <w:tcW w:w="1231" w:type="dxa"/>
            <w:tcBorders>
              <w:top w:val="single" w:sz="8" w:space="0" w:color="CCEDFF"/>
              <w:bottom w:val="single" w:sz="18" w:space="0" w:color="CCEDFF"/>
            </w:tcBorders>
            <w:shd w:val="clear" w:color="auto" w:fill="CCEDFF"/>
          </w:tcPr>
          <w:p w14:paraId="0E0279E9" w14:textId="77777777" w:rsidR="00AE2255" w:rsidRDefault="00000000">
            <w:pPr>
              <w:pStyle w:val="TableParagraph"/>
              <w:tabs>
                <w:tab w:val="left" w:pos="639"/>
              </w:tabs>
              <w:spacing w:before="15" w:line="217" w:lineRule="exact"/>
              <w:ind w:left="68"/>
              <w:jc w:val="left"/>
              <w:rPr>
                <w:b/>
                <w:sz w:val="20"/>
              </w:rPr>
            </w:pPr>
            <w:r>
              <w:rPr>
                <w:b/>
                <w:spacing w:val="-10"/>
                <w:sz w:val="20"/>
              </w:rPr>
              <w:t>$</w:t>
            </w:r>
            <w:r>
              <w:rPr>
                <w:b/>
                <w:sz w:val="20"/>
              </w:rPr>
              <w:tab/>
            </w:r>
            <w:r>
              <w:rPr>
                <w:b/>
                <w:spacing w:val="-2"/>
                <w:sz w:val="20"/>
              </w:rPr>
              <w:t>1,775</w:t>
            </w:r>
          </w:p>
        </w:tc>
        <w:tc>
          <w:tcPr>
            <w:tcW w:w="1250" w:type="dxa"/>
            <w:tcBorders>
              <w:top w:val="single" w:sz="8" w:space="0" w:color="CCEDFF"/>
              <w:bottom w:val="single" w:sz="18" w:space="0" w:color="CCEDFF"/>
            </w:tcBorders>
            <w:shd w:val="clear" w:color="auto" w:fill="CCEDFF"/>
          </w:tcPr>
          <w:p w14:paraId="100BA7CE" w14:textId="77777777" w:rsidR="00AE2255" w:rsidRDefault="00000000">
            <w:pPr>
              <w:pStyle w:val="TableParagraph"/>
              <w:tabs>
                <w:tab w:val="left" w:pos="538"/>
              </w:tabs>
              <w:spacing w:before="15" w:line="217" w:lineRule="exact"/>
              <w:ind w:left="67"/>
              <w:jc w:val="left"/>
              <w:rPr>
                <w:b/>
                <w:sz w:val="20"/>
              </w:rPr>
            </w:pPr>
            <w:r>
              <w:rPr>
                <w:b/>
                <w:spacing w:val="-10"/>
                <w:sz w:val="20"/>
              </w:rPr>
              <w:t>$</w:t>
            </w:r>
            <w:r>
              <w:rPr>
                <w:b/>
                <w:sz w:val="20"/>
              </w:rPr>
              <w:tab/>
            </w:r>
            <w:r>
              <w:rPr>
                <w:b/>
                <w:spacing w:val="-2"/>
                <w:sz w:val="20"/>
              </w:rPr>
              <w:t>10,780</w:t>
            </w:r>
          </w:p>
        </w:tc>
      </w:tr>
    </w:tbl>
    <w:p w14:paraId="3D941D0A" w14:textId="77777777" w:rsidR="00AE2255" w:rsidRDefault="00AE2255">
      <w:pPr>
        <w:pStyle w:val="BodyText"/>
      </w:pPr>
    </w:p>
    <w:p w14:paraId="762ACB2B" w14:textId="77777777" w:rsidR="00AE2255" w:rsidRDefault="00000000">
      <w:pPr>
        <w:pStyle w:val="BodyText"/>
        <w:spacing w:after="30" w:line="249" w:lineRule="auto"/>
        <w:ind w:left="610" w:right="430" w:firstLine="360"/>
      </w:pPr>
      <w:r>
        <w:pict w14:anchorId="1B4A1611">
          <v:group id="docshapegroup41" o:spid="_x0000_s2180" style="position:absolute;left:0;text-align:left;margin-left:228pt;margin-top:40.15pt;width:164.25pt;height:1pt;z-index:-22636544;mso-position-horizontal-relative:page" coordorigin="4560,803" coordsize="3285,20">
            <v:shape id="docshape42" o:spid="_x0000_s2182" style="position:absolute;left:4560;top:813;width:3285;height:2" coordorigin="4560,813" coordsize="3285,0" path="m7845,813r-3285,e" fillcolor="black" stroked="f">
              <v:fill opacity="0"/>
              <v:path arrowok="t"/>
            </v:shape>
            <v:line id="_x0000_s2181" style="position:absolute" from="4560,813" to="7845,813" strokeweight="1pt"/>
            <w10:wrap anchorx="page"/>
          </v:group>
        </w:pict>
      </w:r>
      <w:r>
        <w:pict w14:anchorId="043D54E2">
          <v:group id="docshapegroup43" o:spid="_x0000_s2177" style="position:absolute;left:0;text-align:left;margin-left:398.25pt;margin-top:40.15pt;width:164.25pt;height:1pt;z-index:-22636032;mso-position-horizontal-relative:page" coordorigin="7965,803" coordsize="3285,20">
            <v:shape id="docshape44" o:spid="_x0000_s2179" style="position:absolute;left:7965;top:813;width:3285;height:2" coordorigin="7965,813" coordsize="3285,0" path="m11250,813r-3285,e" fillcolor="black" stroked="f">
              <v:fill opacity="0"/>
              <v:path arrowok="t"/>
            </v:shape>
            <v:line id="_x0000_s2178" style="position:absolute" from="7965,813" to="11250,813" strokeweight="1pt"/>
            <w10:wrap anchorx="page"/>
          </v:group>
        </w:pict>
      </w:r>
      <w:r>
        <w:t>The</w:t>
      </w:r>
      <w:r>
        <w:rPr>
          <w:spacing w:val="-4"/>
        </w:rPr>
        <w:t xml:space="preserve"> </w:t>
      </w:r>
      <w:r>
        <w:t>gross</w:t>
      </w:r>
      <w:r>
        <w:rPr>
          <w:spacing w:val="-4"/>
        </w:rPr>
        <w:t xml:space="preserve"> </w:t>
      </w:r>
      <w:r>
        <w:t>carrying</w:t>
      </w:r>
      <w:r>
        <w:rPr>
          <w:spacing w:val="-3"/>
        </w:rPr>
        <w:t xml:space="preserve"> </w:t>
      </w:r>
      <w:r>
        <w:t>amounts</w:t>
      </w:r>
      <w:r>
        <w:rPr>
          <w:spacing w:val="-4"/>
        </w:rPr>
        <w:t xml:space="preserve"> </w:t>
      </w:r>
      <w:r>
        <w:t>and</w:t>
      </w:r>
      <w:r>
        <w:rPr>
          <w:spacing w:val="-3"/>
        </w:rPr>
        <w:t xml:space="preserve"> </w:t>
      </w:r>
      <w:r>
        <w:t>accumulated</w:t>
      </w:r>
      <w:r>
        <w:rPr>
          <w:spacing w:val="-3"/>
        </w:rPr>
        <w:t xml:space="preserve"> </w:t>
      </w:r>
      <w:r>
        <w:t>amortization</w:t>
      </w:r>
      <w:r>
        <w:rPr>
          <w:spacing w:val="-3"/>
        </w:rPr>
        <w:t xml:space="preserve"> </w:t>
      </w:r>
      <w:r>
        <w:t>of</w:t>
      </w:r>
      <w:r>
        <w:rPr>
          <w:spacing w:val="-3"/>
        </w:rPr>
        <w:t xml:space="preserve"> </w:t>
      </w:r>
      <w:r>
        <w:t>our</w:t>
      </w:r>
      <w:r>
        <w:rPr>
          <w:spacing w:val="-3"/>
        </w:rPr>
        <w:t xml:space="preserve"> </w:t>
      </w:r>
      <w:r>
        <w:t>acquired</w:t>
      </w:r>
      <w:r>
        <w:rPr>
          <w:spacing w:val="-3"/>
        </w:rPr>
        <w:t xml:space="preserve"> </w:t>
      </w:r>
      <w:r>
        <w:t>intangible</w:t>
      </w:r>
      <w:r>
        <w:rPr>
          <w:spacing w:val="-4"/>
        </w:rPr>
        <w:t xml:space="preserve"> </w:t>
      </w:r>
      <w:r>
        <w:t>assets</w:t>
      </w:r>
      <w:r>
        <w:rPr>
          <w:spacing w:val="-4"/>
        </w:rPr>
        <w:t xml:space="preserve"> </w:t>
      </w:r>
      <w:r>
        <w:t>consisted</w:t>
      </w:r>
      <w:r>
        <w:rPr>
          <w:spacing w:val="-3"/>
        </w:rPr>
        <w:t xml:space="preserve"> </w:t>
      </w:r>
      <w:r>
        <w:t>of</w:t>
      </w:r>
      <w:r>
        <w:rPr>
          <w:spacing w:val="-3"/>
        </w:rPr>
        <w:t xml:space="preserve"> </w:t>
      </w:r>
      <w:r>
        <w:t>the</w:t>
      </w:r>
      <w:r>
        <w:rPr>
          <w:spacing w:val="-4"/>
        </w:rPr>
        <w:t xml:space="preserve"> </w:t>
      </w:r>
      <w:r>
        <w:t>following (useful life in years, $ in millions):</w:t>
      </w:r>
    </w:p>
    <w:tbl>
      <w:tblPr>
        <w:tblW w:w="0" w:type="auto"/>
        <w:tblInd w:w="617" w:type="dxa"/>
        <w:tblLayout w:type="fixed"/>
        <w:tblCellMar>
          <w:left w:w="0" w:type="dxa"/>
          <w:right w:w="0" w:type="dxa"/>
        </w:tblCellMar>
        <w:tblLook w:val="01E0" w:firstRow="1" w:lastRow="1" w:firstColumn="1" w:lastColumn="1" w:noHBand="0" w:noVBand="0"/>
      </w:tblPr>
      <w:tblGrid>
        <w:gridCol w:w="2564"/>
        <w:gridCol w:w="976"/>
        <w:gridCol w:w="994"/>
        <w:gridCol w:w="1342"/>
        <w:gridCol w:w="1042"/>
        <w:gridCol w:w="1023"/>
        <w:gridCol w:w="1342"/>
        <w:gridCol w:w="982"/>
      </w:tblGrid>
      <w:tr w:rsidR="00AE2255" w14:paraId="128BC745" w14:textId="77777777">
        <w:trPr>
          <w:trHeight w:val="950"/>
        </w:trPr>
        <w:tc>
          <w:tcPr>
            <w:tcW w:w="3540" w:type="dxa"/>
            <w:gridSpan w:val="2"/>
            <w:tcBorders>
              <w:bottom w:val="single" w:sz="8" w:space="0" w:color="000000"/>
            </w:tcBorders>
          </w:tcPr>
          <w:p w14:paraId="62C115D9" w14:textId="77777777" w:rsidR="00AE2255" w:rsidRDefault="00AE2255">
            <w:pPr>
              <w:pStyle w:val="TableParagraph"/>
              <w:spacing w:before="8"/>
              <w:jc w:val="left"/>
              <w:rPr>
                <w:sz w:val="28"/>
              </w:rPr>
            </w:pPr>
          </w:p>
          <w:p w14:paraId="24700EF5" w14:textId="77777777" w:rsidR="00AE2255" w:rsidRDefault="00000000">
            <w:pPr>
              <w:pStyle w:val="TableParagraph"/>
              <w:spacing w:before="0" w:line="200" w:lineRule="exact"/>
              <w:ind w:left="2589" w:right="82"/>
              <w:jc w:val="center"/>
              <w:rPr>
                <w:b/>
                <w:sz w:val="20"/>
              </w:rPr>
            </w:pPr>
            <w:r>
              <w:rPr>
                <w:b/>
                <w:spacing w:val="-2"/>
                <w:sz w:val="20"/>
              </w:rPr>
              <w:t>Estimated Useful Lives</w:t>
            </w:r>
          </w:p>
        </w:tc>
        <w:tc>
          <w:tcPr>
            <w:tcW w:w="994" w:type="dxa"/>
            <w:tcBorders>
              <w:bottom w:val="single" w:sz="8" w:space="0" w:color="000000"/>
            </w:tcBorders>
          </w:tcPr>
          <w:p w14:paraId="79FAA0C5" w14:textId="77777777" w:rsidR="00AE2255" w:rsidRDefault="00AE2255">
            <w:pPr>
              <w:pStyle w:val="TableParagraph"/>
              <w:spacing w:before="2"/>
              <w:jc w:val="left"/>
              <w:rPr>
                <w:sz w:val="28"/>
              </w:rPr>
            </w:pPr>
          </w:p>
          <w:p w14:paraId="1EF6A89E" w14:textId="77777777" w:rsidR="00AE2255" w:rsidRDefault="00000000">
            <w:pPr>
              <w:pStyle w:val="TableParagraph"/>
              <w:spacing w:before="0" w:line="208" w:lineRule="auto"/>
              <w:ind w:left="108" w:right="95" w:hanging="1"/>
              <w:jc w:val="center"/>
              <w:rPr>
                <w:b/>
                <w:sz w:val="20"/>
              </w:rPr>
            </w:pPr>
            <w:r>
              <w:rPr>
                <w:b/>
                <w:spacing w:val="-2"/>
                <w:sz w:val="20"/>
              </w:rPr>
              <w:t>Gross Carrying Amount</w:t>
            </w:r>
          </w:p>
        </w:tc>
        <w:tc>
          <w:tcPr>
            <w:tcW w:w="1342" w:type="dxa"/>
            <w:tcBorders>
              <w:bottom w:val="single" w:sz="8" w:space="0" w:color="000000"/>
            </w:tcBorders>
          </w:tcPr>
          <w:p w14:paraId="77AF8365" w14:textId="77777777" w:rsidR="00AE2255" w:rsidRDefault="00000000">
            <w:pPr>
              <w:pStyle w:val="TableParagraph"/>
              <w:ind w:left="464" w:right="450"/>
              <w:jc w:val="center"/>
              <w:rPr>
                <w:b/>
                <w:sz w:val="20"/>
              </w:rPr>
            </w:pPr>
            <w:r>
              <w:rPr>
                <w:b/>
                <w:spacing w:val="-4"/>
                <w:sz w:val="20"/>
              </w:rPr>
              <w:t>2022</w:t>
            </w:r>
          </w:p>
          <w:p w14:paraId="2350BD44" w14:textId="77777777" w:rsidR="00AE2255" w:rsidRDefault="00AE2255">
            <w:pPr>
              <w:pStyle w:val="TableParagraph"/>
              <w:spacing w:before="5"/>
              <w:jc w:val="left"/>
              <w:rPr>
                <w:sz w:val="23"/>
              </w:rPr>
            </w:pPr>
          </w:p>
          <w:p w14:paraId="6B79B20B" w14:textId="77777777" w:rsidR="00AE2255" w:rsidRDefault="00000000">
            <w:pPr>
              <w:pStyle w:val="TableParagraph"/>
              <w:spacing w:before="0" w:line="208" w:lineRule="auto"/>
              <w:ind w:left="106" w:right="89" w:hanging="1"/>
              <w:jc w:val="center"/>
              <w:rPr>
                <w:b/>
                <w:sz w:val="20"/>
              </w:rPr>
            </w:pPr>
            <w:r>
              <w:rPr>
                <w:b/>
                <w:spacing w:val="-2"/>
                <w:sz w:val="20"/>
              </w:rPr>
              <w:t>Accumulated Amortization</w:t>
            </w:r>
          </w:p>
        </w:tc>
        <w:tc>
          <w:tcPr>
            <w:tcW w:w="1042" w:type="dxa"/>
            <w:tcBorders>
              <w:bottom w:val="single" w:sz="8" w:space="0" w:color="000000"/>
              <w:right w:val="single" w:sz="8" w:space="0" w:color="000000"/>
            </w:tcBorders>
          </w:tcPr>
          <w:p w14:paraId="36B02FC1" w14:textId="77777777" w:rsidR="00AE2255" w:rsidRDefault="00AE2255">
            <w:pPr>
              <w:pStyle w:val="TableParagraph"/>
              <w:spacing w:before="2"/>
              <w:jc w:val="left"/>
              <w:rPr>
                <w:sz w:val="28"/>
              </w:rPr>
            </w:pPr>
          </w:p>
          <w:p w14:paraId="2024DE59" w14:textId="77777777" w:rsidR="00AE2255" w:rsidRDefault="00000000">
            <w:pPr>
              <w:pStyle w:val="TableParagraph"/>
              <w:spacing w:before="0" w:line="208" w:lineRule="auto"/>
              <w:ind w:left="112" w:right="129" w:hanging="1"/>
              <w:jc w:val="center"/>
              <w:rPr>
                <w:b/>
                <w:sz w:val="20"/>
              </w:rPr>
            </w:pPr>
            <w:r>
              <w:rPr>
                <w:b/>
                <w:spacing w:val="-4"/>
                <w:sz w:val="20"/>
              </w:rPr>
              <w:t xml:space="preserve">Net </w:t>
            </w:r>
            <w:r>
              <w:rPr>
                <w:b/>
                <w:spacing w:val="-2"/>
                <w:sz w:val="20"/>
              </w:rPr>
              <w:t>Carrying Amount</w:t>
            </w:r>
          </w:p>
        </w:tc>
        <w:tc>
          <w:tcPr>
            <w:tcW w:w="1023" w:type="dxa"/>
            <w:tcBorders>
              <w:left w:val="single" w:sz="8" w:space="0" w:color="000000"/>
              <w:bottom w:val="single" w:sz="8" w:space="0" w:color="000000"/>
            </w:tcBorders>
          </w:tcPr>
          <w:p w14:paraId="4172D100" w14:textId="77777777" w:rsidR="00AE2255" w:rsidRDefault="00AE2255">
            <w:pPr>
              <w:pStyle w:val="TableParagraph"/>
              <w:spacing w:before="2"/>
              <w:jc w:val="left"/>
              <w:rPr>
                <w:sz w:val="28"/>
              </w:rPr>
            </w:pPr>
          </w:p>
          <w:p w14:paraId="6CC8D094" w14:textId="77777777" w:rsidR="00AE2255" w:rsidRDefault="00000000">
            <w:pPr>
              <w:pStyle w:val="TableParagraph"/>
              <w:spacing w:before="0" w:line="208" w:lineRule="auto"/>
              <w:ind w:left="125" w:right="97" w:hanging="1"/>
              <w:jc w:val="center"/>
              <w:rPr>
                <w:b/>
                <w:sz w:val="20"/>
              </w:rPr>
            </w:pPr>
            <w:r>
              <w:rPr>
                <w:b/>
                <w:spacing w:val="-2"/>
                <w:sz w:val="20"/>
              </w:rPr>
              <w:t>Gross Carrying Amount</w:t>
            </w:r>
          </w:p>
        </w:tc>
        <w:tc>
          <w:tcPr>
            <w:tcW w:w="1342" w:type="dxa"/>
            <w:tcBorders>
              <w:bottom w:val="single" w:sz="8" w:space="0" w:color="000000"/>
            </w:tcBorders>
          </w:tcPr>
          <w:p w14:paraId="6EF6A6F6" w14:textId="77777777" w:rsidR="00AE2255" w:rsidRDefault="00000000">
            <w:pPr>
              <w:pStyle w:val="TableParagraph"/>
              <w:ind w:left="462" w:right="452"/>
              <w:jc w:val="center"/>
              <w:rPr>
                <w:b/>
                <w:sz w:val="20"/>
              </w:rPr>
            </w:pPr>
            <w:r>
              <w:rPr>
                <w:b/>
                <w:spacing w:val="-4"/>
                <w:sz w:val="20"/>
              </w:rPr>
              <w:t>2021</w:t>
            </w:r>
          </w:p>
          <w:p w14:paraId="07702C79" w14:textId="77777777" w:rsidR="00AE2255" w:rsidRDefault="00AE2255">
            <w:pPr>
              <w:pStyle w:val="TableParagraph"/>
              <w:spacing w:before="5"/>
              <w:jc w:val="left"/>
              <w:rPr>
                <w:sz w:val="23"/>
              </w:rPr>
            </w:pPr>
          </w:p>
          <w:p w14:paraId="7566D03B" w14:textId="77777777" w:rsidR="00AE2255" w:rsidRDefault="00000000">
            <w:pPr>
              <w:pStyle w:val="TableParagraph"/>
              <w:spacing w:before="0" w:line="208" w:lineRule="auto"/>
              <w:ind w:left="104" w:right="91" w:hanging="1"/>
              <w:jc w:val="center"/>
              <w:rPr>
                <w:b/>
                <w:sz w:val="20"/>
              </w:rPr>
            </w:pPr>
            <w:r>
              <w:rPr>
                <w:b/>
                <w:spacing w:val="-2"/>
                <w:sz w:val="20"/>
              </w:rPr>
              <w:t>Accumulated Amortization</w:t>
            </w:r>
          </w:p>
        </w:tc>
        <w:tc>
          <w:tcPr>
            <w:tcW w:w="982" w:type="dxa"/>
            <w:tcBorders>
              <w:bottom w:val="single" w:sz="8" w:space="0" w:color="000000"/>
            </w:tcBorders>
          </w:tcPr>
          <w:p w14:paraId="044F6312" w14:textId="77777777" w:rsidR="00AE2255" w:rsidRDefault="00AE2255">
            <w:pPr>
              <w:pStyle w:val="TableParagraph"/>
              <w:spacing w:before="2"/>
              <w:jc w:val="left"/>
              <w:rPr>
                <w:sz w:val="28"/>
              </w:rPr>
            </w:pPr>
          </w:p>
          <w:p w14:paraId="749851EC" w14:textId="77777777" w:rsidR="00AE2255" w:rsidRDefault="00000000">
            <w:pPr>
              <w:pStyle w:val="TableParagraph"/>
              <w:spacing w:before="0" w:line="208" w:lineRule="auto"/>
              <w:ind w:left="110" w:right="81" w:hanging="1"/>
              <w:jc w:val="center"/>
              <w:rPr>
                <w:b/>
                <w:sz w:val="20"/>
              </w:rPr>
            </w:pPr>
            <w:r>
              <w:rPr>
                <w:b/>
                <w:spacing w:val="-4"/>
                <w:sz w:val="20"/>
              </w:rPr>
              <w:t xml:space="preserve">Net </w:t>
            </w:r>
            <w:r>
              <w:rPr>
                <w:b/>
                <w:spacing w:val="-2"/>
                <w:sz w:val="20"/>
              </w:rPr>
              <w:t>Carrying Amount</w:t>
            </w:r>
          </w:p>
        </w:tc>
      </w:tr>
      <w:tr w:rsidR="00AE2255" w14:paraId="28352C23" w14:textId="77777777">
        <w:trPr>
          <w:trHeight w:val="275"/>
        </w:trPr>
        <w:tc>
          <w:tcPr>
            <w:tcW w:w="6918" w:type="dxa"/>
            <w:gridSpan w:val="5"/>
            <w:tcBorders>
              <w:top w:val="single" w:sz="8" w:space="0" w:color="000000"/>
              <w:right w:val="single" w:sz="8" w:space="0" w:color="000000"/>
            </w:tcBorders>
            <w:shd w:val="clear" w:color="auto" w:fill="CCEDFF"/>
          </w:tcPr>
          <w:p w14:paraId="17685159" w14:textId="77777777" w:rsidR="00AE2255" w:rsidRDefault="00000000">
            <w:pPr>
              <w:pStyle w:val="TableParagraph"/>
              <w:spacing w:before="17"/>
              <w:ind w:left="52"/>
              <w:jc w:val="left"/>
              <w:rPr>
                <w:sz w:val="20"/>
              </w:rPr>
            </w:pPr>
            <w:r>
              <w:rPr>
                <w:spacing w:val="-2"/>
                <w:sz w:val="20"/>
              </w:rPr>
              <w:t>Finite-Lived:</w:t>
            </w:r>
          </w:p>
        </w:tc>
        <w:tc>
          <w:tcPr>
            <w:tcW w:w="3347" w:type="dxa"/>
            <w:gridSpan w:val="3"/>
            <w:tcBorders>
              <w:top w:val="single" w:sz="8" w:space="0" w:color="000000"/>
              <w:left w:val="single" w:sz="8" w:space="0" w:color="000000"/>
            </w:tcBorders>
            <w:shd w:val="clear" w:color="auto" w:fill="CCEDFF"/>
          </w:tcPr>
          <w:p w14:paraId="18058E6A" w14:textId="77777777" w:rsidR="00AE2255" w:rsidRDefault="00AE2255">
            <w:pPr>
              <w:pStyle w:val="TableParagraph"/>
              <w:spacing w:before="0"/>
              <w:jc w:val="left"/>
              <w:rPr>
                <w:sz w:val="20"/>
              </w:rPr>
            </w:pPr>
          </w:p>
        </w:tc>
      </w:tr>
      <w:tr w:rsidR="00AE2255" w14:paraId="6531E40D" w14:textId="77777777">
        <w:trPr>
          <w:trHeight w:val="285"/>
        </w:trPr>
        <w:tc>
          <w:tcPr>
            <w:tcW w:w="2564" w:type="dxa"/>
          </w:tcPr>
          <w:p w14:paraId="1AEAF3F6" w14:textId="77777777" w:rsidR="00AE2255" w:rsidRDefault="00000000">
            <w:pPr>
              <w:pStyle w:val="TableParagraph"/>
              <w:spacing w:before="27"/>
              <w:ind w:left="187"/>
              <w:jc w:val="left"/>
              <w:rPr>
                <w:sz w:val="20"/>
              </w:rPr>
            </w:pPr>
            <w:r>
              <w:rPr>
                <w:sz w:val="20"/>
              </w:rPr>
              <w:t>Customer</w:t>
            </w:r>
            <w:r>
              <w:rPr>
                <w:spacing w:val="-5"/>
                <w:sz w:val="20"/>
              </w:rPr>
              <w:t xml:space="preserve"> </w:t>
            </w:r>
            <w:r>
              <w:rPr>
                <w:spacing w:val="-2"/>
                <w:sz w:val="20"/>
              </w:rPr>
              <w:t>programs</w:t>
            </w:r>
          </w:p>
        </w:tc>
        <w:tc>
          <w:tcPr>
            <w:tcW w:w="976" w:type="dxa"/>
          </w:tcPr>
          <w:p w14:paraId="429DF584" w14:textId="77777777" w:rsidR="00AE2255" w:rsidRDefault="00000000">
            <w:pPr>
              <w:pStyle w:val="TableParagraph"/>
              <w:spacing w:before="27"/>
              <w:ind w:left="225"/>
              <w:jc w:val="left"/>
              <w:rPr>
                <w:sz w:val="20"/>
              </w:rPr>
            </w:pPr>
            <w:r>
              <w:rPr>
                <w:sz w:val="20"/>
              </w:rPr>
              <w:t xml:space="preserve">9 - </w:t>
            </w:r>
            <w:r>
              <w:rPr>
                <w:spacing w:val="-5"/>
                <w:sz w:val="20"/>
              </w:rPr>
              <w:t>20</w:t>
            </w:r>
          </w:p>
        </w:tc>
        <w:tc>
          <w:tcPr>
            <w:tcW w:w="994" w:type="dxa"/>
          </w:tcPr>
          <w:p w14:paraId="40E097EE" w14:textId="77777777" w:rsidR="00AE2255" w:rsidRDefault="00000000">
            <w:pPr>
              <w:pStyle w:val="TableParagraph"/>
              <w:tabs>
                <w:tab w:val="left" w:pos="360"/>
              </w:tabs>
              <w:ind w:right="98"/>
              <w:rPr>
                <w:b/>
                <w:sz w:val="20"/>
              </w:rPr>
            </w:pPr>
            <w:r>
              <w:rPr>
                <w:b/>
                <w:spacing w:val="-10"/>
                <w:sz w:val="20"/>
              </w:rPr>
              <w:t>$</w:t>
            </w:r>
            <w:r>
              <w:rPr>
                <w:b/>
                <w:sz w:val="20"/>
              </w:rPr>
              <w:tab/>
            </w:r>
            <w:r>
              <w:rPr>
                <w:b/>
                <w:spacing w:val="-2"/>
                <w:sz w:val="20"/>
              </w:rPr>
              <w:t>3,186</w:t>
            </w:r>
          </w:p>
        </w:tc>
        <w:tc>
          <w:tcPr>
            <w:tcW w:w="1342" w:type="dxa"/>
          </w:tcPr>
          <w:p w14:paraId="03314A2D" w14:textId="77777777" w:rsidR="00AE2255" w:rsidRDefault="00000000">
            <w:pPr>
              <w:pStyle w:val="TableParagraph"/>
              <w:tabs>
                <w:tab w:val="left" w:pos="564"/>
              </w:tabs>
              <w:ind w:right="100"/>
              <w:rPr>
                <w:b/>
                <w:sz w:val="20"/>
              </w:rPr>
            </w:pPr>
            <w:r>
              <w:rPr>
                <w:b/>
                <w:spacing w:val="-10"/>
                <w:sz w:val="20"/>
              </w:rPr>
              <w:t>$</w:t>
            </w:r>
            <w:r>
              <w:rPr>
                <w:b/>
                <w:sz w:val="20"/>
              </w:rPr>
              <w:tab/>
            </w:r>
            <w:r>
              <w:rPr>
                <w:b/>
                <w:spacing w:val="-2"/>
                <w:sz w:val="20"/>
              </w:rPr>
              <w:t>(1,664)</w:t>
            </w:r>
          </w:p>
        </w:tc>
        <w:tc>
          <w:tcPr>
            <w:tcW w:w="1042" w:type="dxa"/>
            <w:tcBorders>
              <w:right w:val="single" w:sz="8" w:space="0" w:color="000000"/>
            </w:tcBorders>
          </w:tcPr>
          <w:p w14:paraId="14F7431E" w14:textId="77777777" w:rsidR="00AE2255" w:rsidRDefault="00000000">
            <w:pPr>
              <w:pStyle w:val="TableParagraph"/>
              <w:tabs>
                <w:tab w:val="left" w:pos="360"/>
              </w:tabs>
              <w:ind w:right="132"/>
              <w:rPr>
                <w:b/>
                <w:sz w:val="20"/>
              </w:rPr>
            </w:pPr>
            <w:r>
              <w:rPr>
                <w:b/>
                <w:spacing w:val="-10"/>
                <w:sz w:val="20"/>
              </w:rPr>
              <w:t>$</w:t>
            </w:r>
            <w:r>
              <w:rPr>
                <w:b/>
                <w:sz w:val="20"/>
              </w:rPr>
              <w:tab/>
            </w:r>
            <w:r>
              <w:rPr>
                <w:b/>
                <w:spacing w:val="-2"/>
                <w:sz w:val="20"/>
              </w:rPr>
              <w:t>1,522</w:t>
            </w:r>
          </w:p>
        </w:tc>
        <w:tc>
          <w:tcPr>
            <w:tcW w:w="1023" w:type="dxa"/>
            <w:tcBorders>
              <w:left w:val="single" w:sz="8" w:space="0" w:color="000000"/>
            </w:tcBorders>
          </w:tcPr>
          <w:p w14:paraId="6CD6942A" w14:textId="77777777" w:rsidR="00AE2255" w:rsidRDefault="00000000">
            <w:pPr>
              <w:pStyle w:val="TableParagraph"/>
              <w:tabs>
                <w:tab w:val="left" w:pos="360"/>
              </w:tabs>
              <w:ind w:right="100"/>
              <w:rPr>
                <w:sz w:val="20"/>
              </w:rPr>
            </w:pPr>
            <w:r>
              <w:rPr>
                <w:spacing w:val="-10"/>
                <w:sz w:val="20"/>
              </w:rPr>
              <w:t>$</w:t>
            </w:r>
            <w:r>
              <w:rPr>
                <w:sz w:val="20"/>
              </w:rPr>
              <w:tab/>
            </w:r>
            <w:r>
              <w:rPr>
                <w:spacing w:val="-2"/>
                <w:sz w:val="20"/>
              </w:rPr>
              <w:t>3,184</w:t>
            </w:r>
          </w:p>
        </w:tc>
        <w:tc>
          <w:tcPr>
            <w:tcW w:w="1342" w:type="dxa"/>
          </w:tcPr>
          <w:p w14:paraId="7EFEFDEC" w14:textId="77777777" w:rsidR="00AE2255" w:rsidRDefault="00000000">
            <w:pPr>
              <w:pStyle w:val="TableParagraph"/>
              <w:tabs>
                <w:tab w:val="left" w:pos="564"/>
              </w:tabs>
              <w:ind w:right="102"/>
              <w:rPr>
                <w:sz w:val="20"/>
              </w:rPr>
            </w:pPr>
            <w:r>
              <w:rPr>
                <w:spacing w:val="-10"/>
                <w:sz w:val="20"/>
              </w:rPr>
              <w:t>$</w:t>
            </w:r>
            <w:r>
              <w:rPr>
                <w:sz w:val="20"/>
              </w:rPr>
              <w:tab/>
            </w:r>
            <w:r>
              <w:rPr>
                <w:spacing w:val="-2"/>
                <w:sz w:val="20"/>
              </w:rPr>
              <w:t>(1,431)</w:t>
            </w:r>
          </w:p>
        </w:tc>
        <w:tc>
          <w:tcPr>
            <w:tcW w:w="982" w:type="dxa"/>
          </w:tcPr>
          <w:p w14:paraId="176051E1" w14:textId="77777777" w:rsidR="00AE2255" w:rsidRDefault="00000000">
            <w:pPr>
              <w:pStyle w:val="TableParagraph"/>
              <w:tabs>
                <w:tab w:val="left" w:pos="360"/>
              </w:tabs>
              <w:ind w:right="84"/>
              <w:rPr>
                <w:sz w:val="20"/>
              </w:rPr>
            </w:pPr>
            <w:r>
              <w:rPr>
                <w:spacing w:val="-10"/>
                <w:sz w:val="20"/>
              </w:rPr>
              <w:t>$</w:t>
            </w:r>
            <w:r>
              <w:rPr>
                <w:sz w:val="20"/>
              </w:rPr>
              <w:tab/>
            </w:r>
            <w:r>
              <w:rPr>
                <w:spacing w:val="-2"/>
                <w:sz w:val="20"/>
              </w:rPr>
              <w:t>1,753</w:t>
            </w:r>
          </w:p>
        </w:tc>
      </w:tr>
      <w:tr w:rsidR="00AE2255" w14:paraId="041AC2A6" w14:textId="77777777">
        <w:trPr>
          <w:trHeight w:val="285"/>
        </w:trPr>
        <w:tc>
          <w:tcPr>
            <w:tcW w:w="2564" w:type="dxa"/>
            <w:shd w:val="clear" w:color="auto" w:fill="CCEDFF"/>
          </w:tcPr>
          <w:p w14:paraId="4606B338" w14:textId="77777777" w:rsidR="00AE2255" w:rsidRDefault="00000000">
            <w:pPr>
              <w:pStyle w:val="TableParagraph"/>
              <w:spacing w:before="27"/>
              <w:ind w:left="187"/>
              <w:jc w:val="left"/>
              <w:rPr>
                <w:sz w:val="20"/>
              </w:rPr>
            </w:pPr>
            <w:r>
              <w:rPr>
                <w:sz w:val="20"/>
              </w:rPr>
              <w:t>Customer</w:t>
            </w:r>
            <w:r>
              <w:rPr>
                <w:spacing w:val="-5"/>
                <w:sz w:val="20"/>
              </w:rPr>
              <w:t xml:space="preserve"> </w:t>
            </w:r>
            <w:r>
              <w:rPr>
                <w:spacing w:val="-2"/>
                <w:sz w:val="20"/>
              </w:rPr>
              <w:t>relationships</w:t>
            </w:r>
          </w:p>
        </w:tc>
        <w:tc>
          <w:tcPr>
            <w:tcW w:w="976" w:type="dxa"/>
            <w:shd w:val="clear" w:color="auto" w:fill="CCEDFF"/>
          </w:tcPr>
          <w:p w14:paraId="0A1645C9" w14:textId="77777777" w:rsidR="00AE2255" w:rsidRDefault="00000000">
            <w:pPr>
              <w:pStyle w:val="TableParagraph"/>
              <w:spacing w:before="27"/>
              <w:ind w:left="225"/>
              <w:jc w:val="left"/>
              <w:rPr>
                <w:sz w:val="20"/>
              </w:rPr>
            </w:pPr>
            <w:r>
              <w:rPr>
                <w:sz w:val="20"/>
              </w:rPr>
              <w:t xml:space="preserve">4 - </w:t>
            </w:r>
            <w:r>
              <w:rPr>
                <w:spacing w:val="-5"/>
                <w:sz w:val="20"/>
              </w:rPr>
              <w:t>10</w:t>
            </w:r>
          </w:p>
        </w:tc>
        <w:tc>
          <w:tcPr>
            <w:tcW w:w="994" w:type="dxa"/>
            <w:shd w:val="clear" w:color="auto" w:fill="CCEDFF"/>
          </w:tcPr>
          <w:p w14:paraId="137FECB7" w14:textId="77777777" w:rsidR="00AE2255" w:rsidRDefault="00000000">
            <w:pPr>
              <w:pStyle w:val="TableParagraph"/>
              <w:ind w:right="98"/>
              <w:rPr>
                <w:b/>
                <w:sz w:val="20"/>
              </w:rPr>
            </w:pPr>
            <w:r>
              <w:rPr>
                <w:b/>
                <w:spacing w:val="-5"/>
                <w:sz w:val="20"/>
              </w:rPr>
              <w:t>94</w:t>
            </w:r>
          </w:p>
        </w:tc>
        <w:tc>
          <w:tcPr>
            <w:tcW w:w="1342" w:type="dxa"/>
            <w:shd w:val="clear" w:color="auto" w:fill="CCEDFF"/>
          </w:tcPr>
          <w:p w14:paraId="2DA8E0E7" w14:textId="77777777" w:rsidR="00AE2255" w:rsidRDefault="00000000">
            <w:pPr>
              <w:pStyle w:val="TableParagraph"/>
              <w:ind w:right="100"/>
              <w:rPr>
                <w:b/>
                <w:sz w:val="20"/>
              </w:rPr>
            </w:pPr>
            <w:r>
              <w:rPr>
                <w:b/>
                <w:spacing w:val="-4"/>
                <w:sz w:val="20"/>
              </w:rPr>
              <w:t>(78)</w:t>
            </w:r>
          </w:p>
        </w:tc>
        <w:tc>
          <w:tcPr>
            <w:tcW w:w="1042" w:type="dxa"/>
            <w:tcBorders>
              <w:right w:val="single" w:sz="8" w:space="0" w:color="000000"/>
            </w:tcBorders>
            <w:shd w:val="clear" w:color="auto" w:fill="CCEDFF"/>
          </w:tcPr>
          <w:p w14:paraId="42C8CF24" w14:textId="77777777" w:rsidR="00AE2255" w:rsidRDefault="00000000">
            <w:pPr>
              <w:pStyle w:val="TableParagraph"/>
              <w:ind w:right="132"/>
              <w:rPr>
                <w:b/>
                <w:sz w:val="20"/>
              </w:rPr>
            </w:pPr>
            <w:r>
              <w:rPr>
                <w:b/>
                <w:spacing w:val="-5"/>
                <w:sz w:val="20"/>
              </w:rPr>
              <w:t>16</w:t>
            </w:r>
          </w:p>
        </w:tc>
        <w:tc>
          <w:tcPr>
            <w:tcW w:w="1023" w:type="dxa"/>
            <w:tcBorders>
              <w:left w:val="single" w:sz="8" w:space="0" w:color="000000"/>
            </w:tcBorders>
            <w:shd w:val="clear" w:color="auto" w:fill="CCEDFF"/>
          </w:tcPr>
          <w:p w14:paraId="2CBF6E06" w14:textId="77777777" w:rsidR="00AE2255" w:rsidRDefault="00000000">
            <w:pPr>
              <w:pStyle w:val="TableParagraph"/>
              <w:ind w:right="100"/>
              <w:rPr>
                <w:sz w:val="20"/>
              </w:rPr>
            </w:pPr>
            <w:r>
              <w:rPr>
                <w:spacing w:val="-5"/>
                <w:sz w:val="20"/>
              </w:rPr>
              <w:t>120</w:t>
            </w:r>
          </w:p>
        </w:tc>
        <w:tc>
          <w:tcPr>
            <w:tcW w:w="1342" w:type="dxa"/>
            <w:shd w:val="clear" w:color="auto" w:fill="CCEDFF"/>
          </w:tcPr>
          <w:p w14:paraId="46EC9CC5" w14:textId="77777777" w:rsidR="00AE2255" w:rsidRDefault="00000000">
            <w:pPr>
              <w:pStyle w:val="TableParagraph"/>
              <w:ind w:right="102"/>
              <w:rPr>
                <w:sz w:val="20"/>
              </w:rPr>
            </w:pPr>
            <w:r>
              <w:rPr>
                <w:spacing w:val="-4"/>
                <w:sz w:val="20"/>
              </w:rPr>
              <w:t>(96)</w:t>
            </w:r>
          </w:p>
        </w:tc>
        <w:tc>
          <w:tcPr>
            <w:tcW w:w="982" w:type="dxa"/>
            <w:shd w:val="clear" w:color="auto" w:fill="CCEDFF"/>
          </w:tcPr>
          <w:p w14:paraId="7E46FB11" w14:textId="77777777" w:rsidR="00AE2255" w:rsidRDefault="00000000">
            <w:pPr>
              <w:pStyle w:val="TableParagraph"/>
              <w:ind w:right="84"/>
              <w:rPr>
                <w:sz w:val="20"/>
              </w:rPr>
            </w:pPr>
            <w:r>
              <w:rPr>
                <w:spacing w:val="-5"/>
                <w:sz w:val="20"/>
              </w:rPr>
              <w:t>24</w:t>
            </w:r>
          </w:p>
        </w:tc>
      </w:tr>
      <w:tr w:rsidR="00AE2255" w14:paraId="56ED355B" w14:textId="77777777">
        <w:trPr>
          <w:trHeight w:val="275"/>
        </w:trPr>
        <w:tc>
          <w:tcPr>
            <w:tcW w:w="2564" w:type="dxa"/>
            <w:tcBorders>
              <w:bottom w:val="single" w:sz="8" w:space="0" w:color="000000"/>
            </w:tcBorders>
          </w:tcPr>
          <w:p w14:paraId="11AA1D5E" w14:textId="77777777" w:rsidR="00AE2255" w:rsidRDefault="00000000">
            <w:pPr>
              <w:pStyle w:val="TableParagraph"/>
              <w:spacing w:before="27" w:line="228" w:lineRule="exact"/>
              <w:ind w:left="187"/>
              <w:jc w:val="left"/>
              <w:rPr>
                <w:sz w:val="20"/>
              </w:rPr>
            </w:pPr>
            <w:r>
              <w:rPr>
                <w:spacing w:val="-2"/>
                <w:sz w:val="20"/>
              </w:rPr>
              <w:t>Other</w:t>
            </w:r>
          </w:p>
        </w:tc>
        <w:tc>
          <w:tcPr>
            <w:tcW w:w="976" w:type="dxa"/>
            <w:tcBorders>
              <w:bottom w:val="single" w:sz="8" w:space="0" w:color="000000"/>
            </w:tcBorders>
          </w:tcPr>
          <w:p w14:paraId="4635686E" w14:textId="77777777" w:rsidR="00AE2255" w:rsidRDefault="00000000">
            <w:pPr>
              <w:pStyle w:val="TableParagraph"/>
              <w:spacing w:before="27" w:line="228" w:lineRule="exact"/>
              <w:ind w:left="225"/>
              <w:jc w:val="left"/>
              <w:rPr>
                <w:sz w:val="20"/>
              </w:rPr>
            </w:pPr>
            <w:r>
              <w:rPr>
                <w:sz w:val="20"/>
              </w:rPr>
              <w:t xml:space="preserve">3 - </w:t>
            </w:r>
            <w:r>
              <w:rPr>
                <w:spacing w:val="-5"/>
                <w:sz w:val="20"/>
              </w:rPr>
              <w:t>10</w:t>
            </w:r>
          </w:p>
        </w:tc>
        <w:tc>
          <w:tcPr>
            <w:tcW w:w="994" w:type="dxa"/>
            <w:tcBorders>
              <w:bottom w:val="single" w:sz="8" w:space="0" w:color="000000"/>
            </w:tcBorders>
          </w:tcPr>
          <w:p w14:paraId="09F4102B" w14:textId="77777777" w:rsidR="00AE2255" w:rsidRDefault="00000000">
            <w:pPr>
              <w:pStyle w:val="TableParagraph"/>
              <w:spacing w:line="230" w:lineRule="exact"/>
              <w:ind w:right="98"/>
              <w:rPr>
                <w:b/>
                <w:sz w:val="20"/>
              </w:rPr>
            </w:pPr>
            <w:r>
              <w:rPr>
                <w:b/>
                <w:spacing w:val="-5"/>
                <w:sz w:val="20"/>
              </w:rPr>
              <w:t>72</w:t>
            </w:r>
          </w:p>
        </w:tc>
        <w:tc>
          <w:tcPr>
            <w:tcW w:w="1342" w:type="dxa"/>
            <w:tcBorders>
              <w:bottom w:val="single" w:sz="8" w:space="0" w:color="000000"/>
            </w:tcBorders>
          </w:tcPr>
          <w:p w14:paraId="731CEAAE" w14:textId="77777777" w:rsidR="00AE2255" w:rsidRDefault="00000000">
            <w:pPr>
              <w:pStyle w:val="TableParagraph"/>
              <w:spacing w:line="230" w:lineRule="exact"/>
              <w:ind w:right="100"/>
              <w:rPr>
                <w:b/>
                <w:sz w:val="20"/>
              </w:rPr>
            </w:pPr>
            <w:r>
              <w:rPr>
                <w:b/>
                <w:spacing w:val="-4"/>
                <w:sz w:val="20"/>
              </w:rPr>
              <w:t>(38)</w:t>
            </w:r>
          </w:p>
        </w:tc>
        <w:tc>
          <w:tcPr>
            <w:tcW w:w="1042" w:type="dxa"/>
            <w:tcBorders>
              <w:bottom w:val="single" w:sz="8" w:space="0" w:color="000000"/>
              <w:right w:val="single" w:sz="8" w:space="0" w:color="000000"/>
            </w:tcBorders>
          </w:tcPr>
          <w:p w14:paraId="376403BB" w14:textId="77777777" w:rsidR="00AE2255" w:rsidRDefault="00000000">
            <w:pPr>
              <w:pStyle w:val="TableParagraph"/>
              <w:spacing w:line="230" w:lineRule="exact"/>
              <w:ind w:right="132"/>
              <w:rPr>
                <w:b/>
                <w:sz w:val="20"/>
              </w:rPr>
            </w:pPr>
            <w:r>
              <w:rPr>
                <w:b/>
                <w:spacing w:val="-5"/>
                <w:sz w:val="20"/>
              </w:rPr>
              <w:t>34</w:t>
            </w:r>
          </w:p>
        </w:tc>
        <w:tc>
          <w:tcPr>
            <w:tcW w:w="1023" w:type="dxa"/>
            <w:tcBorders>
              <w:left w:val="single" w:sz="8" w:space="0" w:color="000000"/>
              <w:bottom w:val="single" w:sz="8" w:space="0" w:color="000000"/>
            </w:tcBorders>
          </w:tcPr>
          <w:p w14:paraId="12EFF3C7" w14:textId="77777777" w:rsidR="00AE2255" w:rsidRDefault="00000000">
            <w:pPr>
              <w:pStyle w:val="TableParagraph"/>
              <w:spacing w:line="230" w:lineRule="exact"/>
              <w:ind w:right="100"/>
              <w:rPr>
                <w:sz w:val="20"/>
              </w:rPr>
            </w:pPr>
            <w:r>
              <w:rPr>
                <w:spacing w:val="-5"/>
                <w:sz w:val="20"/>
              </w:rPr>
              <w:t>76</w:t>
            </w:r>
          </w:p>
        </w:tc>
        <w:tc>
          <w:tcPr>
            <w:tcW w:w="1342" w:type="dxa"/>
            <w:tcBorders>
              <w:bottom w:val="single" w:sz="8" w:space="0" w:color="000000"/>
            </w:tcBorders>
          </w:tcPr>
          <w:p w14:paraId="1A67E0C7" w14:textId="77777777" w:rsidR="00AE2255" w:rsidRDefault="00000000">
            <w:pPr>
              <w:pStyle w:val="TableParagraph"/>
              <w:spacing w:line="230" w:lineRule="exact"/>
              <w:ind w:right="102"/>
              <w:rPr>
                <w:sz w:val="20"/>
              </w:rPr>
            </w:pPr>
            <w:r>
              <w:rPr>
                <w:spacing w:val="-4"/>
                <w:sz w:val="20"/>
              </w:rPr>
              <w:t>(34)</w:t>
            </w:r>
          </w:p>
        </w:tc>
        <w:tc>
          <w:tcPr>
            <w:tcW w:w="982" w:type="dxa"/>
            <w:tcBorders>
              <w:bottom w:val="single" w:sz="8" w:space="0" w:color="000000"/>
            </w:tcBorders>
          </w:tcPr>
          <w:p w14:paraId="1E26F0B6" w14:textId="77777777" w:rsidR="00AE2255" w:rsidRDefault="00000000">
            <w:pPr>
              <w:pStyle w:val="TableParagraph"/>
              <w:spacing w:line="230" w:lineRule="exact"/>
              <w:ind w:right="84"/>
              <w:rPr>
                <w:sz w:val="20"/>
              </w:rPr>
            </w:pPr>
            <w:r>
              <w:rPr>
                <w:spacing w:val="-5"/>
                <w:sz w:val="20"/>
              </w:rPr>
              <w:t>42</w:t>
            </w:r>
          </w:p>
        </w:tc>
      </w:tr>
      <w:tr w:rsidR="00AE2255" w14:paraId="41F24A89" w14:textId="77777777">
        <w:trPr>
          <w:trHeight w:val="265"/>
        </w:trPr>
        <w:tc>
          <w:tcPr>
            <w:tcW w:w="2564" w:type="dxa"/>
            <w:tcBorders>
              <w:top w:val="single" w:sz="8" w:space="0" w:color="000000"/>
              <w:bottom w:val="single" w:sz="8" w:space="0" w:color="000000"/>
            </w:tcBorders>
            <w:shd w:val="clear" w:color="auto" w:fill="CCEDFF"/>
          </w:tcPr>
          <w:p w14:paraId="6524C996" w14:textId="77777777" w:rsidR="00AE2255" w:rsidRDefault="00000000">
            <w:pPr>
              <w:pStyle w:val="TableParagraph"/>
              <w:spacing w:before="17" w:line="228" w:lineRule="exact"/>
              <w:ind w:left="52"/>
              <w:jc w:val="left"/>
              <w:rPr>
                <w:sz w:val="20"/>
              </w:rPr>
            </w:pPr>
            <w:r>
              <w:rPr>
                <w:sz w:val="20"/>
              </w:rPr>
              <w:t>Total</w:t>
            </w:r>
            <w:r>
              <w:rPr>
                <w:spacing w:val="-6"/>
                <w:sz w:val="20"/>
              </w:rPr>
              <w:t xml:space="preserve"> </w:t>
            </w:r>
            <w:r>
              <w:rPr>
                <w:sz w:val="20"/>
              </w:rPr>
              <w:t>finite-lived</w:t>
            </w:r>
            <w:r>
              <w:rPr>
                <w:spacing w:val="-5"/>
                <w:sz w:val="20"/>
              </w:rPr>
              <w:t xml:space="preserve"> </w:t>
            </w:r>
            <w:r>
              <w:rPr>
                <w:spacing w:val="-2"/>
                <w:sz w:val="20"/>
              </w:rPr>
              <w:t>intangibles</w:t>
            </w:r>
          </w:p>
        </w:tc>
        <w:tc>
          <w:tcPr>
            <w:tcW w:w="976" w:type="dxa"/>
            <w:tcBorders>
              <w:top w:val="single" w:sz="8" w:space="0" w:color="000000"/>
              <w:bottom w:val="single" w:sz="8" w:space="0" w:color="000000"/>
            </w:tcBorders>
            <w:shd w:val="clear" w:color="auto" w:fill="CCEDFF"/>
          </w:tcPr>
          <w:p w14:paraId="4F565E0D" w14:textId="77777777" w:rsidR="00AE2255" w:rsidRDefault="00AE2255">
            <w:pPr>
              <w:pStyle w:val="TableParagraph"/>
              <w:spacing w:before="0"/>
              <w:jc w:val="left"/>
              <w:rPr>
                <w:sz w:val="18"/>
              </w:rPr>
            </w:pPr>
          </w:p>
        </w:tc>
        <w:tc>
          <w:tcPr>
            <w:tcW w:w="994" w:type="dxa"/>
            <w:tcBorders>
              <w:top w:val="single" w:sz="8" w:space="0" w:color="000000"/>
              <w:bottom w:val="single" w:sz="8" w:space="0" w:color="000000"/>
            </w:tcBorders>
            <w:shd w:val="clear" w:color="auto" w:fill="CCEDFF"/>
          </w:tcPr>
          <w:p w14:paraId="3F62FB67" w14:textId="77777777" w:rsidR="00AE2255" w:rsidRDefault="00000000">
            <w:pPr>
              <w:pStyle w:val="TableParagraph"/>
              <w:spacing w:before="15" w:line="230" w:lineRule="exact"/>
              <w:ind w:right="98"/>
              <w:rPr>
                <w:b/>
                <w:sz w:val="20"/>
              </w:rPr>
            </w:pPr>
            <w:r>
              <w:rPr>
                <w:b/>
                <w:spacing w:val="-2"/>
                <w:sz w:val="20"/>
              </w:rPr>
              <w:t>3,352</w:t>
            </w:r>
          </w:p>
        </w:tc>
        <w:tc>
          <w:tcPr>
            <w:tcW w:w="1342" w:type="dxa"/>
            <w:tcBorders>
              <w:top w:val="single" w:sz="8" w:space="0" w:color="000000"/>
              <w:bottom w:val="single" w:sz="8" w:space="0" w:color="000000"/>
            </w:tcBorders>
            <w:shd w:val="clear" w:color="auto" w:fill="CCEDFF"/>
          </w:tcPr>
          <w:p w14:paraId="535380B9" w14:textId="77777777" w:rsidR="00AE2255" w:rsidRDefault="00000000">
            <w:pPr>
              <w:pStyle w:val="TableParagraph"/>
              <w:spacing w:before="15" w:line="230" w:lineRule="exact"/>
              <w:ind w:right="100"/>
              <w:rPr>
                <w:b/>
                <w:sz w:val="20"/>
              </w:rPr>
            </w:pPr>
            <w:r>
              <w:rPr>
                <w:b/>
                <w:spacing w:val="-2"/>
                <w:sz w:val="20"/>
              </w:rPr>
              <w:t>(1,780)</w:t>
            </w:r>
          </w:p>
        </w:tc>
        <w:tc>
          <w:tcPr>
            <w:tcW w:w="1042" w:type="dxa"/>
            <w:tcBorders>
              <w:top w:val="single" w:sz="8" w:space="0" w:color="000000"/>
              <w:bottom w:val="single" w:sz="8" w:space="0" w:color="000000"/>
              <w:right w:val="single" w:sz="8" w:space="0" w:color="000000"/>
            </w:tcBorders>
            <w:shd w:val="clear" w:color="auto" w:fill="CCEDFF"/>
          </w:tcPr>
          <w:p w14:paraId="457E1F09" w14:textId="77777777" w:rsidR="00AE2255" w:rsidRDefault="00000000">
            <w:pPr>
              <w:pStyle w:val="TableParagraph"/>
              <w:spacing w:before="15" w:line="230" w:lineRule="exact"/>
              <w:ind w:right="132"/>
              <w:rPr>
                <w:b/>
                <w:sz w:val="20"/>
              </w:rPr>
            </w:pPr>
            <w:r>
              <w:rPr>
                <w:b/>
                <w:spacing w:val="-2"/>
                <w:sz w:val="20"/>
              </w:rPr>
              <w:t>1,572</w:t>
            </w:r>
          </w:p>
        </w:tc>
        <w:tc>
          <w:tcPr>
            <w:tcW w:w="1023" w:type="dxa"/>
            <w:tcBorders>
              <w:top w:val="single" w:sz="8" w:space="0" w:color="000000"/>
              <w:left w:val="single" w:sz="8" w:space="0" w:color="000000"/>
              <w:bottom w:val="single" w:sz="8" w:space="0" w:color="000000"/>
            </w:tcBorders>
            <w:shd w:val="clear" w:color="auto" w:fill="CCEDFF"/>
          </w:tcPr>
          <w:p w14:paraId="12797058" w14:textId="77777777" w:rsidR="00AE2255" w:rsidRDefault="00000000">
            <w:pPr>
              <w:pStyle w:val="TableParagraph"/>
              <w:spacing w:before="15" w:line="230" w:lineRule="exact"/>
              <w:ind w:right="100"/>
              <w:rPr>
                <w:sz w:val="20"/>
              </w:rPr>
            </w:pPr>
            <w:r>
              <w:rPr>
                <w:spacing w:val="-2"/>
                <w:sz w:val="20"/>
              </w:rPr>
              <w:t>3,380</w:t>
            </w:r>
          </w:p>
        </w:tc>
        <w:tc>
          <w:tcPr>
            <w:tcW w:w="1342" w:type="dxa"/>
            <w:tcBorders>
              <w:top w:val="single" w:sz="8" w:space="0" w:color="000000"/>
              <w:bottom w:val="single" w:sz="8" w:space="0" w:color="000000"/>
            </w:tcBorders>
            <w:shd w:val="clear" w:color="auto" w:fill="CCEDFF"/>
          </w:tcPr>
          <w:p w14:paraId="57D78BCD" w14:textId="77777777" w:rsidR="00AE2255" w:rsidRDefault="00000000">
            <w:pPr>
              <w:pStyle w:val="TableParagraph"/>
              <w:spacing w:before="15" w:line="230" w:lineRule="exact"/>
              <w:ind w:right="102"/>
              <w:rPr>
                <w:sz w:val="20"/>
              </w:rPr>
            </w:pPr>
            <w:r>
              <w:rPr>
                <w:spacing w:val="-2"/>
                <w:sz w:val="20"/>
              </w:rPr>
              <w:t>(1,561)</w:t>
            </w:r>
          </w:p>
        </w:tc>
        <w:tc>
          <w:tcPr>
            <w:tcW w:w="982" w:type="dxa"/>
            <w:tcBorders>
              <w:top w:val="single" w:sz="8" w:space="0" w:color="000000"/>
              <w:bottom w:val="single" w:sz="8" w:space="0" w:color="000000"/>
            </w:tcBorders>
            <w:shd w:val="clear" w:color="auto" w:fill="CCEDFF"/>
          </w:tcPr>
          <w:p w14:paraId="031B1B48" w14:textId="77777777" w:rsidR="00AE2255" w:rsidRDefault="00000000">
            <w:pPr>
              <w:pStyle w:val="TableParagraph"/>
              <w:spacing w:before="15" w:line="230" w:lineRule="exact"/>
              <w:ind w:right="84"/>
              <w:rPr>
                <w:sz w:val="20"/>
              </w:rPr>
            </w:pPr>
            <w:r>
              <w:rPr>
                <w:spacing w:val="-2"/>
                <w:sz w:val="20"/>
              </w:rPr>
              <w:t>1,819</w:t>
            </w:r>
          </w:p>
        </w:tc>
      </w:tr>
      <w:tr w:rsidR="00AE2255" w14:paraId="5466FD62" w14:textId="77777777">
        <w:trPr>
          <w:trHeight w:val="275"/>
        </w:trPr>
        <w:tc>
          <w:tcPr>
            <w:tcW w:w="6918" w:type="dxa"/>
            <w:gridSpan w:val="5"/>
            <w:tcBorders>
              <w:top w:val="single" w:sz="8" w:space="0" w:color="000000"/>
              <w:right w:val="single" w:sz="8" w:space="0" w:color="000000"/>
            </w:tcBorders>
          </w:tcPr>
          <w:p w14:paraId="07223827" w14:textId="77777777" w:rsidR="00AE2255" w:rsidRDefault="00000000">
            <w:pPr>
              <w:pStyle w:val="TableParagraph"/>
              <w:spacing w:before="17"/>
              <w:ind w:left="52"/>
              <w:jc w:val="left"/>
              <w:rPr>
                <w:sz w:val="20"/>
              </w:rPr>
            </w:pPr>
            <w:r>
              <w:rPr>
                <w:spacing w:val="-2"/>
                <w:sz w:val="20"/>
              </w:rPr>
              <w:t>Indefinite-Lived:</w:t>
            </w:r>
          </w:p>
        </w:tc>
        <w:tc>
          <w:tcPr>
            <w:tcW w:w="3347" w:type="dxa"/>
            <w:gridSpan w:val="3"/>
            <w:tcBorders>
              <w:top w:val="single" w:sz="8" w:space="0" w:color="000000"/>
              <w:left w:val="single" w:sz="8" w:space="0" w:color="000000"/>
            </w:tcBorders>
          </w:tcPr>
          <w:p w14:paraId="46D0D422" w14:textId="77777777" w:rsidR="00AE2255" w:rsidRDefault="00AE2255">
            <w:pPr>
              <w:pStyle w:val="TableParagraph"/>
              <w:spacing w:before="0"/>
              <w:jc w:val="left"/>
              <w:rPr>
                <w:sz w:val="20"/>
              </w:rPr>
            </w:pPr>
          </w:p>
        </w:tc>
      </w:tr>
      <w:tr w:rsidR="00AE2255" w14:paraId="1AD9503E" w14:textId="77777777">
        <w:trPr>
          <w:trHeight w:val="275"/>
        </w:trPr>
        <w:tc>
          <w:tcPr>
            <w:tcW w:w="2564" w:type="dxa"/>
            <w:tcBorders>
              <w:bottom w:val="single" w:sz="8" w:space="0" w:color="000000"/>
            </w:tcBorders>
            <w:shd w:val="clear" w:color="auto" w:fill="CCEDFF"/>
          </w:tcPr>
          <w:p w14:paraId="0E137B10" w14:textId="77777777" w:rsidR="00AE2255" w:rsidRDefault="00000000">
            <w:pPr>
              <w:pStyle w:val="TableParagraph"/>
              <w:spacing w:before="27" w:line="228" w:lineRule="exact"/>
              <w:ind w:left="187"/>
              <w:jc w:val="left"/>
              <w:rPr>
                <w:sz w:val="20"/>
              </w:rPr>
            </w:pPr>
            <w:r>
              <w:rPr>
                <w:spacing w:val="-2"/>
                <w:sz w:val="20"/>
              </w:rPr>
              <w:t>Trademark</w:t>
            </w:r>
          </w:p>
        </w:tc>
        <w:tc>
          <w:tcPr>
            <w:tcW w:w="976" w:type="dxa"/>
            <w:tcBorders>
              <w:bottom w:val="single" w:sz="8" w:space="0" w:color="000000"/>
            </w:tcBorders>
            <w:shd w:val="clear" w:color="auto" w:fill="CCEDFF"/>
          </w:tcPr>
          <w:p w14:paraId="1C64BBDA" w14:textId="77777777" w:rsidR="00AE2255" w:rsidRDefault="00AE2255">
            <w:pPr>
              <w:pStyle w:val="TableParagraph"/>
              <w:spacing w:before="0"/>
              <w:jc w:val="left"/>
              <w:rPr>
                <w:sz w:val="20"/>
              </w:rPr>
            </w:pPr>
          </w:p>
        </w:tc>
        <w:tc>
          <w:tcPr>
            <w:tcW w:w="994" w:type="dxa"/>
            <w:tcBorders>
              <w:bottom w:val="single" w:sz="8" w:space="0" w:color="000000"/>
            </w:tcBorders>
            <w:shd w:val="clear" w:color="auto" w:fill="CCEDFF"/>
          </w:tcPr>
          <w:p w14:paraId="5F876605" w14:textId="77777777" w:rsidR="00AE2255" w:rsidRDefault="00000000">
            <w:pPr>
              <w:pStyle w:val="TableParagraph"/>
              <w:spacing w:line="230" w:lineRule="exact"/>
              <w:ind w:right="98"/>
              <w:rPr>
                <w:b/>
                <w:sz w:val="20"/>
              </w:rPr>
            </w:pPr>
            <w:r>
              <w:rPr>
                <w:b/>
                <w:spacing w:val="-5"/>
                <w:sz w:val="20"/>
              </w:rPr>
              <w:t>887</w:t>
            </w:r>
          </w:p>
        </w:tc>
        <w:tc>
          <w:tcPr>
            <w:tcW w:w="1342" w:type="dxa"/>
            <w:tcBorders>
              <w:bottom w:val="single" w:sz="8" w:space="0" w:color="000000"/>
            </w:tcBorders>
            <w:shd w:val="clear" w:color="auto" w:fill="CCEDFF"/>
          </w:tcPr>
          <w:p w14:paraId="6861C720" w14:textId="77777777" w:rsidR="00AE2255" w:rsidRDefault="00000000">
            <w:pPr>
              <w:pStyle w:val="TableParagraph"/>
              <w:spacing w:line="230" w:lineRule="exact"/>
              <w:ind w:right="165"/>
              <w:rPr>
                <w:b/>
                <w:sz w:val="20"/>
              </w:rPr>
            </w:pPr>
            <w:r>
              <w:rPr>
                <w:b/>
                <w:sz w:val="20"/>
              </w:rPr>
              <w:t>—</w:t>
            </w:r>
          </w:p>
        </w:tc>
        <w:tc>
          <w:tcPr>
            <w:tcW w:w="1042" w:type="dxa"/>
            <w:tcBorders>
              <w:bottom w:val="single" w:sz="8" w:space="0" w:color="000000"/>
              <w:right w:val="single" w:sz="8" w:space="0" w:color="000000"/>
            </w:tcBorders>
            <w:shd w:val="clear" w:color="auto" w:fill="CCEDFF"/>
          </w:tcPr>
          <w:p w14:paraId="0A20F364" w14:textId="77777777" w:rsidR="00AE2255" w:rsidRDefault="00000000">
            <w:pPr>
              <w:pStyle w:val="TableParagraph"/>
              <w:spacing w:line="230" w:lineRule="exact"/>
              <w:ind w:right="132"/>
              <w:rPr>
                <w:b/>
                <w:sz w:val="20"/>
              </w:rPr>
            </w:pPr>
            <w:r>
              <w:rPr>
                <w:b/>
                <w:spacing w:val="-5"/>
                <w:sz w:val="20"/>
              </w:rPr>
              <w:t>887</w:t>
            </w:r>
          </w:p>
        </w:tc>
        <w:tc>
          <w:tcPr>
            <w:tcW w:w="1023" w:type="dxa"/>
            <w:tcBorders>
              <w:left w:val="single" w:sz="8" w:space="0" w:color="000000"/>
              <w:bottom w:val="single" w:sz="8" w:space="0" w:color="000000"/>
            </w:tcBorders>
            <w:shd w:val="clear" w:color="auto" w:fill="CCEDFF"/>
          </w:tcPr>
          <w:p w14:paraId="2D25F1DC" w14:textId="77777777" w:rsidR="00AE2255" w:rsidRDefault="00000000">
            <w:pPr>
              <w:pStyle w:val="TableParagraph"/>
              <w:spacing w:line="230" w:lineRule="exact"/>
              <w:ind w:right="100"/>
              <w:rPr>
                <w:sz w:val="20"/>
              </w:rPr>
            </w:pPr>
            <w:r>
              <w:rPr>
                <w:spacing w:val="-5"/>
                <w:sz w:val="20"/>
              </w:rPr>
              <w:t>887</w:t>
            </w:r>
          </w:p>
        </w:tc>
        <w:tc>
          <w:tcPr>
            <w:tcW w:w="1342" w:type="dxa"/>
            <w:tcBorders>
              <w:bottom w:val="single" w:sz="8" w:space="0" w:color="000000"/>
            </w:tcBorders>
            <w:shd w:val="clear" w:color="auto" w:fill="CCEDFF"/>
          </w:tcPr>
          <w:p w14:paraId="23BC570C" w14:textId="77777777" w:rsidR="00AE2255" w:rsidRDefault="00000000">
            <w:pPr>
              <w:pStyle w:val="TableParagraph"/>
              <w:spacing w:line="230" w:lineRule="exact"/>
              <w:ind w:right="167"/>
              <w:rPr>
                <w:sz w:val="20"/>
              </w:rPr>
            </w:pPr>
            <w:r>
              <w:rPr>
                <w:sz w:val="20"/>
              </w:rPr>
              <w:t>—</w:t>
            </w:r>
          </w:p>
        </w:tc>
        <w:tc>
          <w:tcPr>
            <w:tcW w:w="982" w:type="dxa"/>
            <w:tcBorders>
              <w:bottom w:val="single" w:sz="8" w:space="0" w:color="000000"/>
            </w:tcBorders>
            <w:shd w:val="clear" w:color="auto" w:fill="CCEDFF"/>
          </w:tcPr>
          <w:p w14:paraId="0B641DD6" w14:textId="77777777" w:rsidR="00AE2255" w:rsidRDefault="00000000">
            <w:pPr>
              <w:pStyle w:val="TableParagraph"/>
              <w:spacing w:line="230" w:lineRule="exact"/>
              <w:ind w:right="84"/>
              <w:rPr>
                <w:sz w:val="20"/>
              </w:rPr>
            </w:pPr>
            <w:r>
              <w:rPr>
                <w:spacing w:val="-5"/>
                <w:sz w:val="20"/>
              </w:rPr>
              <w:t>887</w:t>
            </w:r>
          </w:p>
        </w:tc>
      </w:tr>
      <w:tr w:rsidR="00AE2255" w14:paraId="5FA799C3" w14:textId="77777777">
        <w:trPr>
          <w:trHeight w:val="252"/>
        </w:trPr>
        <w:tc>
          <w:tcPr>
            <w:tcW w:w="2564" w:type="dxa"/>
            <w:tcBorders>
              <w:top w:val="single" w:sz="8" w:space="0" w:color="000000"/>
              <w:bottom w:val="single" w:sz="18" w:space="0" w:color="000000"/>
            </w:tcBorders>
          </w:tcPr>
          <w:p w14:paraId="1DE82887" w14:textId="77777777" w:rsidR="00AE2255" w:rsidRDefault="00000000">
            <w:pPr>
              <w:pStyle w:val="TableParagraph"/>
              <w:spacing w:before="17" w:line="216" w:lineRule="exact"/>
              <w:ind w:left="52"/>
              <w:jc w:val="left"/>
              <w:rPr>
                <w:sz w:val="20"/>
              </w:rPr>
            </w:pPr>
            <w:r>
              <w:rPr>
                <w:sz w:val="20"/>
              </w:rPr>
              <w:t>Total</w:t>
            </w:r>
            <w:r>
              <w:rPr>
                <w:spacing w:val="-5"/>
                <w:sz w:val="20"/>
              </w:rPr>
              <w:t xml:space="preserve"> </w:t>
            </w:r>
            <w:r>
              <w:rPr>
                <w:sz w:val="20"/>
              </w:rPr>
              <w:t>acquired</w:t>
            </w:r>
            <w:r>
              <w:rPr>
                <w:spacing w:val="-3"/>
                <w:sz w:val="20"/>
              </w:rPr>
              <w:t xml:space="preserve"> </w:t>
            </w:r>
            <w:r>
              <w:rPr>
                <w:spacing w:val="-2"/>
                <w:sz w:val="20"/>
              </w:rPr>
              <w:t>intangibles</w:t>
            </w:r>
          </w:p>
        </w:tc>
        <w:tc>
          <w:tcPr>
            <w:tcW w:w="976" w:type="dxa"/>
            <w:tcBorders>
              <w:top w:val="single" w:sz="8" w:space="0" w:color="000000"/>
              <w:bottom w:val="single" w:sz="18" w:space="0" w:color="000000"/>
            </w:tcBorders>
          </w:tcPr>
          <w:p w14:paraId="6E6779E3" w14:textId="77777777" w:rsidR="00AE2255" w:rsidRDefault="00AE2255">
            <w:pPr>
              <w:pStyle w:val="TableParagraph"/>
              <w:spacing w:before="0"/>
              <w:jc w:val="left"/>
              <w:rPr>
                <w:sz w:val="18"/>
              </w:rPr>
            </w:pPr>
          </w:p>
        </w:tc>
        <w:tc>
          <w:tcPr>
            <w:tcW w:w="994" w:type="dxa"/>
            <w:tcBorders>
              <w:top w:val="single" w:sz="8" w:space="0" w:color="000000"/>
              <w:bottom w:val="single" w:sz="18" w:space="0" w:color="000000"/>
            </w:tcBorders>
          </w:tcPr>
          <w:p w14:paraId="12BBF82C" w14:textId="77777777" w:rsidR="00AE2255" w:rsidRDefault="00000000">
            <w:pPr>
              <w:pStyle w:val="TableParagraph"/>
              <w:tabs>
                <w:tab w:val="left" w:pos="360"/>
              </w:tabs>
              <w:spacing w:before="15" w:line="217" w:lineRule="exact"/>
              <w:ind w:right="98"/>
              <w:rPr>
                <w:b/>
                <w:sz w:val="20"/>
              </w:rPr>
            </w:pPr>
            <w:r>
              <w:rPr>
                <w:b/>
                <w:spacing w:val="-10"/>
                <w:sz w:val="20"/>
              </w:rPr>
              <w:t>$</w:t>
            </w:r>
            <w:r>
              <w:rPr>
                <w:b/>
                <w:sz w:val="20"/>
              </w:rPr>
              <w:tab/>
            </w:r>
            <w:r>
              <w:rPr>
                <w:b/>
                <w:spacing w:val="-2"/>
                <w:sz w:val="20"/>
              </w:rPr>
              <w:t>4,239</w:t>
            </w:r>
          </w:p>
        </w:tc>
        <w:tc>
          <w:tcPr>
            <w:tcW w:w="1342" w:type="dxa"/>
            <w:tcBorders>
              <w:top w:val="single" w:sz="8" w:space="0" w:color="000000"/>
              <w:bottom w:val="single" w:sz="18" w:space="0" w:color="000000"/>
            </w:tcBorders>
          </w:tcPr>
          <w:p w14:paraId="502C6974" w14:textId="77777777" w:rsidR="00AE2255" w:rsidRDefault="00000000">
            <w:pPr>
              <w:pStyle w:val="TableParagraph"/>
              <w:tabs>
                <w:tab w:val="left" w:pos="564"/>
              </w:tabs>
              <w:spacing w:before="15" w:line="217" w:lineRule="exact"/>
              <w:ind w:right="100"/>
              <w:rPr>
                <w:b/>
                <w:sz w:val="20"/>
              </w:rPr>
            </w:pPr>
            <w:r>
              <w:rPr>
                <w:b/>
                <w:spacing w:val="-10"/>
                <w:sz w:val="20"/>
              </w:rPr>
              <w:t>$</w:t>
            </w:r>
            <w:r>
              <w:rPr>
                <w:b/>
                <w:sz w:val="20"/>
              </w:rPr>
              <w:tab/>
            </w:r>
            <w:r>
              <w:rPr>
                <w:b/>
                <w:spacing w:val="-2"/>
                <w:sz w:val="20"/>
              </w:rPr>
              <w:t>(1,780)</w:t>
            </w:r>
          </w:p>
        </w:tc>
        <w:tc>
          <w:tcPr>
            <w:tcW w:w="1042" w:type="dxa"/>
            <w:tcBorders>
              <w:top w:val="single" w:sz="8" w:space="0" w:color="000000"/>
              <w:bottom w:val="single" w:sz="18" w:space="0" w:color="000000"/>
              <w:right w:val="single" w:sz="8" w:space="0" w:color="000000"/>
            </w:tcBorders>
          </w:tcPr>
          <w:p w14:paraId="52D66D31" w14:textId="77777777" w:rsidR="00AE2255" w:rsidRDefault="00000000">
            <w:pPr>
              <w:pStyle w:val="TableParagraph"/>
              <w:tabs>
                <w:tab w:val="left" w:pos="360"/>
              </w:tabs>
              <w:spacing w:before="15" w:line="217" w:lineRule="exact"/>
              <w:ind w:right="132"/>
              <w:rPr>
                <w:b/>
                <w:sz w:val="20"/>
              </w:rPr>
            </w:pPr>
            <w:r>
              <w:rPr>
                <w:b/>
                <w:spacing w:val="-10"/>
                <w:sz w:val="20"/>
              </w:rPr>
              <w:t>$</w:t>
            </w:r>
            <w:r>
              <w:rPr>
                <w:b/>
                <w:sz w:val="20"/>
              </w:rPr>
              <w:tab/>
            </w:r>
            <w:r>
              <w:rPr>
                <w:b/>
                <w:spacing w:val="-2"/>
                <w:sz w:val="20"/>
              </w:rPr>
              <w:t>2,459</w:t>
            </w:r>
          </w:p>
        </w:tc>
        <w:tc>
          <w:tcPr>
            <w:tcW w:w="1023" w:type="dxa"/>
            <w:tcBorders>
              <w:top w:val="single" w:sz="8" w:space="0" w:color="000000"/>
              <w:left w:val="single" w:sz="8" w:space="0" w:color="000000"/>
              <w:bottom w:val="single" w:sz="18" w:space="0" w:color="000000"/>
            </w:tcBorders>
          </w:tcPr>
          <w:p w14:paraId="0727D9C7" w14:textId="77777777" w:rsidR="00AE2255" w:rsidRDefault="00000000">
            <w:pPr>
              <w:pStyle w:val="TableParagraph"/>
              <w:tabs>
                <w:tab w:val="left" w:pos="360"/>
              </w:tabs>
              <w:spacing w:before="15" w:line="217" w:lineRule="exact"/>
              <w:ind w:right="100"/>
              <w:rPr>
                <w:sz w:val="20"/>
              </w:rPr>
            </w:pPr>
            <w:r>
              <w:rPr>
                <w:spacing w:val="-10"/>
                <w:sz w:val="20"/>
              </w:rPr>
              <w:t>$</w:t>
            </w:r>
            <w:r>
              <w:rPr>
                <w:sz w:val="20"/>
              </w:rPr>
              <w:tab/>
            </w:r>
            <w:r>
              <w:rPr>
                <w:spacing w:val="-2"/>
                <w:sz w:val="20"/>
              </w:rPr>
              <w:t>4,267</w:t>
            </w:r>
          </w:p>
        </w:tc>
        <w:tc>
          <w:tcPr>
            <w:tcW w:w="1342" w:type="dxa"/>
            <w:tcBorders>
              <w:top w:val="single" w:sz="8" w:space="0" w:color="000000"/>
              <w:bottom w:val="single" w:sz="18" w:space="0" w:color="000000"/>
            </w:tcBorders>
          </w:tcPr>
          <w:p w14:paraId="1EDA6D21" w14:textId="77777777" w:rsidR="00AE2255" w:rsidRDefault="00000000">
            <w:pPr>
              <w:pStyle w:val="TableParagraph"/>
              <w:tabs>
                <w:tab w:val="left" w:pos="564"/>
              </w:tabs>
              <w:spacing w:before="15" w:line="217" w:lineRule="exact"/>
              <w:ind w:right="102"/>
              <w:rPr>
                <w:sz w:val="20"/>
              </w:rPr>
            </w:pPr>
            <w:r>
              <w:rPr>
                <w:spacing w:val="-10"/>
                <w:sz w:val="20"/>
              </w:rPr>
              <w:t>$</w:t>
            </w:r>
            <w:r>
              <w:rPr>
                <w:sz w:val="20"/>
              </w:rPr>
              <w:tab/>
            </w:r>
            <w:r>
              <w:rPr>
                <w:spacing w:val="-2"/>
                <w:sz w:val="20"/>
              </w:rPr>
              <w:t>(1,561)</w:t>
            </w:r>
          </w:p>
        </w:tc>
        <w:tc>
          <w:tcPr>
            <w:tcW w:w="982" w:type="dxa"/>
            <w:tcBorders>
              <w:top w:val="single" w:sz="8" w:space="0" w:color="000000"/>
              <w:bottom w:val="single" w:sz="18" w:space="0" w:color="000000"/>
            </w:tcBorders>
          </w:tcPr>
          <w:p w14:paraId="3C99498E" w14:textId="77777777" w:rsidR="00AE2255" w:rsidRDefault="00000000">
            <w:pPr>
              <w:pStyle w:val="TableParagraph"/>
              <w:tabs>
                <w:tab w:val="left" w:pos="360"/>
              </w:tabs>
              <w:spacing w:before="15" w:line="217" w:lineRule="exact"/>
              <w:ind w:right="84"/>
              <w:rPr>
                <w:sz w:val="20"/>
              </w:rPr>
            </w:pPr>
            <w:r>
              <w:rPr>
                <w:spacing w:val="-10"/>
                <w:sz w:val="20"/>
              </w:rPr>
              <w:t>$</w:t>
            </w:r>
            <w:r>
              <w:rPr>
                <w:sz w:val="20"/>
              </w:rPr>
              <w:tab/>
            </w:r>
            <w:r>
              <w:rPr>
                <w:spacing w:val="-2"/>
                <w:sz w:val="20"/>
              </w:rPr>
              <w:t>2,706</w:t>
            </w:r>
          </w:p>
        </w:tc>
      </w:tr>
    </w:tbl>
    <w:p w14:paraId="3BC2AB20" w14:textId="77777777" w:rsidR="00AE2255" w:rsidRDefault="00AE2255">
      <w:pPr>
        <w:pStyle w:val="BodyText"/>
        <w:spacing w:before="8"/>
        <w:rPr>
          <w:sz w:val="21"/>
        </w:rPr>
      </w:pPr>
    </w:p>
    <w:p w14:paraId="362BC9EF" w14:textId="77777777" w:rsidR="00AE2255" w:rsidRDefault="00000000">
      <w:pPr>
        <w:pStyle w:val="BodyText"/>
        <w:spacing w:line="249" w:lineRule="auto"/>
        <w:ind w:left="610" w:right="157" w:firstLine="360"/>
      </w:pPr>
      <w:r>
        <w:t>Acquired</w:t>
      </w:r>
      <w:r>
        <w:rPr>
          <w:spacing w:val="32"/>
        </w:rPr>
        <w:t xml:space="preserve"> </w:t>
      </w:r>
      <w:r>
        <w:t>finite-lived</w:t>
      </w:r>
      <w:r>
        <w:rPr>
          <w:spacing w:val="32"/>
        </w:rPr>
        <w:t xml:space="preserve"> </w:t>
      </w:r>
      <w:r>
        <w:t>intangible</w:t>
      </w:r>
      <w:r>
        <w:rPr>
          <w:spacing w:val="32"/>
        </w:rPr>
        <w:t xml:space="preserve"> </w:t>
      </w:r>
      <w:r>
        <w:t>assets</w:t>
      </w:r>
      <w:r>
        <w:rPr>
          <w:spacing w:val="32"/>
        </w:rPr>
        <w:t xml:space="preserve"> </w:t>
      </w:r>
      <w:r>
        <w:t>are</w:t>
      </w:r>
      <w:r>
        <w:rPr>
          <w:spacing w:val="32"/>
        </w:rPr>
        <w:t xml:space="preserve"> </w:t>
      </w:r>
      <w:r>
        <w:t>amortized</w:t>
      </w:r>
      <w:r>
        <w:rPr>
          <w:spacing w:val="32"/>
        </w:rPr>
        <w:t xml:space="preserve"> </w:t>
      </w:r>
      <w:r>
        <w:t>to</w:t>
      </w:r>
      <w:r>
        <w:rPr>
          <w:spacing w:val="32"/>
        </w:rPr>
        <w:t xml:space="preserve"> </w:t>
      </w:r>
      <w:r>
        <w:t>expense</w:t>
      </w:r>
      <w:r>
        <w:rPr>
          <w:spacing w:val="32"/>
        </w:rPr>
        <w:t xml:space="preserve"> </w:t>
      </w:r>
      <w:r>
        <w:t>primarily</w:t>
      </w:r>
      <w:r>
        <w:rPr>
          <w:spacing w:val="32"/>
        </w:rPr>
        <w:t xml:space="preserve"> </w:t>
      </w:r>
      <w:r>
        <w:t>on</w:t>
      </w:r>
      <w:r>
        <w:rPr>
          <w:spacing w:val="32"/>
        </w:rPr>
        <w:t xml:space="preserve"> </w:t>
      </w:r>
      <w:r>
        <w:t>a</w:t>
      </w:r>
      <w:r>
        <w:rPr>
          <w:spacing w:val="32"/>
        </w:rPr>
        <w:t xml:space="preserve"> </w:t>
      </w:r>
      <w:r>
        <w:t>straight-line</w:t>
      </w:r>
      <w:r>
        <w:rPr>
          <w:spacing w:val="32"/>
        </w:rPr>
        <w:t xml:space="preserve"> </w:t>
      </w:r>
      <w:r>
        <w:t>basis</w:t>
      </w:r>
      <w:r>
        <w:rPr>
          <w:spacing w:val="32"/>
        </w:rPr>
        <w:t xml:space="preserve"> </w:t>
      </w:r>
      <w:r>
        <w:t>over</w:t>
      </w:r>
      <w:r>
        <w:rPr>
          <w:spacing w:val="32"/>
        </w:rPr>
        <w:t xml:space="preserve"> </w:t>
      </w:r>
      <w:r>
        <w:t>their</w:t>
      </w:r>
      <w:r>
        <w:rPr>
          <w:spacing w:val="32"/>
        </w:rPr>
        <w:t xml:space="preserve"> </w:t>
      </w:r>
      <w:r>
        <w:t>estimated useful lives.</w:t>
      </w:r>
    </w:p>
    <w:p w14:paraId="48EEB176" w14:textId="77777777" w:rsidR="00AE2255" w:rsidRDefault="00AE2255">
      <w:pPr>
        <w:pStyle w:val="BodyText"/>
        <w:spacing w:before="6"/>
        <w:rPr>
          <w:sz w:val="17"/>
        </w:rPr>
      </w:pPr>
    </w:p>
    <w:p w14:paraId="081ADB54" w14:textId="77777777" w:rsidR="00AE2255" w:rsidRDefault="00000000">
      <w:pPr>
        <w:pStyle w:val="BodyText"/>
        <w:spacing w:line="249" w:lineRule="auto"/>
        <w:ind w:left="610" w:right="560" w:firstLine="360"/>
        <w:jc w:val="both"/>
      </w:pPr>
      <w:r>
        <w:t>Amortization</w:t>
      </w:r>
      <w:r>
        <w:rPr>
          <w:spacing w:val="-3"/>
        </w:rPr>
        <w:t xml:space="preserve"> </w:t>
      </w:r>
      <w:r>
        <w:t>expense</w:t>
      </w:r>
      <w:r>
        <w:rPr>
          <w:spacing w:val="-4"/>
        </w:rPr>
        <w:t xml:space="preserve"> </w:t>
      </w:r>
      <w:r>
        <w:t>for</w:t>
      </w:r>
      <w:r>
        <w:rPr>
          <w:spacing w:val="-3"/>
        </w:rPr>
        <w:t xml:space="preserve"> </w:t>
      </w:r>
      <w:r>
        <w:t>acquired</w:t>
      </w:r>
      <w:r>
        <w:rPr>
          <w:spacing w:val="-3"/>
        </w:rPr>
        <w:t xml:space="preserve"> </w:t>
      </w:r>
      <w:r>
        <w:t>finite-lived</w:t>
      </w:r>
      <w:r>
        <w:rPr>
          <w:spacing w:val="-3"/>
        </w:rPr>
        <w:t xml:space="preserve"> </w:t>
      </w:r>
      <w:r>
        <w:t>intangible</w:t>
      </w:r>
      <w:r>
        <w:rPr>
          <w:spacing w:val="-4"/>
        </w:rPr>
        <w:t xml:space="preserve"> </w:t>
      </w:r>
      <w:r>
        <w:t>assets</w:t>
      </w:r>
      <w:r>
        <w:rPr>
          <w:spacing w:val="-4"/>
        </w:rPr>
        <w:t xml:space="preserve"> </w:t>
      </w:r>
      <w:r>
        <w:t>was</w:t>
      </w:r>
      <w:r>
        <w:rPr>
          <w:spacing w:val="-4"/>
        </w:rPr>
        <w:t xml:space="preserve"> </w:t>
      </w:r>
      <w:r>
        <w:t>$248</w:t>
      </w:r>
      <w:r>
        <w:rPr>
          <w:spacing w:val="-3"/>
        </w:rPr>
        <w:t xml:space="preserve"> </w:t>
      </w:r>
      <w:r>
        <w:t>million,</w:t>
      </w:r>
      <w:r>
        <w:rPr>
          <w:spacing w:val="-3"/>
        </w:rPr>
        <w:t xml:space="preserve"> </w:t>
      </w:r>
      <w:r>
        <w:t>$285</w:t>
      </w:r>
      <w:r>
        <w:rPr>
          <w:spacing w:val="-3"/>
        </w:rPr>
        <w:t xml:space="preserve"> </w:t>
      </w:r>
      <w:proofErr w:type="gramStart"/>
      <w:r>
        <w:t>million</w:t>
      </w:r>
      <w:proofErr w:type="gramEnd"/>
      <w:r>
        <w:rPr>
          <w:spacing w:val="-3"/>
        </w:rPr>
        <w:t xml:space="preserve"> </w:t>
      </w:r>
      <w:r>
        <w:t>and</w:t>
      </w:r>
      <w:r>
        <w:rPr>
          <w:spacing w:val="-3"/>
        </w:rPr>
        <w:t xml:space="preserve"> </w:t>
      </w:r>
      <w:r>
        <w:t>$271</w:t>
      </w:r>
      <w:r>
        <w:rPr>
          <w:spacing w:val="-3"/>
        </w:rPr>
        <w:t xml:space="preserve"> </w:t>
      </w:r>
      <w:r>
        <w:t>million</w:t>
      </w:r>
      <w:r>
        <w:rPr>
          <w:spacing w:val="-3"/>
        </w:rPr>
        <w:t xml:space="preserve"> </w:t>
      </w:r>
      <w:r>
        <w:t>in</w:t>
      </w:r>
      <w:r>
        <w:rPr>
          <w:spacing w:val="-3"/>
        </w:rPr>
        <w:t xml:space="preserve"> </w:t>
      </w:r>
      <w:r>
        <w:t>2022, 2021</w:t>
      </w:r>
      <w:r>
        <w:rPr>
          <w:spacing w:val="-2"/>
        </w:rPr>
        <w:t xml:space="preserve"> </w:t>
      </w:r>
      <w:r>
        <w:t>and</w:t>
      </w:r>
      <w:r>
        <w:rPr>
          <w:spacing w:val="-2"/>
        </w:rPr>
        <w:t xml:space="preserve"> </w:t>
      </w:r>
      <w:r>
        <w:t>2020.</w:t>
      </w:r>
      <w:r>
        <w:rPr>
          <w:spacing w:val="-2"/>
        </w:rPr>
        <w:t xml:space="preserve"> </w:t>
      </w:r>
      <w:r>
        <w:t>Estimated</w:t>
      </w:r>
      <w:r>
        <w:rPr>
          <w:spacing w:val="-2"/>
        </w:rPr>
        <w:t xml:space="preserve"> </w:t>
      </w:r>
      <w:r>
        <w:t>future</w:t>
      </w:r>
      <w:r>
        <w:rPr>
          <w:spacing w:val="-3"/>
        </w:rPr>
        <w:t xml:space="preserve"> </w:t>
      </w:r>
      <w:r>
        <w:t>amortization</w:t>
      </w:r>
      <w:r>
        <w:rPr>
          <w:spacing w:val="-2"/>
        </w:rPr>
        <w:t xml:space="preserve"> </w:t>
      </w:r>
      <w:r>
        <w:t>expense</w:t>
      </w:r>
      <w:r>
        <w:rPr>
          <w:spacing w:val="-3"/>
        </w:rPr>
        <w:t xml:space="preserve"> </w:t>
      </w:r>
      <w:r>
        <w:t>is</w:t>
      </w:r>
      <w:r>
        <w:rPr>
          <w:spacing w:val="-3"/>
        </w:rPr>
        <w:t xml:space="preserve"> </w:t>
      </w:r>
      <w:r>
        <w:t>as</w:t>
      </w:r>
      <w:r>
        <w:rPr>
          <w:spacing w:val="-3"/>
        </w:rPr>
        <w:t xml:space="preserve"> </w:t>
      </w:r>
      <w:r>
        <w:t>follows:</w:t>
      </w:r>
      <w:r>
        <w:rPr>
          <w:spacing w:val="-3"/>
        </w:rPr>
        <w:t xml:space="preserve"> </w:t>
      </w:r>
      <w:r>
        <w:t>$248</w:t>
      </w:r>
      <w:r>
        <w:rPr>
          <w:spacing w:val="-2"/>
        </w:rPr>
        <w:t xml:space="preserve"> </w:t>
      </w:r>
      <w:r>
        <w:t>million</w:t>
      </w:r>
      <w:r>
        <w:rPr>
          <w:spacing w:val="-2"/>
        </w:rPr>
        <w:t xml:space="preserve"> </w:t>
      </w:r>
      <w:r>
        <w:t>in</w:t>
      </w:r>
      <w:r>
        <w:rPr>
          <w:spacing w:val="-2"/>
        </w:rPr>
        <w:t xml:space="preserve"> </w:t>
      </w:r>
      <w:r>
        <w:t>2023;</w:t>
      </w:r>
      <w:r>
        <w:rPr>
          <w:spacing w:val="-3"/>
        </w:rPr>
        <w:t xml:space="preserve"> </w:t>
      </w:r>
      <w:r>
        <w:t>$244</w:t>
      </w:r>
      <w:r>
        <w:rPr>
          <w:spacing w:val="-2"/>
        </w:rPr>
        <w:t xml:space="preserve"> </w:t>
      </w:r>
      <w:r>
        <w:t>million</w:t>
      </w:r>
      <w:r>
        <w:rPr>
          <w:spacing w:val="-2"/>
        </w:rPr>
        <w:t xml:space="preserve"> </w:t>
      </w:r>
      <w:r>
        <w:t>in</w:t>
      </w:r>
      <w:r>
        <w:rPr>
          <w:spacing w:val="-2"/>
        </w:rPr>
        <w:t xml:space="preserve"> </w:t>
      </w:r>
      <w:r>
        <w:t>2024;</w:t>
      </w:r>
      <w:r>
        <w:rPr>
          <w:spacing w:val="-3"/>
        </w:rPr>
        <w:t xml:space="preserve"> </w:t>
      </w:r>
      <w:r>
        <w:t>$220</w:t>
      </w:r>
      <w:r>
        <w:rPr>
          <w:spacing w:val="-2"/>
        </w:rPr>
        <w:t xml:space="preserve"> </w:t>
      </w:r>
      <w:r>
        <w:t>million in 2025; $154 million in 2026; and $153 million in 2027.</w:t>
      </w:r>
    </w:p>
    <w:p w14:paraId="095CE8BB" w14:textId="77777777" w:rsidR="00AE2255" w:rsidRDefault="00AE2255">
      <w:pPr>
        <w:spacing w:line="249" w:lineRule="auto"/>
        <w:jc w:val="both"/>
        <w:sectPr w:rsidR="00AE2255">
          <w:pgSz w:w="12240" w:h="15840"/>
          <w:pgMar w:top="440" w:right="560" w:bottom="720" w:left="380" w:header="230" w:footer="531" w:gutter="0"/>
          <w:cols w:space="720"/>
        </w:sectPr>
      </w:pPr>
    </w:p>
    <w:p w14:paraId="4C58FEC9" w14:textId="77777777" w:rsidR="00AE2255" w:rsidRDefault="00AE2255">
      <w:pPr>
        <w:pStyle w:val="BodyText"/>
        <w:spacing w:before="7"/>
        <w:rPr>
          <w:sz w:val="22"/>
        </w:rPr>
      </w:pPr>
    </w:p>
    <w:p w14:paraId="0D334F59" w14:textId="77777777" w:rsidR="00AE2255" w:rsidRDefault="00000000">
      <w:pPr>
        <w:pStyle w:val="Heading2"/>
        <w:spacing w:before="92"/>
        <w:jc w:val="both"/>
      </w:pPr>
      <w:bookmarkStart w:id="55" w:name="Note_8_-_Leases"/>
      <w:bookmarkEnd w:id="55"/>
      <w:r>
        <w:t>Note</w:t>
      </w:r>
      <w:r>
        <w:rPr>
          <w:spacing w:val="-2"/>
        </w:rPr>
        <w:t xml:space="preserve"> </w:t>
      </w:r>
      <w:r>
        <w:t xml:space="preserve">8 – </w:t>
      </w:r>
      <w:r>
        <w:rPr>
          <w:spacing w:val="-2"/>
        </w:rPr>
        <w:t>Leases</w:t>
      </w:r>
    </w:p>
    <w:p w14:paraId="0477B325" w14:textId="77777777" w:rsidR="00AE2255" w:rsidRDefault="00AE2255">
      <w:pPr>
        <w:pStyle w:val="BodyText"/>
        <w:spacing w:before="6"/>
        <w:rPr>
          <w:b/>
          <w:sz w:val="18"/>
        </w:rPr>
      </w:pPr>
    </w:p>
    <w:p w14:paraId="7F20538D" w14:textId="77777777" w:rsidR="00AE2255" w:rsidRDefault="00000000">
      <w:pPr>
        <w:pStyle w:val="BodyText"/>
        <w:ind w:left="970"/>
        <w:jc w:val="both"/>
      </w:pPr>
      <w:r>
        <w:t>We</w:t>
      </w:r>
      <w:r>
        <w:rPr>
          <w:spacing w:val="-4"/>
        </w:rPr>
        <w:t xml:space="preserve"> </w:t>
      </w:r>
      <w:r>
        <w:t>generally</w:t>
      </w:r>
      <w:r>
        <w:rPr>
          <w:spacing w:val="-2"/>
        </w:rPr>
        <w:t xml:space="preserve"> </w:t>
      </w:r>
      <w:r>
        <w:t>enter</w:t>
      </w:r>
      <w:r>
        <w:rPr>
          <w:spacing w:val="-3"/>
        </w:rPr>
        <w:t xml:space="preserve"> </w:t>
      </w:r>
      <w:r>
        <w:t>into</w:t>
      </w:r>
      <w:r>
        <w:rPr>
          <w:spacing w:val="-2"/>
        </w:rPr>
        <w:t xml:space="preserve"> </w:t>
      </w:r>
      <w:r>
        <w:t>operating</w:t>
      </w:r>
      <w:r>
        <w:rPr>
          <w:spacing w:val="-3"/>
        </w:rPr>
        <w:t xml:space="preserve"> </w:t>
      </w:r>
      <w:r>
        <w:t>lease</w:t>
      </w:r>
      <w:r>
        <w:rPr>
          <w:spacing w:val="-3"/>
        </w:rPr>
        <w:t xml:space="preserve"> </w:t>
      </w:r>
      <w:r>
        <w:t>agreements</w:t>
      </w:r>
      <w:r>
        <w:rPr>
          <w:spacing w:val="-3"/>
        </w:rPr>
        <w:t xml:space="preserve"> </w:t>
      </w:r>
      <w:r>
        <w:t>for</w:t>
      </w:r>
      <w:r>
        <w:rPr>
          <w:spacing w:val="-3"/>
        </w:rPr>
        <w:t xml:space="preserve"> </w:t>
      </w:r>
      <w:r>
        <w:t>facilities,</w:t>
      </w:r>
      <w:r>
        <w:rPr>
          <w:spacing w:val="-2"/>
        </w:rPr>
        <w:t xml:space="preserve"> </w:t>
      </w:r>
      <w:proofErr w:type="gramStart"/>
      <w:r>
        <w:t>land</w:t>
      </w:r>
      <w:proofErr w:type="gramEnd"/>
      <w:r>
        <w:rPr>
          <w:spacing w:val="-3"/>
        </w:rPr>
        <w:t xml:space="preserve"> </w:t>
      </w:r>
      <w:r>
        <w:t>and</w:t>
      </w:r>
      <w:r>
        <w:rPr>
          <w:spacing w:val="-2"/>
        </w:rPr>
        <w:t xml:space="preserve"> </w:t>
      </w:r>
      <w:r>
        <w:t>equipment.</w:t>
      </w:r>
      <w:r>
        <w:rPr>
          <w:spacing w:val="-3"/>
        </w:rPr>
        <w:t xml:space="preserve"> </w:t>
      </w:r>
      <w:r>
        <w:t>Our</w:t>
      </w:r>
      <w:r>
        <w:rPr>
          <w:spacing w:val="-2"/>
        </w:rPr>
        <w:t xml:space="preserve"> </w:t>
      </w:r>
      <w:r>
        <w:t>ROU</w:t>
      </w:r>
      <w:r>
        <w:rPr>
          <w:spacing w:val="-3"/>
        </w:rPr>
        <w:t xml:space="preserve"> </w:t>
      </w:r>
      <w:r>
        <w:t>operating</w:t>
      </w:r>
      <w:r>
        <w:rPr>
          <w:spacing w:val="-3"/>
        </w:rPr>
        <w:t xml:space="preserve"> </w:t>
      </w:r>
      <w:r>
        <w:t>lease</w:t>
      </w:r>
      <w:r>
        <w:rPr>
          <w:spacing w:val="-3"/>
        </w:rPr>
        <w:t xml:space="preserve"> </w:t>
      </w:r>
      <w:r>
        <w:t>assets</w:t>
      </w:r>
      <w:r>
        <w:rPr>
          <w:spacing w:val="-3"/>
        </w:rPr>
        <w:t xml:space="preserve"> </w:t>
      </w:r>
      <w:r>
        <w:rPr>
          <w:spacing w:val="-4"/>
        </w:rPr>
        <w:t>were</w:t>
      </w:r>
    </w:p>
    <w:p w14:paraId="16324282" w14:textId="77777777" w:rsidR="00AE2255" w:rsidRDefault="00000000">
      <w:pPr>
        <w:pStyle w:val="BodyText"/>
        <w:spacing w:before="10" w:line="249" w:lineRule="auto"/>
        <w:ind w:left="610" w:right="428"/>
        <w:jc w:val="both"/>
      </w:pPr>
      <w:r>
        <w:t xml:space="preserve">$1.1 billion </w:t>
      </w:r>
      <w:proofErr w:type="gramStart"/>
      <w:r>
        <w:t>at</w:t>
      </w:r>
      <w:proofErr w:type="gramEnd"/>
      <w:r>
        <w:t xml:space="preserve"> December 31, 2022. Operating lease liabilities were $1.2 billion, of which $916 million were classified as noncurrent, </w:t>
      </w:r>
      <w:proofErr w:type="gramStart"/>
      <w:r>
        <w:t>at</w:t>
      </w:r>
      <w:proofErr w:type="gramEnd"/>
      <w:r>
        <w:t xml:space="preserve"> December 31, 2022. New ROU operating lease assets and liabilities </w:t>
      </w:r>
      <w:proofErr w:type="gramStart"/>
      <w:r>
        <w:t>entered into</w:t>
      </w:r>
      <w:proofErr w:type="gramEnd"/>
      <w:r>
        <w:t xml:space="preserve"> during 2022 were $25 million. The</w:t>
      </w:r>
      <w:r>
        <w:rPr>
          <w:spacing w:val="-2"/>
        </w:rPr>
        <w:t xml:space="preserve"> </w:t>
      </w:r>
      <w:r>
        <w:t>weighted</w:t>
      </w:r>
      <w:r>
        <w:rPr>
          <w:spacing w:val="-2"/>
        </w:rPr>
        <w:t xml:space="preserve"> </w:t>
      </w:r>
      <w:r>
        <w:t>average</w:t>
      </w:r>
      <w:r>
        <w:rPr>
          <w:spacing w:val="-2"/>
        </w:rPr>
        <w:t xml:space="preserve"> </w:t>
      </w:r>
      <w:r>
        <w:t>remaining</w:t>
      </w:r>
      <w:r>
        <w:rPr>
          <w:spacing w:val="-2"/>
        </w:rPr>
        <w:t xml:space="preserve"> </w:t>
      </w:r>
      <w:r>
        <w:t>lease</w:t>
      </w:r>
      <w:r>
        <w:rPr>
          <w:spacing w:val="-2"/>
        </w:rPr>
        <w:t xml:space="preserve"> </w:t>
      </w:r>
      <w:r>
        <w:t>term</w:t>
      </w:r>
      <w:r>
        <w:rPr>
          <w:spacing w:val="-2"/>
        </w:rPr>
        <w:t xml:space="preserve"> </w:t>
      </w:r>
      <w:r>
        <w:t>and</w:t>
      </w:r>
      <w:r>
        <w:rPr>
          <w:spacing w:val="-2"/>
        </w:rPr>
        <w:t xml:space="preserve"> </w:t>
      </w:r>
      <w:r>
        <w:t>discount</w:t>
      </w:r>
      <w:r>
        <w:rPr>
          <w:spacing w:val="-2"/>
        </w:rPr>
        <w:t xml:space="preserve"> </w:t>
      </w:r>
      <w:r>
        <w:t>rate</w:t>
      </w:r>
      <w:r>
        <w:rPr>
          <w:spacing w:val="-2"/>
        </w:rPr>
        <w:t xml:space="preserve"> </w:t>
      </w:r>
      <w:r>
        <w:t>for</w:t>
      </w:r>
      <w:r>
        <w:rPr>
          <w:spacing w:val="-2"/>
        </w:rPr>
        <w:t xml:space="preserve"> </w:t>
      </w:r>
      <w:r>
        <w:t>our</w:t>
      </w:r>
      <w:r>
        <w:rPr>
          <w:spacing w:val="-2"/>
        </w:rPr>
        <w:t xml:space="preserve"> </w:t>
      </w:r>
      <w:r>
        <w:t>operating</w:t>
      </w:r>
      <w:r>
        <w:rPr>
          <w:spacing w:val="-2"/>
        </w:rPr>
        <w:t xml:space="preserve"> </w:t>
      </w:r>
      <w:r>
        <w:t>leases</w:t>
      </w:r>
      <w:r>
        <w:rPr>
          <w:spacing w:val="-2"/>
        </w:rPr>
        <w:t xml:space="preserve"> </w:t>
      </w:r>
      <w:r>
        <w:t>were</w:t>
      </w:r>
      <w:r>
        <w:rPr>
          <w:spacing w:val="-2"/>
        </w:rPr>
        <w:t xml:space="preserve"> </w:t>
      </w:r>
      <w:r>
        <w:t>approximately</w:t>
      </w:r>
      <w:r>
        <w:rPr>
          <w:spacing w:val="-2"/>
        </w:rPr>
        <w:t xml:space="preserve"> </w:t>
      </w:r>
      <w:r>
        <w:t>7.4</w:t>
      </w:r>
      <w:r>
        <w:rPr>
          <w:spacing w:val="-2"/>
        </w:rPr>
        <w:t xml:space="preserve"> </w:t>
      </w:r>
      <w:r>
        <w:t>years</w:t>
      </w:r>
      <w:r>
        <w:rPr>
          <w:spacing w:val="-2"/>
        </w:rPr>
        <w:t xml:space="preserve"> </w:t>
      </w:r>
      <w:r>
        <w:t>and</w:t>
      </w:r>
      <w:r>
        <w:rPr>
          <w:spacing w:val="-2"/>
        </w:rPr>
        <w:t xml:space="preserve"> </w:t>
      </w:r>
      <w:r>
        <w:t>2.4%</w:t>
      </w:r>
      <w:r>
        <w:rPr>
          <w:spacing w:val="-2"/>
        </w:rPr>
        <w:t xml:space="preserve"> </w:t>
      </w:r>
      <w:proofErr w:type="gramStart"/>
      <w:r>
        <w:t>at</w:t>
      </w:r>
      <w:proofErr w:type="gramEnd"/>
      <w:r>
        <w:t xml:space="preserve"> December 31, 2022.</w:t>
      </w:r>
    </w:p>
    <w:p w14:paraId="212E397D" w14:textId="77777777" w:rsidR="00AE2255" w:rsidRDefault="00AE2255">
      <w:pPr>
        <w:pStyle w:val="BodyText"/>
        <w:spacing w:before="1"/>
        <w:rPr>
          <w:sz w:val="21"/>
        </w:rPr>
      </w:pPr>
    </w:p>
    <w:p w14:paraId="05603619" w14:textId="77777777" w:rsidR="00AE2255" w:rsidRDefault="00000000">
      <w:pPr>
        <w:pStyle w:val="BodyText"/>
        <w:spacing w:before="1" w:line="249" w:lineRule="auto"/>
        <w:ind w:left="610" w:right="430" w:firstLine="360"/>
        <w:jc w:val="both"/>
      </w:pPr>
      <w:r>
        <w:t>We recognized operating lease expense of $275 million in both 2022 and 2021 and $223 million in 2020. In addition, we made cash payments of $269 million for operating leases during 2022, which are included in cash flows from operating activities in our consolidated statement of cash flows.</w:t>
      </w:r>
    </w:p>
    <w:p w14:paraId="57080DB6" w14:textId="77777777" w:rsidR="00AE2255" w:rsidRDefault="00AE2255">
      <w:pPr>
        <w:pStyle w:val="BodyText"/>
        <w:rPr>
          <w:sz w:val="21"/>
        </w:rPr>
      </w:pPr>
    </w:p>
    <w:p w14:paraId="6B02D488" w14:textId="77777777" w:rsidR="00AE2255" w:rsidRDefault="00000000">
      <w:pPr>
        <w:pStyle w:val="BodyText"/>
        <w:spacing w:before="1"/>
        <w:ind w:left="970"/>
        <w:jc w:val="both"/>
      </w:pPr>
      <w:r>
        <w:t>Future</w:t>
      </w:r>
      <w:r>
        <w:rPr>
          <w:spacing w:val="-6"/>
        </w:rPr>
        <w:t xml:space="preserve"> </w:t>
      </w:r>
      <w:r>
        <w:t>minimum</w:t>
      </w:r>
      <w:r>
        <w:rPr>
          <w:spacing w:val="-4"/>
        </w:rPr>
        <w:t xml:space="preserve"> </w:t>
      </w:r>
      <w:r>
        <w:t>lease</w:t>
      </w:r>
      <w:r>
        <w:rPr>
          <w:spacing w:val="-3"/>
        </w:rPr>
        <w:t xml:space="preserve"> </w:t>
      </w:r>
      <w:r>
        <w:t>commitments</w:t>
      </w:r>
      <w:r>
        <w:rPr>
          <w:spacing w:val="-4"/>
        </w:rPr>
        <w:t xml:space="preserve"> </w:t>
      </w:r>
      <w:proofErr w:type="gramStart"/>
      <w:r>
        <w:t>at</w:t>
      </w:r>
      <w:proofErr w:type="gramEnd"/>
      <w:r>
        <w:rPr>
          <w:spacing w:val="-4"/>
        </w:rPr>
        <w:t xml:space="preserve"> </w:t>
      </w:r>
      <w:r>
        <w:t>December</w:t>
      </w:r>
      <w:r>
        <w:rPr>
          <w:spacing w:val="-2"/>
        </w:rPr>
        <w:t xml:space="preserve"> </w:t>
      </w:r>
      <w:r>
        <w:t>31,</w:t>
      </w:r>
      <w:r>
        <w:rPr>
          <w:spacing w:val="-3"/>
        </w:rPr>
        <w:t xml:space="preserve"> </w:t>
      </w:r>
      <w:r>
        <w:t>2022</w:t>
      </w:r>
      <w:r>
        <w:rPr>
          <w:spacing w:val="-3"/>
        </w:rPr>
        <w:t xml:space="preserve"> </w:t>
      </w:r>
      <w:r>
        <w:t>were</w:t>
      </w:r>
      <w:r>
        <w:rPr>
          <w:spacing w:val="-3"/>
        </w:rPr>
        <w:t xml:space="preserve"> </w:t>
      </w:r>
      <w:r>
        <w:t>as</w:t>
      </w:r>
      <w:r>
        <w:rPr>
          <w:spacing w:val="-4"/>
        </w:rPr>
        <w:t xml:space="preserve"> </w:t>
      </w:r>
      <w:r>
        <w:t>follows</w:t>
      </w:r>
      <w:r>
        <w:rPr>
          <w:spacing w:val="-4"/>
        </w:rPr>
        <w:t xml:space="preserve"> </w:t>
      </w:r>
      <w:r>
        <w:t>(in</w:t>
      </w:r>
      <w:r>
        <w:rPr>
          <w:spacing w:val="-2"/>
        </w:rPr>
        <w:t xml:space="preserve"> millions):</w:t>
      </w:r>
    </w:p>
    <w:p w14:paraId="66A0684E" w14:textId="77777777" w:rsidR="00AE2255" w:rsidRDefault="00AE2255">
      <w:pPr>
        <w:pStyle w:val="BodyText"/>
        <w:spacing w:before="9"/>
        <w:rPr>
          <w:sz w:val="15"/>
        </w:rPr>
      </w:pPr>
    </w:p>
    <w:tbl>
      <w:tblPr>
        <w:tblW w:w="0" w:type="auto"/>
        <w:tblInd w:w="617" w:type="dxa"/>
        <w:tblLayout w:type="fixed"/>
        <w:tblCellMar>
          <w:left w:w="0" w:type="dxa"/>
          <w:right w:w="0" w:type="dxa"/>
        </w:tblCellMar>
        <w:tblLook w:val="01E0" w:firstRow="1" w:lastRow="1" w:firstColumn="1" w:lastColumn="1" w:noHBand="0" w:noVBand="0"/>
      </w:tblPr>
      <w:tblGrid>
        <w:gridCol w:w="1932"/>
        <w:gridCol w:w="1068"/>
        <w:gridCol w:w="1251"/>
        <w:gridCol w:w="1253"/>
        <w:gridCol w:w="1186"/>
        <w:gridCol w:w="1137"/>
        <w:gridCol w:w="1205"/>
        <w:gridCol w:w="1247"/>
      </w:tblGrid>
      <w:tr w:rsidR="00AE2255" w14:paraId="78BE38C2" w14:textId="77777777">
        <w:trPr>
          <w:trHeight w:val="241"/>
        </w:trPr>
        <w:tc>
          <w:tcPr>
            <w:tcW w:w="1932" w:type="dxa"/>
            <w:tcBorders>
              <w:bottom w:val="single" w:sz="8" w:space="0" w:color="000000"/>
            </w:tcBorders>
          </w:tcPr>
          <w:p w14:paraId="32CE5EC4" w14:textId="77777777" w:rsidR="00AE2255" w:rsidRDefault="00AE2255">
            <w:pPr>
              <w:pStyle w:val="TableParagraph"/>
              <w:spacing w:before="0"/>
              <w:jc w:val="left"/>
              <w:rPr>
                <w:sz w:val="16"/>
              </w:rPr>
            </w:pPr>
          </w:p>
        </w:tc>
        <w:tc>
          <w:tcPr>
            <w:tcW w:w="1068" w:type="dxa"/>
            <w:tcBorders>
              <w:bottom w:val="single" w:sz="8" w:space="0" w:color="000000"/>
            </w:tcBorders>
          </w:tcPr>
          <w:p w14:paraId="3216444B" w14:textId="77777777" w:rsidR="00AE2255" w:rsidRDefault="00000000">
            <w:pPr>
              <w:pStyle w:val="TableParagraph"/>
              <w:spacing w:before="0" w:line="221" w:lineRule="exact"/>
              <w:ind w:right="186"/>
              <w:rPr>
                <w:b/>
                <w:sz w:val="20"/>
              </w:rPr>
            </w:pPr>
            <w:r>
              <w:rPr>
                <w:b/>
                <w:spacing w:val="-2"/>
                <w:sz w:val="20"/>
              </w:rPr>
              <w:t>Total</w:t>
            </w:r>
          </w:p>
        </w:tc>
        <w:tc>
          <w:tcPr>
            <w:tcW w:w="1251" w:type="dxa"/>
            <w:tcBorders>
              <w:bottom w:val="single" w:sz="8" w:space="0" w:color="000000"/>
            </w:tcBorders>
          </w:tcPr>
          <w:p w14:paraId="1B46C8D7" w14:textId="77777777" w:rsidR="00AE2255" w:rsidRDefault="00000000">
            <w:pPr>
              <w:pStyle w:val="TableParagraph"/>
              <w:spacing w:before="0" w:line="221" w:lineRule="exact"/>
              <w:ind w:right="255"/>
              <w:rPr>
                <w:b/>
                <w:sz w:val="20"/>
              </w:rPr>
            </w:pPr>
            <w:r>
              <w:rPr>
                <w:b/>
                <w:spacing w:val="-4"/>
                <w:sz w:val="20"/>
              </w:rPr>
              <w:t>2023</w:t>
            </w:r>
          </w:p>
        </w:tc>
        <w:tc>
          <w:tcPr>
            <w:tcW w:w="1253" w:type="dxa"/>
            <w:tcBorders>
              <w:bottom w:val="single" w:sz="8" w:space="0" w:color="000000"/>
            </w:tcBorders>
          </w:tcPr>
          <w:p w14:paraId="0593A08C" w14:textId="77777777" w:rsidR="00AE2255" w:rsidRDefault="00000000">
            <w:pPr>
              <w:pStyle w:val="TableParagraph"/>
              <w:spacing w:before="0" w:line="221" w:lineRule="exact"/>
              <w:ind w:right="233"/>
              <w:rPr>
                <w:b/>
                <w:sz w:val="20"/>
              </w:rPr>
            </w:pPr>
            <w:r>
              <w:rPr>
                <w:b/>
                <w:spacing w:val="-4"/>
                <w:sz w:val="20"/>
              </w:rPr>
              <w:t>2024</w:t>
            </w:r>
          </w:p>
        </w:tc>
        <w:tc>
          <w:tcPr>
            <w:tcW w:w="1186" w:type="dxa"/>
            <w:tcBorders>
              <w:bottom w:val="single" w:sz="8" w:space="0" w:color="000000"/>
            </w:tcBorders>
          </w:tcPr>
          <w:p w14:paraId="0B82D66E" w14:textId="77777777" w:rsidR="00AE2255" w:rsidRDefault="00000000">
            <w:pPr>
              <w:pStyle w:val="TableParagraph"/>
              <w:spacing w:before="0" w:line="221" w:lineRule="exact"/>
              <w:ind w:right="219"/>
              <w:rPr>
                <w:b/>
                <w:sz w:val="20"/>
              </w:rPr>
            </w:pPr>
            <w:r>
              <w:rPr>
                <w:b/>
                <w:spacing w:val="-4"/>
                <w:sz w:val="20"/>
              </w:rPr>
              <w:t>2025</w:t>
            </w:r>
          </w:p>
        </w:tc>
        <w:tc>
          <w:tcPr>
            <w:tcW w:w="1137" w:type="dxa"/>
            <w:tcBorders>
              <w:bottom w:val="single" w:sz="8" w:space="0" w:color="000000"/>
            </w:tcBorders>
          </w:tcPr>
          <w:p w14:paraId="3568FCF3" w14:textId="77777777" w:rsidR="00AE2255" w:rsidRDefault="00000000">
            <w:pPr>
              <w:pStyle w:val="TableParagraph"/>
              <w:spacing w:before="0" w:line="221" w:lineRule="exact"/>
              <w:ind w:right="207"/>
              <w:rPr>
                <w:b/>
                <w:sz w:val="20"/>
              </w:rPr>
            </w:pPr>
            <w:r>
              <w:rPr>
                <w:b/>
                <w:spacing w:val="-4"/>
                <w:sz w:val="20"/>
              </w:rPr>
              <w:t>2026</w:t>
            </w:r>
          </w:p>
        </w:tc>
        <w:tc>
          <w:tcPr>
            <w:tcW w:w="1205" w:type="dxa"/>
            <w:tcBorders>
              <w:bottom w:val="single" w:sz="8" w:space="0" w:color="000000"/>
            </w:tcBorders>
          </w:tcPr>
          <w:p w14:paraId="17BCB897" w14:textId="77777777" w:rsidR="00AE2255" w:rsidRDefault="00000000">
            <w:pPr>
              <w:pStyle w:val="TableParagraph"/>
              <w:spacing w:before="0" w:line="221" w:lineRule="exact"/>
              <w:ind w:right="236"/>
              <w:rPr>
                <w:b/>
                <w:sz w:val="20"/>
              </w:rPr>
            </w:pPr>
            <w:r>
              <w:rPr>
                <w:b/>
                <w:spacing w:val="-4"/>
                <w:sz w:val="20"/>
              </w:rPr>
              <w:t>2027</w:t>
            </w:r>
          </w:p>
        </w:tc>
        <w:tc>
          <w:tcPr>
            <w:tcW w:w="1247" w:type="dxa"/>
            <w:tcBorders>
              <w:bottom w:val="single" w:sz="8" w:space="0" w:color="000000"/>
            </w:tcBorders>
          </w:tcPr>
          <w:p w14:paraId="3E02492E" w14:textId="77777777" w:rsidR="00AE2255" w:rsidRDefault="00000000">
            <w:pPr>
              <w:pStyle w:val="TableParagraph"/>
              <w:spacing w:before="0" w:line="221" w:lineRule="exact"/>
              <w:ind w:left="268"/>
              <w:jc w:val="left"/>
              <w:rPr>
                <w:b/>
                <w:sz w:val="20"/>
              </w:rPr>
            </w:pPr>
            <w:r>
              <w:rPr>
                <w:b/>
                <w:spacing w:val="-2"/>
                <w:sz w:val="20"/>
              </w:rPr>
              <w:t>Thereafter</w:t>
            </w:r>
          </w:p>
        </w:tc>
      </w:tr>
      <w:tr w:rsidR="00AE2255" w14:paraId="7B6C5DE8" w14:textId="77777777">
        <w:trPr>
          <w:trHeight w:val="290"/>
        </w:trPr>
        <w:tc>
          <w:tcPr>
            <w:tcW w:w="1932" w:type="dxa"/>
            <w:tcBorders>
              <w:top w:val="single" w:sz="8" w:space="0" w:color="000000"/>
            </w:tcBorders>
            <w:shd w:val="clear" w:color="auto" w:fill="CCEDFF"/>
          </w:tcPr>
          <w:p w14:paraId="34945C85" w14:textId="77777777" w:rsidR="00AE2255" w:rsidRDefault="00000000">
            <w:pPr>
              <w:pStyle w:val="TableParagraph"/>
              <w:spacing w:before="30"/>
              <w:ind w:left="52"/>
              <w:jc w:val="left"/>
              <w:rPr>
                <w:sz w:val="20"/>
              </w:rPr>
            </w:pPr>
            <w:r>
              <w:rPr>
                <w:sz w:val="20"/>
              </w:rPr>
              <w:t>Operating</w:t>
            </w:r>
            <w:r>
              <w:rPr>
                <w:spacing w:val="-5"/>
                <w:sz w:val="20"/>
              </w:rPr>
              <w:t xml:space="preserve"> </w:t>
            </w:r>
            <w:r>
              <w:rPr>
                <w:spacing w:val="-2"/>
                <w:sz w:val="20"/>
              </w:rPr>
              <w:t>leases</w:t>
            </w:r>
          </w:p>
        </w:tc>
        <w:tc>
          <w:tcPr>
            <w:tcW w:w="1068" w:type="dxa"/>
            <w:tcBorders>
              <w:top w:val="single" w:sz="8" w:space="0" w:color="000000"/>
            </w:tcBorders>
            <w:shd w:val="clear" w:color="auto" w:fill="CCEDFF"/>
          </w:tcPr>
          <w:p w14:paraId="3AAE1F7A" w14:textId="77777777" w:rsidR="00AE2255" w:rsidRDefault="00000000">
            <w:pPr>
              <w:pStyle w:val="TableParagraph"/>
              <w:tabs>
                <w:tab w:val="left" w:pos="315"/>
              </w:tabs>
              <w:spacing w:before="30"/>
              <w:ind w:right="184"/>
              <w:rPr>
                <w:sz w:val="20"/>
              </w:rPr>
            </w:pPr>
            <w:r>
              <w:rPr>
                <w:spacing w:val="-10"/>
                <w:sz w:val="20"/>
              </w:rPr>
              <w:t>$</w:t>
            </w:r>
            <w:r>
              <w:rPr>
                <w:sz w:val="20"/>
              </w:rPr>
              <w:tab/>
            </w:r>
            <w:r>
              <w:rPr>
                <w:spacing w:val="-2"/>
                <w:sz w:val="20"/>
              </w:rPr>
              <w:t>1,342</w:t>
            </w:r>
          </w:p>
        </w:tc>
        <w:tc>
          <w:tcPr>
            <w:tcW w:w="1251" w:type="dxa"/>
            <w:tcBorders>
              <w:top w:val="single" w:sz="8" w:space="0" w:color="000000"/>
            </w:tcBorders>
            <w:shd w:val="clear" w:color="auto" w:fill="CCEDFF"/>
          </w:tcPr>
          <w:p w14:paraId="44FA57E6" w14:textId="77777777" w:rsidR="00AE2255" w:rsidRDefault="00000000">
            <w:pPr>
              <w:pStyle w:val="TableParagraph"/>
              <w:tabs>
                <w:tab w:val="left" w:pos="480"/>
              </w:tabs>
              <w:spacing w:before="30"/>
              <w:ind w:right="280"/>
              <w:rPr>
                <w:sz w:val="20"/>
              </w:rPr>
            </w:pPr>
            <w:r>
              <w:rPr>
                <w:spacing w:val="-10"/>
                <w:sz w:val="20"/>
              </w:rPr>
              <w:t>$</w:t>
            </w:r>
            <w:r>
              <w:rPr>
                <w:sz w:val="20"/>
              </w:rPr>
              <w:tab/>
            </w:r>
            <w:r>
              <w:rPr>
                <w:spacing w:val="-5"/>
                <w:sz w:val="20"/>
              </w:rPr>
              <w:t>327</w:t>
            </w:r>
          </w:p>
        </w:tc>
        <w:tc>
          <w:tcPr>
            <w:tcW w:w="1253" w:type="dxa"/>
            <w:tcBorders>
              <w:top w:val="single" w:sz="8" w:space="0" w:color="000000"/>
            </w:tcBorders>
            <w:shd w:val="clear" w:color="auto" w:fill="CCEDFF"/>
          </w:tcPr>
          <w:p w14:paraId="530ADE75" w14:textId="77777777" w:rsidR="00AE2255" w:rsidRDefault="00000000">
            <w:pPr>
              <w:pStyle w:val="TableParagraph"/>
              <w:tabs>
                <w:tab w:val="left" w:pos="450"/>
              </w:tabs>
              <w:spacing w:before="30"/>
              <w:ind w:right="243"/>
              <w:rPr>
                <w:sz w:val="20"/>
              </w:rPr>
            </w:pPr>
            <w:r>
              <w:rPr>
                <w:spacing w:val="-10"/>
                <w:sz w:val="20"/>
              </w:rPr>
              <w:t>$</w:t>
            </w:r>
            <w:r>
              <w:rPr>
                <w:sz w:val="20"/>
              </w:rPr>
              <w:tab/>
            </w:r>
            <w:r>
              <w:rPr>
                <w:spacing w:val="-5"/>
                <w:sz w:val="20"/>
              </w:rPr>
              <w:t>226</w:t>
            </w:r>
          </w:p>
        </w:tc>
        <w:tc>
          <w:tcPr>
            <w:tcW w:w="1186" w:type="dxa"/>
            <w:tcBorders>
              <w:top w:val="single" w:sz="8" w:space="0" w:color="000000"/>
            </w:tcBorders>
            <w:shd w:val="clear" w:color="auto" w:fill="CCEDFF"/>
          </w:tcPr>
          <w:p w14:paraId="6305086B" w14:textId="77777777" w:rsidR="00AE2255" w:rsidRDefault="00000000">
            <w:pPr>
              <w:pStyle w:val="TableParagraph"/>
              <w:tabs>
                <w:tab w:val="left" w:pos="390"/>
              </w:tabs>
              <w:spacing w:before="30"/>
              <w:ind w:right="259"/>
              <w:rPr>
                <w:sz w:val="20"/>
              </w:rPr>
            </w:pPr>
            <w:r>
              <w:rPr>
                <w:spacing w:val="-10"/>
                <w:sz w:val="20"/>
              </w:rPr>
              <w:t>$</w:t>
            </w:r>
            <w:r>
              <w:rPr>
                <w:sz w:val="20"/>
              </w:rPr>
              <w:tab/>
            </w:r>
            <w:r>
              <w:rPr>
                <w:spacing w:val="-5"/>
                <w:sz w:val="20"/>
              </w:rPr>
              <w:t>178</w:t>
            </w:r>
          </w:p>
        </w:tc>
        <w:tc>
          <w:tcPr>
            <w:tcW w:w="1137" w:type="dxa"/>
            <w:tcBorders>
              <w:top w:val="single" w:sz="8" w:space="0" w:color="000000"/>
            </w:tcBorders>
            <w:shd w:val="clear" w:color="auto" w:fill="CCEDFF"/>
          </w:tcPr>
          <w:p w14:paraId="5320C983" w14:textId="77777777" w:rsidR="00AE2255" w:rsidRDefault="00000000">
            <w:pPr>
              <w:pStyle w:val="TableParagraph"/>
              <w:tabs>
                <w:tab w:val="left" w:pos="390"/>
              </w:tabs>
              <w:spacing w:before="30"/>
              <w:ind w:right="226"/>
              <w:rPr>
                <w:sz w:val="20"/>
              </w:rPr>
            </w:pPr>
            <w:r>
              <w:rPr>
                <w:spacing w:val="-10"/>
                <w:sz w:val="20"/>
              </w:rPr>
              <w:t>$</w:t>
            </w:r>
            <w:r>
              <w:rPr>
                <w:sz w:val="20"/>
              </w:rPr>
              <w:tab/>
            </w:r>
            <w:r>
              <w:rPr>
                <w:spacing w:val="-5"/>
                <w:sz w:val="20"/>
              </w:rPr>
              <w:t>131</w:t>
            </w:r>
          </w:p>
        </w:tc>
        <w:tc>
          <w:tcPr>
            <w:tcW w:w="1205" w:type="dxa"/>
            <w:tcBorders>
              <w:top w:val="single" w:sz="8" w:space="0" w:color="000000"/>
            </w:tcBorders>
            <w:shd w:val="clear" w:color="auto" w:fill="CCEDFF"/>
          </w:tcPr>
          <w:p w14:paraId="2BDF7BDC" w14:textId="77777777" w:rsidR="00AE2255" w:rsidRDefault="00000000">
            <w:pPr>
              <w:pStyle w:val="TableParagraph"/>
              <w:tabs>
                <w:tab w:val="left" w:pos="450"/>
              </w:tabs>
              <w:spacing w:before="30"/>
              <w:ind w:right="246"/>
              <w:rPr>
                <w:sz w:val="20"/>
              </w:rPr>
            </w:pPr>
            <w:r>
              <w:rPr>
                <w:spacing w:val="-10"/>
                <w:sz w:val="20"/>
              </w:rPr>
              <w:t>$</w:t>
            </w:r>
            <w:r>
              <w:rPr>
                <w:sz w:val="20"/>
              </w:rPr>
              <w:tab/>
            </w:r>
            <w:r>
              <w:rPr>
                <w:spacing w:val="-5"/>
                <w:sz w:val="20"/>
              </w:rPr>
              <w:t>101</w:t>
            </w:r>
          </w:p>
        </w:tc>
        <w:tc>
          <w:tcPr>
            <w:tcW w:w="1247" w:type="dxa"/>
            <w:tcBorders>
              <w:top w:val="single" w:sz="8" w:space="0" w:color="000000"/>
            </w:tcBorders>
            <w:shd w:val="clear" w:color="auto" w:fill="CCEDFF"/>
          </w:tcPr>
          <w:p w14:paraId="379F7586" w14:textId="77777777" w:rsidR="00AE2255" w:rsidRDefault="00000000">
            <w:pPr>
              <w:pStyle w:val="TableParagraph"/>
              <w:tabs>
                <w:tab w:val="left" w:pos="636"/>
              </w:tabs>
              <w:spacing w:before="30"/>
              <w:ind w:left="230"/>
              <w:jc w:val="left"/>
              <w:rPr>
                <w:sz w:val="20"/>
              </w:rPr>
            </w:pPr>
            <w:r>
              <w:rPr>
                <w:spacing w:val="-10"/>
                <w:sz w:val="20"/>
              </w:rPr>
              <w:t>$</w:t>
            </w:r>
            <w:r>
              <w:rPr>
                <w:sz w:val="20"/>
              </w:rPr>
              <w:tab/>
            </w:r>
            <w:r>
              <w:rPr>
                <w:spacing w:val="-5"/>
                <w:sz w:val="20"/>
              </w:rPr>
              <w:t>379</w:t>
            </w:r>
          </w:p>
        </w:tc>
      </w:tr>
      <w:tr w:rsidR="00AE2255" w14:paraId="4009B9D2" w14:textId="77777777">
        <w:trPr>
          <w:trHeight w:val="305"/>
        </w:trPr>
        <w:tc>
          <w:tcPr>
            <w:tcW w:w="1932" w:type="dxa"/>
            <w:tcBorders>
              <w:bottom w:val="single" w:sz="8" w:space="0" w:color="000000"/>
            </w:tcBorders>
          </w:tcPr>
          <w:p w14:paraId="075B9162" w14:textId="77777777" w:rsidR="00AE2255" w:rsidRDefault="00000000">
            <w:pPr>
              <w:pStyle w:val="TableParagraph"/>
              <w:spacing w:before="55" w:line="230" w:lineRule="exact"/>
              <w:ind w:left="52"/>
              <w:jc w:val="left"/>
              <w:rPr>
                <w:sz w:val="20"/>
              </w:rPr>
            </w:pPr>
            <w:r>
              <w:rPr>
                <w:sz w:val="20"/>
              </w:rPr>
              <w:t>Less:</w:t>
            </w:r>
            <w:r>
              <w:rPr>
                <w:spacing w:val="-5"/>
                <w:sz w:val="20"/>
              </w:rPr>
              <w:t xml:space="preserve"> </w:t>
            </w:r>
            <w:r>
              <w:rPr>
                <w:sz w:val="20"/>
              </w:rPr>
              <w:t>imputed</w:t>
            </w:r>
            <w:r>
              <w:rPr>
                <w:spacing w:val="-4"/>
                <w:sz w:val="20"/>
              </w:rPr>
              <w:t xml:space="preserve"> </w:t>
            </w:r>
            <w:r>
              <w:rPr>
                <w:spacing w:val="-2"/>
                <w:sz w:val="20"/>
              </w:rPr>
              <w:t>interest</w:t>
            </w:r>
          </w:p>
        </w:tc>
        <w:tc>
          <w:tcPr>
            <w:tcW w:w="1068" w:type="dxa"/>
            <w:tcBorders>
              <w:bottom w:val="single" w:sz="8" w:space="0" w:color="000000"/>
            </w:tcBorders>
          </w:tcPr>
          <w:p w14:paraId="5EE51911" w14:textId="77777777" w:rsidR="00AE2255" w:rsidRDefault="00000000">
            <w:pPr>
              <w:pStyle w:val="TableParagraph"/>
              <w:spacing w:before="55" w:line="230" w:lineRule="exact"/>
              <w:ind w:right="184"/>
              <w:rPr>
                <w:sz w:val="20"/>
              </w:rPr>
            </w:pPr>
            <w:r>
              <w:rPr>
                <w:spacing w:val="-5"/>
                <w:sz w:val="20"/>
              </w:rPr>
              <w:t>125</w:t>
            </w:r>
          </w:p>
        </w:tc>
        <w:tc>
          <w:tcPr>
            <w:tcW w:w="1251" w:type="dxa"/>
            <w:tcBorders>
              <w:bottom w:val="single" w:sz="8" w:space="0" w:color="000000"/>
            </w:tcBorders>
          </w:tcPr>
          <w:p w14:paraId="15FF916C" w14:textId="77777777" w:rsidR="00AE2255" w:rsidRDefault="00AE2255">
            <w:pPr>
              <w:pStyle w:val="TableParagraph"/>
              <w:spacing w:before="0"/>
              <w:jc w:val="left"/>
              <w:rPr>
                <w:sz w:val="20"/>
              </w:rPr>
            </w:pPr>
          </w:p>
        </w:tc>
        <w:tc>
          <w:tcPr>
            <w:tcW w:w="1253" w:type="dxa"/>
            <w:tcBorders>
              <w:bottom w:val="single" w:sz="8" w:space="0" w:color="000000"/>
            </w:tcBorders>
          </w:tcPr>
          <w:p w14:paraId="087A9376" w14:textId="77777777" w:rsidR="00AE2255" w:rsidRDefault="00AE2255">
            <w:pPr>
              <w:pStyle w:val="TableParagraph"/>
              <w:spacing w:before="0"/>
              <w:jc w:val="left"/>
              <w:rPr>
                <w:sz w:val="20"/>
              </w:rPr>
            </w:pPr>
          </w:p>
        </w:tc>
        <w:tc>
          <w:tcPr>
            <w:tcW w:w="1186" w:type="dxa"/>
            <w:tcBorders>
              <w:bottom w:val="single" w:sz="8" w:space="0" w:color="000000"/>
            </w:tcBorders>
          </w:tcPr>
          <w:p w14:paraId="6177C452" w14:textId="77777777" w:rsidR="00AE2255" w:rsidRDefault="00AE2255">
            <w:pPr>
              <w:pStyle w:val="TableParagraph"/>
              <w:spacing w:before="0"/>
              <w:jc w:val="left"/>
              <w:rPr>
                <w:sz w:val="20"/>
              </w:rPr>
            </w:pPr>
          </w:p>
        </w:tc>
        <w:tc>
          <w:tcPr>
            <w:tcW w:w="1137" w:type="dxa"/>
            <w:tcBorders>
              <w:bottom w:val="single" w:sz="8" w:space="0" w:color="000000"/>
            </w:tcBorders>
          </w:tcPr>
          <w:p w14:paraId="4AB36F4E" w14:textId="77777777" w:rsidR="00AE2255" w:rsidRDefault="00AE2255">
            <w:pPr>
              <w:pStyle w:val="TableParagraph"/>
              <w:spacing w:before="0"/>
              <w:jc w:val="left"/>
              <w:rPr>
                <w:sz w:val="20"/>
              </w:rPr>
            </w:pPr>
          </w:p>
        </w:tc>
        <w:tc>
          <w:tcPr>
            <w:tcW w:w="1205" w:type="dxa"/>
            <w:tcBorders>
              <w:bottom w:val="single" w:sz="8" w:space="0" w:color="000000"/>
            </w:tcBorders>
          </w:tcPr>
          <w:p w14:paraId="60C1E44B" w14:textId="77777777" w:rsidR="00AE2255" w:rsidRDefault="00AE2255">
            <w:pPr>
              <w:pStyle w:val="TableParagraph"/>
              <w:spacing w:before="0"/>
              <w:jc w:val="left"/>
              <w:rPr>
                <w:sz w:val="20"/>
              </w:rPr>
            </w:pPr>
          </w:p>
        </w:tc>
        <w:tc>
          <w:tcPr>
            <w:tcW w:w="1247" w:type="dxa"/>
            <w:tcBorders>
              <w:bottom w:val="single" w:sz="8" w:space="0" w:color="000000"/>
            </w:tcBorders>
          </w:tcPr>
          <w:p w14:paraId="095FECBD" w14:textId="77777777" w:rsidR="00AE2255" w:rsidRDefault="00AE2255">
            <w:pPr>
              <w:pStyle w:val="TableParagraph"/>
              <w:spacing w:before="0"/>
              <w:jc w:val="left"/>
              <w:rPr>
                <w:sz w:val="20"/>
              </w:rPr>
            </w:pPr>
          </w:p>
        </w:tc>
      </w:tr>
      <w:tr w:rsidR="00AE2255" w14:paraId="6E9A3EFE" w14:textId="77777777">
        <w:trPr>
          <w:trHeight w:val="267"/>
        </w:trPr>
        <w:tc>
          <w:tcPr>
            <w:tcW w:w="1932" w:type="dxa"/>
            <w:tcBorders>
              <w:top w:val="single" w:sz="8" w:space="0" w:color="000000"/>
              <w:bottom w:val="single" w:sz="18" w:space="0" w:color="000000"/>
            </w:tcBorders>
            <w:shd w:val="clear" w:color="auto" w:fill="CCEDFF"/>
          </w:tcPr>
          <w:p w14:paraId="502A78BE" w14:textId="77777777" w:rsidR="00AE2255" w:rsidRDefault="00000000">
            <w:pPr>
              <w:pStyle w:val="TableParagraph"/>
              <w:spacing w:before="17"/>
              <w:ind w:left="412"/>
              <w:jc w:val="left"/>
              <w:rPr>
                <w:sz w:val="20"/>
              </w:rPr>
            </w:pPr>
            <w:r>
              <w:rPr>
                <w:spacing w:val="-2"/>
                <w:sz w:val="20"/>
              </w:rPr>
              <w:t>Total</w:t>
            </w:r>
          </w:p>
        </w:tc>
        <w:tc>
          <w:tcPr>
            <w:tcW w:w="1068" w:type="dxa"/>
            <w:tcBorders>
              <w:top w:val="single" w:sz="8" w:space="0" w:color="000000"/>
              <w:bottom w:val="single" w:sz="18" w:space="0" w:color="000000"/>
            </w:tcBorders>
            <w:shd w:val="clear" w:color="auto" w:fill="CCEDFF"/>
          </w:tcPr>
          <w:p w14:paraId="0866E77F" w14:textId="77777777" w:rsidR="00AE2255" w:rsidRDefault="00000000">
            <w:pPr>
              <w:pStyle w:val="TableParagraph"/>
              <w:tabs>
                <w:tab w:val="left" w:pos="315"/>
              </w:tabs>
              <w:spacing w:before="30" w:line="217" w:lineRule="exact"/>
              <w:ind w:right="184"/>
              <w:rPr>
                <w:sz w:val="20"/>
              </w:rPr>
            </w:pPr>
            <w:r>
              <w:rPr>
                <w:spacing w:val="-10"/>
                <w:sz w:val="20"/>
              </w:rPr>
              <w:t>$</w:t>
            </w:r>
            <w:r>
              <w:rPr>
                <w:sz w:val="20"/>
              </w:rPr>
              <w:tab/>
            </w:r>
            <w:r>
              <w:rPr>
                <w:spacing w:val="-2"/>
                <w:sz w:val="20"/>
              </w:rPr>
              <w:t>1,217</w:t>
            </w:r>
          </w:p>
        </w:tc>
        <w:tc>
          <w:tcPr>
            <w:tcW w:w="1251" w:type="dxa"/>
            <w:tcBorders>
              <w:top w:val="single" w:sz="8" w:space="0" w:color="000000"/>
              <w:bottom w:val="single" w:sz="18" w:space="0" w:color="000000"/>
            </w:tcBorders>
            <w:shd w:val="clear" w:color="auto" w:fill="CCEDFF"/>
          </w:tcPr>
          <w:p w14:paraId="6ECB97C6" w14:textId="77777777" w:rsidR="00AE2255" w:rsidRDefault="00AE2255">
            <w:pPr>
              <w:pStyle w:val="TableParagraph"/>
              <w:spacing w:before="0"/>
              <w:jc w:val="left"/>
              <w:rPr>
                <w:sz w:val="18"/>
              </w:rPr>
            </w:pPr>
          </w:p>
        </w:tc>
        <w:tc>
          <w:tcPr>
            <w:tcW w:w="1253" w:type="dxa"/>
            <w:tcBorders>
              <w:top w:val="single" w:sz="8" w:space="0" w:color="000000"/>
              <w:bottom w:val="single" w:sz="18" w:space="0" w:color="000000"/>
            </w:tcBorders>
            <w:shd w:val="clear" w:color="auto" w:fill="CCEDFF"/>
          </w:tcPr>
          <w:p w14:paraId="138A8051" w14:textId="77777777" w:rsidR="00AE2255" w:rsidRDefault="00AE2255">
            <w:pPr>
              <w:pStyle w:val="TableParagraph"/>
              <w:spacing w:before="0"/>
              <w:jc w:val="left"/>
              <w:rPr>
                <w:sz w:val="18"/>
              </w:rPr>
            </w:pPr>
          </w:p>
        </w:tc>
        <w:tc>
          <w:tcPr>
            <w:tcW w:w="1186" w:type="dxa"/>
            <w:tcBorders>
              <w:top w:val="single" w:sz="8" w:space="0" w:color="000000"/>
              <w:bottom w:val="single" w:sz="18" w:space="0" w:color="000000"/>
            </w:tcBorders>
            <w:shd w:val="clear" w:color="auto" w:fill="CCEDFF"/>
          </w:tcPr>
          <w:p w14:paraId="436960CB" w14:textId="77777777" w:rsidR="00AE2255" w:rsidRDefault="00AE2255">
            <w:pPr>
              <w:pStyle w:val="TableParagraph"/>
              <w:spacing w:before="0"/>
              <w:jc w:val="left"/>
              <w:rPr>
                <w:sz w:val="18"/>
              </w:rPr>
            </w:pPr>
          </w:p>
        </w:tc>
        <w:tc>
          <w:tcPr>
            <w:tcW w:w="1137" w:type="dxa"/>
            <w:tcBorders>
              <w:top w:val="single" w:sz="8" w:space="0" w:color="000000"/>
              <w:bottom w:val="single" w:sz="18" w:space="0" w:color="000000"/>
            </w:tcBorders>
            <w:shd w:val="clear" w:color="auto" w:fill="CCEDFF"/>
          </w:tcPr>
          <w:p w14:paraId="3CB31C85" w14:textId="77777777" w:rsidR="00AE2255" w:rsidRDefault="00AE2255">
            <w:pPr>
              <w:pStyle w:val="TableParagraph"/>
              <w:spacing w:before="0"/>
              <w:jc w:val="left"/>
              <w:rPr>
                <w:sz w:val="18"/>
              </w:rPr>
            </w:pPr>
          </w:p>
        </w:tc>
        <w:tc>
          <w:tcPr>
            <w:tcW w:w="1205" w:type="dxa"/>
            <w:tcBorders>
              <w:top w:val="single" w:sz="8" w:space="0" w:color="000000"/>
              <w:bottom w:val="single" w:sz="18" w:space="0" w:color="000000"/>
            </w:tcBorders>
            <w:shd w:val="clear" w:color="auto" w:fill="CCEDFF"/>
          </w:tcPr>
          <w:p w14:paraId="3E59ECD0" w14:textId="77777777" w:rsidR="00AE2255" w:rsidRDefault="00AE2255">
            <w:pPr>
              <w:pStyle w:val="TableParagraph"/>
              <w:spacing w:before="0"/>
              <w:jc w:val="left"/>
              <w:rPr>
                <w:sz w:val="18"/>
              </w:rPr>
            </w:pPr>
          </w:p>
        </w:tc>
        <w:tc>
          <w:tcPr>
            <w:tcW w:w="1247" w:type="dxa"/>
            <w:tcBorders>
              <w:top w:val="single" w:sz="8" w:space="0" w:color="000000"/>
              <w:bottom w:val="single" w:sz="18" w:space="0" w:color="000000"/>
            </w:tcBorders>
            <w:shd w:val="clear" w:color="auto" w:fill="CCEDFF"/>
          </w:tcPr>
          <w:p w14:paraId="1ADEC0E1" w14:textId="77777777" w:rsidR="00AE2255" w:rsidRDefault="00AE2255">
            <w:pPr>
              <w:pStyle w:val="TableParagraph"/>
              <w:spacing w:before="0"/>
              <w:jc w:val="left"/>
              <w:rPr>
                <w:sz w:val="18"/>
              </w:rPr>
            </w:pPr>
          </w:p>
        </w:tc>
      </w:tr>
    </w:tbl>
    <w:p w14:paraId="2E6F8C83" w14:textId="77777777" w:rsidR="00AE2255" w:rsidRDefault="00AE2255">
      <w:pPr>
        <w:pStyle w:val="BodyText"/>
        <w:spacing w:before="2"/>
        <w:rPr>
          <w:sz w:val="23"/>
        </w:rPr>
      </w:pPr>
    </w:p>
    <w:p w14:paraId="086E4959" w14:textId="77777777" w:rsidR="00AE2255" w:rsidRDefault="00000000">
      <w:pPr>
        <w:pStyle w:val="Heading2"/>
        <w:spacing w:line="501" w:lineRule="auto"/>
        <w:ind w:right="8694"/>
      </w:pPr>
      <w:bookmarkStart w:id="56" w:name="Note_9_–_Income_Taxes"/>
      <w:bookmarkEnd w:id="56"/>
      <w:r>
        <w:t>Note</w:t>
      </w:r>
      <w:r>
        <w:rPr>
          <w:spacing w:val="-5"/>
        </w:rPr>
        <w:t xml:space="preserve"> </w:t>
      </w:r>
      <w:r>
        <w:t>9</w:t>
      </w:r>
      <w:r>
        <w:rPr>
          <w:spacing w:val="-4"/>
        </w:rPr>
        <w:t xml:space="preserve"> </w:t>
      </w:r>
      <w:r>
        <w:t>–</w:t>
      </w:r>
      <w:r>
        <w:rPr>
          <w:spacing w:val="-4"/>
        </w:rPr>
        <w:t xml:space="preserve"> </w:t>
      </w:r>
      <w:r>
        <w:t>Income</w:t>
      </w:r>
      <w:r>
        <w:rPr>
          <w:spacing w:val="-5"/>
        </w:rPr>
        <w:t xml:space="preserve"> </w:t>
      </w:r>
      <w:r>
        <w:t>Taxes Income</w:t>
      </w:r>
      <w:r>
        <w:rPr>
          <w:spacing w:val="-3"/>
        </w:rPr>
        <w:t xml:space="preserve"> </w:t>
      </w:r>
      <w:r>
        <w:t>Tax</w:t>
      </w:r>
      <w:r>
        <w:rPr>
          <w:spacing w:val="-2"/>
        </w:rPr>
        <w:t xml:space="preserve"> Provisions</w:t>
      </w:r>
    </w:p>
    <w:p w14:paraId="0A0080F3" w14:textId="77777777" w:rsidR="00AE2255" w:rsidRDefault="00000000">
      <w:pPr>
        <w:pStyle w:val="BodyText"/>
        <w:spacing w:before="2"/>
        <w:ind w:left="970"/>
        <w:jc w:val="both"/>
      </w:pPr>
      <w:r>
        <w:t>Federal</w:t>
      </w:r>
      <w:r>
        <w:rPr>
          <w:spacing w:val="-6"/>
        </w:rPr>
        <w:t xml:space="preserve"> </w:t>
      </w:r>
      <w:r>
        <w:t>and</w:t>
      </w:r>
      <w:r>
        <w:rPr>
          <w:spacing w:val="-2"/>
        </w:rPr>
        <w:t xml:space="preserve"> </w:t>
      </w:r>
      <w:r>
        <w:t>foreign</w:t>
      </w:r>
      <w:r>
        <w:rPr>
          <w:spacing w:val="-3"/>
        </w:rPr>
        <w:t xml:space="preserve"> </w:t>
      </w:r>
      <w:r>
        <w:t>income</w:t>
      </w:r>
      <w:r>
        <w:rPr>
          <w:spacing w:val="-3"/>
        </w:rPr>
        <w:t xml:space="preserve"> </w:t>
      </w:r>
      <w:r>
        <w:t>tax</w:t>
      </w:r>
      <w:r>
        <w:rPr>
          <w:spacing w:val="-3"/>
        </w:rPr>
        <w:t xml:space="preserve"> </w:t>
      </w:r>
      <w:r>
        <w:t>expense</w:t>
      </w:r>
      <w:r>
        <w:rPr>
          <w:spacing w:val="-3"/>
        </w:rPr>
        <w:t xml:space="preserve"> </w:t>
      </w:r>
      <w:r>
        <w:t>for</w:t>
      </w:r>
      <w:r>
        <w:rPr>
          <w:spacing w:val="-3"/>
        </w:rPr>
        <w:t xml:space="preserve"> </w:t>
      </w:r>
      <w:r>
        <w:t>continuing</w:t>
      </w:r>
      <w:r>
        <w:rPr>
          <w:spacing w:val="-2"/>
        </w:rPr>
        <w:t xml:space="preserve"> </w:t>
      </w:r>
      <w:r>
        <w:t>operations</w:t>
      </w:r>
      <w:r>
        <w:rPr>
          <w:spacing w:val="-4"/>
        </w:rPr>
        <w:t xml:space="preserve"> </w:t>
      </w:r>
      <w:r>
        <w:t>consisted</w:t>
      </w:r>
      <w:r>
        <w:rPr>
          <w:spacing w:val="-2"/>
        </w:rPr>
        <w:t xml:space="preserve"> </w:t>
      </w:r>
      <w:r>
        <w:t>of</w:t>
      </w:r>
      <w:r>
        <w:rPr>
          <w:spacing w:val="-3"/>
        </w:rPr>
        <w:t xml:space="preserve"> </w:t>
      </w:r>
      <w:r>
        <w:t>the</w:t>
      </w:r>
      <w:r>
        <w:rPr>
          <w:spacing w:val="-3"/>
        </w:rPr>
        <w:t xml:space="preserve"> </w:t>
      </w:r>
      <w:r>
        <w:t>following</w:t>
      </w:r>
      <w:r>
        <w:rPr>
          <w:spacing w:val="-3"/>
        </w:rPr>
        <w:t xml:space="preserve"> </w:t>
      </w:r>
      <w:r>
        <w:t>(in</w:t>
      </w:r>
      <w:r>
        <w:rPr>
          <w:spacing w:val="-2"/>
        </w:rPr>
        <w:t xml:space="preserve"> millions):</w:t>
      </w:r>
    </w:p>
    <w:p w14:paraId="505FA4CC" w14:textId="77777777" w:rsidR="00AE2255" w:rsidRDefault="00AE2255">
      <w:pPr>
        <w:pStyle w:val="BodyText"/>
        <w:spacing w:before="9"/>
        <w:rPr>
          <w:sz w:val="15"/>
        </w:rPr>
      </w:pPr>
    </w:p>
    <w:tbl>
      <w:tblPr>
        <w:tblW w:w="0" w:type="auto"/>
        <w:tblInd w:w="617" w:type="dxa"/>
        <w:tblLayout w:type="fixed"/>
        <w:tblCellMar>
          <w:left w:w="0" w:type="dxa"/>
          <w:right w:w="0" w:type="dxa"/>
        </w:tblCellMar>
        <w:tblLook w:val="01E0" w:firstRow="1" w:lastRow="1" w:firstColumn="1" w:lastColumn="1" w:noHBand="0" w:noVBand="0"/>
      </w:tblPr>
      <w:tblGrid>
        <w:gridCol w:w="5551"/>
        <w:gridCol w:w="2785"/>
        <w:gridCol w:w="975"/>
        <w:gridCol w:w="964"/>
      </w:tblGrid>
      <w:tr w:rsidR="00AE2255" w14:paraId="4F9D350E" w14:textId="77777777">
        <w:trPr>
          <w:trHeight w:val="241"/>
        </w:trPr>
        <w:tc>
          <w:tcPr>
            <w:tcW w:w="5551" w:type="dxa"/>
            <w:tcBorders>
              <w:bottom w:val="single" w:sz="8" w:space="0" w:color="auto"/>
            </w:tcBorders>
          </w:tcPr>
          <w:p w14:paraId="0041FAA2" w14:textId="77777777" w:rsidR="00AE2255" w:rsidRDefault="00AE2255">
            <w:pPr>
              <w:pStyle w:val="TableParagraph"/>
              <w:spacing w:before="0"/>
              <w:jc w:val="left"/>
              <w:rPr>
                <w:sz w:val="16"/>
              </w:rPr>
            </w:pPr>
          </w:p>
        </w:tc>
        <w:tc>
          <w:tcPr>
            <w:tcW w:w="2785" w:type="dxa"/>
            <w:tcBorders>
              <w:bottom w:val="single" w:sz="8" w:space="0" w:color="auto"/>
            </w:tcBorders>
          </w:tcPr>
          <w:p w14:paraId="7E38C821" w14:textId="77777777" w:rsidR="00AE2255" w:rsidRDefault="00000000">
            <w:pPr>
              <w:pStyle w:val="TableParagraph"/>
              <w:spacing w:before="0" w:line="221" w:lineRule="exact"/>
              <w:ind w:right="106"/>
              <w:rPr>
                <w:b/>
                <w:sz w:val="20"/>
              </w:rPr>
            </w:pPr>
            <w:r>
              <w:rPr>
                <w:b/>
                <w:spacing w:val="-4"/>
                <w:sz w:val="20"/>
              </w:rPr>
              <w:t>2022</w:t>
            </w:r>
          </w:p>
        </w:tc>
        <w:tc>
          <w:tcPr>
            <w:tcW w:w="975" w:type="dxa"/>
            <w:tcBorders>
              <w:bottom w:val="single" w:sz="8" w:space="0" w:color="auto"/>
            </w:tcBorders>
          </w:tcPr>
          <w:p w14:paraId="63628B6E" w14:textId="77777777" w:rsidR="00AE2255" w:rsidRDefault="00000000">
            <w:pPr>
              <w:pStyle w:val="TableParagraph"/>
              <w:spacing w:before="0" w:line="221" w:lineRule="exact"/>
              <w:ind w:right="106"/>
              <w:rPr>
                <w:b/>
                <w:sz w:val="20"/>
              </w:rPr>
            </w:pPr>
            <w:r>
              <w:rPr>
                <w:b/>
                <w:spacing w:val="-4"/>
                <w:sz w:val="20"/>
              </w:rPr>
              <w:t>2021</w:t>
            </w:r>
          </w:p>
        </w:tc>
        <w:tc>
          <w:tcPr>
            <w:tcW w:w="964" w:type="dxa"/>
            <w:tcBorders>
              <w:bottom w:val="single" w:sz="8" w:space="0" w:color="auto"/>
            </w:tcBorders>
          </w:tcPr>
          <w:p w14:paraId="568BE356" w14:textId="77777777" w:rsidR="00AE2255" w:rsidRDefault="00000000">
            <w:pPr>
              <w:pStyle w:val="TableParagraph"/>
              <w:spacing w:before="0" w:line="221" w:lineRule="exact"/>
              <w:ind w:right="95"/>
              <w:rPr>
                <w:b/>
                <w:sz w:val="20"/>
              </w:rPr>
            </w:pPr>
            <w:r>
              <w:rPr>
                <w:b/>
                <w:spacing w:val="-4"/>
                <w:sz w:val="20"/>
              </w:rPr>
              <w:t>2020</w:t>
            </w:r>
          </w:p>
        </w:tc>
      </w:tr>
      <w:tr w:rsidR="00AE2255" w14:paraId="6C9BFE3A" w14:textId="77777777">
        <w:trPr>
          <w:trHeight w:val="275"/>
        </w:trPr>
        <w:tc>
          <w:tcPr>
            <w:tcW w:w="5551" w:type="dxa"/>
            <w:tcBorders>
              <w:top w:val="single" w:sz="8" w:space="0" w:color="CCEDFF"/>
            </w:tcBorders>
            <w:shd w:val="clear" w:color="auto" w:fill="CCEDFF"/>
          </w:tcPr>
          <w:p w14:paraId="5D09399E" w14:textId="77777777" w:rsidR="00AE2255" w:rsidRDefault="00000000">
            <w:pPr>
              <w:pStyle w:val="TableParagraph"/>
              <w:spacing w:before="17"/>
              <w:ind w:left="52"/>
              <w:jc w:val="left"/>
              <w:rPr>
                <w:sz w:val="20"/>
              </w:rPr>
            </w:pPr>
            <w:r>
              <w:rPr>
                <w:sz w:val="20"/>
              </w:rPr>
              <w:t>Federal</w:t>
            </w:r>
            <w:r>
              <w:rPr>
                <w:spacing w:val="-4"/>
                <w:sz w:val="20"/>
              </w:rPr>
              <w:t xml:space="preserve"> </w:t>
            </w:r>
            <w:r>
              <w:rPr>
                <w:sz w:val="20"/>
              </w:rPr>
              <w:t>income</w:t>
            </w:r>
            <w:r>
              <w:rPr>
                <w:spacing w:val="-4"/>
                <w:sz w:val="20"/>
              </w:rPr>
              <w:t xml:space="preserve"> </w:t>
            </w:r>
            <w:r>
              <w:rPr>
                <w:sz w:val="20"/>
              </w:rPr>
              <w:t>tax</w:t>
            </w:r>
            <w:r>
              <w:rPr>
                <w:spacing w:val="-4"/>
                <w:sz w:val="20"/>
              </w:rPr>
              <w:t xml:space="preserve"> </w:t>
            </w:r>
            <w:r>
              <w:rPr>
                <w:sz w:val="20"/>
              </w:rPr>
              <w:t>expense</w:t>
            </w:r>
            <w:r>
              <w:rPr>
                <w:spacing w:val="-3"/>
                <w:sz w:val="20"/>
              </w:rPr>
              <w:t xml:space="preserve"> </w:t>
            </w:r>
            <w:r>
              <w:rPr>
                <w:spacing w:val="-2"/>
                <w:sz w:val="20"/>
              </w:rPr>
              <w:t>(benefit):</w:t>
            </w:r>
          </w:p>
        </w:tc>
        <w:tc>
          <w:tcPr>
            <w:tcW w:w="2785" w:type="dxa"/>
            <w:tcBorders>
              <w:top w:val="single" w:sz="8" w:space="0" w:color="CCEDFF"/>
            </w:tcBorders>
            <w:shd w:val="clear" w:color="auto" w:fill="CCEDFF"/>
          </w:tcPr>
          <w:p w14:paraId="45F452F1" w14:textId="77777777" w:rsidR="00AE2255" w:rsidRDefault="00AE2255">
            <w:pPr>
              <w:pStyle w:val="TableParagraph"/>
              <w:spacing w:before="0"/>
              <w:jc w:val="left"/>
              <w:rPr>
                <w:sz w:val="20"/>
              </w:rPr>
            </w:pPr>
          </w:p>
        </w:tc>
        <w:tc>
          <w:tcPr>
            <w:tcW w:w="975" w:type="dxa"/>
            <w:tcBorders>
              <w:top w:val="single" w:sz="8" w:space="0" w:color="CCEDFF"/>
            </w:tcBorders>
            <w:shd w:val="clear" w:color="auto" w:fill="CCEDFF"/>
          </w:tcPr>
          <w:p w14:paraId="491EBAA5" w14:textId="77777777" w:rsidR="00AE2255" w:rsidRDefault="00AE2255">
            <w:pPr>
              <w:pStyle w:val="TableParagraph"/>
              <w:spacing w:before="0"/>
              <w:jc w:val="left"/>
              <w:rPr>
                <w:sz w:val="20"/>
              </w:rPr>
            </w:pPr>
          </w:p>
        </w:tc>
        <w:tc>
          <w:tcPr>
            <w:tcW w:w="964" w:type="dxa"/>
            <w:tcBorders>
              <w:top w:val="single" w:sz="8" w:space="0" w:color="CCEDFF"/>
            </w:tcBorders>
            <w:shd w:val="clear" w:color="auto" w:fill="CCEDFF"/>
          </w:tcPr>
          <w:p w14:paraId="3AEB36A4" w14:textId="77777777" w:rsidR="00AE2255" w:rsidRDefault="00AE2255">
            <w:pPr>
              <w:pStyle w:val="TableParagraph"/>
              <w:spacing w:before="0"/>
              <w:jc w:val="left"/>
              <w:rPr>
                <w:sz w:val="20"/>
              </w:rPr>
            </w:pPr>
          </w:p>
        </w:tc>
      </w:tr>
      <w:tr w:rsidR="00AE2255" w14:paraId="3039BBF0" w14:textId="77777777">
        <w:trPr>
          <w:trHeight w:val="285"/>
        </w:trPr>
        <w:tc>
          <w:tcPr>
            <w:tcW w:w="5551" w:type="dxa"/>
          </w:tcPr>
          <w:p w14:paraId="3774F04E" w14:textId="77777777" w:rsidR="00AE2255" w:rsidRDefault="00000000">
            <w:pPr>
              <w:pStyle w:val="TableParagraph"/>
              <w:spacing w:before="27"/>
              <w:ind w:left="277"/>
              <w:jc w:val="left"/>
              <w:rPr>
                <w:sz w:val="20"/>
              </w:rPr>
            </w:pPr>
            <w:r>
              <w:rPr>
                <w:spacing w:val="-2"/>
                <w:sz w:val="20"/>
              </w:rPr>
              <w:t>Current</w:t>
            </w:r>
          </w:p>
        </w:tc>
        <w:tc>
          <w:tcPr>
            <w:tcW w:w="2785" w:type="dxa"/>
          </w:tcPr>
          <w:p w14:paraId="1C33B648" w14:textId="77777777" w:rsidR="00AE2255" w:rsidRDefault="00000000">
            <w:pPr>
              <w:pStyle w:val="TableParagraph"/>
              <w:tabs>
                <w:tab w:val="left" w:pos="315"/>
              </w:tabs>
              <w:ind w:right="135"/>
              <w:rPr>
                <w:b/>
                <w:sz w:val="20"/>
              </w:rPr>
            </w:pPr>
            <w:r>
              <w:rPr>
                <w:b/>
                <w:spacing w:val="-10"/>
                <w:sz w:val="20"/>
              </w:rPr>
              <w:t>$</w:t>
            </w:r>
            <w:r>
              <w:rPr>
                <w:b/>
                <w:sz w:val="20"/>
              </w:rPr>
              <w:tab/>
            </w:r>
            <w:r>
              <w:rPr>
                <w:b/>
                <w:spacing w:val="-2"/>
                <w:sz w:val="20"/>
              </w:rPr>
              <w:t>1,618</w:t>
            </w:r>
          </w:p>
        </w:tc>
        <w:tc>
          <w:tcPr>
            <w:tcW w:w="975" w:type="dxa"/>
          </w:tcPr>
          <w:p w14:paraId="06E4A8C0" w14:textId="77777777" w:rsidR="00AE2255" w:rsidRDefault="00000000">
            <w:pPr>
              <w:pStyle w:val="TableParagraph"/>
              <w:tabs>
                <w:tab w:val="left" w:pos="315"/>
              </w:tabs>
              <w:ind w:right="135"/>
              <w:rPr>
                <w:sz w:val="20"/>
              </w:rPr>
            </w:pPr>
            <w:r>
              <w:rPr>
                <w:spacing w:val="-10"/>
                <w:sz w:val="20"/>
              </w:rPr>
              <w:t>$</w:t>
            </w:r>
            <w:r>
              <w:rPr>
                <w:sz w:val="20"/>
              </w:rPr>
              <w:tab/>
            </w:r>
            <w:r>
              <w:rPr>
                <w:spacing w:val="-2"/>
                <w:sz w:val="20"/>
              </w:rPr>
              <w:t>1,325</w:t>
            </w:r>
          </w:p>
        </w:tc>
        <w:tc>
          <w:tcPr>
            <w:tcW w:w="964" w:type="dxa"/>
          </w:tcPr>
          <w:p w14:paraId="0D2A70E5" w14:textId="77777777" w:rsidR="00AE2255" w:rsidRDefault="00000000">
            <w:pPr>
              <w:pStyle w:val="TableParagraph"/>
              <w:tabs>
                <w:tab w:val="left" w:pos="387"/>
              </w:tabs>
              <w:ind w:left="71"/>
              <w:jc w:val="left"/>
              <w:rPr>
                <w:sz w:val="20"/>
              </w:rPr>
            </w:pPr>
            <w:r>
              <w:rPr>
                <w:spacing w:val="-10"/>
                <w:sz w:val="20"/>
              </w:rPr>
              <w:t>$</w:t>
            </w:r>
            <w:r>
              <w:rPr>
                <w:sz w:val="20"/>
              </w:rPr>
              <w:tab/>
            </w:r>
            <w:r>
              <w:rPr>
                <w:spacing w:val="-2"/>
                <w:sz w:val="20"/>
              </w:rPr>
              <w:t>1,292</w:t>
            </w:r>
          </w:p>
        </w:tc>
      </w:tr>
      <w:tr w:rsidR="00AE2255" w14:paraId="096F253E" w14:textId="77777777">
        <w:trPr>
          <w:trHeight w:val="275"/>
        </w:trPr>
        <w:tc>
          <w:tcPr>
            <w:tcW w:w="5551" w:type="dxa"/>
            <w:tcBorders>
              <w:bottom w:val="single" w:sz="8" w:space="0" w:color="CCEDFF"/>
            </w:tcBorders>
            <w:shd w:val="clear" w:color="auto" w:fill="CCEDFF"/>
          </w:tcPr>
          <w:p w14:paraId="31EBA940" w14:textId="77777777" w:rsidR="00AE2255" w:rsidRDefault="00000000">
            <w:pPr>
              <w:pStyle w:val="TableParagraph"/>
              <w:spacing w:before="27" w:line="228" w:lineRule="exact"/>
              <w:ind w:left="277"/>
              <w:jc w:val="left"/>
              <w:rPr>
                <w:sz w:val="20"/>
              </w:rPr>
            </w:pPr>
            <w:r>
              <w:rPr>
                <w:spacing w:val="-2"/>
                <w:sz w:val="20"/>
              </w:rPr>
              <w:t>Deferred</w:t>
            </w:r>
          </w:p>
        </w:tc>
        <w:tc>
          <w:tcPr>
            <w:tcW w:w="2785" w:type="dxa"/>
            <w:tcBorders>
              <w:bottom w:val="single" w:sz="8" w:space="0" w:color="CCEDFF"/>
            </w:tcBorders>
            <w:shd w:val="clear" w:color="auto" w:fill="CCEDFF"/>
          </w:tcPr>
          <w:p w14:paraId="38C8C588" w14:textId="77777777" w:rsidR="00AE2255" w:rsidRDefault="00000000">
            <w:pPr>
              <w:pStyle w:val="TableParagraph"/>
              <w:spacing w:line="230" w:lineRule="exact"/>
              <w:ind w:right="70"/>
              <w:rPr>
                <w:b/>
                <w:sz w:val="20"/>
              </w:rPr>
            </w:pPr>
            <w:r>
              <w:rPr>
                <w:b/>
                <w:spacing w:val="-2"/>
                <w:sz w:val="20"/>
              </w:rPr>
              <w:t>(776)</w:t>
            </w:r>
          </w:p>
        </w:tc>
        <w:tc>
          <w:tcPr>
            <w:tcW w:w="975" w:type="dxa"/>
            <w:tcBorders>
              <w:bottom w:val="single" w:sz="8" w:space="0" w:color="CCEDFF"/>
            </w:tcBorders>
            <w:shd w:val="clear" w:color="auto" w:fill="CCEDFF"/>
          </w:tcPr>
          <w:p w14:paraId="094EBE9D" w14:textId="77777777" w:rsidR="00AE2255" w:rsidRDefault="00000000">
            <w:pPr>
              <w:pStyle w:val="TableParagraph"/>
              <w:spacing w:line="230" w:lineRule="exact"/>
              <w:ind w:right="70"/>
              <w:rPr>
                <w:sz w:val="20"/>
              </w:rPr>
            </w:pPr>
            <w:r>
              <w:rPr>
                <w:spacing w:val="-2"/>
                <w:sz w:val="20"/>
              </w:rPr>
              <w:t>(194)</w:t>
            </w:r>
          </w:p>
        </w:tc>
        <w:tc>
          <w:tcPr>
            <w:tcW w:w="964" w:type="dxa"/>
            <w:tcBorders>
              <w:bottom w:val="single" w:sz="8" w:space="0" w:color="CCEDFF"/>
            </w:tcBorders>
            <w:shd w:val="clear" w:color="auto" w:fill="CCEDFF"/>
          </w:tcPr>
          <w:p w14:paraId="2CF33619" w14:textId="77777777" w:rsidR="00AE2255" w:rsidRDefault="00000000">
            <w:pPr>
              <w:pStyle w:val="TableParagraph"/>
              <w:spacing w:line="230" w:lineRule="exact"/>
              <w:ind w:right="124"/>
              <w:rPr>
                <w:sz w:val="20"/>
              </w:rPr>
            </w:pPr>
            <w:r>
              <w:rPr>
                <w:spacing w:val="-5"/>
                <w:sz w:val="20"/>
              </w:rPr>
              <w:t>21</w:t>
            </w:r>
          </w:p>
        </w:tc>
      </w:tr>
      <w:tr w:rsidR="00AE2255" w14:paraId="47C96F92" w14:textId="77777777">
        <w:trPr>
          <w:trHeight w:val="275"/>
        </w:trPr>
        <w:tc>
          <w:tcPr>
            <w:tcW w:w="5551" w:type="dxa"/>
            <w:tcBorders>
              <w:top w:val="single" w:sz="8" w:space="0" w:color="auto"/>
            </w:tcBorders>
          </w:tcPr>
          <w:p w14:paraId="07F46BEE" w14:textId="77777777" w:rsidR="00AE2255" w:rsidRDefault="00000000">
            <w:pPr>
              <w:pStyle w:val="TableParagraph"/>
              <w:spacing w:before="17"/>
              <w:ind w:left="52"/>
              <w:jc w:val="left"/>
              <w:rPr>
                <w:sz w:val="20"/>
              </w:rPr>
            </w:pPr>
            <w:r>
              <w:rPr>
                <w:sz w:val="20"/>
              </w:rPr>
              <w:t>Total</w:t>
            </w:r>
            <w:r>
              <w:rPr>
                <w:spacing w:val="-4"/>
                <w:sz w:val="20"/>
              </w:rPr>
              <w:t xml:space="preserve"> </w:t>
            </w:r>
            <w:r>
              <w:rPr>
                <w:sz w:val="20"/>
              </w:rPr>
              <w:t>federal</w:t>
            </w:r>
            <w:r>
              <w:rPr>
                <w:spacing w:val="-4"/>
                <w:sz w:val="20"/>
              </w:rPr>
              <w:t xml:space="preserve"> </w:t>
            </w:r>
            <w:r>
              <w:rPr>
                <w:sz w:val="20"/>
              </w:rPr>
              <w:t>income</w:t>
            </w:r>
            <w:r>
              <w:rPr>
                <w:spacing w:val="-4"/>
                <w:sz w:val="20"/>
              </w:rPr>
              <w:t xml:space="preserve"> </w:t>
            </w:r>
            <w:r>
              <w:rPr>
                <w:sz w:val="20"/>
              </w:rPr>
              <w:t>tax</w:t>
            </w:r>
            <w:r>
              <w:rPr>
                <w:spacing w:val="-2"/>
                <w:sz w:val="20"/>
              </w:rPr>
              <w:t xml:space="preserve"> expense</w:t>
            </w:r>
          </w:p>
        </w:tc>
        <w:tc>
          <w:tcPr>
            <w:tcW w:w="2785" w:type="dxa"/>
            <w:tcBorders>
              <w:top w:val="single" w:sz="8" w:space="0" w:color="auto"/>
            </w:tcBorders>
          </w:tcPr>
          <w:p w14:paraId="46DD49F9" w14:textId="77777777" w:rsidR="00AE2255" w:rsidRDefault="00000000">
            <w:pPr>
              <w:pStyle w:val="TableParagraph"/>
              <w:spacing w:before="15"/>
              <w:ind w:right="135"/>
              <w:rPr>
                <w:b/>
                <w:sz w:val="20"/>
              </w:rPr>
            </w:pPr>
            <w:r>
              <w:rPr>
                <w:b/>
                <w:spacing w:val="-5"/>
                <w:sz w:val="20"/>
              </w:rPr>
              <w:t>842</w:t>
            </w:r>
          </w:p>
        </w:tc>
        <w:tc>
          <w:tcPr>
            <w:tcW w:w="975" w:type="dxa"/>
            <w:tcBorders>
              <w:top w:val="single" w:sz="8" w:space="0" w:color="auto"/>
            </w:tcBorders>
          </w:tcPr>
          <w:p w14:paraId="326BBE5C" w14:textId="77777777" w:rsidR="00AE2255" w:rsidRDefault="00000000">
            <w:pPr>
              <w:pStyle w:val="TableParagraph"/>
              <w:spacing w:before="15"/>
              <w:ind w:right="135"/>
              <w:rPr>
                <w:sz w:val="20"/>
              </w:rPr>
            </w:pPr>
            <w:r>
              <w:rPr>
                <w:spacing w:val="-2"/>
                <w:sz w:val="20"/>
              </w:rPr>
              <w:t>1,131</w:t>
            </w:r>
          </w:p>
        </w:tc>
        <w:tc>
          <w:tcPr>
            <w:tcW w:w="964" w:type="dxa"/>
            <w:tcBorders>
              <w:top w:val="single" w:sz="8" w:space="0" w:color="auto"/>
            </w:tcBorders>
          </w:tcPr>
          <w:p w14:paraId="6A728E49" w14:textId="77777777" w:rsidR="00AE2255" w:rsidRDefault="00000000">
            <w:pPr>
              <w:pStyle w:val="TableParagraph"/>
              <w:spacing w:before="15"/>
              <w:ind w:left="387"/>
              <w:jc w:val="left"/>
              <w:rPr>
                <w:sz w:val="20"/>
              </w:rPr>
            </w:pPr>
            <w:r>
              <w:rPr>
                <w:spacing w:val="-2"/>
                <w:sz w:val="20"/>
              </w:rPr>
              <w:t>1,313</w:t>
            </w:r>
          </w:p>
        </w:tc>
      </w:tr>
      <w:tr w:rsidR="00AE2255" w14:paraId="792CD3A5" w14:textId="77777777">
        <w:trPr>
          <w:trHeight w:val="285"/>
        </w:trPr>
        <w:tc>
          <w:tcPr>
            <w:tcW w:w="5551" w:type="dxa"/>
            <w:shd w:val="clear" w:color="auto" w:fill="CCEDFF"/>
          </w:tcPr>
          <w:p w14:paraId="15CA00D8" w14:textId="77777777" w:rsidR="00AE2255" w:rsidRDefault="00000000">
            <w:pPr>
              <w:pStyle w:val="TableParagraph"/>
              <w:spacing w:before="27"/>
              <w:ind w:left="52"/>
              <w:jc w:val="left"/>
              <w:rPr>
                <w:sz w:val="20"/>
              </w:rPr>
            </w:pPr>
            <w:r>
              <w:rPr>
                <w:sz w:val="20"/>
              </w:rPr>
              <w:t>Foreign</w:t>
            </w:r>
            <w:r>
              <w:rPr>
                <w:spacing w:val="-3"/>
                <w:sz w:val="20"/>
              </w:rPr>
              <w:t xml:space="preserve"> </w:t>
            </w:r>
            <w:r>
              <w:rPr>
                <w:sz w:val="20"/>
              </w:rPr>
              <w:t>income</w:t>
            </w:r>
            <w:r>
              <w:rPr>
                <w:spacing w:val="-4"/>
                <w:sz w:val="20"/>
              </w:rPr>
              <w:t xml:space="preserve"> </w:t>
            </w:r>
            <w:r>
              <w:rPr>
                <w:sz w:val="20"/>
              </w:rPr>
              <w:t>tax</w:t>
            </w:r>
            <w:r>
              <w:rPr>
                <w:spacing w:val="-3"/>
                <w:sz w:val="20"/>
              </w:rPr>
              <w:t xml:space="preserve"> </w:t>
            </w:r>
            <w:r>
              <w:rPr>
                <w:sz w:val="20"/>
              </w:rPr>
              <w:t>expense</w:t>
            </w:r>
            <w:r>
              <w:rPr>
                <w:spacing w:val="-3"/>
                <w:sz w:val="20"/>
              </w:rPr>
              <w:t xml:space="preserve"> </w:t>
            </w:r>
            <w:r>
              <w:rPr>
                <w:spacing w:val="-2"/>
                <w:sz w:val="20"/>
              </w:rPr>
              <w:t>(benefit):</w:t>
            </w:r>
          </w:p>
        </w:tc>
        <w:tc>
          <w:tcPr>
            <w:tcW w:w="2785" w:type="dxa"/>
            <w:shd w:val="clear" w:color="auto" w:fill="CCEDFF"/>
          </w:tcPr>
          <w:p w14:paraId="018F18EB" w14:textId="77777777" w:rsidR="00AE2255" w:rsidRDefault="00AE2255">
            <w:pPr>
              <w:pStyle w:val="TableParagraph"/>
              <w:spacing w:before="0"/>
              <w:jc w:val="left"/>
              <w:rPr>
                <w:sz w:val="20"/>
              </w:rPr>
            </w:pPr>
          </w:p>
        </w:tc>
        <w:tc>
          <w:tcPr>
            <w:tcW w:w="975" w:type="dxa"/>
            <w:shd w:val="clear" w:color="auto" w:fill="CCEDFF"/>
          </w:tcPr>
          <w:p w14:paraId="69BB968E" w14:textId="77777777" w:rsidR="00AE2255" w:rsidRDefault="00AE2255">
            <w:pPr>
              <w:pStyle w:val="TableParagraph"/>
              <w:spacing w:before="0"/>
              <w:jc w:val="left"/>
              <w:rPr>
                <w:sz w:val="20"/>
              </w:rPr>
            </w:pPr>
          </w:p>
        </w:tc>
        <w:tc>
          <w:tcPr>
            <w:tcW w:w="964" w:type="dxa"/>
            <w:shd w:val="clear" w:color="auto" w:fill="CCEDFF"/>
          </w:tcPr>
          <w:p w14:paraId="5C8BC5B7" w14:textId="77777777" w:rsidR="00AE2255" w:rsidRDefault="00AE2255">
            <w:pPr>
              <w:pStyle w:val="TableParagraph"/>
              <w:spacing w:before="0"/>
              <w:jc w:val="left"/>
              <w:rPr>
                <w:sz w:val="20"/>
              </w:rPr>
            </w:pPr>
          </w:p>
        </w:tc>
      </w:tr>
      <w:tr w:rsidR="00AE2255" w14:paraId="4D7505C8" w14:textId="77777777">
        <w:trPr>
          <w:trHeight w:val="285"/>
        </w:trPr>
        <w:tc>
          <w:tcPr>
            <w:tcW w:w="5551" w:type="dxa"/>
          </w:tcPr>
          <w:p w14:paraId="47C05CCC" w14:textId="77777777" w:rsidR="00AE2255" w:rsidRDefault="00000000">
            <w:pPr>
              <w:pStyle w:val="TableParagraph"/>
              <w:spacing w:before="27"/>
              <w:ind w:left="187"/>
              <w:jc w:val="left"/>
              <w:rPr>
                <w:sz w:val="20"/>
              </w:rPr>
            </w:pPr>
            <w:r>
              <w:rPr>
                <w:spacing w:val="-2"/>
                <w:sz w:val="20"/>
              </w:rPr>
              <w:t>Current</w:t>
            </w:r>
          </w:p>
        </w:tc>
        <w:tc>
          <w:tcPr>
            <w:tcW w:w="2785" w:type="dxa"/>
          </w:tcPr>
          <w:p w14:paraId="39B4E1B1" w14:textId="77777777" w:rsidR="00AE2255" w:rsidRDefault="00000000">
            <w:pPr>
              <w:pStyle w:val="TableParagraph"/>
              <w:ind w:right="135"/>
              <w:rPr>
                <w:b/>
                <w:sz w:val="20"/>
              </w:rPr>
            </w:pPr>
            <w:r>
              <w:rPr>
                <w:b/>
                <w:spacing w:val="-5"/>
                <w:sz w:val="20"/>
              </w:rPr>
              <w:t>87</w:t>
            </w:r>
          </w:p>
        </w:tc>
        <w:tc>
          <w:tcPr>
            <w:tcW w:w="975" w:type="dxa"/>
          </w:tcPr>
          <w:p w14:paraId="6B430622" w14:textId="77777777" w:rsidR="00AE2255" w:rsidRDefault="00000000">
            <w:pPr>
              <w:pStyle w:val="TableParagraph"/>
              <w:ind w:right="135"/>
              <w:rPr>
                <w:sz w:val="20"/>
              </w:rPr>
            </w:pPr>
            <w:r>
              <w:rPr>
                <w:spacing w:val="-5"/>
                <w:sz w:val="20"/>
              </w:rPr>
              <w:t>93</w:t>
            </w:r>
          </w:p>
        </w:tc>
        <w:tc>
          <w:tcPr>
            <w:tcW w:w="964" w:type="dxa"/>
          </w:tcPr>
          <w:p w14:paraId="054F4775" w14:textId="77777777" w:rsidR="00AE2255" w:rsidRDefault="00000000">
            <w:pPr>
              <w:pStyle w:val="TableParagraph"/>
              <w:ind w:right="124"/>
              <w:rPr>
                <w:sz w:val="20"/>
              </w:rPr>
            </w:pPr>
            <w:r>
              <w:rPr>
                <w:spacing w:val="-5"/>
                <w:sz w:val="20"/>
              </w:rPr>
              <w:t>50</w:t>
            </w:r>
          </w:p>
        </w:tc>
      </w:tr>
      <w:tr w:rsidR="00AE2255" w14:paraId="770990DF" w14:textId="77777777">
        <w:trPr>
          <w:trHeight w:val="275"/>
        </w:trPr>
        <w:tc>
          <w:tcPr>
            <w:tcW w:w="5551" w:type="dxa"/>
            <w:tcBorders>
              <w:bottom w:val="single" w:sz="8" w:space="0" w:color="CCEDFF"/>
            </w:tcBorders>
            <w:shd w:val="clear" w:color="auto" w:fill="CCEDFF"/>
          </w:tcPr>
          <w:p w14:paraId="1D6B9EED" w14:textId="77777777" w:rsidR="00AE2255" w:rsidRDefault="00000000">
            <w:pPr>
              <w:pStyle w:val="TableParagraph"/>
              <w:spacing w:before="27" w:line="228" w:lineRule="exact"/>
              <w:ind w:left="187"/>
              <w:jc w:val="left"/>
              <w:rPr>
                <w:sz w:val="20"/>
              </w:rPr>
            </w:pPr>
            <w:r>
              <w:rPr>
                <w:spacing w:val="-2"/>
                <w:sz w:val="20"/>
              </w:rPr>
              <w:t>Deferred</w:t>
            </w:r>
          </w:p>
        </w:tc>
        <w:tc>
          <w:tcPr>
            <w:tcW w:w="2785" w:type="dxa"/>
            <w:tcBorders>
              <w:bottom w:val="single" w:sz="8" w:space="0" w:color="CCEDFF"/>
            </w:tcBorders>
            <w:shd w:val="clear" w:color="auto" w:fill="CCEDFF"/>
          </w:tcPr>
          <w:p w14:paraId="44BCB8B3" w14:textId="77777777" w:rsidR="00AE2255" w:rsidRDefault="00000000">
            <w:pPr>
              <w:pStyle w:val="TableParagraph"/>
              <w:spacing w:line="230" w:lineRule="exact"/>
              <w:ind w:right="135"/>
              <w:rPr>
                <w:b/>
                <w:sz w:val="20"/>
              </w:rPr>
            </w:pPr>
            <w:r>
              <w:rPr>
                <w:b/>
                <w:spacing w:val="-5"/>
                <w:sz w:val="20"/>
              </w:rPr>
              <w:t>19</w:t>
            </w:r>
          </w:p>
        </w:tc>
        <w:tc>
          <w:tcPr>
            <w:tcW w:w="975" w:type="dxa"/>
            <w:tcBorders>
              <w:bottom w:val="single" w:sz="8" w:space="0" w:color="CCEDFF"/>
            </w:tcBorders>
            <w:shd w:val="clear" w:color="auto" w:fill="CCEDFF"/>
          </w:tcPr>
          <w:p w14:paraId="17067343" w14:textId="77777777" w:rsidR="00AE2255" w:rsidRDefault="00000000">
            <w:pPr>
              <w:pStyle w:val="TableParagraph"/>
              <w:spacing w:line="230" w:lineRule="exact"/>
              <w:ind w:right="135"/>
              <w:rPr>
                <w:sz w:val="20"/>
              </w:rPr>
            </w:pPr>
            <w:r>
              <w:rPr>
                <w:spacing w:val="-5"/>
                <w:sz w:val="20"/>
              </w:rPr>
              <w:t>11</w:t>
            </w:r>
          </w:p>
        </w:tc>
        <w:tc>
          <w:tcPr>
            <w:tcW w:w="964" w:type="dxa"/>
            <w:tcBorders>
              <w:bottom w:val="single" w:sz="8" w:space="0" w:color="CCEDFF"/>
            </w:tcBorders>
            <w:shd w:val="clear" w:color="auto" w:fill="CCEDFF"/>
          </w:tcPr>
          <w:p w14:paraId="6D8088B6" w14:textId="77777777" w:rsidR="00AE2255" w:rsidRDefault="00000000">
            <w:pPr>
              <w:pStyle w:val="TableParagraph"/>
              <w:spacing w:line="230" w:lineRule="exact"/>
              <w:ind w:right="59"/>
              <w:rPr>
                <w:sz w:val="20"/>
              </w:rPr>
            </w:pPr>
            <w:r>
              <w:rPr>
                <w:spacing w:val="-4"/>
                <w:sz w:val="20"/>
              </w:rPr>
              <w:t>(16)</w:t>
            </w:r>
          </w:p>
        </w:tc>
      </w:tr>
      <w:tr w:rsidR="00AE2255" w14:paraId="66A3D7A0" w14:textId="77777777">
        <w:trPr>
          <w:trHeight w:val="265"/>
        </w:trPr>
        <w:tc>
          <w:tcPr>
            <w:tcW w:w="5551" w:type="dxa"/>
            <w:tcBorders>
              <w:top w:val="single" w:sz="8" w:space="0" w:color="auto"/>
              <w:bottom w:val="single" w:sz="8" w:space="0" w:color="auto"/>
            </w:tcBorders>
          </w:tcPr>
          <w:p w14:paraId="4507A470" w14:textId="77777777" w:rsidR="00AE2255" w:rsidRDefault="00000000">
            <w:pPr>
              <w:pStyle w:val="TableParagraph"/>
              <w:spacing w:before="17" w:line="228" w:lineRule="exact"/>
              <w:ind w:left="52"/>
              <w:jc w:val="left"/>
              <w:rPr>
                <w:sz w:val="20"/>
              </w:rPr>
            </w:pPr>
            <w:r>
              <w:rPr>
                <w:sz w:val="20"/>
              </w:rPr>
              <w:t>Total</w:t>
            </w:r>
            <w:r>
              <w:rPr>
                <w:spacing w:val="-4"/>
                <w:sz w:val="20"/>
              </w:rPr>
              <w:t xml:space="preserve"> </w:t>
            </w:r>
            <w:r>
              <w:rPr>
                <w:sz w:val="20"/>
              </w:rPr>
              <w:t>foreign</w:t>
            </w:r>
            <w:r>
              <w:rPr>
                <w:spacing w:val="-2"/>
                <w:sz w:val="20"/>
              </w:rPr>
              <w:t xml:space="preserve"> </w:t>
            </w:r>
            <w:r>
              <w:rPr>
                <w:sz w:val="20"/>
              </w:rPr>
              <w:t>income</w:t>
            </w:r>
            <w:r>
              <w:rPr>
                <w:spacing w:val="-4"/>
                <w:sz w:val="20"/>
              </w:rPr>
              <w:t xml:space="preserve"> </w:t>
            </w:r>
            <w:r>
              <w:rPr>
                <w:sz w:val="20"/>
              </w:rPr>
              <w:t>tax</w:t>
            </w:r>
            <w:r>
              <w:rPr>
                <w:spacing w:val="-2"/>
                <w:sz w:val="20"/>
              </w:rPr>
              <w:t xml:space="preserve"> expense</w:t>
            </w:r>
          </w:p>
        </w:tc>
        <w:tc>
          <w:tcPr>
            <w:tcW w:w="2785" w:type="dxa"/>
            <w:tcBorders>
              <w:top w:val="single" w:sz="8" w:space="0" w:color="auto"/>
              <w:bottom w:val="single" w:sz="8" w:space="0" w:color="auto"/>
            </w:tcBorders>
          </w:tcPr>
          <w:p w14:paraId="513C260B" w14:textId="77777777" w:rsidR="00AE2255" w:rsidRDefault="00000000">
            <w:pPr>
              <w:pStyle w:val="TableParagraph"/>
              <w:spacing w:before="15" w:line="230" w:lineRule="exact"/>
              <w:ind w:right="135"/>
              <w:rPr>
                <w:b/>
                <w:sz w:val="20"/>
              </w:rPr>
            </w:pPr>
            <w:r>
              <w:rPr>
                <w:b/>
                <w:spacing w:val="-5"/>
                <w:sz w:val="20"/>
              </w:rPr>
              <w:t>106</w:t>
            </w:r>
          </w:p>
        </w:tc>
        <w:tc>
          <w:tcPr>
            <w:tcW w:w="975" w:type="dxa"/>
            <w:tcBorders>
              <w:top w:val="single" w:sz="8" w:space="0" w:color="auto"/>
              <w:bottom w:val="single" w:sz="8" w:space="0" w:color="auto"/>
            </w:tcBorders>
          </w:tcPr>
          <w:p w14:paraId="0B8C472C" w14:textId="77777777" w:rsidR="00AE2255" w:rsidRDefault="00000000">
            <w:pPr>
              <w:pStyle w:val="TableParagraph"/>
              <w:spacing w:before="15" w:line="230" w:lineRule="exact"/>
              <w:ind w:right="135"/>
              <w:rPr>
                <w:sz w:val="20"/>
              </w:rPr>
            </w:pPr>
            <w:r>
              <w:rPr>
                <w:spacing w:val="-5"/>
                <w:sz w:val="20"/>
              </w:rPr>
              <w:t>104</w:t>
            </w:r>
          </w:p>
        </w:tc>
        <w:tc>
          <w:tcPr>
            <w:tcW w:w="964" w:type="dxa"/>
            <w:tcBorders>
              <w:top w:val="single" w:sz="8" w:space="0" w:color="auto"/>
              <w:bottom w:val="single" w:sz="8" w:space="0" w:color="auto"/>
            </w:tcBorders>
          </w:tcPr>
          <w:p w14:paraId="1F9307ED" w14:textId="77777777" w:rsidR="00AE2255" w:rsidRDefault="00000000">
            <w:pPr>
              <w:pStyle w:val="TableParagraph"/>
              <w:spacing w:before="15" w:line="230" w:lineRule="exact"/>
              <w:ind w:right="124"/>
              <w:rPr>
                <w:sz w:val="20"/>
              </w:rPr>
            </w:pPr>
            <w:r>
              <w:rPr>
                <w:spacing w:val="-5"/>
                <w:sz w:val="20"/>
              </w:rPr>
              <w:t>34</w:t>
            </w:r>
          </w:p>
        </w:tc>
      </w:tr>
      <w:tr w:rsidR="00AE2255" w14:paraId="31047BCE" w14:textId="77777777">
        <w:trPr>
          <w:trHeight w:val="252"/>
        </w:trPr>
        <w:tc>
          <w:tcPr>
            <w:tcW w:w="5551" w:type="dxa"/>
            <w:tcBorders>
              <w:top w:val="single" w:sz="8" w:space="0" w:color="CCEDFF"/>
              <w:bottom w:val="single" w:sz="18" w:space="0" w:color="CCEDFF"/>
            </w:tcBorders>
            <w:shd w:val="clear" w:color="auto" w:fill="CCEDFF"/>
          </w:tcPr>
          <w:p w14:paraId="36940EBC" w14:textId="77777777" w:rsidR="00AE2255" w:rsidRDefault="00000000">
            <w:pPr>
              <w:pStyle w:val="TableParagraph"/>
              <w:spacing w:before="17" w:line="216" w:lineRule="exact"/>
              <w:ind w:left="52"/>
              <w:jc w:val="left"/>
              <w:rPr>
                <w:sz w:val="20"/>
              </w:rPr>
            </w:pPr>
            <w:r>
              <w:rPr>
                <w:sz w:val="20"/>
              </w:rPr>
              <w:t>Total</w:t>
            </w:r>
            <w:r>
              <w:rPr>
                <w:spacing w:val="-4"/>
                <w:sz w:val="20"/>
              </w:rPr>
              <w:t xml:space="preserve"> </w:t>
            </w:r>
            <w:r>
              <w:rPr>
                <w:sz w:val="20"/>
              </w:rPr>
              <w:t>federal</w:t>
            </w:r>
            <w:r>
              <w:rPr>
                <w:spacing w:val="-3"/>
                <w:sz w:val="20"/>
              </w:rPr>
              <w:t xml:space="preserve"> </w:t>
            </w:r>
            <w:r>
              <w:rPr>
                <w:sz w:val="20"/>
              </w:rPr>
              <w:t>and</w:t>
            </w:r>
            <w:r>
              <w:rPr>
                <w:spacing w:val="-2"/>
                <w:sz w:val="20"/>
              </w:rPr>
              <w:t xml:space="preserve"> </w:t>
            </w:r>
            <w:r>
              <w:rPr>
                <w:sz w:val="20"/>
              </w:rPr>
              <w:t>foreign</w:t>
            </w:r>
            <w:r>
              <w:rPr>
                <w:spacing w:val="-3"/>
                <w:sz w:val="20"/>
              </w:rPr>
              <w:t xml:space="preserve"> </w:t>
            </w:r>
            <w:r>
              <w:rPr>
                <w:sz w:val="20"/>
              </w:rPr>
              <w:t>income</w:t>
            </w:r>
            <w:r>
              <w:rPr>
                <w:spacing w:val="-3"/>
                <w:sz w:val="20"/>
              </w:rPr>
              <w:t xml:space="preserve"> </w:t>
            </w:r>
            <w:r>
              <w:rPr>
                <w:sz w:val="20"/>
              </w:rPr>
              <w:t>tax</w:t>
            </w:r>
            <w:r>
              <w:rPr>
                <w:spacing w:val="-2"/>
                <w:sz w:val="20"/>
              </w:rPr>
              <w:t xml:space="preserve"> expense</w:t>
            </w:r>
          </w:p>
        </w:tc>
        <w:tc>
          <w:tcPr>
            <w:tcW w:w="2785" w:type="dxa"/>
            <w:tcBorders>
              <w:top w:val="single" w:sz="8" w:space="0" w:color="CCEDFF"/>
              <w:bottom w:val="single" w:sz="18" w:space="0" w:color="CCEDFF"/>
            </w:tcBorders>
            <w:shd w:val="clear" w:color="auto" w:fill="CCEDFF"/>
          </w:tcPr>
          <w:p w14:paraId="69061491" w14:textId="77777777" w:rsidR="00AE2255" w:rsidRDefault="00000000">
            <w:pPr>
              <w:pStyle w:val="TableParagraph"/>
              <w:tabs>
                <w:tab w:val="left" w:pos="465"/>
              </w:tabs>
              <w:spacing w:before="15" w:line="217" w:lineRule="exact"/>
              <w:ind w:right="135"/>
              <w:rPr>
                <w:b/>
                <w:sz w:val="20"/>
              </w:rPr>
            </w:pPr>
            <w:r>
              <w:rPr>
                <w:b/>
                <w:spacing w:val="-10"/>
                <w:sz w:val="20"/>
              </w:rPr>
              <w:t>$</w:t>
            </w:r>
            <w:r>
              <w:rPr>
                <w:b/>
                <w:sz w:val="20"/>
              </w:rPr>
              <w:tab/>
            </w:r>
            <w:r>
              <w:rPr>
                <w:b/>
                <w:spacing w:val="-5"/>
                <w:sz w:val="20"/>
              </w:rPr>
              <w:t>948</w:t>
            </w:r>
          </w:p>
        </w:tc>
        <w:tc>
          <w:tcPr>
            <w:tcW w:w="975" w:type="dxa"/>
            <w:tcBorders>
              <w:top w:val="single" w:sz="8" w:space="0" w:color="CCEDFF"/>
              <w:bottom w:val="single" w:sz="18" w:space="0" w:color="CCEDFF"/>
            </w:tcBorders>
            <w:shd w:val="clear" w:color="auto" w:fill="CCEDFF"/>
          </w:tcPr>
          <w:p w14:paraId="294FE973" w14:textId="77777777" w:rsidR="00AE2255" w:rsidRDefault="00000000">
            <w:pPr>
              <w:pStyle w:val="TableParagraph"/>
              <w:tabs>
                <w:tab w:val="left" w:pos="315"/>
              </w:tabs>
              <w:spacing w:before="15" w:line="217" w:lineRule="exact"/>
              <w:ind w:right="135"/>
              <w:rPr>
                <w:sz w:val="20"/>
              </w:rPr>
            </w:pPr>
            <w:r>
              <w:rPr>
                <w:spacing w:val="-10"/>
                <w:sz w:val="20"/>
              </w:rPr>
              <w:t>$</w:t>
            </w:r>
            <w:r>
              <w:rPr>
                <w:sz w:val="20"/>
              </w:rPr>
              <w:tab/>
            </w:r>
            <w:r>
              <w:rPr>
                <w:spacing w:val="-2"/>
                <w:sz w:val="20"/>
              </w:rPr>
              <w:t>1,235</w:t>
            </w:r>
          </w:p>
        </w:tc>
        <w:tc>
          <w:tcPr>
            <w:tcW w:w="964" w:type="dxa"/>
            <w:tcBorders>
              <w:top w:val="single" w:sz="8" w:space="0" w:color="CCEDFF"/>
              <w:bottom w:val="single" w:sz="18" w:space="0" w:color="CCEDFF"/>
            </w:tcBorders>
            <w:shd w:val="clear" w:color="auto" w:fill="CCEDFF"/>
          </w:tcPr>
          <w:p w14:paraId="79BBB465" w14:textId="77777777" w:rsidR="00AE2255" w:rsidRDefault="00000000">
            <w:pPr>
              <w:pStyle w:val="TableParagraph"/>
              <w:tabs>
                <w:tab w:val="left" w:pos="387"/>
              </w:tabs>
              <w:spacing w:before="15" w:line="217" w:lineRule="exact"/>
              <w:ind w:left="71"/>
              <w:jc w:val="left"/>
              <w:rPr>
                <w:sz w:val="20"/>
              </w:rPr>
            </w:pPr>
            <w:r>
              <w:rPr>
                <w:spacing w:val="-10"/>
                <w:sz w:val="20"/>
              </w:rPr>
              <w:t>$</w:t>
            </w:r>
            <w:r>
              <w:rPr>
                <w:sz w:val="20"/>
              </w:rPr>
              <w:tab/>
            </w:r>
            <w:r>
              <w:rPr>
                <w:spacing w:val="-2"/>
                <w:sz w:val="20"/>
              </w:rPr>
              <w:t>1,347</w:t>
            </w:r>
          </w:p>
        </w:tc>
      </w:tr>
    </w:tbl>
    <w:p w14:paraId="140E6415" w14:textId="77777777" w:rsidR="00AE2255" w:rsidRDefault="00AE2255">
      <w:pPr>
        <w:pStyle w:val="BodyText"/>
      </w:pPr>
    </w:p>
    <w:p w14:paraId="07222FBB" w14:textId="77777777" w:rsidR="00AE2255" w:rsidRDefault="00000000">
      <w:pPr>
        <w:pStyle w:val="BodyText"/>
        <w:spacing w:line="249" w:lineRule="auto"/>
        <w:ind w:left="610" w:right="430" w:firstLine="360"/>
      </w:pPr>
      <w:r>
        <w:t>Our total net state income tax expense was $124 million for 2022, $195 million for 2021, and $197 million for 2020. State income</w:t>
      </w:r>
      <w:r>
        <w:rPr>
          <w:spacing w:val="-2"/>
        </w:rPr>
        <w:t xml:space="preserve"> </w:t>
      </w:r>
      <w:r>
        <w:t>taxes</w:t>
      </w:r>
      <w:r>
        <w:rPr>
          <w:spacing w:val="-2"/>
        </w:rPr>
        <w:t xml:space="preserve"> </w:t>
      </w:r>
      <w:r>
        <w:t>are</w:t>
      </w:r>
      <w:r>
        <w:rPr>
          <w:spacing w:val="-2"/>
        </w:rPr>
        <w:t xml:space="preserve"> </w:t>
      </w:r>
      <w:r>
        <w:t>allowable</w:t>
      </w:r>
      <w:r>
        <w:rPr>
          <w:spacing w:val="-2"/>
        </w:rPr>
        <w:t xml:space="preserve"> </w:t>
      </w:r>
      <w:r>
        <w:t>costs</w:t>
      </w:r>
      <w:r>
        <w:rPr>
          <w:spacing w:val="-2"/>
        </w:rPr>
        <w:t xml:space="preserve"> </w:t>
      </w:r>
      <w:r>
        <w:t>in</w:t>
      </w:r>
      <w:r>
        <w:rPr>
          <w:spacing w:val="-1"/>
        </w:rPr>
        <w:t xml:space="preserve"> </w:t>
      </w:r>
      <w:r>
        <w:t>establishing</w:t>
      </w:r>
      <w:r>
        <w:rPr>
          <w:spacing w:val="-1"/>
        </w:rPr>
        <w:t xml:space="preserve"> </w:t>
      </w:r>
      <w:r>
        <w:t>prices</w:t>
      </w:r>
      <w:r>
        <w:rPr>
          <w:spacing w:val="-2"/>
        </w:rPr>
        <w:t xml:space="preserve"> </w:t>
      </w:r>
      <w:r>
        <w:t>for</w:t>
      </w:r>
      <w:r>
        <w:rPr>
          <w:spacing w:val="-1"/>
        </w:rPr>
        <w:t xml:space="preserve"> </w:t>
      </w:r>
      <w:r>
        <w:t>the</w:t>
      </w:r>
      <w:r>
        <w:rPr>
          <w:spacing w:val="-2"/>
        </w:rPr>
        <w:t xml:space="preserve"> </w:t>
      </w:r>
      <w:r>
        <w:t>products</w:t>
      </w:r>
      <w:r>
        <w:rPr>
          <w:spacing w:val="-2"/>
        </w:rPr>
        <w:t xml:space="preserve"> </w:t>
      </w:r>
      <w:r>
        <w:t>and</w:t>
      </w:r>
      <w:r>
        <w:rPr>
          <w:spacing w:val="-1"/>
        </w:rPr>
        <w:t xml:space="preserve"> </w:t>
      </w:r>
      <w:r>
        <w:t>services</w:t>
      </w:r>
      <w:r>
        <w:rPr>
          <w:spacing w:val="-2"/>
        </w:rPr>
        <w:t xml:space="preserve"> </w:t>
      </w:r>
      <w:r>
        <w:t>we</w:t>
      </w:r>
      <w:r>
        <w:rPr>
          <w:spacing w:val="-2"/>
        </w:rPr>
        <w:t xml:space="preserve"> </w:t>
      </w:r>
      <w:r>
        <w:t>sell</w:t>
      </w:r>
      <w:r>
        <w:rPr>
          <w:spacing w:val="-2"/>
        </w:rPr>
        <w:t xml:space="preserve"> </w:t>
      </w:r>
      <w:r>
        <w:t>to</w:t>
      </w:r>
      <w:r>
        <w:rPr>
          <w:spacing w:val="-1"/>
        </w:rPr>
        <w:t xml:space="preserve"> </w:t>
      </w:r>
      <w:r>
        <w:t>the</w:t>
      </w:r>
      <w:r>
        <w:rPr>
          <w:spacing w:val="-2"/>
        </w:rPr>
        <w:t xml:space="preserve"> </w:t>
      </w:r>
      <w:r>
        <w:t>U.S.</w:t>
      </w:r>
      <w:r>
        <w:rPr>
          <w:spacing w:val="-1"/>
        </w:rPr>
        <w:t xml:space="preserve"> </w:t>
      </w:r>
      <w:r>
        <w:t>Government.</w:t>
      </w:r>
      <w:r>
        <w:rPr>
          <w:spacing w:val="-1"/>
        </w:rPr>
        <w:t xml:space="preserve"> </w:t>
      </w:r>
      <w:r>
        <w:t>Therefore, state</w:t>
      </w:r>
      <w:r>
        <w:rPr>
          <w:spacing w:val="-3"/>
        </w:rPr>
        <w:t xml:space="preserve"> </w:t>
      </w:r>
      <w:r>
        <w:t>income</w:t>
      </w:r>
      <w:r>
        <w:rPr>
          <w:spacing w:val="-3"/>
        </w:rPr>
        <w:t xml:space="preserve"> </w:t>
      </w:r>
      <w:r>
        <w:t>tax</w:t>
      </w:r>
      <w:r>
        <w:rPr>
          <w:spacing w:val="-2"/>
        </w:rPr>
        <w:t xml:space="preserve"> </w:t>
      </w:r>
      <w:r>
        <w:t>expenses</w:t>
      </w:r>
      <w:r>
        <w:rPr>
          <w:spacing w:val="-3"/>
        </w:rPr>
        <w:t xml:space="preserve"> </w:t>
      </w:r>
      <w:r>
        <w:t>are</w:t>
      </w:r>
      <w:r>
        <w:rPr>
          <w:spacing w:val="-3"/>
        </w:rPr>
        <w:t xml:space="preserve"> </w:t>
      </w:r>
      <w:r>
        <w:t>included</w:t>
      </w:r>
      <w:r>
        <w:rPr>
          <w:spacing w:val="-2"/>
        </w:rPr>
        <w:t xml:space="preserve"> </w:t>
      </w:r>
      <w:r>
        <w:t>in</w:t>
      </w:r>
      <w:r>
        <w:rPr>
          <w:spacing w:val="-2"/>
        </w:rPr>
        <w:t xml:space="preserve"> </w:t>
      </w:r>
      <w:r>
        <w:t>our</w:t>
      </w:r>
      <w:r>
        <w:rPr>
          <w:spacing w:val="-2"/>
        </w:rPr>
        <w:t xml:space="preserve"> </w:t>
      </w:r>
      <w:r>
        <w:t>cost</w:t>
      </w:r>
      <w:r>
        <w:rPr>
          <w:spacing w:val="-3"/>
        </w:rPr>
        <w:t xml:space="preserve"> </w:t>
      </w:r>
      <w:r>
        <w:t>of</w:t>
      </w:r>
      <w:r>
        <w:rPr>
          <w:spacing w:val="-2"/>
        </w:rPr>
        <w:t xml:space="preserve"> </w:t>
      </w:r>
      <w:r>
        <w:t>sales,</w:t>
      </w:r>
      <w:r>
        <w:rPr>
          <w:spacing w:val="-2"/>
        </w:rPr>
        <w:t xml:space="preserve"> </w:t>
      </w:r>
      <w:r>
        <w:t>as</w:t>
      </w:r>
      <w:r>
        <w:rPr>
          <w:spacing w:val="-3"/>
        </w:rPr>
        <w:t xml:space="preserve"> </w:t>
      </w:r>
      <w:r>
        <w:t>general</w:t>
      </w:r>
      <w:r>
        <w:rPr>
          <w:spacing w:val="-3"/>
        </w:rPr>
        <w:t xml:space="preserve"> </w:t>
      </w:r>
      <w:r>
        <w:t>and</w:t>
      </w:r>
      <w:r>
        <w:rPr>
          <w:spacing w:val="-2"/>
        </w:rPr>
        <w:t xml:space="preserve"> </w:t>
      </w:r>
      <w:r>
        <w:t>administrative</w:t>
      </w:r>
      <w:r>
        <w:rPr>
          <w:spacing w:val="-3"/>
        </w:rPr>
        <w:t xml:space="preserve"> </w:t>
      </w:r>
      <w:r>
        <w:t>costs.</w:t>
      </w:r>
      <w:r>
        <w:rPr>
          <w:spacing w:val="-2"/>
        </w:rPr>
        <w:t xml:space="preserve"> </w:t>
      </w:r>
      <w:r>
        <w:t>As</w:t>
      </w:r>
      <w:r>
        <w:rPr>
          <w:spacing w:val="-3"/>
        </w:rPr>
        <w:t xml:space="preserve"> </w:t>
      </w:r>
      <w:r>
        <w:t>a</w:t>
      </w:r>
      <w:r>
        <w:rPr>
          <w:spacing w:val="-3"/>
        </w:rPr>
        <w:t xml:space="preserve"> </w:t>
      </w:r>
      <w:r>
        <w:t>result,</w:t>
      </w:r>
      <w:r>
        <w:rPr>
          <w:spacing w:val="-2"/>
        </w:rPr>
        <w:t xml:space="preserve"> </w:t>
      </w:r>
      <w:r>
        <w:t>the</w:t>
      </w:r>
      <w:r>
        <w:rPr>
          <w:spacing w:val="-3"/>
        </w:rPr>
        <w:t xml:space="preserve"> </w:t>
      </w:r>
      <w:r>
        <w:t>impact</w:t>
      </w:r>
      <w:r>
        <w:rPr>
          <w:spacing w:val="-3"/>
        </w:rPr>
        <w:t xml:space="preserve"> </w:t>
      </w:r>
      <w:r>
        <w:t>of</w:t>
      </w:r>
      <w:r>
        <w:rPr>
          <w:spacing w:val="-2"/>
        </w:rPr>
        <w:t xml:space="preserve"> </w:t>
      </w:r>
      <w:r>
        <w:t>certain transactions on our operating profit and of other matters presented in these consolidated financial statements is disclosed net of state income taxes.</w:t>
      </w:r>
    </w:p>
    <w:p w14:paraId="458DD1F4" w14:textId="77777777" w:rsidR="00AE2255" w:rsidRDefault="00AE2255">
      <w:pPr>
        <w:spacing w:line="249" w:lineRule="auto"/>
        <w:sectPr w:rsidR="00AE2255">
          <w:pgSz w:w="12240" w:h="15840"/>
          <w:pgMar w:top="440" w:right="560" w:bottom="720" w:left="380" w:header="230" w:footer="531" w:gutter="0"/>
          <w:cols w:space="720"/>
        </w:sectPr>
      </w:pPr>
    </w:p>
    <w:p w14:paraId="6CBC603E" w14:textId="77777777" w:rsidR="00AE2255" w:rsidRDefault="00AE2255">
      <w:pPr>
        <w:pStyle w:val="BodyText"/>
        <w:spacing w:before="10"/>
        <w:rPr>
          <w:sz w:val="22"/>
        </w:rPr>
      </w:pPr>
    </w:p>
    <w:p w14:paraId="11C52C3A" w14:textId="77777777" w:rsidR="00AE2255" w:rsidRDefault="00000000">
      <w:pPr>
        <w:pStyle w:val="BodyText"/>
        <w:spacing w:before="92" w:line="249" w:lineRule="auto"/>
        <w:ind w:left="610" w:right="528" w:firstLine="360"/>
        <w:jc w:val="both"/>
      </w:pPr>
      <w:r>
        <w:t>A</w:t>
      </w:r>
      <w:r>
        <w:rPr>
          <w:spacing w:val="-4"/>
        </w:rPr>
        <w:t xml:space="preserve"> </w:t>
      </w:r>
      <w:r>
        <w:t>reconciliation</w:t>
      </w:r>
      <w:r>
        <w:rPr>
          <w:spacing w:val="-3"/>
        </w:rPr>
        <w:t xml:space="preserve"> </w:t>
      </w:r>
      <w:r>
        <w:t>of</w:t>
      </w:r>
      <w:r>
        <w:rPr>
          <w:spacing w:val="-3"/>
        </w:rPr>
        <w:t xml:space="preserve"> </w:t>
      </w:r>
      <w:r>
        <w:t>the</w:t>
      </w:r>
      <w:r>
        <w:rPr>
          <w:spacing w:val="-4"/>
        </w:rPr>
        <w:t xml:space="preserve"> </w:t>
      </w:r>
      <w:r>
        <w:t>U.S.</w:t>
      </w:r>
      <w:r>
        <w:rPr>
          <w:spacing w:val="-3"/>
        </w:rPr>
        <w:t xml:space="preserve"> </w:t>
      </w:r>
      <w:r>
        <w:t>federal</w:t>
      </w:r>
      <w:r>
        <w:rPr>
          <w:spacing w:val="-4"/>
        </w:rPr>
        <w:t xml:space="preserve"> </w:t>
      </w:r>
      <w:r>
        <w:t>statutory</w:t>
      </w:r>
      <w:r>
        <w:rPr>
          <w:spacing w:val="-3"/>
        </w:rPr>
        <w:t xml:space="preserve"> </w:t>
      </w:r>
      <w:r>
        <w:t>income</w:t>
      </w:r>
      <w:r>
        <w:rPr>
          <w:spacing w:val="-4"/>
        </w:rPr>
        <w:t xml:space="preserve"> </w:t>
      </w:r>
      <w:r>
        <w:t>tax</w:t>
      </w:r>
      <w:r>
        <w:rPr>
          <w:spacing w:val="-3"/>
        </w:rPr>
        <w:t xml:space="preserve"> </w:t>
      </w:r>
      <w:r>
        <w:t>expense</w:t>
      </w:r>
      <w:r>
        <w:rPr>
          <w:spacing w:val="-4"/>
        </w:rPr>
        <w:t xml:space="preserve"> </w:t>
      </w:r>
      <w:r>
        <w:t>to</w:t>
      </w:r>
      <w:r>
        <w:rPr>
          <w:spacing w:val="-3"/>
        </w:rPr>
        <w:t xml:space="preserve"> </w:t>
      </w:r>
      <w:r>
        <w:t>actual</w:t>
      </w:r>
      <w:r>
        <w:rPr>
          <w:spacing w:val="-4"/>
        </w:rPr>
        <w:t xml:space="preserve"> </w:t>
      </w:r>
      <w:r>
        <w:t>income</w:t>
      </w:r>
      <w:r>
        <w:rPr>
          <w:spacing w:val="-4"/>
        </w:rPr>
        <w:t xml:space="preserve"> </w:t>
      </w:r>
      <w:r>
        <w:t>tax</w:t>
      </w:r>
      <w:r>
        <w:rPr>
          <w:spacing w:val="-3"/>
        </w:rPr>
        <w:t xml:space="preserve"> </w:t>
      </w:r>
      <w:r>
        <w:t>expense</w:t>
      </w:r>
      <w:r>
        <w:rPr>
          <w:spacing w:val="-4"/>
        </w:rPr>
        <w:t xml:space="preserve"> </w:t>
      </w:r>
      <w:r>
        <w:t>for</w:t>
      </w:r>
      <w:r>
        <w:rPr>
          <w:spacing w:val="-3"/>
        </w:rPr>
        <w:t xml:space="preserve"> </w:t>
      </w:r>
      <w:r>
        <w:t>continuing</w:t>
      </w:r>
      <w:r>
        <w:rPr>
          <w:spacing w:val="-3"/>
        </w:rPr>
        <w:t xml:space="preserve"> </w:t>
      </w:r>
      <w:r>
        <w:t>operations</w:t>
      </w:r>
      <w:r>
        <w:rPr>
          <w:spacing w:val="-4"/>
        </w:rPr>
        <w:t xml:space="preserve"> </w:t>
      </w:r>
      <w:r>
        <w:t>is as follows (in millions):</w:t>
      </w:r>
    </w:p>
    <w:p w14:paraId="543E70BB" w14:textId="77777777" w:rsidR="00AE2255" w:rsidRDefault="00AE2255">
      <w:pPr>
        <w:pStyle w:val="BodyText"/>
        <w:spacing w:before="3"/>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4680"/>
        <w:gridCol w:w="1123"/>
        <w:gridCol w:w="718"/>
        <w:gridCol w:w="1143"/>
        <w:gridCol w:w="716"/>
        <w:gridCol w:w="1143"/>
        <w:gridCol w:w="734"/>
      </w:tblGrid>
      <w:tr w:rsidR="00AE2255" w14:paraId="662FC3B5" w14:textId="77777777">
        <w:trPr>
          <w:trHeight w:val="241"/>
        </w:trPr>
        <w:tc>
          <w:tcPr>
            <w:tcW w:w="4680" w:type="dxa"/>
            <w:vMerge w:val="restart"/>
            <w:tcBorders>
              <w:bottom w:val="single" w:sz="8" w:space="0" w:color="auto"/>
            </w:tcBorders>
          </w:tcPr>
          <w:p w14:paraId="7A779098" w14:textId="77777777" w:rsidR="00AE2255" w:rsidRDefault="00AE2255">
            <w:pPr>
              <w:pStyle w:val="TableParagraph"/>
              <w:spacing w:before="0"/>
              <w:jc w:val="left"/>
              <w:rPr>
                <w:sz w:val="20"/>
              </w:rPr>
            </w:pPr>
          </w:p>
        </w:tc>
        <w:tc>
          <w:tcPr>
            <w:tcW w:w="1123" w:type="dxa"/>
            <w:tcBorders>
              <w:bottom w:val="single" w:sz="8" w:space="0" w:color="000000"/>
            </w:tcBorders>
          </w:tcPr>
          <w:p w14:paraId="57F30F2E" w14:textId="77777777" w:rsidR="00AE2255" w:rsidRDefault="00000000">
            <w:pPr>
              <w:pStyle w:val="TableParagraph"/>
              <w:spacing w:before="0" w:line="221" w:lineRule="exact"/>
              <w:ind w:left="692"/>
              <w:jc w:val="left"/>
              <w:rPr>
                <w:b/>
                <w:sz w:val="20"/>
              </w:rPr>
            </w:pPr>
            <w:r>
              <w:rPr>
                <w:b/>
                <w:spacing w:val="-4"/>
                <w:sz w:val="20"/>
              </w:rPr>
              <w:t>2022</w:t>
            </w:r>
          </w:p>
        </w:tc>
        <w:tc>
          <w:tcPr>
            <w:tcW w:w="718" w:type="dxa"/>
            <w:tcBorders>
              <w:bottom w:val="single" w:sz="8" w:space="0" w:color="000000"/>
            </w:tcBorders>
          </w:tcPr>
          <w:p w14:paraId="229A2A36" w14:textId="77777777" w:rsidR="00AE2255" w:rsidRDefault="00AE2255">
            <w:pPr>
              <w:pStyle w:val="TableParagraph"/>
              <w:spacing w:before="0"/>
              <w:jc w:val="left"/>
              <w:rPr>
                <w:sz w:val="16"/>
              </w:rPr>
            </w:pPr>
          </w:p>
        </w:tc>
        <w:tc>
          <w:tcPr>
            <w:tcW w:w="1143" w:type="dxa"/>
            <w:tcBorders>
              <w:bottom w:val="single" w:sz="8" w:space="0" w:color="000000"/>
            </w:tcBorders>
          </w:tcPr>
          <w:p w14:paraId="0F520C92" w14:textId="77777777" w:rsidR="00AE2255" w:rsidRDefault="00000000">
            <w:pPr>
              <w:pStyle w:val="TableParagraph"/>
              <w:spacing w:before="0" w:line="221" w:lineRule="exact"/>
              <w:ind w:left="711"/>
              <w:jc w:val="left"/>
              <w:rPr>
                <w:b/>
                <w:sz w:val="20"/>
              </w:rPr>
            </w:pPr>
            <w:r>
              <w:rPr>
                <w:b/>
                <w:spacing w:val="-4"/>
                <w:sz w:val="20"/>
              </w:rPr>
              <w:t>2021</w:t>
            </w:r>
          </w:p>
        </w:tc>
        <w:tc>
          <w:tcPr>
            <w:tcW w:w="716" w:type="dxa"/>
            <w:tcBorders>
              <w:bottom w:val="single" w:sz="8" w:space="0" w:color="000000"/>
            </w:tcBorders>
          </w:tcPr>
          <w:p w14:paraId="59B9044B" w14:textId="77777777" w:rsidR="00AE2255" w:rsidRDefault="00AE2255">
            <w:pPr>
              <w:pStyle w:val="TableParagraph"/>
              <w:spacing w:before="0"/>
              <w:jc w:val="left"/>
              <w:rPr>
                <w:sz w:val="16"/>
              </w:rPr>
            </w:pPr>
          </w:p>
        </w:tc>
        <w:tc>
          <w:tcPr>
            <w:tcW w:w="1143" w:type="dxa"/>
            <w:tcBorders>
              <w:bottom w:val="single" w:sz="8" w:space="0" w:color="000000"/>
            </w:tcBorders>
          </w:tcPr>
          <w:p w14:paraId="29E6A77C" w14:textId="77777777" w:rsidR="00AE2255" w:rsidRDefault="00000000">
            <w:pPr>
              <w:pStyle w:val="TableParagraph"/>
              <w:spacing w:before="0" w:line="221" w:lineRule="exact"/>
              <w:ind w:left="712"/>
              <w:jc w:val="left"/>
              <w:rPr>
                <w:b/>
                <w:sz w:val="20"/>
              </w:rPr>
            </w:pPr>
            <w:r>
              <w:rPr>
                <w:b/>
                <w:spacing w:val="-4"/>
                <w:sz w:val="20"/>
              </w:rPr>
              <w:t>2020</w:t>
            </w:r>
          </w:p>
        </w:tc>
        <w:tc>
          <w:tcPr>
            <w:tcW w:w="734" w:type="dxa"/>
            <w:tcBorders>
              <w:bottom w:val="single" w:sz="8" w:space="0" w:color="000000"/>
            </w:tcBorders>
          </w:tcPr>
          <w:p w14:paraId="10B40BA7" w14:textId="77777777" w:rsidR="00AE2255" w:rsidRDefault="00AE2255">
            <w:pPr>
              <w:pStyle w:val="TableParagraph"/>
              <w:spacing w:before="0"/>
              <w:jc w:val="left"/>
              <w:rPr>
                <w:sz w:val="16"/>
              </w:rPr>
            </w:pPr>
          </w:p>
        </w:tc>
      </w:tr>
      <w:tr w:rsidR="00AE2255" w14:paraId="3A4CFE30" w14:textId="77777777">
        <w:trPr>
          <w:trHeight w:val="265"/>
        </w:trPr>
        <w:tc>
          <w:tcPr>
            <w:tcW w:w="4680" w:type="dxa"/>
            <w:vMerge/>
            <w:tcBorders>
              <w:top w:val="nil"/>
              <w:bottom w:val="single" w:sz="8" w:space="0" w:color="auto"/>
            </w:tcBorders>
          </w:tcPr>
          <w:p w14:paraId="5173DFE1" w14:textId="77777777" w:rsidR="00AE2255" w:rsidRDefault="00AE2255">
            <w:pPr>
              <w:rPr>
                <w:sz w:val="2"/>
                <w:szCs w:val="2"/>
              </w:rPr>
            </w:pPr>
          </w:p>
        </w:tc>
        <w:tc>
          <w:tcPr>
            <w:tcW w:w="1123" w:type="dxa"/>
            <w:tcBorders>
              <w:top w:val="single" w:sz="8" w:space="0" w:color="000000"/>
              <w:bottom w:val="single" w:sz="8" w:space="0" w:color="auto"/>
            </w:tcBorders>
          </w:tcPr>
          <w:p w14:paraId="65608E82" w14:textId="77777777" w:rsidR="00AE2255" w:rsidRDefault="00000000">
            <w:pPr>
              <w:pStyle w:val="TableParagraph"/>
              <w:spacing w:before="15" w:line="230" w:lineRule="exact"/>
              <w:ind w:left="77"/>
              <w:jc w:val="left"/>
              <w:rPr>
                <w:b/>
                <w:sz w:val="20"/>
              </w:rPr>
            </w:pPr>
            <w:r>
              <w:rPr>
                <w:b/>
                <w:spacing w:val="-2"/>
                <w:sz w:val="20"/>
              </w:rPr>
              <w:t>Amount</w:t>
            </w:r>
          </w:p>
        </w:tc>
        <w:tc>
          <w:tcPr>
            <w:tcW w:w="718" w:type="dxa"/>
            <w:tcBorders>
              <w:top w:val="single" w:sz="8" w:space="0" w:color="000000"/>
              <w:bottom w:val="single" w:sz="8" w:space="0" w:color="auto"/>
            </w:tcBorders>
          </w:tcPr>
          <w:p w14:paraId="4447EDEA" w14:textId="77777777" w:rsidR="00AE2255" w:rsidRDefault="00000000">
            <w:pPr>
              <w:pStyle w:val="TableParagraph"/>
              <w:spacing w:before="15" w:line="230" w:lineRule="exact"/>
              <w:ind w:left="34"/>
              <w:jc w:val="left"/>
              <w:rPr>
                <w:b/>
                <w:sz w:val="20"/>
              </w:rPr>
            </w:pPr>
            <w:r>
              <w:rPr>
                <w:b/>
                <w:spacing w:val="-4"/>
                <w:sz w:val="20"/>
              </w:rPr>
              <w:t>Rate</w:t>
            </w:r>
          </w:p>
        </w:tc>
        <w:tc>
          <w:tcPr>
            <w:tcW w:w="1143" w:type="dxa"/>
            <w:tcBorders>
              <w:top w:val="single" w:sz="8" w:space="0" w:color="000000"/>
              <w:bottom w:val="single" w:sz="8" w:space="0" w:color="auto"/>
            </w:tcBorders>
          </w:tcPr>
          <w:p w14:paraId="167EF7F0" w14:textId="77777777" w:rsidR="00AE2255" w:rsidRDefault="00000000">
            <w:pPr>
              <w:pStyle w:val="TableParagraph"/>
              <w:spacing w:before="15" w:line="230" w:lineRule="exact"/>
              <w:ind w:left="96"/>
              <w:jc w:val="left"/>
              <w:rPr>
                <w:b/>
                <w:sz w:val="20"/>
              </w:rPr>
            </w:pPr>
            <w:r>
              <w:rPr>
                <w:b/>
                <w:spacing w:val="-2"/>
                <w:sz w:val="20"/>
              </w:rPr>
              <w:t>Amount</w:t>
            </w:r>
          </w:p>
        </w:tc>
        <w:tc>
          <w:tcPr>
            <w:tcW w:w="716" w:type="dxa"/>
            <w:tcBorders>
              <w:top w:val="single" w:sz="8" w:space="0" w:color="000000"/>
              <w:bottom w:val="single" w:sz="8" w:space="0" w:color="auto"/>
            </w:tcBorders>
          </w:tcPr>
          <w:p w14:paraId="1FFA6212" w14:textId="77777777" w:rsidR="00AE2255" w:rsidRDefault="00000000">
            <w:pPr>
              <w:pStyle w:val="TableParagraph"/>
              <w:spacing w:before="15" w:line="230" w:lineRule="exact"/>
              <w:ind w:left="33"/>
              <w:jc w:val="left"/>
              <w:rPr>
                <w:b/>
                <w:sz w:val="20"/>
              </w:rPr>
            </w:pPr>
            <w:r>
              <w:rPr>
                <w:b/>
                <w:spacing w:val="-4"/>
                <w:sz w:val="20"/>
              </w:rPr>
              <w:t>Rate</w:t>
            </w:r>
          </w:p>
        </w:tc>
        <w:tc>
          <w:tcPr>
            <w:tcW w:w="1143" w:type="dxa"/>
            <w:tcBorders>
              <w:top w:val="single" w:sz="8" w:space="0" w:color="000000"/>
              <w:bottom w:val="single" w:sz="8" w:space="0" w:color="auto"/>
            </w:tcBorders>
          </w:tcPr>
          <w:p w14:paraId="639102A3" w14:textId="77777777" w:rsidR="00AE2255" w:rsidRDefault="00000000">
            <w:pPr>
              <w:pStyle w:val="TableParagraph"/>
              <w:spacing w:before="15" w:line="230" w:lineRule="exact"/>
              <w:ind w:left="97"/>
              <w:jc w:val="left"/>
              <w:rPr>
                <w:b/>
                <w:sz w:val="20"/>
              </w:rPr>
            </w:pPr>
            <w:r>
              <w:rPr>
                <w:b/>
                <w:spacing w:val="-2"/>
                <w:sz w:val="20"/>
              </w:rPr>
              <w:t>Amount</w:t>
            </w:r>
          </w:p>
        </w:tc>
        <w:tc>
          <w:tcPr>
            <w:tcW w:w="734" w:type="dxa"/>
            <w:tcBorders>
              <w:top w:val="single" w:sz="8" w:space="0" w:color="000000"/>
              <w:bottom w:val="single" w:sz="8" w:space="0" w:color="auto"/>
            </w:tcBorders>
          </w:tcPr>
          <w:p w14:paraId="4D1F0699" w14:textId="77777777" w:rsidR="00AE2255" w:rsidRDefault="00000000">
            <w:pPr>
              <w:pStyle w:val="TableParagraph"/>
              <w:spacing w:before="15" w:line="230" w:lineRule="exact"/>
              <w:ind w:left="34"/>
              <w:jc w:val="left"/>
              <w:rPr>
                <w:b/>
                <w:sz w:val="20"/>
              </w:rPr>
            </w:pPr>
            <w:r>
              <w:rPr>
                <w:b/>
                <w:spacing w:val="-4"/>
                <w:sz w:val="20"/>
              </w:rPr>
              <w:t>Rate</w:t>
            </w:r>
          </w:p>
        </w:tc>
      </w:tr>
      <w:tr w:rsidR="00AE2255" w14:paraId="108543B2" w14:textId="77777777">
        <w:trPr>
          <w:trHeight w:val="290"/>
        </w:trPr>
        <w:tc>
          <w:tcPr>
            <w:tcW w:w="4680" w:type="dxa"/>
            <w:tcBorders>
              <w:top w:val="single" w:sz="8" w:space="0" w:color="CCEDFF"/>
            </w:tcBorders>
            <w:shd w:val="clear" w:color="auto" w:fill="CCEDFF"/>
          </w:tcPr>
          <w:p w14:paraId="36C052C7" w14:textId="77777777" w:rsidR="00AE2255" w:rsidRDefault="00000000">
            <w:pPr>
              <w:pStyle w:val="TableParagraph"/>
              <w:spacing w:before="30"/>
              <w:ind w:left="52"/>
              <w:jc w:val="left"/>
              <w:rPr>
                <w:sz w:val="20"/>
              </w:rPr>
            </w:pPr>
            <w:r>
              <w:rPr>
                <w:sz w:val="20"/>
              </w:rPr>
              <w:t>Income</w:t>
            </w:r>
            <w:r>
              <w:rPr>
                <w:spacing w:val="-4"/>
                <w:sz w:val="20"/>
              </w:rPr>
              <w:t xml:space="preserve"> </w:t>
            </w:r>
            <w:r>
              <w:rPr>
                <w:sz w:val="20"/>
              </w:rPr>
              <w:t>tax</w:t>
            </w:r>
            <w:r>
              <w:rPr>
                <w:spacing w:val="-2"/>
                <w:sz w:val="20"/>
              </w:rPr>
              <w:t xml:space="preserve"> </w:t>
            </w:r>
            <w:r>
              <w:rPr>
                <w:sz w:val="20"/>
              </w:rPr>
              <w:t>expense</w:t>
            </w:r>
            <w:r>
              <w:rPr>
                <w:spacing w:val="-3"/>
                <w:sz w:val="20"/>
              </w:rPr>
              <w:t xml:space="preserve"> </w:t>
            </w:r>
            <w:r>
              <w:rPr>
                <w:sz w:val="20"/>
              </w:rPr>
              <w:t>at</w:t>
            </w:r>
            <w:r>
              <w:rPr>
                <w:spacing w:val="-4"/>
                <w:sz w:val="20"/>
              </w:rPr>
              <w:t xml:space="preserve"> </w:t>
            </w:r>
            <w:r>
              <w:rPr>
                <w:sz w:val="20"/>
              </w:rPr>
              <w:t>the</w:t>
            </w:r>
            <w:r>
              <w:rPr>
                <w:spacing w:val="-3"/>
                <w:sz w:val="20"/>
              </w:rPr>
              <w:t xml:space="preserve"> </w:t>
            </w:r>
            <w:r>
              <w:rPr>
                <w:sz w:val="20"/>
              </w:rPr>
              <w:t>U.S.</w:t>
            </w:r>
            <w:r>
              <w:rPr>
                <w:spacing w:val="-2"/>
                <w:sz w:val="20"/>
              </w:rPr>
              <w:t xml:space="preserve"> </w:t>
            </w:r>
            <w:r>
              <w:rPr>
                <w:sz w:val="20"/>
              </w:rPr>
              <w:t>federal</w:t>
            </w:r>
            <w:r>
              <w:rPr>
                <w:spacing w:val="-4"/>
                <w:sz w:val="20"/>
              </w:rPr>
              <w:t xml:space="preserve"> </w:t>
            </w:r>
            <w:r>
              <w:rPr>
                <w:sz w:val="20"/>
              </w:rPr>
              <w:t>statutory</w:t>
            </w:r>
            <w:r>
              <w:rPr>
                <w:spacing w:val="-2"/>
                <w:sz w:val="20"/>
              </w:rPr>
              <w:t xml:space="preserve"> </w:t>
            </w:r>
            <w:r>
              <w:rPr>
                <w:sz w:val="20"/>
              </w:rPr>
              <w:t>tax</w:t>
            </w:r>
            <w:r>
              <w:rPr>
                <w:spacing w:val="-2"/>
                <w:sz w:val="20"/>
              </w:rPr>
              <w:t xml:space="preserve"> </w:t>
            </w:r>
            <w:r>
              <w:rPr>
                <w:spacing w:val="-4"/>
                <w:sz w:val="20"/>
              </w:rPr>
              <w:t>rate</w:t>
            </w:r>
          </w:p>
        </w:tc>
        <w:tc>
          <w:tcPr>
            <w:tcW w:w="1123" w:type="dxa"/>
            <w:tcBorders>
              <w:top w:val="single" w:sz="8" w:space="0" w:color="CCEDFF"/>
            </w:tcBorders>
            <w:shd w:val="clear" w:color="auto" w:fill="CCEDFF"/>
          </w:tcPr>
          <w:p w14:paraId="0B345FE2" w14:textId="77777777" w:rsidR="00AE2255" w:rsidRDefault="00000000">
            <w:pPr>
              <w:pStyle w:val="TableParagraph"/>
              <w:spacing w:before="30"/>
              <w:ind w:left="52"/>
              <w:jc w:val="left"/>
              <w:rPr>
                <w:b/>
                <w:sz w:val="20"/>
              </w:rPr>
            </w:pPr>
            <w:proofErr w:type="gramStart"/>
            <w:r>
              <w:rPr>
                <w:b/>
                <w:sz w:val="20"/>
              </w:rPr>
              <w:t>$</w:t>
            </w:r>
            <w:r>
              <w:rPr>
                <w:b/>
                <w:spacing w:val="35"/>
                <w:sz w:val="20"/>
              </w:rPr>
              <w:t xml:space="preserve">  </w:t>
            </w:r>
            <w:r>
              <w:rPr>
                <w:b/>
                <w:spacing w:val="-2"/>
                <w:sz w:val="20"/>
              </w:rPr>
              <w:t>1,403</w:t>
            </w:r>
            <w:proofErr w:type="gramEnd"/>
          </w:p>
        </w:tc>
        <w:tc>
          <w:tcPr>
            <w:tcW w:w="718" w:type="dxa"/>
            <w:tcBorders>
              <w:top w:val="single" w:sz="8" w:space="0" w:color="CCEDFF"/>
            </w:tcBorders>
            <w:shd w:val="clear" w:color="auto" w:fill="CCEDFF"/>
          </w:tcPr>
          <w:p w14:paraId="734F0E6E" w14:textId="77777777" w:rsidR="00AE2255" w:rsidRDefault="00000000">
            <w:pPr>
              <w:pStyle w:val="TableParagraph"/>
              <w:spacing w:before="30"/>
              <w:ind w:left="30"/>
              <w:jc w:val="left"/>
              <w:rPr>
                <w:b/>
                <w:sz w:val="20"/>
              </w:rPr>
            </w:pPr>
            <w:r>
              <w:rPr>
                <w:b/>
                <w:sz w:val="20"/>
              </w:rPr>
              <w:t>21.0</w:t>
            </w:r>
            <w:r>
              <w:rPr>
                <w:b/>
                <w:spacing w:val="16"/>
                <w:sz w:val="20"/>
              </w:rPr>
              <w:t xml:space="preserve"> </w:t>
            </w:r>
            <w:r>
              <w:rPr>
                <w:b/>
                <w:spacing w:val="-10"/>
                <w:sz w:val="20"/>
              </w:rPr>
              <w:t>%</w:t>
            </w:r>
          </w:p>
        </w:tc>
        <w:tc>
          <w:tcPr>
            <w:tcW w:w="1143" w:type="dxa"/>
            <w:tcBorders>
              <w:top w:val="single" w:sz="8" w:space="0" w:color="CCEDFF"/>
            </w:tcBorders>
            <w:shd w:val="clear" w:color="auto" w:fill="CCEDFF"/>
          </w:tcPr>
          <w:p w14:paraId="3AE98E0B" w14:textId="77777777" w:rsidR="00AE2255" w:rsidRDefault="00000000">
            <w:pPr>
              <w:pStyle w:val="TableParagraph"/>
              <w:spacing w:before="30"/>
              <w:ind w:left="71"/>
              <w:jc w:val="left"/>
              <w:rPr>
                <w:sz w:val="20"/>
              </w:rPr>
            </w:pPr>
            <w:proofErr w:type="gramStart"/>
            <w:r>
              <w:rPr>
                <w:sz w:val="20"/>
              </w:rPr>
              <w:t>$</w:t>
            </w:r>
            <w:r>
              <w:rPr>
                <w:spacing w:val="35"/>
                <w:sz w:val="20"/>
              </w:rPr>
              <w:t xml:space="preserve">  </w:t>
            </w:r>
            <w:r>
              <w:rPr>
                <w:spacing w:val="-2"/>
                <w:sz w:val="20"/>
              </w:rPr>
              <w:t>1,585</w:t>
            </w:r>
            <w:proofErr w:type="gramEnd"/>
          </w:p>
        </w:tc>
        <w:tc>
          <w:tcPr>
            <w:tcW w:w="716" w:type="dxa"/>
            <w:tcBorders>
              <w:top w:val="single" w:sz="8" w:space="0" w:color="CCEDFF"/>
            </w:tcBorders>
            <w:shd w:val="clear" w:color="auto" w:fill="CCEDFF"/>
          </w:tcPr>
          <w:p w14:paraId="2CFB0E0B" w14:textId="77777777" w:rsidR="00AE2255" w:rsidRDefault="00000000">
            <w:pPr>
              <w:pStyle w:val="TableParagraph"/>
              <w:spacing w:before="30"/>
              <w:ind w:left="62"/>
              <w:jc w:val="left"/>
              <w:rPr>
                <w:sz w:val="20"/>
              </w:rPr>
            </w:pPr>
            <w:r>
              <w:rPr>
                <w:sz w:val="20"/>
              </w:rPr>
              <w:t>21.0</w:t>
            </w:r>
            <w:r>
              <w:rPr>
                <w:spacing w:val="16"/>
                <w:sz w:val="20"/>
              </w:rPr>
              <w:t xml:space="preserve"> </w:t>
            </w:r>
            <w:r>
              <w:rPr>
                <w:spacing w:val="-10"/>
                <w:sz w:val="20"/>
              </w:rPr>
              <w:t>%</w:t>
            </w:r>
          </w:p>
        </w:tc>
        <w:tc>
          <w:tcPr>
            <w:tcW w:w="1143" w:type="dxa"/>
            <w:tcBorders>
              <w:top w:val="single" w:sz="8" w:space="0" w:color="CCEDFF"/>
            </w:tcBorders>
            <w:shd w:val="clear" w:color="auto" w:fill="CCEDFF"/>
          </w:tcPr>
          <w:p w14:paraId="365691DD" w14:textId="77777777" w:rsidR="00AE2255" w:rsidRDefault="00000000">
            <w:pPr>
              <w:pStyle w:val="TableParagraph"/>
              <w:spacing w:before="30"/>
              <w:ind w:left="72"/>
              <w:jc w:val="left"/>
              <w:rPr>
                <w:sz w:val="20"/>
              </w:rPr>
            </w:pPr>
            <w:proofErr w:type="gramStart"/>
            <w:r>
              <w:rPr>
                <w:sz w:val="20"/>
              </w:rPr>
              <w:t>$</w:t>
            </w:r>
            <w:r>
              <w:rPr>
                <w:spacing w:val="35"/>
                <w:sz w:val="20"/>
              </w:rPr>
              <w:t xml:space="preserve">  </w:t>
            </w:r>
            <w:r>
              <w:rPr>
                <w:spacing w:val="-2"/>
                <w:sz w:val="20"/>
              </w:rPr>
              <w:t>1,729</w:t>
            </w:r>
            <w:proofErr w:type="gramEnd"/>
          </w:p>
        </w:tc>
        <w:tc>
          <w:tcPr>
            <w:tcW w:w="734" w:type="dxa"/>
            <w:tcBorders>
              <w:top w:val="single" w:sz="8" w:space="0" w:color="CCEDFF"/>
            </w:tcBorders>
            <w:shd w:val="clear" w:color="auto" w:fill="CCEDFF"/>
          </w:tcPr>
          <w:p w14:paraId="3226AB45" w14:textId="77777777" w:rsidR="00AE2255" w:rsidRDefault="00000000">
            <w:pPr>
              <w:pStyle w:val="TableParagraph"/>
              <w:spacing w:before="30"/>
              <w:ind w:left="63"/>
              <w:jc w:val="left"/>
              <w:rPr>
                <w:sz w:val="20"/>
              </w:rPr>
            </w:pPr>
            <w:r>
              <w:rPr>
                <w:sz w:val="20"/>
              </w:rPr>
              <w:t>21.0</w:t>
            </w:r>
            <w:r>
              <w:rPr>
                <w:spacing w:val="16"/>
                <w:sz w:val="20"/>
              </w:rPr>
              <w:t xml:space="preserve"> </w:t>
            </w:r>
            <w:r>
              <w:rPr>
                <w:spacing w:val="-10"/>
                <w:sz w:val="20"/>
              </w:rPr>
              <w:t>%</w:t>
            </w:r>
          </w:p>
        </w:tc>
      </w:tr>
      <w:tr w:rsidR="00AE2255" w14:paraId="29CF7449" w14:textId="77777777">
        <w:trPr>
          <w:trHeight w:val="285"/>
        </w:trPr>
        <w:tc>
          <w:tcPr>
            <w:tcW w:w="4680" w:type="dxa"/>
          </w:tcPr>
          <w:p w14:paraId="6382BE08" w14:textId="77777777" w:rsidR="00AE2255" w:rsidRDefault="00000000">
            <w:pPr>
              <w:pStyle w:val="TableParagraph"/>
              <w:spacing w:before="27"/>
              <w:ind w:left="187"/>
              <w:jc w:val="left"/>
              <w:rPr>
                <w:sz w:val="20"/>
              </w:rPr>
            </w:pPr>
            <w:r>
              <w:rPr>
                <w:sz w:val="20"/>
              </w:rPr>
              <w:t>Research</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tax</w:t>
            </w:r>
            <w:r>
              <w:rPr>
                <w:spacing w:val="-3"/>
                <w:sz w:val="20"/>
              </w:rPr>
              <w:t xml:space="preserve"> </w:t>
            </w:r>
            <w:r>
              <w:rPr>
                <w:spacing w:val="-2"/>
                <w:sz w:val="20"/>
              </w:rPr>
              <w:t>credit</w:t>
            </w:r>
          </w:p>
        </w:tc>
        <w:tc>
          <w:tcPr>
            <w:tcW w:w="1123" w:type="dxa"/>
          </w:tcPr>
          <w:p w14:paraId="29C125DB" w14:textId="77777777" w:rsidR="00AE2255" w:rsidRDefault="00000000">
            <w:pPr>
              <w:pStyle w:val="TableParagraph"/>
              <w:ind w:left="406"/>
              <w:jc w:val="left"/>
              <w:rPr>
                <w:b/>
                <w:sz w:val="20"/>
              </w:rPr>
            </w:pPr>
            <w:r>
              <w:rPr>
                <w:b/>
                <w:spacing w:val="-2"/>
                <w:sz w:val="20"/>
              </w:rPr>
              <w:t>(178)</w:t>
            </w:r>
          </w:p>
        </w:tc>
        <w:tc>
          <w:tcPr>
            <w:tcW w:w="718" w:type="dxa"/>
          </w:tcPr>
          <w:p w14:paraId="71D5FA14" w14:textId="77777777" w:rsidR="00AE2255" w:rsidRDefault="00000000">
            <w:pPr>
              <w:pStyle w:val="TableParagraph"/>
              <w:ind w:left="63"/>
              <w:jc w:val="left"/>
              <w:rPr>
                <w:b/>
                <w:sz w:val="20"/>
              </w:rPr>
            </w:pPr>
            <w:r>
              <w:rPr>
                <w:b/>
                <w:spacing w:val="-2"/>
                <w:sz w:val="20"/>
              </w:rPr>
              <w:t>(2.7)</w:t>
            </w:r>
          </w:p>
        </w:tc>
        <w:tc>
          <w:tcPr>
            <w:tcW w:w="1143" w:type="dxa"/>
          </w:tcPr>
          <w:p w14:paraId="38E7C1F5" w14:textId="77777777" w:rsidR="00AE2255" w:rsidRDefault="00000000">
            <w:pPr>
              <w:pStyle w:val="TableParagraph"/>
              <w:ind w:left="425"/>
              <w:jc w:val="left"/>
              <w:rPr>
                <w:sz w:val="20"/>
              </w:rPr>
            </w:pPr>
            <w:r>
              <w:rPr>
                <w:spacing w:val="-2"/>
                <w:sz w:val="20"/>
              </w:rPr>
              <w:t>(118)</w:t>
            </w:r>
          </w:p>
        </w:tc>
        <w:tc>
          <w:tcPr>
            <w:tcW w:w="716" w:type="dxa"/>
          </w:tcPr>
          <w:p w14:paraId="2E08B50A" w14:textId="77777777" w:rsidR="00AE2255" w:rsidRDefault="00000000">
            <w:pPr>
              <w:pStyle w:val="TableParagraph"/>
              <w:ind w:left="96"/>
              <w:jc w:val="left"/>
              <w:rPr>
                <w:sz w:val="20"/>
              </w:rPr>
            </w:pPr>
            <w:r>
              <w:rPr>
                <w:spacing w:val="-2"/>
                <w:sz w:val="20"/>
              </w:rPr>
              <w:t>(1.6)</w:t>
            </w:r>
          </w:p>
        </w:tc>
        <w:tc>
          <w:tcPr>
            <w:tcW w:w="1143" w:type="dxa"/>
          </w:tcPr>
          <w:p w14:paraId="1F15FCBA" w14:textId="77777777" w:rsidR="00AE2255" w:rsidRDefault="00000000">
            <w:pPr>
              <w:pStyle w:val="TableParagraph"/>
              <w:ind w:left="526"/>
              <w:jc w:val="left"/>
              <w:rPr>
                <w:sz w:val="20"/>
              </w:rPr>
            </w:pPr>
            <w:r>
              <w:rPr>
                <w:spacing w:val="-4"/>
                <w:sz w:val="20"/>
              </w:rPr>
              <w:t>(97)</w:t>
            </w:r>
          </w:p>
        </w:tc>
        <w:tc>
          <w:tcPr>
            <w:tcW w:w="734" w:type="dxa"/>
          </w:tcPr>
          <w:p w14:paraId="298D38F9" w14:textId="77777777" w:rsidR="00AE2255" w:rsidRDefault="00000000">
            <w:pPr>
              <w:pStyle w:val="TableParagraph"/>
              <w:ind w:left="97"/>
              <w:jc w:val="left"/>
              <w:rPr>
                <w:sz w:val="20"/>
              </w:rPr>
            </w:pPr>
            <w:r>
              <w:rPr>
                <w:spacing w:val="-2"/>
                <w:sz w:val="20"/>
              </w:rPr>
              <w:t>(1.2)</w:t>
            </w:r>
          </w:p>
        </w:tc>
      </w:tr>
      <w:tr w:rsidR="00AE2255" w14:paraId="551FDBED" w14:textId="77777777">
        <w:trPr>
          <w:trHeight w:val="285"/>
        </w:trPr>
        <w:tc>
          <w:tcPr>
            <w:tcW w:w="4680" w:type="dxa"/>
            <w:shd w:val="clear" w:color="auto" w:fill="CCEDFF"/>
          </w:tcPr>
          <w:p w14:paraId="16ACE778" w14:textId="77777777" w:rsidR="00AE2255" w:rsidRDefault="00000000">
            <w:pPr>
              <w:pStyle w:val="TableParagraph"/>
              <w:spacing w:before="27"/>
              <w:ind w:left="187"/>
              <w:jc w:val="left"/>
              <w:rPr>
                <w:sz w:val="20"/>
              </w:rPr>
            </w:pPr>
            <w:r>
              <w:rPr>
                <w:sz w:val="20"/>
              </w:rPr>
              <w:t>Foreign</w:t>
            </w:r>
            <w:r>
              <w:rPr>
                <w:spacing w:val="-4"/>
                <w:sz w:val="20"/>
              </w:rPr>
              <w:t xml:space="preserve"> </w:t>
            </w:r>
            <w:r>
              <w:rPr>
                <w:sz w:val="20"/>
              </w:rPr>
              <w:t>derived</w:t>
            </w:r>
            <w:r>
              <w:rPr>
                <w:spacing w:val="-4"/>
                <w:sz w:val="20"/>
              </w:rPr>
              <w:t xml:space="preserve"> </w:t>
            </w:r>
            <w:r>
              <w:rPr>
                <w:sz w:val="20"/>
              </w:rPr>
              <w:t>intangible</w:t>
            </w:r>
            <w:r>
              <w:rPr>
                <w:spacing w:val="-4"/>
                <w:sz w:val="20"/>
              </w:rPr>
              <w:t xml:space="preserve"> </w:t>
            </w:r>
            <w:r>
              <w:rPr>
                <w:sz w:val="20"/>
              </w:rPr>
              <w:t>income</w:t>
            </w:r>
            <w:r>
              <w:rPr>
                <w:spacing w:val="-4"/>
                <w:sz w:val="20"/>
              </w:rPr>
              <w:t xml:space="preserve"> </w:t>
            </w:r>
            <w:r>
              <w:rPr>
                <w:spacing w:val="-2"/>
                <w:sz w:val="20"/>
              </w:rPr>
              <w:t>deduction</w:t>
            </w:r>
          </w:p>
        </w:tc>
        <w:tc>
          <w:tcPr>
            <w:tcW w:w="1123" w:type="dxa"/>
            <w:shd w:val="clear" w:color="auto" w:fill="CCEDFF"/>
          </w:tcPr>
          <w:p w14:paraId="02389CFF" w14:textId="77777777" w:rsidR="00AE2255" w:rsidRDefault="00000000">
            <w:pPr>
              <w:pStyle w:val="TableParagraph"/>
              <w:ind w:left="406"/>
              <w:jc w:val="left"/>
              <w:rPr>
                <w:b/>
                <w:sz w:val="20"/>
              </w:rPr>
            </w:pPr>
            <w:r>
              <w:rPr>
                <w:b/>
                <w:spacing w:val="-2"/>
                <w:sz w:val="20"/>
              </w:rPr>
              <w:t>(176)</w:t>
            </w:r>
          </w:p>
        </w:tc>
        <w:tc>
          <w:tcPr>
            <w:tcW w:w="718" w:type="dxa"/>
            <w:shd w:val="clear" w:color="auto" w:fill="CCEDFF"/>
          </w:tcPr>
          <w:p w14:paraId="50EB912B" w14:textId="77777777" w:rsidR="00AE2255" w:rsidRDefault="00000000">
            <w:pPr>
              <w:pStyle w:val="TableParagraph"/>
              <w:ind w:left="63"/>
              <w:jc w:val="left"/>
              <w:rPr>
                <w:b/>
                <w:sz w:val="20"/>
              </w:rPr>
            </w:pPr>
            <w:r>
              <w:rPr>
                <w:b/>
                <w:spacing w:val="-2"/>
                <w:sz w:val="20"/>
              </w:rPr>
              <w:t>(2.6)</w:t>
            </w:r>
          </w:p>
        </w:tc>
        <w:tc>
          <w:tcPr>
            <w:tcW w:w="1143" w:type="dxa"/>
            <w:shd w:val="clear" w:color="auto" w:fill="CCEDFF"/>
          </w:tcPr>
          <w:p w14:paraId="782CF0BE" w14:textId="77777777" w:rsidR="00AE2255" w:rsidRDefault="00000000">
            <w:pPr>
              <w:pStyle w:val="TableParagraph"/>
              <w:ind w:left="425"/>
              <w:jc w:val="left"/>
              <w:rPr>
                <w:sz w:val="20"/>
              </w:rPr>
            </w:pPr>
            <w:r>
              <w:rPr>
                <w:spacing w:val="-2"/>
                <w:sz w:val="20"/>
              </w:rPr>
              <w:t>(170)</w:t>
            </w:r>
          </w:p>
        </w:tc>
        <w:tc>
          <w:tcPr>
            <w:tcW w:w="716" w:type="dxa"/>
            <w:shd w:val="clear" w:color="auto" w:fill="CCEDFF"/>
          </w:tcPr>
          <w:p w14:paraId="6F1C9CDC" w14:textId="77777777" w:rsidR="00AE2255" w:rsidRDefault="00000000">
            <w:pPr>
              <w:pStyle w:val="TableParagraph"/>
              <w:ind w:left="96"/>
              <w:jc w:val="left"/>
              <w:rPr>
                <w:sz w:val="20"/>
              </w:rPr>
            </w:pPr>
            <w:r>
              <w:rPr>
                <w:spacing w:val="-2"/>
                <w:sz w:val="20"/>
              </w:rPr>
              <w:t>(2.3)</w:t>
            </w:r>
          </w:p>
        </w:tc>
        <w:tc>
          <w:tcPr>
            <w:tcW w:w="1143" w:type="dxa"/>
            <w:shd w:val="clear" w:color="auto" w:fill="CCEDFF"/>
          </w:tcPr>
          <w:p w14:paraId="37BA9D3B" w14:textId="77777777" w:rsidR="00AE2255" w:rsidRDefault="00000000">
            <w:pPr>
              <w:pStyle w:val="TableParagraph"/>
              <w:ind w:left="426"/>
              <w:jc w:val="left"/>
              <w:rPr>
                <w:sz w:val="20"/>
              </w:rPr>
            </w:pPr>
            <w:r>
              <w:rPr>
                <w:spacing w:val="-2"/>
                <w:sz w:val="20"/>
              </w:rPr>
              <w:t>(170)</w:t>
            </w:r>
          </w:p>
        </w:tc>
        <w:tc>
          <w:tcPr>
            <w:tcW w:w="734" w:type="dxa"/>
            <w:shd w:val="clear" w:color="auto" w:fill="CCEDFF"/>
          </w:tcPr>
          <w:p w14:paraId="0D2EBD46" w14:textId="77777777" w:rsidR="00AE2255" w:rsidRDefault="00000000">
            <w:pPr>
              <w:pStyle w:val="TableParagraph"/>
              <w:ind w:left="97"/>
              <w:jc w:val="left"/>
              <w:rPr>
                <w:sz w:val="20"/>
              </w:rPr>
            </w:pPr>
            <w:r>
              <w:rPr>
                <w:spacing w:val="-2"/>
                <w:sz w:val="20"/>
              </w:rPr>
              <w:t>(2.1)</w:t>
            </w:r>
          </w:p>
        </w:tc>
      </w:tr>
      <w:tr w:rsidR="00AE2255" w14:paraId="4903A33E" w14:textId="77777777">
        <w:trPr>
          <w:trHeight w:val="285"/>
        </w:trPr>
        <w:tc>
          <w:tcPr>
            <w:tcW w:w="4680" w:type="dxa"/>
          </w:tcPr>
          <w:p w14:paraId="42450776" w14:textId="77777777" w:rsidR="00AE2255" w:rsidRDefault="00000000">
            <w:pPr>
              <w:pStyle w:val="TableParagraph"/>
              <w:spacing w:before="27"/>
              <w:ind w:left="187"/>
              <w:jc w:val="left"/>
              <w:rPr>
                <w:sz w:val="20"/>
              </w:rPr>
            </w:pPr>
            <w:r>
              <w:rPr>
                <w:sz w:val="20"/>
              </w:rPr>
              <w:t>Tax</w:t>
            </w:r>
            <w:r>
              <w:rPr>
                <w:spacing w:val="-4"/>
                <w:sz w:val="20"/>
              </w:rPr>
              <w:t xml:space="preserve"> </w:t>
            </w:r>
            <w:r>
              <w:rPr>
                <w:sz w:val="20"/>
              </w:rPr>
              <w:t>deductible</w:t>
            </w:r>
            <w:r>
              <w:rPr>
                <w:spacing w:val="-4"/>
                <w:sz w:val="20"/>
              </w:rPr>
              <w:t xml:space="preserve"> </w:t>
            </w:r>
            <w:r>
              <w:rPr>
                <w:spacing w:val="-2"/>
                <w:sz w:val="20"/>
              </w:rPr>
              <w:t>dividends</w:t>
            </w:r>
          </w:p>
        </w:tc>
        <w:tc>
          <w:tcPr>
            <w:tcW w:w="1123" w:type="dxa"/>
          </w:tcPr>
          <w:p w14:paraId="6D3C1713" w14:textId="77777777" w:rsidR="00AE2255" w:rsidRDefault="00000000">
            <w:pPr>
              <w:pStyle w:val="TableParagraph"/>
              <w:ind w:left="506"/>
              <w:jc w:val="left"/>
              <w:rPr>
                <w:b/>
                <w:sz w:val="20"/>
              </w:rPr>
            </w:pPr>
            <w:r>
              <w:rPr>
                <w:b/>
                <w:spacing w:val="-4"/>
                <w:sz w:val="20"/>
              </w:rPr>
              <w:t>(67)</w:t>
            </w:r>
          </w:p>
        </w:tc>
        <w:tc>
          <w:tcPr>
            <w:tcW w:w="718" w:type="dxa"/>
          </w:tcPr>
          <w:p w14:paraId="354E329B" w14:textId="77777777" w:rsidR="00AE2255" w:rsidRDefault="00000000">
            <w:pPr>
              <w:pStyle w:val="TableParagraph"/>
              <w:ind w:left="63"/>
              <w:jc w:val="left"/>
              <w:rPr>
                <w:b/>
                <w:sz w:val="20"/>
              </w:rPr>
            </w:pPr>
            <w:r>
              <w:rPr>
                <w:b/>
                <w:spacing w:val="-2"/>
                <w:sz w:val="20"/>
              </w:rPr>
              <w:t>(1.0)</w:t>
            </w:r>
          </w:p>
        </w:tc>
        <w:tc>
          <w:tcPr>
            <w:tcW w:w="1143" w:type="dxa"/>
          </w:tcPr>
          <w:p w14:paraId="13F84425" w14:textId="77777777" w:rsidR="00AE2255" w:rsidRDefault="00000000">
            <w:pPr>
              <w:pStyle w:val="TableParagraph"/>
              <w:ind w:left="525"/>
              <w:jc w:val="left"/>
              <w:rPr>
                <w:sz w:val="20"/>
              </w:rPr>
            </w:pPr>
            <w:r>
              <w:rPr>
                <w:spacing w:val="-4"/>
                <w:sz w:val="20"/>
              </w:rPr>
              <w:t>(65)</w:t>
            </w:r>
          </w:p>
        </w:tc>
        <w:tc>
          <w:tcPr>
            <w:tcW w:w="716" w:type="dxa"/>
          </w:tcPr>
          <w:p w14:paraId="365AFF22" w14:textId="77777777" w:rsidR="00AE2255" w:rsidRDefault="00000000">
            <w:pPr>
              <w:pStyle w:val="TableParagraph"/>
              <w:ind w:left="96"/>
              <w:jc w:val="left"/>
              <w:rPr>
                <w:sz w:val="20"/>
              </w:rPr>
            </w:pPr>
            <w:r>
              <w:rPr>
                <w:spacing w:val="-2"/>
                <w:sz w:val="20"/>
              </w:rPr>
              <w:t>(0.9)</w:t>
            </w:r>
          </w:p>
        </w:tc>
        <w:tc>
          <w:tcPr>
            <w:tcW w:w="1143" w:type="dxa"/>
          </w:tcPr>
          <w:p w14:paraId="5BFA7DF6" w14:textId="77777777" w:rsidR="00AE2255" w:rsidRDefault="00000000">
            <w:pPr>
              <w:pStyle w:val="TableParagraph"/>
              <w:ind w:left="526"/>
              <w:jc w:val="left"/>
              <w:rPr>
                <w:sz w:val="20"/>
              </w:rPr>
            </w:pPr>
            <w:r>
              <w:rPr>
                <w:spacing w:val="-4"/>
                <w:sz w:val="20"/>
              </w:rPr>
              <w:t>(64)</w:t>
            </w:r>
          </w:p>
        </w:tc>
        <w:tc>
          <w:tcPr>
            <w:tcW w:w="734" w:type="dxa"/>
          </w:tcPr>
          <w:p w14:paraId="33BF3291" w14:textId="77777777" w:rsidR="00AE2255" w:rsidRDefault="00000000">
            <w:pPr>
              <w:pStyle w:val="TableParagraph"/>
              <w:ind w:left="97"/>
              <w:jc w:val="left"/>
              <w:rPr>
                <w:sz w:val="20"/>
              </w:rPr>
            </w:pPr>
            <w:r>
              <w:rPr>
                <w:spacing w:val="-2"/>
                <w:sz w:val="20"/>
              </w:rPr>
              <w:t>(0.8)</w:t>
            </w:r>
          </w:p>
        </w:tc>
      </w:tr>
      <w:tr w:rsidR="00AE2255" w14:paraId="15F23709" w14:textId="77777777">
        <w:trPr>
          <w:trHeight w:val="285"/>
        </w:trPr>
        <w:tc>
          <w:tcPr>
            <w:tcW w:w="4680" w:type="dxa"/>
            <w:shd w:val="clear" w:color="auto" w:fill="CCEDFF"/>
          </w:tcPr>
          <w:p w14:paraId="2B9A4EB3" w14:textId="77777777" w:rsidR="00AE2255" w:rsidRDefault="00000000">
            <w:pPr>
              <w:pStyle w:val="TableParagraph"/>
              <w:spacing w:before="27"/>
              <w:ind w:left="187"/>
              <w:jc w:val="left"/>
              <w:rPr>
                <w:sz w:val="20"/>
              </w:rPr>
            </w:pPr>
            <w:r>
              <w:rPr>
                <w:sz w:val="20"/>
              </w:rPr>
              <w:t>Excess</w:t>
            </w:r>
            <w:r>
              <w:rPr>
                <w:spacing w:val="-7"/>
                <w:sz w:val="20"/>
              </w:rPr>
              <w:t xml:space="preserve"> </w:t>
            </w:r>
            <w:r>
              <w:rPr>
                <w:sz w:val="20"/>
              </w:rPr>
              <w:t>tax</w:t>
            </w:r>
            <w:r>
              <w:rPr>
                <w:spacing w:val="-3"/>
                <w:sz w:val="20"/>
              </w:rPr>
              <w:t xml:space="preserve"> </w:t>
            </w:r>
            <w:r>
              <w:rPr>
                <w:sz w:val="20"/>
              </w:rPr>
              <w:t>benefits</w:t>
            </w:r>
            <w:r>
              <w:rPr>
                <w:spacing w:val="-4"/>
                <w:sz w:val="20"/>
              </w:rPr>
              <w:t xml:space="preserve"> </w:t>
            </w:r>
            <w:r>
              <w:rPr>
                <w:sz w:val="20"/>
              </w:rPr>
              <w:t>for</w:t>
            </w:r>
            <w:r>
              <w:rPr>
                <w:spacing w:val="-3"/>
                <w:sz w:val="20"/>
              </w:rPr>
              <w:t xml:space="preserve"> </w:t>
            </w:r>
            <w:r>
              <w:rPr>
                <w:sz w:val="20"/>
              </w:rPr>
              <w:t>stock-based</w:t>
            </w:r>
            <w:r>
              <w:rPr>
                <w:spacing w:val="-3"/>
                <w:sz w:val="20"/>
              </w:rPr>
              <w:t xml:space="preserve"> </w:t>
            </w:r>
            <w:r>
              <w:rPr>
                <w:sz w:val="20"/>
              </w:rPr>
              <w:t>payment</w:t>
            </w:r>
            <w:r>
              <w:rPr>
                <w:spacing w:val="-4"/>
                <w:sz w:val="20"/>
              </w:rPr>
              <w:t xml:space="preserve"> </w:t>
            </w:r>
            <w:r>
              <w:rPr>
                <w:spacing w:val="-2"/>
                <w:sz w:val="20"/>
              </w:rPr>
              <w:t>awards</w:t>
            </w:r>
          </w:p>
        </w:tc>
        <w:tc>
          <w:tcPr>
            <w:tcW w:w="1123" w:type="dxa"/>
            <w:shd w:val="clear" w:color="auto" w:fill="CCEDFF"/>
          </w:tcPr>
          <w:p w14:paraId="59CA0650" w14:textId="77777777" w:rsidR="00AE2255" w:rsidRDefault="00000000">
            <w:pPr>
              <w:pStyle w:val="TableParagraph"/>
              <w:ind w:left="506"/>
              <w:jc w:val="left"/>
              <w:rPr>
                <w:b/>
                <w:sz w:val="20"/>
              </w:rPr>
            </w:pPr>
            <w:r>
              <w:rPr>
                <w:b/>
                <w:spacing w:val="-4"/>
                <w:sz w:val="20"/>
              </w:rPr>
              <w:t>(42)</w:t>
            </w:r>
          </w:p>
        </w:tc>
        <w:tc>
          <w:tcPr>
            <w:tcW w:w="718" w:type="dxa"/>
            <w:shd w:val="clear" w:color="auto" w:fill="CCEDFF"/>
          </w:tcPr>
          <w:p w14:paraId="36610A5F" w14:textId="77777777" w:rsidR="00AE2255" w:rsidRDefault="00000000">
            <w:pPr>
              <w:pStyle w:val="TableParagraph"/>
              <w:ind w:left="63"/>
              <w:jc w:val="left"/>
              <w:rPr>
                <w:b/>
                <w:sz w:val="20"/>
              </w:rPr>
            </w:pPr>
            <w:r>
              <w:rPr>
                <w:b/>
                <w:spacing w:val="-2"/>
                <w:sz w:val="20"/>
              </w:rPr>
              <w:t>(0.6)</w:t>
            </w:r>
          </w:p>
        </w:tc>
        <w:tc>
          <w:tcPr>
            <w:tcW w:w="1143" w:type="dxa"/>
            <w:shd w:val="clear" w:color="auto" w:fill="CCEDFF"/>
          </w:tcPr>
          <w:p w14:paraId="43D7BA26" w14:textId="77777777" w:rsidR="00AE2255" w:rsidRDefault="00000000">
            <w:pPr>
              <w:pStyle w:val="TableParagraph"/>
              <w:ind w:left="525"/>
              <w:jc w:val="left"/>
              <w:rPr>
                <w:sz w:val="20"/>
              </w:rPr>
            </w:pPr>
            <w:r>
              <w:rPr>
                <w:spacing w:val="-4"/>
                <w:sz w:val="20"/>
              </w:rPr>
              <w:t>(28)</w:t>
            </w:r>
          </w:p>
        </w:tc>
        <w:tc>
          <w:tcPr>
            <w:tcW w:w="716" w:type="dxa"/>
            <w:shd w:val="clear" w:color="auto" w:fill="CCEDFF"/>
          </w:tcPr>
          <w:p w14:paraId="460D2343" w14:textId="77777777" w:rsidR="00AE2255" w:rsidRDefault="00000000">
            <w:pPr>
              <w:pStyle w:val="TableParagraph"/>
              <w:ind w:left="96"/>
              <w:jc w:val="left"/>
              <w:rPr>
                <w:sz w:val="20"/>
              </w:rPr>
            </w:pPr>
            <w:r>
              <w:rPr>
                <w:spacing w:val="-2"/>
                <w:sz w:val="20"/>
              </w:rPr>
              <w:t>(0.4)</w:t>
            </w:r>
          </w:p>
        </w:tc>
        <w:tc>
          <w:tcPr>
            <w:tcW w:w="1143" w:type="dxa"/>
            <w:shd w:val="clear" w:color="auto" w:fill="CCEDFF"/>
          </w:tcPr>
          <w:p w14:paraId="010EAAEB" w14:textId="77777777" w:rsidR="00AE2255" w:rsidRDefault="00000000">
            <w:pPr>
              <w:pStyle w:val="TableParagraph"/>
              <w:ind w:left="526"/>
              <w:jc w:val="left"/>
              <w:rPr>
                <w:sz w:val="20"/>
              </w:rPr>
            </w:pPr>
            <w:r>
              <w:rPr>
                <w:spacing w:val="-4"/>
                <w:sz w:val="20"/>
              </w:rPr>
              <w:t>(52)</w:t>
            </w:r>
          </w:p>
        </w:tc>
        <w:tc>
          <w:tcPr>
            <w:tcW w:w="734" w:type="dxa"/>
            <w:shd w:val="clear" w:color="auto" w:fill="CCEDFF"/>
          </w:tcPr>
          <w:p w14:paraId="2ABFAA3A" w14:textId="77777777" w:rsidR="00AE2255" w:rsidRDefault="00000000">
            <w:pPr>
              <w:pStyle w:val="TableParagraph"/>
              <w:ind w:left="97"/>
              <w:jc w:val="left"/>
              <w:rPr>
                <w:sz w:val="20"/>
              </w:rPr>
            </w:pPr>
            <w:r>
              <w:rPr>
                <w:spacing w:val="-2"/>
                <w:sz w:val="20"/>
              </w:rPr>
              <w:t>(0.6)</w:t>
            </w:r>
          </w:p>
        </w:tc>
      </w:tr>
      <w:tr w:rsidR="00AE2255" w14:paraId="59EBD5A9" w14:textId="77777777">
        <w:trPr>
          <w:trHeight w:val="275"/>
        </w:trPr>
        <w:tc>
          <w:tcPr>
            <w:tcW w:w="4680" w:type="dxa"/>
            <w:tcBorders>
              <w:bottom w:val="single" w:sz="8" w:space="0" w:color="000000"/>
            </w:tcBorders>
          </w:tcPr>
          <w:p w14:paraId="08360996"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pacing w:val="-5"/>
                <w:sz w:val="20"/>
              </w:rPr>
              <w:t>net</w:t>
            </w:r>
          </w:p>
        </w:tc>
        <w:tc>
          <w:tcPr>
            <w:tcW w:w="1123" w:type="dxa"/>
            <w:tcBorders>
              <w:bottom w:val="single" w:sz="8" w:space="0" w:color="000000"/>
            </w:tcBorders>
          </w:tcPr>
          <w:p w14:paraId="1C1A68E5" w14:textId="77777777" w:rsidR="00AE2255" w:rsidRDefault="00000000">
            <w:pPr>
              <w:pStyle w:val="TableParagraph"/>
              <w:spacing w:line="230" w:lineRule="exact"/>
              <w:ind w:left="673"/>
              <w:jc w:val="left"/>
              <w:rPr>
                <w:b/>
                <w:sz w:val="20"/>
              </w:rPr>
            </w:pPr>
            <w:r>
              <w:rPr>
                <w:b/>
                <w:sz w:val="20"/>
              </w:rPr>
              <w:t>8</w:t>
            </w:r>
          </w:p>
        </w:tc>
        <w:tc>
          <w:tcPr>
            <w:tcW w:w="718" w:type="dxa"/>
            <w:tcBorders>
              <w:bottom w:val="single" w:sz="8" w:space="0" w:color="000000"/>
            </w:tcBorders>
          </w:tcPr>
          <w:p w14:paraId="3C36C729" w14:textId="77777777" w:rsidR="00AE2255" w:rsidRDefault="00000000">
            <w:pPr>
              <w:pStyle w:val="TableParagraph"/>
              <w:spacing w:line="230" w:lineRule="exact"/>
              <w:ind w:left="130"/>
              <w:jc w:val="left"/>
              <w:rPr>
                <w:b/>
                <w:sz w:val="20"/>
              </w:rPr>
            </w:pPr>
            <w:r>
              <w:rPr>
                <w:b/>
                <w:spacing w:val="-5"/>
                <w:sz w:val="20"/>
              </w:rPr>
              <w:t>0.1</w:t>
            </w:r>
          </w:p>
        </w:tc>
        <w:tc>
          <w:tcPr>
            <w:tcW w:w="1143" w:type="dxa"/>
            <w:tcBorders>
              <w:bottom w:val="single" w:sz="8" w:space="0" w:color="000000"/>
            </w:tcBorders>
          </w:tcPr>
          <w:p w14:paraId="1C83474D" w14:textId="77777777" w:rsidR="00AE2255" w:rsidRDefault="00000000">
            <w:pPr>
              <w:pStyle w:val="TableParagraph"/>
              <w:spacing w:line="230" w:lineRule="exact"/>
              <w:ind w:left="592"/>
              <w:jc w:val="left"/>
              <w:rPr>
                <w:sz w:val="20"/>
              </w:rPr>
            </w:pPr>
            <w:r>
              <w:rPr>
                <w:spacing w:val="-5"/>
                <w:sz w:val="20"/>
              </w:rPr>
              <w:t>31</w:t>
            </w:r>
          </w:p>
        </w:tc>
        <w:tc>
          <w:tcPr>
            <w:tcW w:w="716" w:type="dxa"/>
            <w:tcBorders>
              <w:bottom w:val="single" w:sz="8" w:space="0" w:color="000000"/>
            </w:tcBorders>
          </w:tcPr>
          <w:p w14:paraId="73531735" w14:textId="77777777" w:rsidR="00AE2255" w:rsidRDefault="00000000">
            <w:pPr>
              <w:pStyle w:val="TableParagraph"/>
              <w:spacing w:line="230" w:lineRule="exact"/>
              <w:ind w:left="162"/>
              <w:jc w:val="left"/>
              <w:rPr>
                <w:sz w:val="20"/>
              </w:rPr>
            </w:pPr>
            <w:r>
              <w:rPr>
                <w:spacing w:val="-5"/>
                <w:sz w:val="20"/>
              </w:rPr>
              <w:t>0.6</w:t>
            </w:r>
          </w:p>
        </w:tc>
        <w:tc>
          <w:tcPr>
            <w:tcW w:w="1143" w:type="dxa"/>
            <w:tcBorders>
              <w:bottom w:val="single" w:sz="8" w:space="0" w:color="000000"/>
            </w:tcBorders>
          </w:tcPr>
          <w:p w14:paraId="55AE3BF9" w14:textId="77777777" w:rsidR="00AE2255" w:rsidRDefault="00000000">
            <w:pPr>
              <w:pStyle w:val="TableParagraph"/>
              <w:spacing w:line="230" w:lineRule="exact"/>
              <w:ind w:left="693"/>
              <w:jc w:val="left"/>
              <w:rPr>
                <w:sz w:val="20"/>
              </w:rPr>
            </w:pPr>
            <w:r>
              <w:rPr>
                <w:sz w:val="20"/>
              </w:rPr>
              <w:t>1</w:t>
            </w:r>
          </w:p>
        </w:tc>
        <w:tc>
          <w:tcPr>
            <w:tcW w:w="734" w:type="dxa"/>
            <w:tcBorders>
              <w:bottom w:val="single" w:sz="8" w:space="0" w:color="000000"/>
            </w:tcBorders>
          </w:tcPr>
          <w:p w14:paraId="183F92B5" w14:textId="77777777" w:rsidR="00AE2255" w:rsidRDefault="00000000">
            <w:pPr>
              <w:pStyle w:val="TableParagraph"/>
              <w:spacing w:line="230" w:lineRule="exact"/>
              <w:ind w:left="163"/>
              <w:jc w:val="left"/>
              <w:rPr>
                <w:sz w:val="20"/>
              </w:rPr>
            </w:pPr>
            <w:r>
              <w:rPr>
                <w:spacing w:val="-5"/>
                <w:sz w:val="20"/>
              </w:rPr>
              <w:t>0.1</w:t>
            </w:r>
          </w:p>
        </w:tc>
      </w:tr>
      <w:tr w:rsidR="00AE2255" w14:paraId="6FE70505" w14:textId="77777777">
        <w:trPr>
          <w:trHeight w:val="252"/>
        </w:trPr>
        <w:tc>
          <w:tcPr>
            <w:tcW w:w="4680" w:type="dxa"/>
            <w:tcBorders>
              <w:top w:val="single" w:sz="8" w:space="0" w:color="000000"/>
              <w:bottom w:val="single" w:sz="18" w:space="0" w:color="CCEDFF"/>
            </w:tcBorders>
            <w:shd w:val="clear" w:color="auto" w:fill="CCEDFF"/>
          </w:tcPr>
          <w:p w14:paraId="47709F2B" w14:textId="77777777" w:rsidR="00AE2255" w:rsidRDefault="00000000">
            <w:pPr>
              <w:pStyle w:val="TableParagraph"/>
              <w:spacing w:before="17" w:line="216" w:lineRule="exact"/>
              <w:ind w:left="52"/>
              <w:jc w:val="left"/>
              <w:rPr>
                <w:sz w:val="20"/>
              </w:rPr>
            </w:pPr>
            <w:r>
              <w:rPr>
                <w:sz w:val="20"/>
              </w:rPr>
              <w:t>Income</w:t>
            </w:r>
            <w:r>
              <w:rPr>
                <w:spacing w:val="-3"/>
                <w:sz w:val="20"/>
              </w:rPr>
              <w:t xml:space="preserve"> </w:t>
            </w:r>
            <w:r>
              <w:rPr>
                <w:sz w:val="20"/>
              </w:rPr>
              <w:t>tax</w:t>
            </w:r>
            <w:r>
              <w:rPr>
                <w:spacing w:val="-2"/>
                <w:sz w:val="20"/>
              </w:rPr>
              <w:t xml:space="preserve"> expense</w:t>
            </w:r>
          </w:p>
        </w:tc>
        <w:tc>
          <w:tcPr>
            <w:tcW w:w="1123" w:type="dxa"/>
            <w:tcBorders>
              <w:top w:val="single" w:sz="8" w:space="0" w:color="000000"/>
              <w:bottom w:val="single" w:sz="18" w:space="0" w:color="CCEDFF"/>
            </w:tcBorders>
            <w:shd w:val="clear" w:color="auto" w:fill="CCEDFF"/>
          </w:tcPr>
          <w:p w14:paraId="4697083E" w14:textId="77777777" w:rsidR="00AE2255" w:rsidRDefault="00000000">
            <w:pPr>
              <w:pStyle w:val="TableParagraph"/>
              <w:tabs>
                <w:tab w:val="left" w:pos="473"/>
              </w:tabs>
              <w:spacing w:before="15" w:line="217" w:lineRule="exact"/>
              <w:ind w:left="52"/>
              <w:jc w:val="left"/>
              <w:rPr>
                <w:b/>
                <w:sz w:val="20"/>
              </w:rPr>
            </w:pPr>
            <w:r>
              <w:rPr>
                <w:b/>
                <w:spacing w:val="-10"/>
                <w:sz w:val="20"/>
              </w:rPr>
              <w:t>$</w:t>
            </w:r>
            <w:r>
              <w:rPr>
                <w:b/>
                <w:sz w:val="20"/>
              </w:rPr>
              <w:tab/>
            </w:r>
            <w:r>
              <w:rPr>
                <w:b/>
                <w:spacing w:val="-5"/>
                <w:sz w:val="20"/>
              </w:rPr>
              <w:t>948</w:t>
            </w:r>
          </w:p>
        </w:tc>
        <w:tc>
          <w:tcPr>
            <w:tcW w:w="718" w:type="dxa"/>
            <w:tcBorders>
              <w:top w:val="single" w:sz="8" w:space="0" w:color="000000"/>
              <w:bottom w:val="single" w:sz="18" w:space="0" w:color="CCEDFF"/>
            </w:tcBorders>
            <w:shd w:val="clear" w:color="auto" w:fill="CCEDFF"/>
          </w:tcPr>
          <w:p w14:paraId="2B240146" w14:textId="77777777" w:rsidR="00AE2255" w:rsidRDefault="00000000">
            <w:pPr>
              <w:pStyle w:val="TableParagraph"/>
              <w:spacing w:before="15" w:line="217" w:lineRule="exact"/>
              <w:ind w:left="30"/>
              <w:jc w:val="left"/>
              <w:rPr>
                <w:b/>
                <w:sz w:val="20"/>
              </w:rPr>
            </w:pPr>
            <w:r>
              <w:rPr>
                <w:b/>
                <w:sz w:val="20"/>
              </w:rPr>
              <w:t>14.2</w:t>
            </w:r>
            <w:r>
              <w:rPr>
                <w:b/>
                <w:spacing w:val="16"/>
                <w:sz w:val="20"/>
              </w:rPr>
              <w:t xml:space="preserve"> </w:t>
            </w:r>
            <w:r>
              <w:rPr>
                <w:b/>
                <w:spacing w:val="-10"/>
                <w:sz w:val="20"/>
              </w:rPr>
              <w:t>%</w:t>
            </w:r>
          </w:p>
        </w:tc>
        <w:tc>
          <w:tcPr>
            <w:tcW w:w="1143" w:type="dxa"/>
            <w:tcBorders>
              <w:top w:val="single" w:sz="8" w:space="0" w:color="000000"/>
              <w:bottom w:val="single" w:sz="18" w:space="0" w:color="CCEDFF"/>
            </w:tcBorders>
            <w:shd w:val="clear" w:color="auto" w:fill="CCEDFF"/>
          </w:tcPr>
          <w:p w14:paraId="1F51B099" w14:textId="77777777" w:rsidR="00AE2255" w:rsidRDefault="00000000">
            <w:pPr>
              <w:pStyle w:val="TableParagraph"/>
              <w:spacing w:before="15" w:line="217" w:lineRule="exact"/>
              <w:ind w:left="71"/>
              <w:jc w:val="left"/>
              <w:rPr>
                <w:sz w:val="20"/>
              </w:rPr>
            </w:pPr>
            <w:proofErr w:type="gramStart"/>
            <w:r>
              <w:rPr>
                <w:sz w:val="20"/>
              </w:rPr>
              <w:t>$</w:t>
            </w:r>
            <w:r>
              <w:rPr>
                <w:spacing w:val="35"/>
                <w:sz w:val="20"/>
              </w:rPr>
              <w:t xml:space="preserve">  </w:t>
            </w:r>
            <w:r>
              <w:rPr>
                <w:spacing w:val="-2"/>
                <w:sz w:val="20"/>
              </w:rPr>
              <w:t>1,235</w:t>
            </w:r>
            <w:proofErr w:type="gramEnd"/>
          </w:p>
        </w:tc>
        <w:tc>
          <w:tcPr>
            <w:tcW w:w="716" w:type="dxa"/>
            <w:tcBorders>
              <w:top w:val="single" w:sz="8" w:space="0" w:color="000000"/>
              <w:bottom w:val="single" w:sz="18" w:space="0" w:color="CCEDFF"/>
            </w:tcBorders>
            <w:shd w:val="clear" w:color="auto" w:fill="CCEDFF"/>
          </w:tcPr>
          <w:p w14:paraId="1BF0B314" w14:textId="77777777" w:rsidR="00AE2255" w:rsidRDefault="00000000">
            <w:pPr>
              <w:pStyle w:val="TableParagraph"/>
              <w:spacing w:before="15" w:line="217" w:lineRule="exact"/>
              <w:ind w:left="62"/>
              <w:jc w:val="left"/>
              <w:rPr>
                <w:sz w:val="20"/>
              </w:rPr>
            </w:pPr>
            <w:r>
              <w:rPr>
                <w:sz w:val="20"/>
              </w:rPr>
              <w:t>16.4</w:t>
            </w:r>
            <w:r>
              <w:rPr>
                <w:spacing w:val="16"/>
                <w:sz w:val="20"/>
              </w:rPr>
              <w:t xml:space="preserve"> </w:t>
            </w:r>
            <w:r>
              <w:rPr>
                <w:spacing w:val="-10"/>
                <w:sz w:val="20"/>
              </w:rPr>
              <w:t>%</w:t>
            </w:r>
          </w:p>
        </w:tc>
        <w:tc>
          <w:tcPr>
            <w:tcW w:w="1143" w:type="dxa"/>
            <w:tcBorders>
              <w:top w:val="single" w:sz="8" w:space="0" w:color="000000"/>
              <w:bottom w:val="single" w:sz="18" w:space="0" w:color="CCEDFF"/>
            </w:tcBorders>
            <w:shd w:val="clear" w:color="auto" w:fill="CCEDFF"/>
          </w:tcPr>
          <w:p w14:paraId="7C12C367" w14:textId="77777777" w:rsidR="00AE2255" w:rsidRDefault="00000000">
            <w:pPr>
              <w:pStyle w:val="TableParagraph"/>
              <w:spacing w:before="15" w:line="217" w:lineRule="exact"/>
              <w:ind w:left="72"/>
              <w:jc w:val="left"/>
              <w:rPr>
                <w:sz w:val="20"/>
              </w:rPr>
            </w:pPr>
            <w:proofErr w:type="gramStart"/>
            <w:r>
              <w:rPr>
                <w:sz w:val="20"/>
              </w:rPr>
              <w:t>$</w:t>
            </w:r>
            <w:r>
              <w:rPr>
                <w:spacing w:val="35"/>
                <w:sz w:val="20"/>
              </w:rPr>
              <w:t xml:space="preserve">  </w:t>
            </w:r>
            <w:r>
              <w:rPr>
                <w:spacing w:val="-2"/>
                <w:sz w:val="20"/>
              </w:rPr>
              <w:t>1,347</w:t>
            </w:r>
            <w:proofErr w:type="gramEnd"/>
          </w:p>
        </w:tc>
        <w:tc>
          <w:tcPr>
            <w:tcW w:w="734" w:type="dxa"/>
            <w:tcBorders>
              <w:top w:val="single" w:sz="8" w:space="0" w:color="000000"/>
              <w:bottom w:val="single" w:sz="18" w:space="0" w:color="CCEDFF"/>
            </w:tcBorders>
            <w:shd w:val="clear" w:color="auto" w:fill="CCEDFF"/>
          </w:tcPr>
          <w:p w14:paraId="76DF4F02" w14:textId="77777777" w:rsidR="00AE2255" w:rsidRDefault="00000000">
            <w:pPr>
              <w:pStyle w:val="TableParagraph"/>
              <w:spacing w:before="15" w:line="217" w:lineRule="exact"/>
              <w:ind w:left="63"/>
              <w:jc w:val="left"/>
              <w:rPr>
                <w:sz w:val="20"/>
              </w:rPr>
            </w:pPr>
            <w:r>
              <w:rPr>
                <w:sz w:val="20"/>
              </w:rPr>
              <w:t>16.4</w:t>
            </w:r>
            <w:r>
              <w:rPr>
                <w:spacing w:val="16"/>
                <w:sz w:val="20"/>
              </w:rPr>
              <w:t xml:space="preserve"> </w:t>
            </w:r>
            <w:r>
              <w:rPr>
                <w:spacing w:val="-10"/>
                <w:sz w:val="20"/>
              </w:rPr>
              <w:t>%</w:t>
            </w:r>
          </w:p>
        </w:tc>
      </w:tr>
    </w:tbl>
    <w:p w14:paraId="0CB8966B" w14:textId="77777777" w:rsidR="00AE2255" w:rsidRDefault="00AE2255">
      <w:pPr>
        <w:pStyle w:val="BodyText"/>
      </w:pPr>
    </w:p>
    <w:p w14:paraId="206F3541" w14:textId="77777777" w:rsidR="00AE2255" w:rsidRDefault="00000000">
      <w:pPr>
        <w:pStyle w:val="BodyText"/>
        <w:spacing w:line="249" w:lineRule="auto"/>
        <w:ind w:left="610" w:right="430" w:firstLine="360"/>
        <w:jc w:val="both"/>
      </w:pPr>
      <w:r>
        <w:t>The rate for 2022 was lower than the rate for 2021 primarily due to increased research and development tax credits. The rate for all years benefited from tax deductions for foreign derived intangible income, dividends paid to our defined</w:t>
      </w:r>
      <w:r>
        <w:rPr>
          <w:spacing w:val="40"/>
        </w:rPr>
        <w:t xml:space="preserve"> </w:t>
      </w:r>
      <w:r>
        <w:t>contribution plans with an employee stock ownership plan feature, and employee equity awards.</w:t>
      </w:r>
    </w:p>
    <w:p w14:paraId="655AC2CC" w14:textId="77777777" w:rsidR="00AE2255" w:rsidRDefault="00AE2255">
      <w:pPr>
        <w:pStyle w:val="BodyText"/>
        <w:spacing w:before="3"/>
        <w:rPr>
          <w:sz w:val="17"/>
        </w:rPr>
      </w:pPr>
    </w:p>
    <w:p w14:paraId="65EFF130" w14:textId="77777777" w:rsidR="00AE2255" w:rsidRDefault="00000000">
      <w:pPr>
        <w:pStyle w:val="Heading2"/>
        <w:spacing w:before="1"/>
      </w:pPr>
      <w:r>
        <w:t>Uncertain</w:t>
      </w:r>
      <w:r>
        <w:rPr>
          <w:spacing w:val="-5"/>
        </w:rPr>
        <w:t xml:space="preserve"> </w:t>
      </w:r>
      <w:r>
        <w:t>Tax</w:t>
      </w:r>
      <w:r>
        <w:rPr>
          <w:spacing w:val="-3"/>
        </w:rPr>
        <w:t xml:space="preserve"> </w:t>
      </w:r>
      <w:r>
        <w:rPr>
          <w:spacing w:val="-2"/>
        </w:rPr>
        <w:t>Positions</w:t>
      </w:r>
    </w:p>
    <w:p w14:paraId="4104998D" w14:textId="77777777" w:rsidR="00AE2255" w:rsidRDefault="00AE2255">
      <w:pPr>
        <w:pStyle w:val="BodyText"/>
        <w:rPr>
          <w:b/>
          <w:sz w:val="22"/>
        </w:rPr>
      </w:pPr>
    </w:p>
    <w:p w14:paraId="68838B44" w14:textId="77777777" w:rsidR="00AE2255" w:rsidRDefault="00000000">
      <w:pPr>
        <w:pStyle w:val="BodyText"/>
        <w:ind w:left="970"/>
      </w:pPr>
      <w:r>
        <w:t>The</w:t>
      </w:r>
      <w:r>
        <w:rPr>
          <w:spacing w:val="-6"/>
        </w:rPr>
        <w:t xml:space="preserve"> </w:t>
      </w:r>
      <w:r>
        <w:t>change</w:t>
      </w:r>
      <w:r>
        <w:rPr>
          <w:spacing w:val="-3"/>
        </w:rPr>
        <w:t xml:space="preserve"> </w:t>
      </w:r>
      <w:r>
        <w:t>in</w:t>
      </w:r>
      <w:r>
        <w:rPr>
          <w:spacing w:val="-2"/>
        </w:rPr>
        <w:t xml:space="preserve"> </w:t>
      </w:r>
      <w:r>
        <w:t>unrecognized</w:t>
      </w:r>
      <w:r>
        <w:rPr>
          <w:spacing w:val="-2"/>
        </w:rPr>
        <w:t xml:space="preserve"> </w:t>
      </w:r>
      <w:r>
        <w:t>tax</w:t>
      </w:r>
      <w:r>
        <w:rPr>
          <w:spacing w:val="-3"/>
        </w:rPr>
        <w:t xml:space="preserve"> </w:t>
      </w:r>
      <w:r>
        <w:t>benefits</w:t>
      </w:r>
      <w:r>
        <w:rPr>
          <w:spacing w:val="-3"/>
        </w:rPr>
        <w:t xml:space="preserve"> </w:t>
      </w:r>
      <w:r>
        <w:t>were</w:t>
      </w:r>
      <w:r>
        <w:rPr>
          <w:spacing w:val="-3"/>
        </w:rPr>
        <w:t xml:space="preserve"> </w:t>
      </w:r>
      <w:r>
        <w:t>as</w:t>
      </w:r>
      <w:r>
        <w:rPr>
          <w:spacing w:val="-3"/>
        </w:rPr>
        <w:t xml:space="preserve"> </w:t>
      </w:r>
      <w:r>
        <w:t>follows</w:t>
      </w:r>
      <w:r>
        <w:rPr>
          <w:spacing w:val="-3"/>
        </w:rPr>
        <w:t xml:space="preserve"> </w:t>
      </w:r>
      <w:r>
        <w:t>(in</w:t>
      </w:r>
      <w:r>
        <w:rPr>
          <w:spacing w:val="-2"/>
        </w:rPr>
        <w:t xml:space="preserve"> millions):</w:t>
      </w:r>
    </w:p>
    <w:p w14:paraId="19828FC4" w14:textId="77777777" w:rsidR="00AE2255" w:rsidRDefault="00AE2255">
      <w:pPr>
        <w:pStyle w:val="BodyText"/>
        <w:rPr>
          <w:sz w:val="8"/>
        </w:rPr>
      </w:pPr>
    </w:p>
    <w:tbl>
      <w:tblPr>
        <w:tblW w:w="0" w:type="auto"/>
        <w:tblInd w:w="617" w:type="dxa"/>
        <w:tblLayout w:type="fixed"/>
        <w:tblCellMar>
          <w:left w:w="0" w:type="dxa"/>
          <w:right w:w="0" w:type="dxa"/>
        </w:tblCellMar>
        <w:tblLook w:val="01E0" w:firstRow="1" w:lastRow="1" w:firstColumn="1" w:lastColumn="1" w:noHBand="0" w:noVBand="0"/>
      </w:tblPr>
      <w:tblGrid>
        <w:gridCol w:w="6181"/>
        <w:gridCol w:w="2186"/>
        <w:gridCol w:w="976"/>
        <w:gridCol w:w="920"/>
      </w:tblGrid>
      <w:tr w:rsidR="00AE2255" w14:paraId="18D90FED" w14:textId="77777777">
        <w:trPr>
          <w:trHeight w:val="241"/>
        </w:trPr>
        <w:tc>
          <w:tcPr>
            <w:tcW w:w="6181" w:type="dxa"/>
            <w:tcBorders>
              <w:bottom w:val="single" w:sz="8" w:space="0" w:color="000000"/>
            </w:tcBorders>
          </w:tcPr>
          <w:p w14:paraId="40D2006F" w14:textId="77777777" w:rsidR="00AE2255" w:rsidRDefault="00AE2255">
            <w:pPr>
              <w:pStyle w:val="TableParagraph"/>
              <w:spacing w:before="0"/>
              <w:jc w:val="left"/>
              <w:rPr>
                <w:sz w:val="16"/>
              </w:rPr>
            </w:pPr>
          </w:p>
        </w:tc>
        <w:tc>
          <w:tcPr>
            <w:tcW w:w="2186" w:type="dxa"/>
            <w:tcBorders>
              <w:bottom w:val="single" w:sz="8" w:space="0" w:color="000000"/>
            </w:tcBorders>
          </w:tcPr>
          <w:p w14:paraId="53677EEF" w14:textId="77777777" w:rsidR="00AE2255" w:rsidRDefault="00000000">
            <w:pPr>
              <w:pStyle w:val="TableParagraph"/>
              <w:spacing w:before="0" w:line="221" w:lineRule="exact"/>
              <w:ind w:right="107"/>
              <w:rPr>
                <w:b/>
                <w:sz w:val="20"/>
              </w:rPr>
            </w:pPr>
            <w:r>
              <w:rPr>
                <w:b/>
                <w:spacing w:val="-4"/>
                <w:sz w:val="20"/>
              </w:rPr>
              <w:t>2022</w:t>
            </w:r>
          </w:p>
        </w:tc>
        <w:tc>
          <w:tcPr>
            <w:tcW w:w="976" w:type="dxa"/>
            <w:tcBorders>
              <w:bottom w:val="single" w:sz="8" w:space="0" w:color="000000"/>
            </w:tcBorders>
          </w:tcPr>
          <w:p w14:paraId="447D8425" w14:textId="77777777" w:rsidR="00AE2255" w:rsidRDefault="00000000">
            <w:pPr>
              <w:pStyle w:val="TableParagraph"/>
              <w:spacing w:before="0" w:line="221" w:lineRule="exact"/>
              <w:ind w:right="108"/>
              <w:rPr>
                <w:b/>
                <w:sz w:val="20"/>
              </w:rPr>
            </w:pPr>
            <w:r>
              <w:rPr>
                <w:b/>
                <w:spacing w:val="-4"/>
                <w:sz w:val="20"/>
              </w:rPr>
              <w:t>2021</w:t>
            </w:r>
          </w:p>
        </w:tc>
        <w:tc>
          <w:tcPr>
            <w:tcW w:w="920" w:type="dxa"/>
            <w:tcBorders>
              <w:bottom w:val="single" w:sz="8" w:space="0" w:color="000000"/>
            </w:tcBorders>
          </w:tcPr>
          <w:p w14:paraId="1E4359CF" w14:textId="77777777" w:rsidR="00AE2255" w:rsidRDefault="00000000">
            <w:pPr>
              <w:pStyle w:val="TableParagraph"/>
              <w:spacing w:before="0" w:line="221" w:lineRule="exact"/>
              <w:ind w:right="53"/>
              <w:rPr>
                <w:b/>
                <w:sz w:val="20"/>
              </w:rPr>
            </w:pPr>
            <w:r>
              <w:rPr>
                <w:b/>
                <w:spacing w:val="-4"/>
                <w:sz w:val="20"/>
              </w:rPr>
              <w:t>2020</w:t>
            </w:r>
          </w:p>
        </w:tc>
      </w:tr>
      <w:tr w:rsidR="00AE2255" w14:paraId="78EA815B" w14:textId="77777777">
        <w:trPr>
          <w:trHeight w:val="275"/>
        </w:trPr>
        <w:tc>
          <w:tcPr>
            <w:tcW w:w="6181" w:type="dxa"/>
            <w:tcBorders>
              <w:top w:val="single" w:sz="8" w:space="0" w:color="000000"/>
            </w:tcBorders>
            <w:shd w:val="clear" w:color="auto" w:fill="CCEDFF"/>
          </w:tcPr>
          <w:p w14:paraId="5A44B3A3" w14:textId="77777777" w:rsidR="00AE2255" w:rsidRDefault="00000000">
            <w:pPr>
              <w:pStyle w:val="TableParagraph"/>
              <w:spacing w:before="17"/>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January</w:t>
            </w:r>
            <w:r>
              <w:rPr>
                <w:spacing w:val="-3"/>
                <w:sz w:val="20"/>
              </w:rPr>
              <w:t xml:space="preserve"> </w:t>
            </w:r>
            <w:r>
              <w:rPr>
                <w:spacing w:val="-10"/>
                <w:sz w:val="20"/>
              </w:rPr>
              <w:t>1</w:t>
            </w:r>
          </w:p>
        </w:tc>
        <w:tc>
          <w:tcPr>
            <w:tcW w:w="2186" w:type="dxa"/>
            <w:tcBorders>
              <w:top w:val="single" w:sz="8" w:space="0" w:color="000000"/>
            </w:tcBorders>
            <w:shd w:val="clear" w:color="auto" w:fill="CCEDFF"/>
          </w:tcPr>
          <w:p w14:paraId="18AC6B6E" w14:textId="77777777" w:rsidR="00AE2255" w:rsidRDefault="00000000">
            <w:pPr>
              <w:pStyle w:val="TableParagraph"/>
              <w:tabs>
                <w:tab w:val="left" w:pos="565"/>
              </w:tabs>
              <w:spacing w:before="15"/>
              <w:ind w:right="136"/>
              <w:rPr>
                <w:b/>
                <w:sz w:val="20"/>
              </w:rPr>
            </w:pPr>
            <w:r>
              <w:rPr>
                <w:b/>
                <w:spacing w:val="-10"/>
                <w:sz w:val="20"/>
              </w:rPr>
              <w:t>$</w:t>
            </w:r>
            <w:r>
              <w:rPr>
                <w:b/>
                <w:sz w:val="20"/>
              </w:rPr>
              <w:tab/>
            </w:r>
            <w:r>
              <w:rPr>
                <w:b/>
                <w:spacing w:val="-5"/>
                <w:sz w:val="20"/>
              </w:rPr>
              <w:t>69</w:t>
            </w:r>
          </w:p>
        </w:tc>
        <w:tc>
          <w:tcPr>
            <w:tcW w:w="976" w:type="dxa"/>
            <w:tcBorders>
              <w:top w:val="single" w:sz="8" w:space="0" w:color="000000"/>
            </w:tcBorders>
            <w:shd w:val="clear" w:color="auto" w:fill="CCEDFF"/>
          </w:tcPr>
          <w:p w14:paraId="29A20E10" w14:textId="77777777" w:rsidR="00AE2255" w:rsidRDefault="00000000">
            <w:pPr>
              <w:pStyle w:val="TableParagraph"/>
              <w:tabs>
                <w:tab w:val="left" w:pos="636"/>
              </w:tabs>
              <w:spacing w:before="15"/>
              <w:ind w:left="70"/>
              <w:jc w:val="left"/>
              <w:rPr>
                <w:sz w:val="20"/>
              </w:rPr>
            </w:pPr>
            <w:r>
              <w:rPr>
                <w:spacing w:val="-10"/>
                <w:sz w:val="20"/>
              </w:rPr>
              <w:t>$</w:t>
            </w:r>
            <w:r>
              <w:rPr>
                <w:sz w:val="20"/>
              </w:rPr>
              <w:tab/>
            </w:r>
            <w:r>
              <w:rPr>
                <w:spacing w:val="-5"/>
                <w:sz w:val="20"/>
              </w:rPr>
              <w:t>50</w:t>
            </w:r>
          </w:p>
        </w:tc>
        <w:tc>
          <w:tcPr>
            <w:tcW w:w="920" w:type="dxa"/>
            <w:tcBorders>
              <w:top w:val="single" w:sz="8" w:space="0" w:color="000000"/>
            </w:tcBorders>
            <w:shd w:val="clear" w:color="auto" w:fill="CCEDFF"/>
          </w:tcPr>
          <w:p w14:paraId="49025101" w14:textId="77777777" w:rsidR="00AE2255" w:rsidRDefault="00000000">
            <w:pPr>
              <w:pStyle w:val="TableParagraph"/>
              <w:tabs>
                <w:tab w:val="left" w:pos="565"/>
              </w:tabs>
              <w:spacing w:before="15"/>
              <w:ind w:right="82"/>
              <w:rPr>
                <w:sz w:val="20"/>
              </w:rPr>
            </w:pPr>
            <w:r>
              <w:rPr>
                <w:spacing w:val="-10"/>
                <w:sz w:val="20"/>
              </w:rPr>
              <w:t>$</w:t>
            </w:r>
            <w:r>
              <w:rPr>
                <w:sz w:val="20"/>
              </w:rPr>
              <w:tab/>
            </w:r>
            <w:r>
              <w:rPr>
                <w:spacing w:val="-5"/>
                <w:sz w:val="20"/>
              </w:rPr>
              <w:t>56</w:t>
            </w:r>
          </w:p>
        </w:tc>
      </w:tr>
      <w:tr w:rsidR="00AE2255" w14:paraId="7AADDC2D" w14:textId="77777777">
        <w:trPr>
          <w:trHeight w:val="285"/>
        </w:trPr>
        <w:tc>
          <w:tcPr>
            <w:tcW w:w="6181" w:type="dxa"/>
          </w:tcPr>
          <w:p w14:paraId="577172C6" w14:textId="77777777" w:rsidR="00AE2255" w:rsidRDefault="00000000">
            <w:pPr>
              <w:pStyle w:val="TableParagraph"/>
              <w:spacing w:before="27"/>
              <w:ind w:left="187"/>
              <w:jc w:val="left"/>
              <w:rPr>
                <w:sz w:val="20"/>
              </w:rPr>
            </w:pPr>
            <w:r>
              <w:rPr>
                <w:sz w:val="20"/>
              </w:rPr>
              <w:t>Additions</w:t>
            </w:r>
            <w:r>
              <w:rPr>
                <w:spacing w:val="-6"/>
                <w:sz w:val="20"/>
              </w:rPr>
              <w:t xml:space="preserve"> </w:t>
            </w:r>
            <w:r>
              <w:rPr>
                <w:sz w:val="20"/>
              </w:rPr>
              <w:t>based</w:t>
            </w:r>
            <w:r>
              <w:rPr>
                <w:spacing w:val="-2"/>
                <w:sz w:val="20"/>
              </w:rPr>
              <w:t xml:space="preserve"> </w:t>
            </w:r>
            <w:r>
              <w:rPr>
                <w:sz w:val="20"/>
              </w:rPr>
              <w:t>on</w:t>
            </w:r>
            <w:r>
              <w:rPr>
                <w:spacing w:val="-3"/>
                <w:sz w:val="20"/>
              </w:rPr>
              <w:t xml:space="preserve"> </w:t>
            </w:r>
            <w:r>
              <w:rPr>
                <w:sz w:val="20"/>
              </w:rPr>
              <w:t>tax</w:t>
            </w:r>
            <w:r>
              <w:rPr>
                <w:spacing w:val="-2"/>
                <w:sz w:val="20"/>
              </w:rPr>
              <w:t xml:space="preserve"> </w:t>
            </w:r>
            <w:r>
              <w:rPr>
                <w:sz w:val="20"/>
              </w:rPr>
              <w:t>positions</w:t>
            </w:r>
            <w:r>
              <w:rPr>
                <w:spacing w:val="-4"/>
                <w:sz w:val="20"/>
              </w:rPr>
              <w:t xml:space="preserve"> </w:t>
            </w:r>
            <w:r>
              <w:rPr>
                <w:sz w:val="20"/>
              </w:rPr>
              <w:t>related</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current</w:t>
            </w:r>
            <w:r>
              <w:rPr>
                <w:spacing w:val="-3"/>
                <w:sz w:val="20"/>
              </w:rPr>
              <w:t xml:space="preserve"> </w:t>
            </w:r>
            <w:r>
              <w:rPr>
                <w:spacing w:val="-4"/>
                <w:sz w:val="20"/>
              </w:rPr>
              <w:t>year</w:t>
            </w:r>
          </w:p>
        </w:tc>
        <w:tc>
          <w:tcPr>
            <w:tcW w:w="2186" w:type="dxa"/>
          </w:tcPr>
          <w:p w14:paraId="364CF35E" w14:textId="77777777" w:rsidR="00AE2255" w:rsidRDefault="00000000">
            <w:pPr>
              <w:pStyle w:val="TableParagraph"/>
              <w:ind w:right="136"/>
              <w:rPr>
                <w:b/>
                <w:sz w:val="20"/>
              </w:rPr>
            </w:pPr>
            <w:r>
              <w:rPr>
                <w:b/>
                <w:spacing w:val="-2"/>
                <w:sz w:val="20"/>
              </w:rPr>
              <w:t>1,572</w:t>
            </w:r>
          </w:p>
        </w:tc>
        <w:tc>
          <w:tcPr>
            <w:tcW w:w="976" w:type="dxa"/>
          </w:tcPr>
          <w:p w14:paraId="41212408" w14:textId="77777777" w:rsidR="00AE2255" w:rsidRDefault="00000000">
            <w:pPr>
              <w:pStyle w:val="TableParagraph"/>
              <w:ind w:right="137"/>
              <w:rPr>
                <w:sz w:val="20"/>
              </w:rPr>
            </w:pPr>
            <w:r>
              <w:rPr>
                <w:spacing w:val="-5"/>
                <w:sz w:val="20"/>
              </w:rPr>
              <w:t>23</w:t>
            </w:r>
          </w:p>
        </w:tc>
        <w:tc>
          <w:tcPr>
            <w:tcW w:w="920" w:type="dxa"/>
          </w:tcPr>
          <w:p w14:paraId="2F701A4E" w14:textId="77777777" w:rsidR="00AE2255" w:rsidRDefault="00000000">
            <w:pPr>
              <w:pStyle w:val="TableParagraph"/>
              <w:ind w:right="82"/>
              <w:rPr>
                <w:sz w:val="20"/>
              </w:rPr>
            </w:pPr>
            <w:r>
              <w:rPr>
                <w:spacing w:val="-5"/>
                <w:sz w:val="20"/>
              </w:rPr>
              <w:t>14</w:t>
            </w:r>
          </w:p>
        </w:tc>
      </w:tr>
      <w:tr w:rsidR="00AE2255" w14:paraId="383697B5" w14:textId="77777777">
        <w:trPr>
          <w:trHeight w:val="285"/>
        </w:trPr>
        <w:tc>
          <w:tcPr>
            <w:tcW w:w="6181" w:type="dxa"/>
            <w:shd w:val="clear" w:color="auto" w:fill="CCEDFF"/>
          </w:tcPr>
          <w:p w14:paraId="7AE4B33D" w14:textId="77777777" w:rsidR="00AE2255" w:rsidRDefault="00000000">
            <w:pPr>
              <w:pStyle w:val="TableParagraph"/>
              <w:spacing w:before="27"/>
              <w:ind w:left="187"/>
              <w:jc w:val="left"/>
              <w:rPr>
                <w:sz w:val="20"/>
              </w:rPr>
            </w:pPr>
            <w:r>
              <w:rPr>
                <w:sz w:val="20"/>
              </w:rPr>
              <w:t>Additions</w:t>
            </w:r>
            <w:r>
              <w:rPr>
                <w:spacing w:val="-3"/>
                <w:sz w:val="20"/>
              </w:rPr>
              <w:t xml:space="preserve"> </w:t>
            </w:r>
            <w:r>
              <w:rPr>
                <w:sz w:val="20"/>
              </w:rPr>
              <w:t>for</w:t>
            </w:r>
            <w:r>
              <w:rPr>
                <w:spacing w:val="-2"/>
                <w:sz w:val="20"/>
              </w:rPr>
              <w:t xml:space="preserve"> </w:t>
            </w:r>
            <w:r>
              <w:rPr>
                <w:sz w:val="20"/>
              </w:rPr>
              <w:t>tax</w:t>
            </w:r>
            <w:r>
              <w:rPr>
                <w:spacing w:val="-2"/>
                <w:sz w:val="20"/>
              </w:rPr>
              <w:t xml:space="preserve"> </w:t>
            </w:r>
            <w:r>
              <w:rPr>
                <w:sz w:val="20"/>
              </w:rPr>
              <w:t>positions</w:t>
            </w:r>
            <w:r>
              <w:rPr>
                <w:spacing w:val="-3"/>
                <w:sz w:val="20"/>
              </w:rPr>
              <w:t xml:space="preserve"> </w:t>
            </w:r>
            <w:r>
              <w:rPr>
                <w:sz w:val="20"/>
              </w:rPr>
              <w:t>of</w:t>
            </w:r>
            <w:r>
              <w:rPr>
                <w:spacing w:val="-2"/>
                <w:sz w:val="20"/>
              </w:rPr>
              <w:t xml:space="preserve"> </w:t>
            </w:r>
            <w:r>
              <w:rPr>
                <w:sz w:val="20"/>
              </w:rPr>
              <w:t>prior</w:t>
            </w:r>
            <w:r>
              <w:rPr>
                <w:spacing w:val="-1"/>
                <w:sz w:val="20"/>
              </w:rPr>
              <w:t xml:space="preserve"> </w:t>
            </w:r>
            <w:r>
              <w:rPr>
                <w:spacing w:val="-4"/>
                <w:sz w:val="20"/>
              </w:rPr>
              <w:t>years</w:t>
            </w:r>
          </w:p>
        </w:tc>
        <w:tc>
          <w:tcPr>
            <w:tcW w:w="2186" w:type="dxa"/>
            <w:shd w:val="clear" w:color="auto" w:fill="CCEDFF"/>
          </w:tcPr>
          <w:p w14:paraId="32BD25F8" w14:textId="77777777" w:rsidR="00AE2255" w:rsidRDefault="00000000">
            <w:pPr>
              <w:pStyle w:val="TableParagraph"/>
              <w:ind w:right="136"/>
              <w:rPr>
                <w:b/>
                <w:sz w:val="20"/>
              </w:rPr>
            </w:pPr>
            <w:r>
              <w:rPr>
                <w:b/>
                <w:sz w:val="20"/>
              </w:rPr>
              <w:t>5</w:t>
            </w:r>
          </w:p>
        </w:tc>
        <w:tc>
          <w:tcPr>
            <w:tcW w:w="976" w:type="dxa"/>
            <w:shd w:val="clear" w:color="auto" w:fill="CCEDFF"/>
          </w:tcPr>
          <w:p w14:paraId="1D6669D9" w14:textId="77777777" w:rsidR="00AE2255" w:rsidRDefault="00000000">
            <w:pPr>
              <w:pStyle w:val="TableParagraph"/>
              <w:ind w:right="137"/>
              <w:rPr>
                <w:sz w:val="20"/>
              </w:rPr>
            </w:pPr>
            <w:r>
              <w:rPr>
                <w:spacing w:val="-5"/>
                <w:sz w:val="20"/>
              </w:rPr>
              <w:t>30</w:t>
            </w:r>
          </w:p>
        </w:tc>
        <w:tc>
          <w:tcPr>
            <w:tcW w:w="920" w:type="dxa"/>
            <w:shd w:val="clear" w:color="auto" w:fill="CCEDFF"/>
          </w:tcPr>
          <w:p w14:paraId="7CF759A2" w14:textId="77777777" w:rsidR="00AE2255" w:rsidRDefault="00000000">
            <w:pPr>
              <w:pStyle w:val="TableParagraph"/>
              <w:ind w:right="82"/>
              <w:rPr>
                <w:sz w:val="20"/>
              </w:rPr>
            </w:pPr>
            <w:r>
              <w:rPr>
                <w:sz w:val="20"/>
              </w:rPr>
              <w:t>1</w:t>
            </w:r>
          </w:p>
        </w:tc>
      </w:tr>
      <w:tr w:rsidR="00AE2255" w14:paraId="417E7BC4" w14:textId="77777777">
        <w:trPr>
          <w:trHeight w:val="285"/>
        </w:trPr>
        <w:tc>
          <w:tcPr>
            <w:tcW w:w="6181" w:type="dxa"/>
          </w:tcPr>
          <w:p w14:paraId="2166DE56" w14:textId="77777777" w:rsidR="00AE2255" w:rsidRDefault="00000000">
            <w:pPr>
              <w:pStyle w:val="TableParagraph"/>
              <w:spacing w:before="27"/>
              <w:ind w:left="187"/>
              <w:jc w:val="left"/>
              <w:rPr>
                <w:sz w:val="20"/>
              </w:rPr>
            </w:pPr>
            <w:r>
              <w:rPr>
                <w:sz w:val="20"/>
              </w:rPr>
              <w:t>Reductions</w:t>
            </w:r>
            <w:r>
              <w:rPr>
                <w:spacing w:val="-3"/>
                <w:sz w:val="20"/>
              </w:rPr>
              <w:t xml:space="preserve"> </w:t>
            </w:r>
            <w:r>
              <w:rPr>
                <w:sz w:val="20"/>
              </w:rPr>
              <w:t>for</w:t>
            </w:r>
            <w:r>
              <w:rPr>
                <w:spacing w:val="-2"/>
                <w:sz w:val="20"/>
              </w:rPr>
              <w:t xml:space="preserve"> </w:t>
            </w:r>
            <w:r>
              <w:rPr>
                <w:sz w:val="20"/>
              </w:rPr>
              <w:t>tax</w:t>
            </w:r>
            <w:r>
              <w:rPr>
                <w:spacing w:val="-2"/>
                <w:sz w:val="20"/>
              </w:rPr>
              <w:t xml:space="preserve"> </w:t>
            </w:r>
            <w:r>
              <w:rPr>
                <w:sz w:val="20"/>
              </w:rPr>
              <w:t>positions</w:t>
            </w:r>
            <w:r>
              <w:rPr>
                <w:spacing w:val="-3"/>
                <w:sz w:val="20"/>
              </w:rPr>
              <w:t xml:space="preserve"> </w:t>
            </w:r>
            <w:r>
              <w:rPr>
                <w:sz w:val="20"/>
              </w:rPr>
              <w:t>of</w:t>
            </w:r>
            <w:r>
              <w:rPr>
                <w:spacing w:val="-2"/>
                <w:sz w:val="20"/>
              </w:rPr>
              <w:t xml:space="preserve"> </w:t>
            </w:r>
            <w:r>
              <w:rPr>
                <w:sz w:val="20"/>
              </w:rPr>
              <w:t>prior</w:t>
            </w:r>
            <w:r>
              <w:rPr>
                <w:spacing w:val="-2"/>
                <w:sz w:val="20"/>
              </w:rPr>
              <w:t xml:space="preserve"> </w:t>
            </w:r>
            <w:r>
              <w:rPr>
                <w:spacing w:val="-4"/>
                <w:sz w:val="20"/>
              </w:rPr>
              <w:t>years</w:t>
            </w:r>
          </w:p>
        </w:tc>
        <w:tc>
          <w:tcPr>
            <w:tcW w:w="2186" w:type="dxa"/>
          </w:tcPr>
          <w:p w14:paraId="026C4C15" w14:textId="77777777" w:rsidR="00AE2255" w:rsidRDefault="00000000">
            <w:pPr>
              <w:pStyle w:val="TableParagraph"/>
              <w:ind w:right="71"/>
              <w:rPr>
                <w:b/>
                <w:sz w:val="20"/>
              </w:rPr>
            </w:pPr>
            <w:r>
              <w:rPr>
                <w:b/>
                <w:spacing w:val="-5"/>
                <w:sz w:val="20"/>
              </w:rPr>
              <w:t>(2)</w:t>
            </w:r>
          </w:p>
        </w:tc>
        <w:tc>
          <w:tcPr>
            <w:tcW w:w="976" w:type="dxa"/>
          </w:tcPr>
          <w:p w14:paraId="0FAF7602" w14:textId="77777777" w:rsidR="00AE2255" w:rsidRDefault="00000000">
            <w:pPr>
              <w:pStyle w:val="TableParagraph"/>
              <w:ind w:right="72"/>
              <w:rPr>
                <w:sz w:val="20"/>
              </w:rPr>
            </w:pPr>
            <w:r>
              <w:rPr>
                <w:spacing w:val="-4"/>
                <w:sz w:val="20"/>
              </w:rPr>
              <w:t>(19)</w:t>
            </w:r>
          </w:p>
        </w:tc>
        <w:tc>
          <w:tcPr>
            <w:tcW w:w="920" w:type="dxa"/>
          </w:tcPr>
          <w:p w14:paraId="594EDCEE" w14:textId="77777777" w:rsidR="00AE2255" w:rsidRDefault="00000000">
            <w:pPr>
              <w:pStyle w:val="TableParagraph"/>
              <w:ind w:right="17"/>
              <w:rPr>
                <w:sz w:val="20"/>
              </w:rPr>
            </w:pPr>
            <w:r>
              <w:rPr>
                <w:spacing w:val="-4"/>
                <w:sz w:val="20"/>
              </w:rPr>
              <w:t>(20)</w:t>
            </w:r>
          </w:p>
        </w:tc>
      </w:tr>
      <w:tr w:rsidR="00AE2255" w14:paraId="005674FB" w14:textId="77777777">
        <w:trPr>
          <w:trHeight w:val="285"/>
        </w:trPr>
        <w:tc>
          <w:tcPr>
            <w:tcW w:w="6181" w:type="dxa"/>
            <w:shd w:val="clear" w:color="auto" w:fill="CCEDFF"/>
          </w:tcPr>
          <w:p w14:paraId="2C5ED7DC" w14:textId="77777777" w:rsidR="00AE2255" w:rsidRDefault="00000000">
            <w:pPr>
              <w:pStyle w:val="TableParagraph"/>
              <w:spacing w:before="27"/>
              <w:ind w:left="187"/>
              <w:jc w:val="left"/>
              <w:rPr>
                <w:sz w:val="20"/>
              </w:rPr>
            </w:pPr>
            <w:r>
              <w:rPr>
                <w:sz w:val="20"/>
              </w:rPr>
              <w:t>Settlements</w:t>
            </w:r>
            <w:r>
              <w:rPr>
                <w:spacing w:val="-6"/>
                <w:sz w:val="20"/>
              </w:rPr>
              <w:t xml:space="preserve"> </w:t>
            </w:r>
            <w:r>
              <w:rPr>
                <w:sz w:val="20"/>
              </w:rPr>
              <w:t>with</w:t>
            </w:r>
            <w:r>
              <w:rPr>
                <w:spacing w:val="-5"/>
                <w:sz w:val="20"/>
              </w:rPr>
              <w:t xml:space="preserve"> </w:t>
            </w:r>
            <w:r>
              <w:rPr>
                <w:sz w:val="20"/>
              </w:rPr>
              <w:t>tax</w:t>
            </w:r>
            <w:r>
              <w:rPr>
                <w:spacing w:val="-4"/>
                <w:sz w:val="20"/>
              </w:rPr>
              <w:t xml:space="preserve"> </w:t>
            </w:r>
            <w:r>
              <w:rPr>
                <w:spacing w:val="-2"/>
                <w:sz w:val="20"/>
              </w:rPr>
              <w:t>authorities</w:t>
            </w:r>
          </w:p>
        </w:tc>
        <w:tc>
          <w:tcPr>
            <w:tcW w:w="2186" w:type="dxa"/>
            <w:shd w:val="clear" w:color="auto" w:fill="CCEDFF"/>
          </w:tcPr>
          <w:p w14:paraId="4D8BDB9A" w14:textId="77777777" w:rsidR="00AE2255" w:rsidRDefault="00000000">
            <w:pPr>
              <w:pStyle w:val="TableParagraph"/>
              <w:ind w:right="71"/>
              <w:rPr>
                <w:b/>
                <w:sz w:val="20"/>
              </w:rPr>
            </w:pPr>
            <w:r>
              <w:rPr>
                <w:b/>
                <w:spacing w:val="-4"/>
                <w:sz w:val="20"/>
              </w:rPr>
              <w:t>(23)</w:t>
            </w:r>
          </w:p>
        </w:tc>
        <w:tc>
          <w:tcPr>
            <w:tcW w:w="976" w:type="dxa"/>
            <w:shd w:val="clear" w:color="auto" w:fill="CCEDFF"/>
          </w:tcPr>
          <w:p w14:paraId="09748422" w14:textId="77777777" w:rsidR="00AE2255" w:rsidRDefault="00000000">
            <w:pPr>
              <w:pStyle w:val="TableParagraph"/>
              <w:ind w:right="72"/>
              <w:rPr>
                <w:sz w:val="20"/>
              </w:rPr>
            </w:pPr>
            <w:r>
              <w:rPr>
                <w:spacing w:val="-4"/>
                <w:sz w:val="20"/>
              </w:rPr>
              <w:t>(14)</w:t>
            </w:r>
          </w:p>
        </w:tc>
        <w:tc>
          <w:tcPr>
            <w:tcW w:w="920" w:type="dxa"/>
            <w:shd w:val="clear" w:color="auto" w:fill="CCEDFF"/>
          </w:tcPr>
          <w:p w14:paraId="55FDB004" w14:textId="77777777" w:rsidR="00AE2255" w:rsidRDefault="00000000">
            <w:pPr>
              <w:pStyle w:val="TableParagraph"/>
              <w:ind w:right="82"/>
              <w:rPr>
                <w:sz w:val="20"/>
              </w:rPr>
            </w:pPr>
            <w:r>
              <w:rPr>
                <w:sz w:val="20"/>
              </w:rPr>
              <w:t>—</w:t>
            </w:r>
          </w:p>
        </w:tc>
      </w:tr>
      <w:tr w:rsidR="00AE2255" w14:paraId="7DBE73E8" w14:textId="77777777">
        <w:trPr>
          <w:trHeight w:val="275"/>
        </w:trPr>
        <w:tc>
          <w:tcPr>
            <w:tcW w:w="6181" w:type="dxa"/>
            <w:tcBorders>
              <w:bottom w:val="single" w:sz="8" w:space="0" w:color="auto"/>
            </w:tcBorders>
          </w:tcPr>
          <w:p w14:paraId="0FD26766" w14:textId="77777777" w:rsidR="00AE2255" w:rsidRDefault="00000000">
            <w:pPr>
              <w:pStyle w:val="TableParagraph"/>
              <w:spacing w:before="27" w:line="228" w:lineRule="exact"/>
              <w:ind w:left="187"/>
              <w:jc w:val="left"/>
              <w:rPr>
                <w:sz w:val="20"/>
              </w:rPr>
            </w:pPr>
            <w:r>
              <w:rPr>
                <w:sz w:val="20"/>
              </w:rPr>
              <w:t>Other,</w:t>
            </w:r>
            <w:r>
              <w:rPr>
                <w:spacing w:val="-3"/>
                <w:sz w:val="20"/>
              </w:rPr>
              <w:t xml:space="preserve"> </w:t>
            </w:r>
            <w:r>
              <w:rPr>
                <w:spacing w:val="-5"/>
                <w:sz w:val="20"/>
              </w:rPr>
              <w:t>net</w:t>
            </w:r>
          </w:p>
        </w:tc>
        <w:tc>
          <w:tcPr>
            <w:tcW w:w="2186" w:type="dxa"/>
            <w:tcBorders>
              <w:bottom w:val="single" w:sz="8" w:space="0" w:color="auto"/>
            </w:tcBorders>
          </w:tcPr>
          <w:p w14:paraId="15D57FF6" w14:textId="77777777" w:rsidR="00AE2255" w:rsidRDefault="00000000">
            <w:pPr>
              <w:pStyle w:val="TableParagraph"/>
              <w:spacing w:line="230" w:lineRule="exact"/>
              <w:ind w:right="136"/>
              <w:rPr>
                <w:b/>
                <w:sz w:val="20"/>
              </w:rPr>
            </w:pPr>
            <w:r>
              <w:rPr>
                <w:b/>
                <w:sz w:val="20"/>
              </w:rPr>
              <w:t>1</w:t>
            </w:r>
          </w:p>
        </w:tc>
        <w:tc>
          <w:tcPr>
            <w:tcW w:w="976" w:type="dxa"/>
            <w:tcBorders>
              <w:bottom w:val="single" w:sz="8" w:space="0" w:color="auto"/>
            </w:tcBorders>
          </w:tcPr>
          <w:p w14:paraId="3A9AC249" w14:textId="77777777" w:rsidR="00AE2255" w:rsidRDefault="00000000">
            <w:pPr>
              <w:pStyle w:val="TableParagraph"/>
              <w:spacing w:line="230" w:lineRule="exact"/>
              <w:ind w:right="72"/>
              <w:rPr>
                <w:sz w:val="20"/>
              </w:rPr>
            </w:pPr>
            <w:r>
              <w:rPr>
                <w:spacing w:val="-5"/>
                <w:sz w:val="20"/>
              </w:rPr>
              <w:t>(1)</w:t>
            </w:r>
          </w:p>
        </w:tc>
        <w:tc>
          <w:tcPr>
            <w:tcW w:w="920" w:type="dxa"/>
            <w:tcBorders>
              <w:bottom w:val="single" w:sz="8" w:space="0" w:color="auto"/>
            </w:tcBorders>
          </w:tcPr>
          <w:p w14:paraId="5E1C4636" w14:textId="77777777" w:rsidR="00AE2255" w:rsidRDefault="00000000">
            <w:pPr>
              <w:pStyle w:val="TableParagraph"/>
              <w:spacing w:line="230" w:lineRule="exact"/>
              <w:ind w:right="17"/>
              <w:rPr>
                <w:sz w:val="20"/>
              </w:rPr>
            </w:pPr>
            <w:r>
              <w:rPr>
                <w:spacing w:val="-5"/>
                <w:sz w:val="20"/>
              </w:rPr>
              <w:t>(1)</w:t>
            </w:r>
          </w:p>
        </w:tc>
      </w:tr>
      <w:tr w:rsidR="00AE2255" w14:paraId="6393E9FB" w14:textId="77777777">
        <w:trPr>
          <w:trHeight w:val="252"/>
        </w:trPr>
        <w:tc>
          <w:tcPr>
            <w:tcW w:w="6181" w:type="dxa"/>
            <w:tcBorders>
              <w:top w:val="single" w:sz="8" w:space="0" w:color="CCEDFF"/>
              <w:bottom w:val="single" w:sz="18" w:space="0" w:color="CCEDFF"/>
            </w:tcBorders>
            <w:shd w:val="clear" w:color="auto" w:fill="CCEDFF"/>
          </w:tcPr>
          <w:p w14:paraId="0E7199E0" w14:textId="77777777" w:rsidR="00AE2255" w:rsidRDefault="00000000">
            <w:pPr>
              <w:pStyle w:val="TableParagraph"/>
              <w:spacing w:before="17" w:line="216" w:lineRule="exact"/>
              <w:ind w:left="52"/>
              <w:jc w:val="left"/>
              <w:rPr>
                <w:sz w:val="20"/>
              </w:rPr>
            </w:pPr>
            <w:r>
              <w:rPr>
                <w:sz w:val="20"/>
              </w:rPr>
              <w:t>Balance</w:t>
            </w:r>
            <w:r>
              <w:rPr>
                <w:spacing w:val="-5"/>
                <w:sz w:val="20"/>
              </w:rPr>
              <w:t xml:space="preserve"> </w:t>
            </w:r>
            <w:proofErr w:type="gramStart"/>
            <w:r>
              <w:rPr>
                <w:sz w:val="20"/>
              </w:rPr>
              <w:t>at</w:t>
            </w:r>
            <w:proofErr w:type="gramEnd"/>
            <w:r>
              <w:rPr>
                <w:spacing w:val="-5"/>
                <w:sz w:val="20"/>
              </w:rPr>
              <w:t xml:space="preserve"> </w:t>
            </w:r>
            <w:r>
              <w:rPr>
                <w:sz w:val="20"/>
              </w:rPr>
              <w:t>December</w:t>
            </w:r>
            <w:r>
              <w:rPr>
                <w:spacing w:val="-4"/>
                <w:sz w:val="20"/>
              </w:rPr>
              <w:t xml:space="preserve"> </w:t>
            </w:r>
            <w:r>
              <w:rPr>
                <w:spacing w:val="-5"/>
                <w:sz w:val="20"/>
              </w:rPr>
              <w:t>31</w:t>
            </w:r>
          </w:p>
        </w:tc>
        <w:tc>
          <w:tcPr>
            <w:tcW w:w="2186" w:type="dxa"/>
            <w:tcBorders>
              <w:top w:val="single" w:sz="8" w:space="0" w:color="CCEDFF"/>
              <w:bottom w:val="single" w:sz="18" w:space="0" w:color="CCEDFF"/>
            </w:tcBorders>
            <w:shd w:val="clear" w:color="auto" w:fill="CCEDFF"/>
          </w:tcPr>
          <w:p w14:paraId="3728CCF7" w14:textId="77777777" w:rsidR="00AE2255" w:rsidRDefault="00000000">
            <w:pPr>
              <w:pStyle w:val="TableParagraph"/>
              <w:tabs>
                <w:tab w:val="left" w:pos="315"/>
              </w:tabs>
              <w:spacing w:before="15" w:line="217" w:lineRule="exact"/>
              <w:ind w:right="136"/>
              <w:rPr>
                <w:b/>
                <w:sz w:val="20"/>
              </w:rPr>
            </w:pPr>
            <w:r>
              <w:rPr>
                <w:b/>
                <w:spacing w:val="-10"/>
                <w:sz w:val="20"/>
              </w:rPr>
              <w:t>$</w:t>
            </w:r>
            <w:r>
              <w:rPr>
                <w:b/>
                <w:sz w:val="20"/>
              </w:rPr>
              <w:tab/>
            </w:r>
            <w:r>
              <w:rPr>
                <w:b/>
                <w:spacing w:val="-2"/>
                <w:sz w:val="20"/>
              </w:rPr>
              <w:t>1,622</w:t>
            </w:r>
          </w:p>
        </w:tc>
        <w:tc>
          <w:tcPr>
            <w:tcW w:w="976" w:type="dxa"/>
            <w:tcBorders>
              <w:top w:val="single" w:sz="8" w:space="0" w:color="CCEDFF"/>
              <w:bottom w:val="single" w:sz="18" w:space="0" w:color="CCEDFF"/>
            </w:tcBorders>
            <w:shd w:val="clear" w:color="auto" w:fill="CCEDFF"/>
          </w:tcPr>
          <w:p w14:paraId="334BE81D" w14:textId="77777777" w:rsidR="00AE2255" w:rsidRDefault="00000000">
            <w:pPr>
              <w:pStyle w:val="TableParagraph"/>
              <w:tabs>
                <w:tab w:val="left" w:pos="636"/>
              </w:tabs>
              <w:spacing w:before="15" w:line="217" w:lineRule="exact"/>
              <w:ind w:left="70"/>
              <w:jc w:val="left"/>
              <w:rPr>
                <w:sz w:val="20"/>
              </w:rPr>
            </w:pPr>
            <w:r>
              <w:rPr>
                <w:spacing w:val="-10"/>
                <w:sz w:val="20"/>
              </w:rPr>
              <w:t>$</w:t>
            </w:r>
            <w:r>
              <w:rPr>
                <w:sz w:val="20"/>
              </w:rPr>
              <w:tab/>
            </w:r>
            <w:r>
              <w:rPr>
                <w:spacing w:val="-5"/>
                <w:sz w:val="20"/>
              </w:rPr>
              <w:t>69</w:t>
            </w:r>
          </w:p>
        </w:tc>
        <w:tc>
          <w:tcPr>
            <w:tcW w:w="920" w:type="dxa"/>
            <w:tcBorders>
              <w:top w:val="single" w:sz="8" w:space="0" w:color="CCEDFF"/>
              <w:bottom w:val="single" w:sz="18" w:space="0" w:color="CCEDFF"/>
            </w:tcBorders>
            <w:shd w:val="clear" w:color="auto" w:fill="CCEDFF"/>
          </w:tcPr>
          <w:p w14:paraId="021465D9" w14:textId="77777777" w:rsidR="00AE2255" w:rsidRDefault="00000000">
            <w:pPr>
              <w:pStyle w:val="TableParagraph"/>
              <w:tabs>
                <w:tab w:val="left" w:pos="565"/>
              </w:tabs>
              <w:spacing w:before="15" w:line="217" w:lineRule="exact"/>
              <w:ind w:right="82"/>
              <w:rPr>
                <w:sz w:val="20"/>
              </w:rPr>
            </w:pPr>
            <w:r>
              <w:rPr>
                <w:spacing w:val="-10"/>
                <w:sz w:val="20"/>
              </w:rPr>
              <w:t>$</w:t>
            </w:r>
            <w:r>
              <w:rPr>
                <w:sz w:val="20"/>
              </w:rPr>
              <w:tab/>
            </w:r>
            <w:r>
              <w:rPr>
                <w:spacing w:val="-5"/>
                <w:sz w:val="20"/>
              </w:rPr>
              <w:t>50</w:t>
            </w:r>
          </w:p>
        </w:tc>
      </w:tr>
    </w:tbl>
    <w:p w14:paraId="3C842C36" w14:textId="77777777" w:rsidR="00AE2255" w:rsidRDefault="00AE2255">
      <w:pPr>
        <w:pStyle w:val="BodyText"/>
      </w:pPr>
    </w:p>
    <w:p w14:paraId="35A0DEEC" w14:textId="77777777" w:rsidR="00AE2255" w:rsidRDefault="00000000">
      <w:pPr>
        <w:pStyle w:val="BodyText"/>
        <w:spacing w:line="249" w:lineRule="auto"/>
        <w:ind w:left="610" w:right="430" w:firstLine="360"/>
        <w:jc w:val="both"/>
      </w:pPr>
      <w:r>
        <w:t>As of December 31, 2021, our liabilities associated with uncertain tax positions were not material. For the year ended December 31, 2022, our liabilities associated with uncertain tax positions increased to $1.6 billion with a corresponding</w:t>
      </w:r>
      <w:r>
        <w:rPr>
          <w:spacing w:val="40"/>
        </w:rPr>
        <w:t xml:space="preserve"> </w:t>
      </w:r>
      <w:r>
        <w:t>increase to net deferred tax assets primarily resulting from the Tax Cuts and Jobs Act of 2017’s elimination of the option for taxpayers to deduct research and development expenditures immediately in the year incurred and instead requiring taxpayers to amortize such expenditures over five years. It is reasonably possible that within the next twelve months, our liabilities associated with uncertain tax positions may increase by approximately $1.3 billion related to this provision.</w:t>
      </w:r>
    </w:p>
    <w:p w14:paraId="7794CC43" w14:textId="77777777" w:rsidR="00AE2255" w:rsidRDefault="00AE2255">
      <w:pPr>
        <w:pStyle w:val="BodyText"/>
        <w:spacing w:before="9"/>
        <w:rPr>
          <w:sz w:val="17"/>
        </w:rPr>
      </w:pPr>
    </w:p>
    <w:p w14:paraId="226D1FF3" w14:textId="77777777" w:rsidR="00AE2255" w:rsidRDefault="00000000">
      <w:pPr>
        <w:pStyle w:val="BodyText"/>
        <w:ind w:left="970"/>
      </w:pPr>
      <w:r>
        <w:t>This</w:t>
      </w:r>
      <w:r>
        <w:rPr>
          <w:spacing w:val="-6"/>
        </w:rPr>
        <w:t xml:space="preserve"> </w:t>
      </w:r>
      <w:r>
        <w:t>uncertain</w:t>
      </w:r>
      <w:r>
        <w:rPr>
          <w:spacing w:val="-3"/>
        </w:rPr>
        <w:t xml:space="preserve"> </w:t>
      </w:r>
      <w:r>
        <w:t>tax</w:t>
      </w:r>
      <w:r>
        <w:rPr>
          <w:spacing w:val="-3"/>
        </w:rPr>
        <w:t xml:space="preserve"> </w:t>
      </w:r>
      <w:r>
        <w:t>position</w:t>
      </w:r>
      <w:r>
        <w:rPr>
          <w:spacing w:val="-2"/>
        </w:rPr>
        <w:t xml:space="preserve"> </w:t>
      </w:r>
      <w:r>
        <w:t>will</w:t>
      </w:r>
      <w:r>
        <w:rPr>
          <w:spacing w:val="-4"/>
        </w:rPr>
        <w:t xml:space="preserve"> </w:t>
      </w:r>
      <w:r>
        <w:t>have</w:t>
      </w:r>
      <w:r>
        <w:rPr>
          <w:spacing w:val="-4"/>
        </w:rPr>
        <w:t xml:space="preserve"> </w:t>
      </w:r>
      <w:r>
        <w:t>an</w:t>
      </w:r>
      <w:r>
        <w:rPr>
          <w:spacing w:val="-3"/>
        </w:rPr>
        <w:t xml:space="preserve"> </w:t>
      </w:r>
      <w:r>
        <w:t>immaterial</w:t>
      </w:r>
      <w:r>
        <w:rPr>
          <w:spacing w:val="-3"/>
        </w:rPr>
        <w:t xml:space="preserve"> </w:t>
      </w:r>
      <w:r>
        <w:t>impact</w:t>
      </w:r>
      <w:r>
        <w:rPr>
          <w:spacing w:val="-4"/>
        </w:rPr>
        <w:t xml:space="preserve"> </w:t>
      </w:r>
      <w:r>
        <w:t>to</w:t>
      </w:r>
      <w:r>
        <w:rPr>
          <w:spacing w:val="-3"/>
        </w:rPr>
        <w:t xml:space="preserve"> </w:t>
      </w:r>
      <w:r>
        <w:t>our</w:t>
      </w:r>
      <w:r>
        <w:rPr>
          <w:spacing w:val="-3"/>
        </w:rPr>
        <w:t xml:space="preserve"> </w:t>
      </w:r>
      <w:r>
        <w:t>effective</w:t>
      </w:r>
      <w:r>
        <w:rPr>
          <w:spacing w:val="-3"/>
        </w:rPr>
        <w:t xml:space="preserve"> </w:t>
      </w:r>
      <w:r>
        <w:t>tax</w:t>
      </w:r>
      <w:r>
        <w:rPr>
          <w:spacing w:val="-3"/>
        </w:rPr>
        <w:t xml:space="preserve"> </w:t>
      </w:r>
      <w:r>
        <w:t>rate</w:t>
      </w:r>
      <w:r>
        <w:rPr>
          <w:spacing w:val="-4"/>
        </w:rPr>
        <w:t xml:space="preserve"> </w:t>
      </w:r>
      <w:r>
        <w:t>if</w:t>
      </w:r>
      <w:r>
        <w:rPr>
          <w:spacing w:val="-2"/>
        </w:rPr>
        <w:t xml:space="preserve"> recognized.</w:t>
      </w:r>
    </w:p>
    <w:p w14:paraId="4F6F7F9F" w14:textId="77777777" w:rsidR="00AE2255" w:rsidRDefault="00AE2255">
      <w:pPr>
        <w:pStyle w:val="BodyText"/>
        <w:spacing w:before="3"/>
        <w:rPr>
          <w:sz w:val="18"/>
        </w:rPr>
      </w:pPr>
    </w:p>
    <w:p w14:paraId="037FE882" w14:textId="77777777" w:rsidR="00AE2255" w:rsidRDefault="00000000">
      <w:pPr>
        <w:pStyle w:val="BodyText"/>
        <w:spacing w:line="249" w:lineRule="auto"/>
        <w:ind w:left="610" w:right="428" w:firstLine="360"/>
        <w:jc w:val="both"/>
      </w:pPr>
      <w:r>
        <w:t xml:space="preserve">We recognize accrued interest and penalties related to unrecognized tax benefits as part of our income tax expense. As of December 31, </w:t>
      </w:r>
      <w:proofErr w:type="gramStart"/>
      <w:r>
        <w:t>2022</w:t>
      </w:r>
      <w:proofErr w:type="gramEnd"/>
      <w:r>
        <w:t xml:space="preserve"> and 2021, our accrued interest and penalties related to unrecognized tax benefits were not material.</w:t>
      </w:r>
    </w:p>
    <w:p w14:paraId="5D076C5C" w14:textId="77777777" w:rsidR="00AE2255" w:rsidRDefault="00AE2255">
      <w:pPr>
        <w:spacing w:line="249" w:lineRule="auto"/>
        <w:jc w:val="both"/>
        <w:sectPr w:rsidR="00AE2255">
          <w:pgSz w:w="12240" w:h="15840"/>
          <w:pgMar w:top="440" w:right="560" w:bottom="720" w:left="380" w:header="230" w:footer="531" w:gutter="0"/>
          <w:cols w:space="720"/>
        </w:sectPr>
      </w:pPr>
    </w:p>
    <w:p w14:paraId="00D4FAEA" w14:textId="77777777" w:rsidR="00AE2255" w:rsidRDefault="00AE2255">
      <w:pPr>
        <w:pStyle w:val="BodyText"/>
        <w:spacing w:before="7"/>
        <w:rPr>
          <w:sz w:val="22"/>
        </w:rPr>
      </w:pPr>
    </w:p>
    <w:p w14:paraId="05AA8F4B" w14:textId="77777777" w:rsidR="00AE2255" w:rsidRDefault="00000000">
      <w:pPr>
        <w:pStyle w:val="Heading2"/>
        <w:spacing w:before="92"/>
      </w:pPr>
      <w:r>
        <w:t>Deferred</w:t>
      </w:r>
      <w:r>
        <w:rPr>
          <w:spacing w:val="-8"/>
        </w:rPr>
        <w:t xml:space="preserve"> </w:t>
      </w:r>
      <w:r>
        <w:t>Income</w:t>
      </w:r>
      <w:r>
        <w:rPr>
          <w:spacing w:val="-5"/>
        </w:rPr>
        <w:t xml:space="preserve"> </w:t>
      </w:r>
      <w:r>
        <w:rPr>
          <w:spacing w:val="-4"/>
        </w:rPr>
        <w:t>Taxes</w:t>
      </w:r>
    </w:p>
    <w:p w14:paraId="7B47F122" w14:textId="77777777" w:rsidR="00AE2255" w:rsidRDefault="00AE2255">
      <w:pPr>
        <w:pStyle w:val="BodyText"/>
        <w:spacing w:before="6"/>
        <w:rPr>
          <w:b/>
          <w:sz w:val="18"/>
        </w:rPr>
      </w:pPr>
    </w:p>
    <w:p w14:paraId="11FA963B" w14:textId="77777777" w:rsidR="00AE2255" w:rsidRDefault="00000000">
      <w:pPr>
        <w:pStyle w:val="BodyText"/>
        <w:spacing w:line="249" w:lineRule="auto"/>
        <w:ind w:left="610" w:right="430" w:firstLine="360"/>
      </w:pPr>
      <w:r>
        <w:t>The</w:t>
      </w:r>
      <w:r>
        <w:rPr>
          <w:spacing w:val="-4"/>
        </w:rPr>
        <w:t xml:space="preserve"> </w:t>
      </w:r>
      <w:r>
        <w:t>primary</w:t>
      </w:r>
      <w:r>
        <w:rPr>
          <w:spacing w:val="-3"/>
        </w:rPr>
        <w:t xml:space="preserve"> </w:t>
      </w:r>
      <w:r>
        <w:t>components</w:t>
      </w:r>
      <w:r>
        <w:rPr>
          <w:spacing w:val="-4"/>
        </w:rPr>
        <w:t xml:space="preserve"> </w:t>
      </w:r>
      <w:r>
        <w:t>of</w:t>
      </w:r>
      <w:r>
        <w:rPr>
          <w:spacing w:val="-3"/>
        </w:rPr>
        <w:t xml:space="preserve"> </w:t>
      </w:r>
      <w:r>
        <w:t>our</w:t>
      </w:r>
      <w:r>
        <w:rPr>
          <w:spacing w:val="-3"/>
        </w:rPr>
        <w:t xml:space="preserve"> </w:t>
      </w:r>
      <w:r>
        <w:t>federal</w:t>
      </w:r>
      <w:r>
        <w:rPr>
          <w:spacing w:val="-4"/>
        </w:rPr>
        <w:t xml:space="preserve"> </w:t>
      </w:r>
      <w:r>
        <w:t>and</w:t>
      </w:r>
      <w:r>
        <w:rPr>
          <w:spacing w:val="-3"/>
        </w:rPr>
        <w:t xml:space="preserve"> </w:t>
      </w:r>
      <w:r>
        <w:t>foreign</w:t>
      </w:r>
      <w:r>
        <w:rPr>
          <w:spacing w:val="-3"/>
        </w:rPr>
        <w:t xml:space="preserve"> </w:t>
      </w:r>
      <w:r>
        <w:t>deferred</w:t>
      </w:r>
      <w:r>
        <w:rPr>
          <w:spacing w:val="-3"/>
        </w:rPr>
        <w:t xml:space="preserve"> </w:t>
      </w:r>
      <w:r>
        <w:t>income</w:t>
      </w:r>
      <w:r>
        <w:rPr>
          <w:spacing w:val="-4"/>
        </w:rPr>
        <w:t xml:space="preserve"> </w:t>
      </w:r>
      <w:r>
        <w:t>tax</w:t>
      </w:r>
      <w:r>
        <w:rPr>
          <w:spacing w:val="-3"/>
        </w:rPr>
        <w:t xml:space="preserve"> </w:t>
      </w:r>
      <w:r>
        <w:t>assets</w:t>
      </w:r>
      <w:r>
        <w:rPr>
          <w:spacing w:val="-4"/>
        </w:rPr>
        <w:t xml:space="preserve"> </w:t>
      </w:r>
      <w:r>
        <w:t>and</w:t>
      </w:r>
      <w:r>
        <w:rPr>
          <w:spacing w:val="-3"/>
        </w:rPr>
        <w:t xml:space="preserve"> </w:t>
      </w:r>
      <w:r>
        <w:t>liabilities</w:t>
      </w:r>
      <w:r>
        <w:rPr>
          <w:spacing w:val="-4"/>
        </w:rPr>
        <w:t xml:space="preserve"> </w:t>
      </w:r>
      <w:proofErr w:type="gramStart"/>
      <w:r>
        <w:t>at</w:t>
      </w:r>
      <w:proofErr w:type="gramEnd"/>
      <w:r>
        <w:rPr>
          <w:spacing w:val="-4"/>
        </w:rPr>
        <w:t xml:space="preserve"> </w:t>
      </w:r>
      <w:r>
        <w:t>December</w:t>
      </w:r>
      <w:r>
        <w:rPr>
          <w:spacing w:val="-3"/>
        </w:rPr>
        <w:t xml:space="preserve"> </w:t>
      </w:r>
      <w:r>
        <w:t>31</w:t>
      </w:r>
      <w:r>
        <w:rPr>
          <w:spacing w:val="-3"/>
        </w:rPr>
        <w:t xml:space="preserve"> </w:t>
      </w:r>
      <w:r>
        <w:t>were</w:t>
      </w:r>
      <w:r>
        <w:rPr>
          <w:spacing w:val="-4"/>
        </w:rPr>
        <w:t xml:space="preserve"> </w:t>
      </w:r>
      <w:r>
        <w:t>as follows (in millions):</w:t>
      </w:r>
    </w:p>
    <w:p w14:paraId="556206CF" w14:textId="77777777" w:rsidR="00AE2255" w:rsidRDefault="00AE2255">
      <w:pPr>
        <w:pStyle w:val="BodyText"/>
        <w:spacing w:before="3"/>
        <w:rPr>
          <w:sz w:val="7"/>
        </w:rPr>
      </w:pPr>
    </w:p>
    <w:tbl>
      <w:tblPr>
        <w:tblW w:w="0" w:type="auto"/>
        <w:tblInd w:w="617" w:type="dxa"/>
        <w:tblLayout w:type="fixed"/>
        <w:tblCellMar>
          <w:left w:w="0" w:type="dxa"/>
          <w:right w:w="0" w:type="dxa"/>
        </w:tblCellMar>
        <w:tblLook w:val="01E0" w:firstRow="1" w:lastRow="1" w:firstColumn="1" w:lastColumn="1" w:noHBand="0" w:noVBand="0"/>
      </w:tblPr>
      <w:tblGrid>
        <w:gridCol w:w="6044"/>
        <w:gridCol w:w="3178"/>
        <w:gridCol w:w="994"/>
      </w:tblGrid>
      <w:tr w:rsidR="00AE2255" w14:paraId="76FBC596" w14:textId="77777777">
        <w:trPr>
          <w:trHeight w:val="241"/>
        </w:trPr>
        <w:tc>
          <w:tcPr>
            <w:tcW w:w="6044" w:type="dxa"/>
            <w:tcBorders>
              <w:bottom w:val="single" w:sz="8" w:space="0" w:color="auto"/>
            </w:tcBorders>
          </w:tcPr>
          <w:p w14:paraId="2CAC27F0" w14:textId="77777777" w:rsidR="00AE2255" w:rsidRDefault="00AE2255">
            <w:pPr>
              <w:pStyle w:val="TableParagraph"/>
              <w:spacing w:before="0"/>
              <w:jc w:val="left"/>
              <w:rPr>
                <w:sz w:val="16"/>
              </w:rPr>
            </w:pPr>
          </w:p>
        </w:tc>
        <w:tc>
          <w:tcPr>
            <w:tcW w:w="3178" w:type="dxa"/>
            <w:tcBorders>
              <w:bottom w:val="single" w:sz="8" w:space="0" w:color="auto"/>
            </w:tcBorders>
          </w:tcPr>
          <w:p w14:paraId="6384FBE0" w14:textId="77777777" w:rsidR="00AE2255" w:rsidRDefault="00000000">
            <w:pPr>
              <w:pStyle w:val="TableParagraph"/>
              <w:spacing w:before="0" w:line="221" w:lineRule="exact"/>
              <w:ind w:right="107"/>
              <w:rPr>
                <w:b/>
                <w:sz w:val="20"/>
              </w:rPr>
            </w:pPr>
            <w:r>
              <w:rPr>
                <w:b/>
                <w:spacing w:val="-4"/>
                <w:sz w:val="20"/>
              </w:rPr>
              <w:t>2022</w:t>
            </w:r>
          </w:p>
        </w:tc>
        <w:tc>
          <w:tcPr>
            <w:tcW w:w="994" w:type="dxa"/>
            <w:tcBorders>
              <w:bottom w:val="single" w:sz="8" w:space="0" w:color="auto"/>
            </w:tcBorders>
          </w:tcPr>
          <w:p w14:paraId="7FBFAA78" w14:textId="77777777" w:rsidR="00AE2255" w:rsidRDefault="00000000">
            <w:pPr>
              <w:pStyle w:val="TableParagraph"/>
              <w:spacing w:before="0" w:line="221" w:lineRule="exact"/>
              <w:ind w:right="51"/>
              <w:rPr>
                <w:b/>
                <w:sz w:val="20"/>
              </w:rPr>
            </w:pPr>
            <w:r>
              <w:rPr>
                <w:b/>
                <w:spacing w:val="-4"/>
                <w:sz w:val="20"/>
              </w:rPr>
              <w:t>2021</w:t>
            </w:r>
          </w:p>
        </w:tc>
      </w:tr>
      <w:tr w:rsidR="00AE2255" w14:paraId="6FA18EB6" w14:textId="77777777">
        <w:trPr>
          <w:trHeight w:val="275"/>
        </w:trPr>
        <w:tc>
          <w:tcPr>
            <w:tcW w:w="6044" w:type="dxa"/>
            <w:tcBorders>
              <w:top w:val="single" w:sz="8" w:space="0" w:color="CCEDFF"/>
            </w:tcBorders>
            <w:shd w:val="clear" w:color="auto" w:fill="CCEDFF"/>
          </w:tcPr>
          <w:p w14:paraId="33D7FF68" w14:textId="77777777" w:rsidR="00AE2255" w:rsidRDefault="00000000">
            <w:pPr>
              <w:pStyle w:val="TableParagraph"/>
              <w:spacing w:before="17"/>
              <w:ind w:left="52"/>
              <w:jc w:val="left"/>
              <w:rPr>
                <w:sz w:val="20"/>
              </w:rPr>
            </w:pPr>
            <w:r>
              <w:rPr>
                <w:sz w:val="20"/>
              </w:rPr>
              <w:t>Deferred</w:t>
            </w:r>
            <w:r>
              <w:rPr>
                <w:spacing w:val="-5"/>
                <w:sz w:val="20"/>
              </w:rPr>
              <w:t xml:space="preserve"> </w:t>
            </w:r>
            <w:r>
              <w:rPr>
                <w:sz w:val="20"/>
              </w:rPr>
              <w:t>tax</w:t>
            </w:r>
            <w:r>
              <w:rPr>
                <w:spacing w:val="-4"/>
                <w:sz w:val="20"/>
              </w:rPr>
              <w:t xml:space="preserve"> </w:t>
            </w:r>
            <w:r>
              <w:rPr>
                <w:sz w:val="20"/>
              </w:rPr>
              <w:t>assets</w:t>
            </w:r>
            <w:r>
              <w:rPr>
                <w:spacing w:val="-4"/>
                <w:sz w:val="20"/>
              </w:rPr>
              <w:t xml:space="preserve"> </w:t>
            </w:r>
            <w:r>
              <w:rPr>
                <w:sz w:val="20"/>
              </w:rPr>
              <w:t>related</w:t>
            </w:r>
            <w:r>
              <w:rPr>
                <w:spacing w:val="-4"/>
                <w:sz w:val="20"/>
              </w:rPr>
              <w:t xml:space="preserve"> </w:t>
            </w:r>
            <w:r>
              <w:rPr>
                <w:spacing w:val="-5"/>
                <w:sz w:val="20"/>
              </w:rPr>
              <w:t>to:</w:t>
            </w:r>
          </w:p>
        </w:tc>
        <w:tc>
          <w:tcPr>
            <w:tcW w:w="3178" w:type="dxa"/>
            <w:tcBorders>
              <w:top w:val="single" w:sz="8" w:space="0" w:color="CCEDFF"/>
            </w:tcBorders>
            <w:shd w:val="clear" w:color="auto" w:fill="CCEDFF"/>
          </w:tcPr>
          <w:p w14:paraId="006E12A0" w14:textId="77777777" w:rsidR="00AE2255" w:rsidRDefault="00AE2255">
            <w:pPr>
              <w:pStyle w:val="TableParagraph"/>
              <w:spacing w:before="0"/>
              <w:jc w:val="left"/>
              <w:rPr>
                <w:sz w:val="18"/>
              </w:rPr>
            </w:pPr>
          </w:p>
        </w:tc>
        <w:tc>
          <w:tcPr>
            <w:tcW w:w="994" w:type="dxa"/>
            <w:tcBorders>
              <w:top w:val="single" w:sz="8" w:space="0" w:color="CCEDFF"/>
            </w:tcBorders>
            <w:shd w:val="clear" w:color="auto" w:fill="CCEDFF"/>
          </w:tcPr>
          <w:p w14:paraId="19CD2F70" w14:textId="77777777" w:rsidR="00AE2255" w:rsidRDefault="00AE2255">
            <w:pPr>
              <w:pStyle w:val="TableParagraph"/>
              <w:spacing w:before="0"/>
              <w:jc w:val="left"/>
              <w:rPr>
                <w:sz w:val="18"/>
              </w:rPr>
            </w:pPr>
          </w:p>
        </w:tc>
      </w:tr>
      <w:tr w:rsidR="00AE2255" w14:paraId="77B455D7" w14:textId="77777777">
        <w:trPr>
          <w:trHeight w:val="285"/>
        </w:trPr>
        <w:tc>
          <w:tcPr>
            <w:tcW w:w="6044" w:type="dxa"/>
          </w:tcPr>
          <w:p w14:paraId="23ECDC36" w14:textId="77777777" w:rsidR="00AE2255" w:rsidRDefault="00000000">
            <w:pPr>
              <w:pStyle w:val="TableParagraph"/>
              <w:spacing w:before="27"/>
              <w:ind w:left="187"/>
              <w:jc w:val="left"/>
              <w:rPr>
                <w:sz w:val="20"/>
              </w:rPr>
            </w:pPr>
            <w:r>
              <w:rPr>
                <w:spacing w:val="-2"/>
                <w:sz w:val="20"/>
              </w:rPr>
              <w:t>Pensions</w:t>
            </w:r>
          </w:p>
        </w:tc>
        <w:tc>
          <w:tcPr>
            <w:tcW w:w="3178" w:type="dxa"/>
          </w:tcPr>
          <w:p w14:paraId="50C8B7B1" w14:textId="77777777" w:rsidR="00AE2255" w:rsidRDefault="00000000">
            <w:pPr>
              <w:pStyle w:val="TableParagraph"/>
              <w:tabs>
                <w:tab w:val="left" w:pos="390"/>
              </w:tabs>
              <w:ind w:right="136"/>
              <w:rPr>
                <w:b/>
                <w:sz w:val="20"/>
              </w:rPr>
            </w:pPr>
            <w:r>
              <w:rPr>
                <w:b/>
                <w:spacing w:val="-10"/>
                <w:sz w:val="20"/>
              </w:rPr>
              <w:t>$</w:t>
            </w:r>
            <w:r>
              <w:rPr>
                <w:b/>
                <w:sz w:val="20"/>
              </w:rPr>
              <w:tab/>
            </w:r>
            <w:r>
              <w:rPr>
                <w:b/>
                <w:spacing w:val="-2"/>
                <w:sz w:val="20"/>
              </w:rPr>
              <w:t>1,340</w:t>
            </w:r>
          </w:p>
        </w:tc>
        <w:tc>
          <w:tcPr>
            <w:tcW w:w="994" w:type="dxa"/>
          </w:tcPr>
          <w:p w14:paraId="3F3BE45B" w14:textId="77777777" w:rsidR="00AE2255" w:rsidRDefault="00000000">
            <w:pPr>
              <w:pStyle w:val="TableParagraph"/>
              <w:tabs>
                <w:tab w:val="left" w:pos="390"/>
              </w:tabs>
              <w:ind w:right="80"/>
              <w:rPr>
                <w:sz w:val="20"/>
              </w:rPr>
            </w:pPr>
            <w:r>
              <w:rPr>
                <w:spacing w:val="-10"/>
                <w:sz w:val="20"/>
              </w:rPr>
              <w:t>$</w:t>
            </w:r>
            <w:r>
              <w:rPr>
                <w:sz w:val="20"/>
              </w:rPr>
              <w:tab/>
            </w:r>
            <w:r>
              <w:rPr>
                <w:spacing w:val="-2"/>
                <w:sz w:val="20"/>
              </w:rPr>
              <w:t>1,985</w:t>
            </w:r>
          </w:p>
        </w:tc>
      </w:tr>
      <w:tr w:rsidR="00AE2255" w14:paraId="3C4E6AD3" w14:textId="77777777">
        <w:trPr>
          <w:trHeight w:val="285"/>
        </w:trPr>
        <w:tc>
          <w:tcPr>
            <w:tcW w:w="6044" w:type="dxa"/>
            <w:shd w:val="clear" w:color="auto" w:fill="CCEDFF"/>
          </w:tcPr>
          <w:p w14:paraId="5C4E10B1" w14:textId="77777777" w:rsidR="00AE2255" w:rsidRDefault="00000000">
            <w:pPr>
              <w:pStyle w:val="TableParagraph"/>
              <w:spacing w:before="27"/>
              <w:ind w:left="187"/>
              <w:jc w:val="left"/>
              <w:rPr>
                <w:sz w:val="20"/>
              </w:rPr>
            </w:pPr>
            <w:r>
              <w:rPr>
                <w:sz w:val="20"/>
              </w:rPr>
              <w:t>Accrued</w:t>
            </w:r>
            <w:r>
              <w:rPr>
                <w:spacing w:val="-4"/>
                <w:sz w:val="20"/>
              </w:rPr>
              <w:t xml:space="preserve"> </w:t>
            </w:r>
            <w:r>
              <w:rPr>
                <w:sz w:val="20"/>
              </w:rPr>
              <w:t>compensation</w:t>
            </w:r>
            <w:r>
              <w:rPr>
                <w:spacing w:val="-4"/>
                <w:sz w:val="20"/>
              </w:rPr>
              <w:t xml:space="preserve"> </w:t>
            </w:r>
            <w:r>
              <w:rPr>
                <w:sz w:val="20"/>
              </w:rPr>
              <w:t>and</w:t>
            </w:r>
            <w:r>
              <w:rPr>
                <w:spacing w:val="-4"/>
                <w:sz w:val="20"/>
              </w:rPr>
              <w:t xml:space="preserve"> </w:t>
            </w:r>
            <w:r>
              <w:rPr>
                <w:spacing w:val="-2"/>
                <w:sz w:val="20"/>
              </w:rPr>
              <w:t>benefits</w:t>
            </w:r>
          </w:p>
        </w:tc>
        <w:tc>
          <w:tcPr>
            <w:tcW w:w="3178" w:type="dxa"/>
            <w:shd w:val="clear" w:color="auto" w:fill="CCEDFF"/>
          </w:tcPr>
          <w:p w14:paraId="39E32C3F" w14:textId="77777777" w:rsidR="00AE2255" w:rsidRDefault="00000000">
            <w:pPr>
              <w:pStyle w:val="TableParagraph"/>
              <w:ind w:right="136"/>
              <w:rPr>
                <w:b/>
                <w:sz w:val="20"/>
              </w:rPr>
            </w:pPr>
            <w:r>
              <w:rPr>
                <w:b/>
                <w:spacing w:val="-5"/>
                <w:sz w:val="20"/>
              </w:rPr>
              <w:t>718</w:t>
            </w:r>
          </w:p>
        </w:tc>
        <w:tc>
          <w:tcPr>
            <w:tcW w:w="994" w:type="dxa"/>
            <w:shd w:val="clear" w:color="auto" w:fill="CCEDFF"/>
          </w:tcPr>
          <w:p w14:paraId="5B252D79" w14:textId="77777777" w:rsidR="00AE2255" w:rsidRDefault="00000000">
            <w:pPr>
              <w:pStyle w:val="TableParagraph"/>
              <w:ind w:right="80"/>
              <w:rPr>
                <w:sz w:val="20"/>
              </w:rPr>
            </w:pPr>
            <w:r>
              <w:rPr>
                <w:spacing w:val="-5"/>
                <w:sz w:val="20"/>
              </w:rPr>
              <w:t>957</w:t>
            </w:r>
          </w:p>
        </w:tc>
      </w:tr>
      <w:tr w:rsidR="00AE2255" w14:paraId="1C9CF3BB" w14:textId="77777777">
        <w:trPr>
          <w:trHeight w:val="285"/>
        </w:trPr>
        <w:tc>
          <w:tcPr>
            <w:tcW w:w="6044" w:type="dxa"/>
          </w:tcPr>
          <w:p w14:paraId="276501C3" w14:textId="77777777" w:rsidR="00AE2255" w:rsidRDefault="00000000">
            <w:pPr>
              <w:pStyle w:val="TableParagraph"/>
              <w:spacing w:before="27"/>
              <w:ind w:left="187"/>
              <w:jc w:val="left"/>
              <w:rPr>
                <w:sz w:val="20"/>
              </w:rPr>
            </w:pPr>
            <w:r>
              <w:rPr>
                <w:sz w:val="20"/>
              </w:rPr>
              <w:t>Contract</w:t>
            </w:r>
            <w:r>
              <w:rPr>
                <w:spacing w:val="-6"/>
                <w:sz w:val="20"/>
              </w:rPr>
              <w:t xml:space="preserve"> </w:t>
            </w:r>
            <w:r>
              <w:rPr>
                <w:sz w:val="20"/>
              </w:rPr>
              <w:t>accounting</w:t>
            </w:r>
            <w:r>
              <w:rPr>
                <w:spacing w:val="-4"/>
                <w:sz w:val="20"/>
              </w:rPr>
              <w:t xml:space="preserve"> </w:t>
            </w:r>
            <w:r>
              <w:rPr>
                <w:spacing w:val="-2"/>
                <w:sz w:val="20"/>
              </w:rPr>
              <w:t>methods</w:t>
            </w:r>
          </w:p>
        </w:tc>
        <w:tc>
          <w:tcPr>
            <w:tcW w:w="3178" w:type="dxa"/>
          </w:tcPr>
          <w:p w14:paraId="690158E6" w14:textId="77777777" w:rsidR="00AE2255" w:rsidRDefault="00000000">
            <w:pPr>
              <w:pStyle w:val="TableParagraph"/>
              <w:ind w:right="136"/>
              <w:rPr>
                <w:b/>
                <w:sz w:val="20"/>
              </w:rPr>
            </w:pPr>
            <w:r>
              <w:rPr>
                <w:b/>
                <w:spacing w:val="-5"/>
                <w:sz w:val="20"/>
              </w:rPr>
              <w:t>510</w:t>
            </w:r>
          </w:p>
        </w:tc>
        <w:tc>
          <w:tcPr>
            <w:tcW w:w="994" w:type="dxa"/>
          </w:tcPr>
          <w:p w14:paraId="73BC5F32" w14:textId="77777777" w:rsidR="00AE2255" w:rsidRDefault="00000000">
            <w:pPr>
              <w:pStyle w:val="TableParagraph"/>
              <w:ind w:right="80"/>
              <w:rPr>
                <w:sz w:val="20"/>
              </w:rPr>
            </w:pPr>
            <w:r>
              <w:rPr>
                <w:spacing w:val="-5"/>
                <w:sz w:val="20"/>
              </w:rPr>
              <w:t>470</w:t>
            </w:r>
          </w:p>
        </w:tc>
      </w:tr>
      <w:tr w:rsidR="00AE2255" w14:paraId="1FC2717D" w14:textId="77777777">
        <w:trPr>
          <w:trHeight w:val="285"/>
        </w:trPr>
        <w:tc>
          <w:tcPr>
            <w:tcW w:w="6044" w:type="dxa"/>
            <w:shd w:val="clear" w:color="auto" w:fill="CCEDFF"/>
          </w:tcPr>
          <w:p w14:paraId="4C3F1C6F" w14:textId="77777777" w:rsidR="00AE2255" w:rsidRDefault="00000000">
            <w:pPr>
              <w:pStyle w:val="TableParagraph"/>
              <w:spacing w:before="27"/>
              <w:ind w:left="187"/>
              <w:jc w:val="left"/>
              <w:rPr>
                <w:sz w:val="20"/>
              </w:rPr>
            </w:pPr>
            <w:r>
              <w:rPr>
                <w:sz w:val="20"/>
              </w:rPr>
              <w:t>Research</w:t>
            </w:r>
            <w:r>
              <w:rPr>
                <w:spacing w:val="-5"/>
                <w:sz w:val="20"/>
              </w:rPr>
              <w:t xml:space="preserve"> </w:t>
            </w:r>
            <w:r>
              <w:rPr>
                <w:sz w:val="20"/>
              </w:rPr>
              <w:t>and</w:t>
            </w:r>
            <w:r>
              <w:rPr>
                <w:spacing w:val="-4"/>
                <w:sz w:val="20"/>
              </w:rPr>
              <w:t xml:space="preserve"> </w:t>
            </w:r>
            <w:r>
              <w:rPr>
                <w:sz w:val="20"/>
              </w:rPr>
              <w:t>development</w:t>
            </w:r>
            <w:r>
              <w:rPr>
                <w:spacing w:val="-4"/>
                <w:sz w:val="20"/>
              </w:rPr>
              <w:t xml:space="preserve"> </w:t>
            </w:r>
            <w:r>
              <w:rPr>
                <w:spacing w:val="-2"/>
                <w:sz w:val="20"/>
              </w:rPr>
              <w:t>expenditures</w:t>
            </w:r>
          </w:p>
        </w:tc>
        <w:tc>
          <w:tcPr>
            <w:tcW w:w="3178" w:type="dxa"/>
            <w:shd w:val="clear" w:color="auto" w:fill="CCEDFF"/>
          </w:tcPr>
          <w:p w14:paraId="2C329D73" w14:textId="77777777" w:rsidR="00AE2255" w:rsidRDefault="00000000">
            <w:pPr>
              <w:pStyle w:val="TableParagraph"/>
              <w:ind w:right="136"/>
              <w:rPr>
                <w:b/>
                <w:sz w:val="20"/>
              </w:rPr>
            </w:pPr>
            <w:r>
              <w:rPr>
                <w:b/>
                <w:spacing w:val="-2"/>
                <w:sz w:val="20"/>
              </w:rPr>
              <w:t>2,268</w:t>
            </w:r>
          </w:p>
        </w:tc>
        <w:tc>
          <w:tcPr>
            <w:tcW w:w="994" w:type="dxa"/>
            <w:shd w:val="clear" w:color="auto" w:fill="CCEDFF"/>
          </w:tcPr>
          <w:p w14:paraId="2CCF176D" w14:textId="77777777" w:rsidR="00AE2255" w:rsidRDefault="00000000">
            <w:pPr>
              <w:pStyle w:val="TableParagraph"/>
              <w:ind w:right="80"/>
              <w:rPr>
                <w:sz w:val="20"/>
              </w:rPr>
            </w:pPr>
            <w:r>
              <w:rPr>
                <w:sz w:val="20"/>
              </w:rPr>
              <w:t>—</w:t>
            </w:r>
          </w:p>
        </w:tc>
      </w:tr>
      <w:tr w:rsidR="00AE2255" w14:paraId="3AA249E0" w14:textId="77777777">
        <w:trPr>
          <w:trHeight w:val="285"/>
        </w:trPr>
        <w:tc>
          <w:tcPr>
            <w:tcW w:w="6044" w:type="dxa"/>
          </w:tcPr>
          <w:p w14:paraId="0188876E" w14:textId="77777777" w:rsidR="00AE2255" w:rsidRDefault="00000000">
            <w:pPr>
              <w:pStyle w:val="TableParagraph"/>
              <w:spacing w:before="27"/>
              <w:ind w:left="187"/>
              <w:jc w:val="left"/>
              <w:rPr>
                <w:sz w:val="20"/>
              </w:rPr>
            </w:pPr>
            <w:r>
              <w:rPr>
                <w:sz w:val="20"/>
              </w:rPr>
              <w:t>Foreign</w:t>
            </w:r>
            <w:r>
              <w:rPr>
                <w:spacing w:val="-4"/>
                <w:sz w:val="20"/>
              </w:rPr>
              <w:t xml:space="preserve"> </w:t>
            </w:r>
            <w:r>
              <w:rPr>
                <w:sz w:val="20"/>
              </w:rPr>
              <w:t>company</w:t>
            </w:r>
            <w:r>
              <w:rPr>
                <w:spacing w:val="-3"/>
                <w:sz w:val="20"/>
              </w:rPr>
              <w:t xml:space="preserve"> </w:t>
            </w:r>
            <w:r>
              <w:rPr>
                <w:sz w:val="20"/>
              </w:rPr>
              <w:t>operating</w:t>
            </w:r>
            <w:r>
              <w:rPr>
                <w:spacing w:val="-3"/>
                <w:sz w:val="20"/>
              </w:rPr>
              <w:t xml:space="preserve"> </w:t>
            </w:r>
            <w:r>
              <w:rPr>
                <w:sz w:val="20"/>
              </w:rPr>
              <w:t>losses</w:t>
            </w:r>
            <w:r>
              <w:rPr>
                <w:spacing w:val="-3"/>
                <w:sz w:val="20"/>
              </w:rPr>
              <w:t xml:space="preserve"> </w:t>
            </w:r>
            <w:r>
              <w:rPr>
                <w:sz w:val="20"/>
              </w:rPr>
              <w:t>and</w:t>
            </w:r>
            <w:r>
              <w:rPr>
                <w:spacing w:val="-3"/>
                <w:sz w:val="20"/>
              </w:rPr>
              <w:t xml:space="preserve"> </w:t>
            </w:r>
            <w:r>
              <w:rPr>
                <w:spacing w:val="-2"/>
                <w:sz w:val="20"/>
              </w:rPr>
              <w:t>credits</w:t>
            </w:r>
          </w:p>
        </w:tc>
        <w:tc>
          <w:tcPr>
            <w:tcW w:w="3178" w:type="dxa"/>
          </w:tcPr>
          <w:p w14:paraId="6DC03138" w14:textId="77777777" w:rsidR="00AE2255" w:rsidRDefault="00000000">
            <w:pPr>
              <w:pStyle w:val="TableParagraph"/>
              <w:ind w:right="136"/>
              <w:rPr>
                <w:b/>
                <w:sz w:val="20"/>
              </w:rPr>
            </w:pPr>
            <w:r>
              <w:rPr>
                <w:b/>
                <w:spacing w:val="-5"/>
                <w:sz w:val="20"/>
              </w:rPr>
              <w:t>20</w:t>
            </w:r>
          </w:p>
        </w:tc>
        <w:tc>
          <w:tcPr>
            <w:tcW w:w="994" w:type="dxa"/>
          </w:tcPr>
          <w:p w14:paraId="012D1C46" w14:textId="77777777" w:rsidR="00AE2255" w:rsidRDefault="00000000">
            <w:pPr>
              <w:pStyle w:val="TableParagraph"/>
              <w:ind w:right="80"/>
              <w:rPr>
                <w:sz w:val="20"/>
              </w:rPr>
            </w:pPr>
            <w:r>
              <w:rPr>
                <w:spacing w:val="-5"/>
                <w:sz w:val="20"/>
              </w:rPr>
              <w:t>40</w:t>
            </w:r>
          </w:p>
        </w:tc>
      </w:tr>
      <w:tr w:rsidR="00AE2255" w14:paraId="77C319A6" w14:textId="77777777">
        <w:trPr>
          <w:trHeight w:val="285"/>
        </w:trPr>
        <w:tc>
          <w:tcPr>
            <w:tcW w:w="6044" w:type="dxa"/>
            <w:shd w:val="clear" w:color="auto" w:fill="CCEDFF"/>
          </w:tcPr>
          <w:p w14:paraId="7EF8E2CD" w14:textId="77777777" w:rsidR="00AE2255" w:rsidRDefault="00000000">
            <w:pPr>
              <w:pStyle w:val="TableParagraph"/>
              <w:spacing w:before="27"/>
              <w:ind w:left="187"/>
              <w:jc w:val="left"/>
              <w:rPr>
                <w:sz w:val="20"/>
              </w:rPr>
            </w:pPr>
            <w:r>
              <w:rPr>
                <w:sz w:val="20"/>
              </w:rPr>
              <w:t>Other</w:t>
            </w:r>
            <w:r>
              <w:rPr>
                <w:spacing w:val="-3"/>
                <w:sz w:val="20"/>
              </w:rPr>
              <w:t xml:space="preserve"> </w:t>
            </w:r>
            <w:r>
              <w:rPr>
                <w:spacing w:val="-5"/>
                <w:sz w:val="20"/>
                <w:vertAlign w:val="superscript"/>
              </w:rPr>
              <w:t>(a)</w:t>
            </w:r>
          </w:p>
        </w:tc>
        <w:tc>
          <w:tcPr>
            <w:tcW w:w="3178" w:type="dxa"/>
            <w:shd w:val="clear" w:color="auto" w:fill="CCEDFF"/>
          </w:tcPr>
          <w:p w14:paraId="2D21C244" w14:textId="77777777" w:rsidR="00AE2255" w:rsidRDefault="00000000">
            <w:pPr>
              <w:pStyle w:val="TableParagraph"/>
              <w:ind w:right="136"/>
              <w:rPr>
                <w:b/>
                <w:sz w:val="20"/>
              </w:rPr>
            </w:pPr>
            <w:r>
              <w:rPr>
                <w:b/>
                <w:spacing w:val="-5"/>
                <w:sz w:val="20"/>
              </w:rPr>
              <w:t>471</w:t>
            </w:r>
          </w:p>
        </w:tc>
        <w:tc>
          <w:tcPr>
            <w:tcW w:w="994" w:type="dxa"/>
            <w:shd w:val="clear" w:color="auto" w:fill="CCEDFF"/>
          </w:tcPr>
          <w:p w14:paraId="032684D9" w14:textId="77777777" w:rsidR="00AE2255" w:rsidRDefault="00000000">
            <w:pPr>
              <w:pStyle w:val="TableParagraph"/>
              <w:ind w:right="80"/>
              <w:rPr>
                <w:sz w:val="20"/>
              </w:rPr>
            </w:pPr>
            <w:r>
              <w:rPr>
                <w:spacing w:val="-5"/>
                <w:sz w:val="20"/>
              </w:rPr>
              <w:t>473</w:t>
            </w:r>
          </w:p>
        </w:tc>
      </w:tr>
      <w:tr w:rsidR="00AE2255" w14:paraId="52DEC5BF" w14:textId="77777777">
        <w:trPr>
          <w:trHeight w:val="275"/>
        </w:trPr>
        <w:tc>
          <w:tcPr>
            <w:tcW w:w="6044" w:type="dxa"/>
            <w:tcBorders>
              <w:bottom w:val="single" w:sz="8" w:space="0" w:color="auto"/>
            </w:tcBorders>
          </w:tcPr>
          <w:p w14:paraId="12BBE494" w14:textId="77777777" w:rsidR="00AE2255" w:rsidRDefault="00000000">
            <w:pPr>
              <w:pStyle w:val="TableParagraph"/>
              <w:spacing w:before="27" w:line="228" w:lineRule="exact"/>
              <w:ind w:left="187"/>
              <w:jc w:val="left"/>
              <w:rPr>
                <w:sz w:val="20"/>
              </w:rPr>
            </w:pPr>
            <w:r>
              <w:rPr>
                <w:sz w:val="20"/>
              </w:rPr>
              <w:t>Valuation</w:t>
            </w:r>
            <w:r>
              <w:rPr>
                <w:spacing w:val="-6"/>
                <w:sz w:val="20"/>
              </w:rPr>
              <w:t xml:space="preserve"> </w:t>
            </w:r>
            <w:r>
              <w:rPr>
                <w:spacing w:val="-2"/>
                <w:sz w:val="20"/>
              </w:rPr>
              <w:t>allowance</w:t>
            </w:r>
          </w:p>
        </w:tc>
        <w:tc>
          <w:tcPr>
            <w:tcW w:w="3178" w:type="dxa"/>
            <w:tcBorders>
              <w:bottom w:val="single" w:sz="8" w:space="0" w:color="auto"/>
            </w:tcBorders>
          </w:tcPr>
          <w:p w14:paraId="4D3CC221" w14:textId="77777777" w:rsidR="00AE2255" w:rsidRDefault="00000000">
            <w:pPr>
              <w:pStyle w:val="TableParagraph"/>
              <w:spacing w:line="230" w:lineRule="exact"/>
              <w:ind w:right="71"/>
              <w:rPr>
                <w:b/>
                <w:sz w:val="20"/>
              </w:rPr>
            </w:pPr>
            <w:r>
              <w:rPr>
                <w:b/>
                <w:spacing w:val="-4"/>
                <w:sz w:val="20"/>
              </w:rPr>
              <w:t>(31)</w:t>
            </w:r>
          </w:p>
        </w:tc>
        <w:tc>
          <w:tcPr>
            <w:tcW w:w="994" w:type="dxa"/>
            <w:tcBorders>
              <w:bottom w:val="single" w:sz="8" w:space="0" w:color="auto"/>
            </w:tcBorders>
          </w:tcPr>
          <w:p w14:paraId="2EF046F4" w14:textId="77777777" w:rsidR="00AE2255" w:rsidRDefault="00000000">
            <w:pPr>
              <w:pStyle w:val="TableParagraph"/>
              <w:spacing w:line="230" w:lineRule="exact"/>
              <w:ind w:right="15"/>
              <w:rPr>
                <w:sz w:val="20"/>
              </w:rPr>
            </w:pPr>
            <w:r>
              <w:rPr>
                <w:spacing w:val="-4"/>
                <w:sz w:val="20"/>
              </w:rPr>
              <w:t>(15)</w:t>
            </w:r>
          </w:p>
        </w:tc>
      </w:tr>
      <w:tr w:rsidR="00AE2255" w14:paraId="4D2A35DE" w14:textId="77777777">
        <w:trPr>
          <w:trHeight w:val="265"/>
        </w:trPr>
        <w:tc>
          <w:tcPr>
            <w:tcW w:w="6044" w:type="dxa"/>
            <w:tcBorders>
              <w:top w:val="single" w:sz="8" w:space="0" w:color="CCEDFF"/>
              <w:bottom w:val="single" w:sz="8" w:space="0" w:color="CCEDFF"/>
            </w:tcBorders>
            <w:shd w:val="clear" w:color="auto" w:fill="CCEDFF"/>
          </w:tcPr>
          <w:p w14:paraId="475518B0" w14:textId="77777777" w:rsidR="00AE2255" w:rsidRDefault="00000000">
            <w:pPr>
              <w:pStyle w:val="TableParagraph"/>
              <w:spacing w:before="17" w:line="228" w:lineRule="exact"/>
              <w:ind w:left="52"/>
              <w:jc w:val="left"/>
              <w:rPr>
                <w:sz w:val="20"/>
              </w:rPr>
            </w:pPr>
            <w:r>
              <w:rPr>
                <w:sz w:val="20"/>
              </w:rPr>
              <w:t>Deferred</w:t>
            </w:r>
            <w:r>
              <w:rPr>
                <w:spacing w:val="-4"/>
                <w:sz w:val="20"/>
              </w:rPr>
              <w:t xml:space="preserve"> </w:t>
            </w:r>
            <w:r>
              <w:rPr>
                <w:sz w:val="20"/>
              </w:rPr>
              <w:t>tax</w:t>
            </w:r>
            <w:r>
              <w:rPr>
                <w:spacing w:val="-4"/>
                <w:sz w:val="20"/>
              </w:rPr>
              <w:t xml:space="preserve"> </w:t>
            </w:r>
            <w:r>
              <w:rPr>
                <w:sz w:val="20"/>
              </w:rPr>
              <w:t>assets,</w:t>
            </w:r>
            <w:r>
              <w:rPr>
                <w:spacing w:val="-4"/>
                <w:sz w:val="20"/>
              </w:rPr>
              <w:t xml:space="preserve"> </w:t>
            </w:r>
            <w:r>
              <w:rPr>
                <w:spacing w:val="-5"/>
                <w:sz w:val="20"/>
              </w:rPr>
              <w:t>net</w:t>
            </w:r>
          </w:p>
        </w:tc>
        <w:tc>
          <w:tcPr>
            <w:tcW w:w="3178" w:type="dxa"/>
            <w:tcBorders>
              <w:top w:val="single" w:sz="8" w:space="0" w:color="CCEDFF"/>
              <w:bottom w:val="single" w:sz="8" w:space="0" w:color="CCEDFF"/>
            </w:tcBorders>
            <w:shd w:val="clear" w:color="auto" w:fill="CCEDFF"/>
          </w:tcPr>
          <w:p w14:paraId="26A0EBC9" w14:textId="77777777" w:rsidR="00AE2255" w:rsidRDefault="00000000">
            <w:pPr>
              <w:pStyle w:val="TableParagraph"/>
              <w:spacing w:before="15" w:line="230" w:lineRule="exact"/>
              <w:ind w:right="136"/>
              <w:rPr>
                <w:b/>
                <w:sz w:val="20"/>
              </w:rPr>
            </w:pPr>
            <w:r>
              <w:rPr>
                <w:b/>
                <w:spacing w:val="-2"/>
                <w:sz w:val="20"/>
              </w:rPr>
              <w:t>5,296</w:t>
            </w:r>
          </w:p>
        </w:tc>
        <w:tc>
          <w:tcPr>
            <w:tcW w:w="994" w:type="dxa"/>
            <w:tcBorders>
              <w:top w:val="single" w:sz="8" w:space="0" w:color="CCEDFF"/>
              <w:bottom w:val="single" w:sz="8" w:space="0" w:color="CCEDFF"/>
            </w:tcBorders>
            <w:shd w:val="clear" w:color="auto" w:fill="CCEDFF"/>
          </w:tcPr>
          <w:p w14:paraId="06823B51" w14:textId="77777777" w:rsidR="00AE2255" w:rsidRDefault="00000000">
            <w:pPr>
              <w:pStyle w:val="TableParagraph"/>
              <w:spacing w:before="15" w:line="230" w:lineRule="exact"/>
              <w:ind w:right="80"/>
              <w:rPr>
                <w:sz w:val="20"/>
              </w:rPr>
            </w:pPr>
            <w:r>
              <w:rPr>
                <w:spacing w:val="-2"/>
                <w:sz w:val="20"/>
              </w:rPr>
              <w:t>3,910</w:t>
            </w:r>
          </w:p>
        </w:tc>
      </w:tr>
      <w:tr w:rsidR="00AE2255" w14:paraId="6FE34852" w14:textId="77777777">
        <w:trPr>
          <w:trHeight w:val="275"/>
        </w:trPr>
        <w:tc>
          <w:tcPr>
            <w:tcW w:w="6044" w:type="dxa"/>
            <w:tcBorders>
              <w:top w:val="single" w:sz="8" w:space="0" w:color="auto"/>
            </w:tcBorders>
          </w:tcPr>
          <w:p w14:paraId="67615C43" w14:textId="77777777" w:rsidR="00AE2255" w:rsidRDefault="00000000">
            <w:pPr>
              <w:pStyle w:val="TableParagraph"/>
              <w:spacing w:before="17"/>
              <w:ind w:left="52"/>
              <w:jc w:val="left"/>
              <w:rPr>
                <w:sz w:val="20"/>
              </w:rPr>
            </w:pPr>
            <w:r>
              <w:rPr>
                <w:sz w:val="20"/>
              </w:rPr>
              <w:t>Deferred</w:t>
            </w:r>
            <w:r>
              <w:rPr>
                <w:spacing w:val="-6"/>
                <w:sz w:val="20"/>
              </w:rPr>
              <w:t xml:space="preserve"> </w:t>
            </w:r>
            <w:r>
              <w:rPr>
                <w:sz w:val="20"/>
              </w:rPr>
              <w:t>tax</w:t>
            </w:r>
            <w:r>
              <w:rPr>
                <w:spacing w:val="-5"/>
                <w:sz w:val="20"/>
              </w:rPr>
              <w:t xml:space="preserve"> </w:t>
            </w:r>
            <w:r>
              <w:rPr>
                <w:sz w:val="20"/>
              </w:rPr>
              <w:t>liabilities</w:t>
            </w:r>
            <w:r>
              <w:rPr>
                <w:spacing w:val="-5"/>
                <w:sz w:val="20"/>
              </w:rPr>
              <w:t xml:space="preserve"> </w:t>
            </w:r>
            <w:r>
              <w:rPr>
                <w:sz w:val="20"/>
              </w:rPr>
              <w:t>related</w:t>
            </w:r>
            <w:r>
              <w:rPr>
                <w:spacing w:val="-5"/>
                <w:sz w:val="20"/>
              </w:rPr>
              <w:t xml:space="preserve"> to:</w:t>
            </w:r>
          </w:p>
        </w:tc>
        <w:tc>
          <w:tcPr>
            <w:tcW w:w="3178" w:type="dxa"/>
            <w:tcBorders>
              <w:top w:val="single" w:sz="8" w:space="0" w:color="auto"/>
            </w:tcBorders>
          </w:tcPr>
          <w:p w14:paraId="1D1D75A5" w14:textId="77777777" w:rsidR="00AE2255" w:rsidRDefault="00AE2255">
            <w:pPr>
              <w:pStyle w:val="TableParagraph"/>
              <w:spacing w:before="0"/>
              <w:jc w:val="left"/>
              <w:rPr>
                <w:sz w:val="18"/>
              </w:rPr>
            </w:pPr>
          </w:p>
        </w:tc>
        <w:tc>
          <w:tcPr>
            <w:tcW w:w="994" w:type="dxa"/>
            <w:tcBorders>
              <w:top w:val="single" w:sz="8" w:space="0" w:color="auto"/>
            </w:tcBorders>
          </w:tcPr>
          <w:p w14:paraId="0E3705B9" w14:textId="77777777" w:rsidR="00AE2255" w:rsidRDefault="00AE2255">
            <w:pPr>
              <w:pStyle w:val="TableParagraph"/>
              <w:spacing w:before="0"/>
              <w:jc w:val="left"/>
              <w:rPr>
                <w:sz w:val="18"/>
              </w:rPr>
            </w:pPr>
          </w:p>
        </w:tc>
      </w:tr>
      <w:tr w:rsidR="00AE2255" w14:paraId="094569D7" w14:textId="77777777">
        <w:trPr>
          <w:trHeight w:val="285"/>
        </w:trPr>
        <w:tc>
          <w:tcPr>
            <w:tcW w:w="6044" w:type="dxa"/>
            <w:shd w:val="clear" w:color="auto" w:fill="CCEDFF"/>
          </w:tcPr>
          <w:p w14:paraId="7D5A61E1" w14:textId="77777777" w:rsidR="00AE2255" w:rsidRDefault="00000000">
            <w:pPr>
              <w:pStyle w:val="TableParagraph"/>
              <w:spacing w:before="27"/>
              <w:ind w:left="187"/>
              <w:jc w:val="left"/>
              <w:rPr>
                <w:sz w:val="20"/>
              </w:rPr>
            </w:pPr>
            <w:r>
              <w:rPr>
                <w:sz w:val="20"/>
              </w:rPr>
              <w:t>Goodwill</w:t>
            </w:r>
            <w:r>
              <w:rPr>
                <w:spacing w:val="-5"/>
                <w:sz w:val="20"/>
              </w:rPr>
              <w:t xml:space="preserve"> </w:t>
            </w:r>
            <w:r>
              <w:rPr>
                <w:sz w:val="20"/>
              </w:rPr>
              <w:t>and</w:t>
            </w:r>
            <w:r>
              <w:rPr>
                <w:spacing w:val="-3"/>
                <w:sz w:val="20"/>
              </w:rPr>
              <w:t xml:space="preserve"> </w:t>
            </w:r>
            <w:r>
              <w:rPr>
                <w:sz w:val="20"/>
              </w:rPr>
              <w:t>intangible</w:t>
            </w:r>
            <w:r>
              <w:rPr>
                <w:spacing w:val="-4"/>
                <w:sz w:val="20"/>
              </w:rPr>
              <w:t xml:space="preserve"> </w:t>
            </w:r>
            <w:r>
              <w:rPr>
                <w:spacing w:val="-2"/>
                <w:sz w:val="20"/>
              </w:rPr>
              <w:t>assets</w:t>
            </w:r>
          </w:p>
        </w:tc>
        <w:tc>
          <w:tcPr>
            <w:tcW w:w="3178" w:type="dxa"/>
            <w:shd w:val="clear" w:color="auto" w:fill="CCEDFF"/>
          </w:tcPr>
          <w:p w14:paraId="0F69EAC1" w14:textId="77777777" w:rsidR="00AE2255" w:rsidRDefault="00000000">
            <w:pPr>
              <w:pStyle w:val="TableParagraph"/>
              <w:ind w:right="136"/>
              <w:rPr>
                <w:b/>
                <w:sz w:val="20"/>
              </w:rPr>
            </w:pPr>
            <w:r>
              <w:rPr>
                <w:b/>
                <w:spacing w:val="-5"/>
                <w:sz w:val="20"/>
              </w:rPr>
              <w:t>449</w:t>
            </w:r>
          </w:p>
        </w:tc>
        <w:tc>
          <w:tcPr>
            <w:tcW w:w="994" w:type="dxa"/>
            <w:shd w:val="clear" w:color="auto" w:fill="CCEDFF"/>
          </w:tcPr>
          <w:p w14:paraId="6D5FA4E2" w14:textId="77777777" w:rsidR="00AE2255" w:rsidRDefault="00000000">
            <w:pPr>
              <w:pStyle w:val="TableParagraph"/>
              <w:ind w:right="80"/>
              <w:rPr>
                <w:sz w:val="20"/>
              </w:rPr>
            </w:pPr>
            <w:r>
              <w:rPr>
                <w:spacing w:val="-5"/>
                <w:sz w:val="20"/>
              </w:rPr>
              <w:t>401</w:t>
            </w:r>
          </w:p>
        </w:tc>
      </w:tr>
      <w:tr w:rsidR="00AE2255" w14:paraId="7D5D9215" w14:textId="77777777">
        <w:trPr>
          <w:trHeight w:val="285"/>
        </w:trPr>
        <w:tc>
          <w:tcPr>
            <w:tcW w:w="6044" w:type="dxa"/>
          </w:tcPr>
          <w:p w14:paraId="46FA1AC5" w14:textId="77777777" w:rsidR="00AE2255" w:rsidRDefault="00000000">
            <w:pPr>
              <w:pStyle w:val="TableParagraph"/>
              <w:spacing w:before="27"/>
              <w:ind w:left="187"/>
              <w:jc w:val="left"/>
              <w:rPr>
                <w:sz w:val="20"/>
              </w:rPr>
            </w:pPr>
            <w:r>
              <w:rPr>
                <w:sz w:val="20"/>
              </w:rPr>
              <w:t>Property,</w:t>
            </w:r>
            <w:r>
              <w:rPr>
                <w:spacing w:val="-3"/>
                <w:sz w:val="20"/>
              </w:rPr>
              <w:t xml:space="preserve"> </w:t>
            </w:r>
            <w:proofErr w:type="gramStart"/>
            <w:r>
              <w:rPr>
                <w:sz w:val="20"/>
              </w:rPr>
              <w:t>plant</w:t>
            </w:r>
            <w:proofErr w:type="gramEnd"/>
            <w:r>
              <w:rPr>
                <w:spacing w:val="-2"/>
                <w:sz w:val="20"/>
              </w:rPr>
              <w:t xml:space="preserve"> </w:t>
            </w:r>
            <w:r>
              <w:rPr>
                <w:sz w:val="20"/>
              </w:rPr>
              <w:t>and</w:t>
            </w:r>
            <w:r>
              <w:rPr>
                <w:spacing w:val="-2"/>
                <w:sz w:val="20"/>
              </w:rPr>
              <w:t xml:space="preserve"> equipment</w:t>
            </w:r>
          </w:p>
        </w:tc>
        <w:tc>
          <w:tcPr>
            <w:tcW w:w="3178" w:type="dxa"/>
          </w:tcPr>
          <w:p w14:paraId="03E1E437" w14:textId="77777777" w:rsidR="00AE2255" w:rsidRDefault="00000000">
            <w:pPr>
              <w:pStyle w:val="TableParagraph"/>
              <w:ind w:right="136"/>
              <w:rPr>
                <w:b/>
                <w:sz w:val="20"/>
              </w:rPr>
            </w:pPr>
            <w:r>
              <w:rPr>
                <w:b/>
                <w:spacing w:val="-5"/>
                <w:sz w:val="20"/>
              </w:rPr>
              <w:t>503</w:t>
            </w:r>
          </w:p>
        </w:tc>
        <w:tc>
          <w:tcPr>
            <w:tcW w:w="994" w:type="dxa"/>
          </w:tcPr>
          <w:p w14:paraId="0BFCD3FF" w14:textId="77777777" w:rsidR="00AE2255" w:rsidRDefault="00000000">
            <w:pPr>
              <w:pStyle w:val="TableParagraph"/>
              <w:ind w:right="80"/>
              <w:rPr>
                <w:sz w:val="20"/>
              </w:rPr>
            </w:pPr>
            <w:r>
              <w:rPr>
                <w:spacing w:val="-5"/>
                <w:sz w:val="20"/>
              </w:rPr>
              <w:t>518</w:t>
            </w:r>
          </w:p>
        </w:tc>
      </w:tr>
      <w:tr w:rsidR="00AE2255" w14:paraId="4DABCC10" w14:textId="77777777">
        <w:trPr>
          <w:trHeight w:val="275"/>
        </w:trPr>
        <w:tc>
          <w:tcPr>
            <w:tcW w:w="6044" w:type="dxa"/>
            <w:tcBorders>
              <w:bottom w:val="single" w:sz="8" w:space="0" w:color="CCEDFF"/>
            </w:tcBorders>
            <w:shd w:val="clear" w:color="auto" w:fill="CCEDFF"/>
          </w:tcPr>
          <w:p w14:paraId="09BA3588" w14:textId="77777777" w:rsidR="00AE2255" w:rsidRDefault="00000000">
            <w:pPr>
              <w:pStyle w:val="TableParagraph"/>
              <w:spacing w:before="27" w:line="228" w:lineRule="exact"/>
              <w:ind w:left="187"/>
              <w:jc w:val="left"/>
              <w:rPr>
                <w:sz w:val="20"/>
              </w:rPr>
            </w:pPr>
            <w:r>
              <w:rPr>
                <w:sz w:val="20"/>
              </w:rPr>
              <w:t>Exchanged</w:t>
            </w:r>
            <w:r>
              <w:rPr>
                <w:spacing w:val="-4"/>
                <w:sz w:val="20"/>
              </w:rPr>
              <w:t xml:space="preserve"> </w:t>
            </w:r>
            <w:r>
              <w:rPr>
                <w:sz w:val="20"/>
              </w:rPr>
              <w:t>debt</w:t>
            </w:r>
            <w:r>
              <w:rPr>
                <w:spacing w:val="-3"/>
                <w:sz w:val="20"/>
              </w:rPr>
              <w:t xml:space="preserve"> </w:t>
            </w:r>
            <w:r>
              <w:rPr>
                <w:sz w:val="20"/>
              </w:rPr>
              <w:t>securities</w:t>
            </w:r>
            <w:r>
              <w:rPr>
                <w:spacing w:val="-4"/>
                <w:sz w:val="20"/>
              </w:rPr>
              <w:t xml:space="preserve"> </w:t>
            </w:r>
            <w:r>
              <w:rPr>
                <w:sz w:val="20"/>
              </w:rPr>
              <w:t>and</w:t>
            </w:r>
            <w:r>
              <w:rPr>
                <w:spacing w:val="-3"/>
                <w:sz w:val="20"/>
              </w:rPr>
              <w:t xml:space="preserve"> </w:t>
            </w:r>
            <w:r>
              <w:rPr>
                <w:sz w:val="20"/>
              </w:rPr>
              <w:t>other</w:t>
            </w:r>
            <w:r>
              <w:rPr>
                <w:spacing w:val="-3"/>
                <w:sz w:val="20"/>
              </w:rPr>
              <w:t xml:space="preserve"> </w:t>
            </w:r>
            <w:r>
              <w:rPr>
                <w:spacing w:val="-5"/>
                <w:sz w:val="20"/>
                <w:vertAlign w:val="superscript"/>
              </w:rPr>
              <w:t>(a)</w:t>
            </w:r>
          </w:p>
        </w:tc>
        <w:tc>
          <w:tcPr>
            <w:tcW w:w="3178" w:type="dxa"/>
            <w:tcBorders>
              <w:bottom w:val="single" w:sz="8" w:space="0" w:color="CCEDFF"/>
            </w:tcBorders>
            <w:shd w:val="clear" w:color="auto" w:fill="CCEDFF"/>
          </w:tcPr>
          <w:p w14:paraId="47A4464C" w14:textId="77777777" w:rsidR="00AE2255" w:rsidRDefault="00000000">
            <w:pPr>
              <w:pStyle w:val="TableParagraph"/>
              <w:spacing w:line="230" w:lineRule="exact"/>
              <w:ind w:right="136"/>
              <w:rPr>
                <w:b/>
                <w:sz w:val="20"/>
              </w:rPr>
            </w:pPr>
            <w:r>
              <w:rPr>
                <w:b/>
                <w:spacing w:val="-5"/>
                <w:sz w:val="20"/>
              </w:rPr>
              <w:t>605</w:t>
            </w:r>
          </w:p>
        </w:tc>
        <w:tc>
          <w:tcPr>
            <w:tcW w:w="994" w:type="dxa"/>
            <w:tcBorders>
              <w:bottom w:val="single" w:sz="8" w:space="0" w:color="CCEDFF"/>
            </w:tcBorders>
            <w:shd w:val="clear" w:color="auto" w:fill="CCEDFF"/>
          </w:tcPr>
          <w:p w14:paraId="0429ABAD" w14:textId="77777777" w:rsidR="00AE2255" w:rsidRDefault="00000000">
            <w:pPr>
              <w:pStyle w:val="TableParagraph"/>
              <w:spacing w:line="230" w:lineRule="exact"/>
              <w:ind w:right="80"/>
              <w:rPr>
                <w:sz w:val="20"/>
              </w:rPr>
            </w:pPr>
            <w:r>
              <w:rPr>
                <w:spacing w:val="-5"/>
                <w:sz w:val="20"/>
              </w:rPr>
              <w:t>709</w:t>
            </w:r>
          </w:p>
        </w:tc>
      </w:tr>
      <w:tr w:rsidR="00AE2255" w14:paraId="6634EB30" w14:textId="77777777">
        <w:trPr>
          <w:trHeight w:val="265"/>
        </w:trPr>
        <w:tc>
          <w:tcPr>
            <w:tcW w:w="6044" w:type="dxa"/>
            <w:tcBorders>
              <w:top w:val="single" w:sz="8" w:space="0" w:color="auto"/>
              <w:bottom w:val="single" w:sz="8" w:space="0" w:color="auto"/>
            </w:tcBorders>
          </w:tcPr>
          <w:p w14:paraId="52C04ED7" w14:textId="77777777" w:rsidR="00AE2255" w:rsidRDefault="00000000">
            <w:pPr>
              <w:pStyle w:val="TableParagraph"/>
              <w:spacing w:before="17" w:line="228" w:lineRule="exact"/>
              <w:ind w:left="52"/>
              <w:jc w:val="left"/>
              <w:rPr>
                <w:sz w:val="20"/>
              </w:rPr>
            </w:pPr>
            <w:r>
              <w:rPr>
                <w:sz w:val="20"/>
              </w:rPr>
              <w:t>Deferred</w:t>
            </w:r>
            <w:r>
              <w:rPr>
                <w:spacing w:val="-3"/>
                <w:sz w:val="20"/>
              </w:rPr>
              <w:t xml:space="preserve"> </w:t>
            </w:r>
            <w:r>
              <w:rPr>
                <w:sz w:val="20"/>
              </w:rPr>
              <w:t>tax</w:t>
            </w:r>
            <w:r>
              <w:rPr>
                <w:spacing w:val="-3"/>
                <w:sz w:val="20"/>
              </w:rPr>
              <w:t xml:space="preserve"> </w:t>
            </w:r>
            <w:r>
              <w:rPr>
                <w:spacing w:val="-2"/>
                <w:sz w:val="20"/>
              </w:rPr>
              <w:t>liabilities</w:t>
            </w:r>
          </w:p>
        </w:tc>
        <w:tc>
          <w:tcPr>
            <w:tcW w:w="3178" w:type="dxa"/>
            <w:tcBorders>
              <w:top w:val="single" w:sz="8" w:space="0" w:color="auto"/>
              <w:bottom w:val="single" w:sz="8" w:space="0" w:color="auto"/>
            </w:tcBorders>
          </w:tcPr>
          <w:p w14:paraId="369D5D75" w14:textId="77777777" w:rsidR="00AE2255" w:rsidRDefault="00000000">
            <w:pPr>
              <w:pStyle w:val="TableParagraph"/>
              <w:spacing w:before="15" w:line="230" w:lineRule="exact"/>
              <w:ind w:right="136"/>
              <w:rPr>
                <w:b/>
                <w:sz w:val="20"/>
              </w:rPr>
            </w:pPr>
            <w:r>
              <w:rPr>
                <w:b/>
                <w:spacing w:val="-2"/>
                <w:sz w:val="20"/>
              </w:rPr>
              <w:t>1,557</w:t>
            </w:r>
          </w:p>
        </w:tc>
        <w:tc>
          <w:tcPr>
            <w:tcW w:w="994" w:type="dxa"/>
            <w:tcBorders>
              <w:top w:val="single" w:sz="8" w:space="0" w:color="auto"/>
              <w:bottom w:val="single" w:sz="8" w:space="0" w:color="auto"/>
            </w:tcBorders>
          </w:tcPr>
          <w:p w14:paraId="4E1712B1" w14:textId="77777777" w:rsidR="00AE2255" w:rsidRDefault="00000000">
            <w:pPr>
              <w:pStyle w:val="TableParagraph"/>
              <w:spacing w:before="15" w:line="230" w:lineRule="exact"/>
              <w:ind w:right="80"/>
              <w:rPr>
                <w:sz w:val="20"/>
              </w:rPr>
            </w:pPr>
            <w:r>
              <w:rPr>
                <w:spacing w:val="-2"/>
                <w:sz w:val="20"/>
              </w:rPr>
              <w:t>1,628</w:t>
            </w:r>
          </w:p>
        </w:tc>
      </w:tr>
      <w:tr w:rsidR="00AE2255" w14:paraId="6F07B940" w14:textId="77777777">
        <w:trPr>
          <w:trHeight w:val="252"/>
        </w:trPr>
        <w:tc>
          <w:tcPr>
            <w:tcW w:w="6044" w:type="dxa"/>
            <w:tcBorders>
              <w:top w:val="single" w:sz="8" w:space="0" w:color="CCEDFF"/>
              <w:bottom w:val="single" w:sz="18" w:space="0" w:color="CCEDFF"/>
            </w:tcBorders>
            <w:shd w:val="clear" w:color="auto" w:fill="CCEDFF"/>
          </w:tcPr>
          <w:p w14:paraId="172F76F1" w14:textId="77777777" w:rsidR="00AE2255" w:rsidRDefault="00000000">
            <w:pPr>
              <w:pStyle w:val="TableParagraph"/>
              <w:spacing w:before="17" w:line="216" w:lineRule="exact"/>
              <w:ind w:left="52"/>
              <w:jc w:val="left"/>
              <w:rPr>
                <w:sz w:val="20"/>
              </w:rPr>
            </w:pPr>
            <w:r>
              <w:rPr>
                <w:sz w:val="20"/>
              </w:rPr>
              <w:t>Net</w:t>
            </w:r>
            <w:r>
              <w:rPr>
                <w:spacing w:val="-4"/>
                <w:sz w:val="20"/>
              </w:rPr>
              <w:t xml:space="preserve"> </w:t>
            </w:r>
            <w:r>
              <w:rPr>
                <w:sz w:val="20"/>
              </w:rPr>
              <w:t>deferred</w:t>
            </w:r>
            <w:r>
              <w:rPr>
                <w:spacing w:val="-2"/>
                <w:sz w:val="20"/>
              </w:rPr>
              <w:t xml:space="preserve"> </w:t>
            </w:r>
            <w:r>
              <w:rPr>
                <w:sz w:val="20"/>
              </w:rPr>
              <w:t>tax</w:t>
            </w:r>
            <w:r>
              <w:rPr>
                <w:spacing w:val="-2"/>
                <w:sz w:val="20"/>
              </w:rPr>
              <w:t xml:space="preserve"> assets</w:t>
            </w:r>
          </w:p>
        </w:tc>
        <w:tc>
          <w:tcPr>
            <w:tcW w:w="3178" w:type="dxa"/>
            <w:tcBorders>
              <w:top w:val="single" w:sz="8" w:space="0" w:color="CCEDFF"/>
              <w:bottom w:val="single" w:sz="18" w:space="0" w:color="CCEDFF"/>
            </w:tcBorders>
            <w:shd w:val="clear" w:color="auto" w:fill="CCEDFF"/>
          </w:tcPr>
          <w:p w14:paraId="12F2C19D" w14:textId="77777777" w:rsidR="00AE2255" w:rsidRDefault="00000000">
            <w:pPr>
              <w:pStyle w:val="TableParagraph"/>
              <w:tabs>
                <w:tab w:val="left" w:pos="390"/>
              </w:tabs>
              <w:spacing w:before="15" w:line="217" w:lineRule="exact"/>
              <w:ind w:right="136"/>
              <w:rPr>
                <w:b/>
                <w:sz w:val="20"/>
              </w:rPr>
            </w:pPr>
            <w:r>
              <w:rPr>
                <w:b/>
                <w:spacing w:val="-10"/>
                <w:sz w:val="20"/>
              </w:rPr>
              <w:t>$</w:t>
            </w:r>
            <w:r>
              <w:rPr>
                <w:b/>
                <w:sz w:val="20"/>
              </w:rPr>
              <w:tab/>
            </w:r>
            <w:r>
              <w:rPr>
                <w:b/>
                <w:spacing w:val="-2"/>
                <w:sz w:val="20"/>
              </w:rPr>
              <w:t>3,739</w:t>
            </w:r>
          </w:p>
        </w:tc>
        <w:tc>
          <w:tcPr>
            <w:tcW w:w="994" w:type="dxa"/>
            <w:tcBorders>
              <w:top w:val="single" w:sz="8" w:space="0" w:color="CCEDFF"/>
              <w:bottom w:val="single" w:sz="18" w:space="0" w:color="CCEDFF"/>
            </w:tcBorders>
            <w:shd w:val="clear" w:color="auto" w:fill="CCEDFF"/>
          </w:tcPr>
          <w:p w14:paraId="05FA5125" w14:textId="77777777" w:rsidR="00AE2255" w:rsidRDefault="00000000">
            <w:pPr>
              <w:pStyle w:val="TableParagraph"/>
              <w:tabs>
                <w:tab w:val="left" w:pos="390"/>
              </w:tabs>
              <w:spacing w:before="15" w:line="217" w:lineRule="exact"/>
              <w:ind w:right="80"/>
              <w:rPr>
                <w:sz w:val="20"/>
              </w:rPr>
            </w:pPr>
            <w:r>
              <w:rPr>
                <w:spacing w:val="-10"/>
                <w:sz w:val="20"/>
              </w:rPr>
              <w:t>$</w:t>
            </w:r>
            <w:r>
              <w:rPr>
                <w:sz w:val="20"/>
              </w:rPr>
              <w:tab/>
            </w:r>
            <w:r>
              <w:rPr>
                <w:spacing w:val="-2"/>
                <w:sz w:val="20"/>
              </w:rPr>
              <w:t>2,282</w:t>
            </w:r>
          </w:p>
        </w:tc>
      </w:tr>
    </w:tbl>
    <w:p w14:paraId="165AD107" w14:textId="77777777" w:rsidR="00AE2255" w:rsidRDefault="00000000">
      <w:pPr>
        <w:tabs>
          <w:tab w:val="left" w:pos="969"/>
        </w:tabs>
        <w:spacing w:before="35"/>
        <w:ind w:left="610"/>
        <w:rPr>
          <w:sz w:val="18"/>
        </w:rPr>
      </w:pPr>
      <w:r>
        <w:rPr>
          <w:spacing w:val="-5"/>
          <w:sz w:val="18"/>
          <w:vertAlign w:val="superscript"/>
        </w:rPr>
        <w:t>(a)</w:t>
      </w:r>
      <w:r>
        <w:rPr>
          <w:sz w:val="18"/>
        </w:rPr>
        <w:tab/>
        <w:t>Includes</w:t>
      </w:r>
      <w:r>
        <w:rPr>
          <w:spacing w:val="-2"/>
          <w:sz w:val="18"/>
        </w:rPr>
        <w:t xml:space="preserve"> </w:t>
      </w:r>
      <w:r>
        <w:rPr>
          <w:sz w:val="18"/>
        </w:rPr>
        <w:t>deferred tax assets</w:t>
      </w:r>
      <w:r>
        <w:rPr>
          <w:spacing w:val="-2"/>
          <w:sz w:val="18"/>
        </w:rPr>
        <w:t xml:space="preserve"> </w:t>
      </w:r>
      <w:r>
        <w:rPr>
          <w:sz w:val="18"/>
        </w:rPr>
        <w:t>and liabilities</w:t>
      </w:r>
      <w:r>
        <w:rPr>
          <w:spacing w:val="-1"/>
          <w:sz w:val="18"/>
        </w:rPr>
        <w:t xml:space="preserve"> </w:t>
      </w:r>
      <w:r>
        <w:rPr>
          <w:sz w:val="18"/>
        </w:rPr>
        <w:t>related</w:t>
      </w:r>
      <w:r>
        <w:rPr>
          <w:spacing w:val="-1"/>
          <w:sz w:val="18"/>
        </w:rPr>
        <w:t xml:space="preserve"> </w:t>
      </w:r>
      <w:r>
        <w:rPr>
          <w:sz w:val="18"/>
        </w:rPr>
        <w:t>to lease liability</w:t>
      </w:r>
      <w:r>
        <w:rPr>
          <w:spacing w:val="-1"/>
          <w:sz w:val="18"/>
        </w:rPr>
        <w:t xml:space="preserve"> </w:t>
      </w:r>
      <w:r>
        <w:rPr>
          <w:sz w:val="18"/>
        </w:rPr>
        <w:t>and ROU</w:t>
      </w:r>
      <w:r>
        <w:rPr>
          <w:spacing w:val="-1"/>
          <w:sz w:val="18"/>
        </w:rPr>
        <w:t xml:space="preserve"> </w:t>
      </w:r>
      <w:r>
        <w:rPr>
          <w:spacing w:val="-2"/>
          <w:sz w:val="18"/>
        </w:rPr>
        <w:t>asset.</w:t>
      </w:r>
    </w:p>
    <w:p w14:paraId="3511A7ED" w14:textId="77777777" w:rsidR="00AE2255" w:rsidRDefault="00AE2255">
      <w:pPr>
        <w:pStyle w:val="BodyText"/>
        <w:spacing w:before="8"/>
        <w:rPr>
          <w:sz w:val="17"/>
        </w:rPr>
      </w:pPr>
    </w:p>
    <w:p w14:paraId="0163F349" w14:textId="77777777" w:rsidR="00AE2255" w:rsidRDefault="00000000">
      <w:pPr>
        <w:pStyle w:val="BodyText"/>
        <w:spacing w:line="249" w:lineRule="auto"/>
        <w:ind w:left="610" w:right="429" w:firstLine="360"/>
        <w:jc w:val="both"/>
      </w:pPr>
      <w:r>
        <w:t>We and our subsidiaries file federal income tax returns in the U.S. and income tax returns in various foreign jurisdictions. With few exceptions, the statute of limitations for these jurisdictions is no longer open for audit or examination for the years before 2015 with respect to various foreign jurisdictions and before 2018 for federal income taxes in the U.S.</w:t>
      </w:r>
    </w:p>
    <w:p w14:paraId="7278F63B" w14:textId="77777777" w:rsidR="00AE2255" w:rsidRDefault="00AE2255">
      <w:pPr>
        <w:pStyle w:val="BodyText"/>
        <w:spacing w:before="7"/>
        <w:rPr>
          <w:sz w:val="17"/>
        </w:rPr>
      </w:pPr>
    </w:p>
    <w:p w14:paraId="258B36EA" w14:textId="77777777" w:rsidR="00AE2255" w:rsidRDefault="00000000">
      <w:pPr>
        <w:pStyle w:val="BodyText"/>
        <w:spacing w:line="249" w:lineRule="auto"/>
        <w:ind w:left="610" w:right="429" w:firstLine="360"/>
        <w:jc w:val="both"/>
      </w:pPr>
      <w:r>
        <w:t>We withdrew from the IRS Compliance Assurance Process (CAP) program in 2022 starting with our 2021 tax return. Examinations of the years 2018 to 2020 remain under IRS review under the CAP program. We are also subject to taxation in various states and foreign jurisdictions including Australia, Canada, India, Italy, Japan, Poland, and the United Kingdom. We are under, or may be subject to, audit or examination and additional assessments by the relevant authorities.</w:t>
      </w:r>
    </w:p>
    <w:p w14:paraId="68C6693A" w14:textId="77777777" w:rsidR="00AE2255" w:rsidRDefault="00AE2255">
      <w:pPr>
        <w:pStyle w:val="BodyText"/>
        <w:spacing w:before="8"/>
        <w:rPr>
          <w:sz w:val="17"/>
        </w:rPr>
      </w:pPr>
    </w:p>
    <w:p w14:paraId="1EBFB515" w14:textId="77777777" w:rsidR="00AE2255" w:rsidRDefault="00000000">
      <w:pPr>
        <w:pStyle w:val="BodyText"/>
        <w:ind w:left="970"/>
      </w:pPr>
      <w:r>
        <w:t>Our</w:t>
      </w:r>
      <w:r>
        <w:rPr>
          <w:spacing w:val="-2"/>
        </w:rPr>
        <w:t xml:space="preserve"> </w:t>
      </w:r>
      <w:r>
        <w:t>federal</w:t>
      </w:r>
      <w:r>
        <w:rPr>
          <w:spacing w:val="-3"/>
        </w:rPr>
        <w:t xml:space="preserve"> </w:t>
      </w:r>
      <w:r>
        <w:t>and</w:t>
      </w:r>
      <w:r>
        <w:rPr>
          <w:spacing w:val="-1"/>
        </w:rPr>
        <w:t xml:space="preserve"> </w:t>
      </w:r>
      <w:r>
        <w:t>foreign</w:t>
      </w:r>
      <w:r>
        <w:rPr>
          <w:spacing w:val="-2"/>
        </w:rPr>
        <w:t xml:space="preserve"> </w:t>
      </w:r>
      <w:r>
        <w:t>income</w:t>
      </w:r>
      <w:r>
        <w:rPr>
          <w:spacing w:val="-3"/>
        </w:rPr>
        <w:t xml:space="preserve"> </w:t>
      </w:r>
      <w:r>
        <w:t>tax</w:t>
      </w:r>
      <w:r>
        <w:rPr>
          <w:spacing w:val="-1"/>
        </w:rPr>
        <w:t xml:space="preserve"> </w:t>
      </w:r>
      <w:r>
        <w:t>payments,</w:t>
      </w:r>
      <w:r>
        <w:rPr>
          <w:spacing w:val="-2"/>
        </w:rPr>
        <w:t xml:space="preserve"> </w:t>
      </w:r>
      <w:r>
        <w:t>net</w:t>
      </w:r>
      <w:r>
        <w:rPr>
          <w:spacing w:val="-2"/>
        </w:rPr>
        <w:t xml:space="preserve"> </w:t>
      </w:r>
      <w:r>
        <w:t>of</w:t>
      </w:r>
      <w:r>
        <w:rPr>
          <w:spacing w:val="-2"/>
        </w:rPr>
        <w:t xml:space="preserve"> </w:t>
      </w:r>
      <w:r>
        <w:t>refunds,</w:t>
      </w:r>
      <w:r>
        <w:rPr>
          <w:spacing w:val="-2"/>
        </w:rPr>
        <w:t xml:space="preserve"> </w:t>
      </w:r>
      <w:r>
        <w:t>were</w:t>
      </w:r>
      <w:r>
        <w:rPr>
          <w:spacing w:val="-2"/>
        </w:rPr>
        <w:t xml:space="preserve"> </w:t>
      </w:r>
      <w:r>
        <w:t>$1.6</w:t>
      </w:r>
      <w:r>
        <w:rPr>
          <w:spacing w:val="-2"/>
        </w:rPr>
        <w:t xml:space="preserve"> </w:t>
      </w:r>
      <w:r>
        <w:t>billion</w:t>
      </w:r>
      <w:r>
        <w:rPr>
          <w:spacing w:val="-1"/>
        </w:rPr>
        <w:t xml:space="preserve"> </w:t>
      </w:r>
      <w:r>
        <w:t>in</w:t>
      </w:r>
      <w:r>
        <w:rPr>
          <w:spacing w:val="-2"/>
        </w:rPr>
        <w:t xml:space="preserve"> </w:t>
      </w:r>
      <w:r>
        <w:t>2022</w:t>
      </w:r>
      <w:r>
        <w:rPr>
          <w:spacing w:val="-2"/>
        </w:rPr>
        <w:t xml:space="preserve"> </w:t>
      </w:r>
      <w:r>
        <w:t>and</w:t>
      </w:r>
      <w:r>
        <w:rPr>
          <w:spacing w:val="-1"/>
        </w:rPr>
        <w:t xml:space="preserve"> </w:t>
      </w:r>
      <w:r>
        <w:t>$1.4</w:t>
      </w:r>
      <w:r>
        <w:rPr>
          <w:spacing w:val="-2"/>
        </w:rPr>
        <w:t xml:space="preserve"> </w:t>
      </w:r>
      <w:r>
        <w:t>billion</w:t>
      </w:r>
      <w:r>
        <w:rPr>
          <w:spacing w:val="-2"/>
        </w:rPr>
        <w:t xml:space="preserve"> </w:t>
      </w:r>
      <w:r>
        <w:t>in</w:t>
      </w:r>
      <w:r>
        <w:rPr>
          <w:spacing w:val="-1"/>
        </w:rPr>
        <w:t xml:space="preserve"> </w:t>
      </w:r>
      <w:r>
        <w:t>2021</w:t>
      </w:r>
      <w:r>
        <w:rPr>
          <w:spacing w:val="-2"/>
        </w:rPr>
        <w:t xml:space="preserve"> </w:t>
      </w:r>
      <w:r>
        <w:t>and</w:t>
      </w:r>
      <w:r>
        <w:rPr>
          <w:spacing w:val="-1"/>
        </w:rPr>
        <w:t xml:space="preserve"> </w:t>
      </w:r>
      <w:r>
        <w:rPr>
          <w:spacing w:val="-2"/>
        </w:rPr>
        <w:t>2020.</w:t>
      </w:r>
    </w:p>
    <w:p w14:paraId="3B92A665" w14:textId="77777777" w:rsidR="00AE2255" w:rsidRDefault="00AE2255">
      <w:pPr>
        <w:sectPr w:rsidR="00AE2255">
          <w:pgSz w:w="12240" w:h="15840"/>
          <w:pgMar w:top="440" w:right="560" w:bottom="720" w:left="380" w:header="230" w:footer="531" w:gutter="0"/>
          <w:cols w:space="720"/>
        </w:sectPr>
      </w:pPr>
    </w:p>
    <w:p w14:paraId="04063A46" w14:textId="77777777" w:rsidR="00AE2255" w:rsidRDefault="00AE2255">
      <w:pPr>
        <w:pStyle w:val="BodyText"/>
        <w:spacing w:before="7"/>
        <w:rPr>
          <w:sz w:val="22"/>
        </w:rPr>
      </w:pPr>
    </w:p>
    <w:p w14:paraId="7DF65123" w14:textId="77777777" w:rsidR="00AE2255" w:rsidRDefault="00000000">
      <w:pPr>
        <w:pStyle w:val="Heading2"/>
        <w:spacing w:before="92"/>
      </w:pPr>
      <w:bookmarkStart w:id="57" w:name="Note_10_–_Debt"/>
      <w:bookmarkEnd w:id="57"/>
      <w:r>
        <w:t>Note</w:t>
      </w:r>
      <w:r>
        <w:rPr>
          <w:spacing w:val="-2"/>
        </w:rPr>
        <w:t xml:space="preserve"> </w:t>
      </w:r>
      <w:r>
        <w:t xml:space="preserve">10 – </w:t>
      </w:r>
      <w:r>
        <w:rPr>
          <w:spacing w:val="-4"/>
        </w:rPr>
        <w:t>Debt</w:t>
      </w:r>
    </w:p>
    <w:p w14:paraId="6D93B761" w14:textId="77777777" w:rsidR="00AE2255" w:rsidRDefault="00AE2255">
      <w:pPr>
        <w:pStyle w:val="BodyText"/>
        <w:spacing w:before="6"/>
        <w:rPr>
          <w:b/>
          <w:sz w:val="18"/>
        </w:rPr>
      </w:pPr>
    </w:p>
    <w:p w14:paraId="56EEF441" w14:textId="77777777" w:rsidR="00AE2255" w:rsidRDefault="00000000">
      <w:pPr>
        <w:pStyle w:val="BodyText"/>
        <w:ind w:left="970"/>
      </w:pPr>
      <w:r>
        <w:t>Our</w:t>
      </w:r>
      <w:r>
        <w:rPr>
          <w:spacing w:val="-3"/>
        </w:rPr>
        <w:t xml:space="preserve"> </w:t>
      </w:r>
      <w:r>
        <w:t>total</w:t>
      </w:r>
      <w:r>
        <w:rPr>
          <w:spacing w:val="-3"/>
        </w:rPr>
        <w:t xml:space="preserve"> </w:t>
      </w:r>
      <w:r>
        <w:t>debt</w:t>
      </w:r>
      <w:r>
        <w:rPr>
          <w:spacing w:val="-3"/>
        </w:rPr>
        <w:t xml:space="preserve"> </w:t>
      </w:r>
      <w:r>
        <w:t>consisted</w:t>
      </w:r>
      <w:r>
        <w:rPr>
          <w:spacing w:val="-2"/>
        </w:rPr>
        <w:t xml:space="preserve"> </w:t>
      </w:r>
      <w:r>
        <w:t>of</w:t>
      </w:r>
      <w:r>
        <w:rPr>
          <w:spacing w:val="-2"/>
        </w:rPr>
        <w:t xml:space="preserve"> </w:t>
      </w:r>
      <w:r>
        <w:t>the</w:t>
      </w:r>
      <w:r>
        <w:rPr>
          <w:spacing w:val="-3"/>
        </w:rPr>
        <w:t xml:space="preserve"> </w:t>
      </w:r>
      <w:r>
        <w:t>following</w:t>
      </w:r>
      <w:r>
        <w:rPr>
          <w:spacing w:val="-2"/>
        </w:rPr>
        <w:t xml:space="preserve"> </w:t>
      </w:r>
      <w:r>
        <w:t>(in</w:t>
      </w:r>
      <w:r>
        <w:rPr>
          <w:spacing w:val="-2"/>
        </w:rPr>
        <w:t xml:space="preserve"> millions):</w:t>
      </w:r>
    </w:p>
    <w:p w14:paraId="281D50BC" w14:textId="77777777" w:rsidR="00AE2255" w:rsidRDefault="00AE2255">
      <w:pPr>
        <w:pStyle w:val="BodyText"/>
        <w:rPr>
          <w:sz w:val="8"/>
        </w:rPr>
      </w:pPr>
    </w:p>
    <w:tbl>
      <w:tblPr>
        <w:tblW w:w="0" w:type="auto"/>
        <w:tblInd w:w="617" w:type="dxa"/>
        <w:tblLayout w:type="fixed"/>
        <w:tblCellMar>
          <w:left w:w="0" w:type="dxa"/>
          <w:right w:w="0" w:type="dxa"/>
        </w:tblCellMar>
        <w:tblLook w:val="01E0" w:firstRow="1" w:lastRow="1" w:firstColumn="1" w:lastColumn="1" w:noHBand="0" w:noVBand="0"/>
      </w:tblPr>
      <w:tblGrid>
        <w:gridCol w:w="6755"/>
        <w:gridCol w:w="2556"/>
        <w:gridCol w:w="919"/>
      </w:tblGrid>
      <w:tr w:rsidR="00AE2255" w14:paraId="060C7133" w14:textId="77777777">
        <w:trPr>
          <w:trHeight w:val="241"/>
        </w:trPr>
        <w:tc>
          <w:tcPr>
            <w:tcW w:w="6755" w:type="dxa"/>
            <w:tcBorders>
              <w:bottom w:val="single" w:sz="8" w:space="0" w:color="auto"/>
            </w:tcBorders>
          </w:tcPr>
          <w:p w14:paraId="07AEFE16" w14:textId="77777777" w:rsidR="00AE2255" w:rsidRDefault="00AE2255">
            <w:pPr>
              <w:pStyle w:val="TableParagraph"/>
              <w:spacing w:before="0"/>
              <w:jc w:val="left"/>
              <w:rPr>
                <w:sz w:val="16"/>
              </w:rPr>
            </w:pPr>
          </w:p>
        </w:tc>
        <w:tc>
          <w:tcPr>
            <w:tcW w:w="2556" w:type="dxa"/>
            <w:tcBorders>
              <w:bottom w:val="single" w:sz="8" w:space="0" w:color="auto"/>
            </w:tcBorders>
          </w:tcPr>
          <w:p w14:paraId="5F5657E6" w14:textId="77777777" w:rsidR="00AE2255" w:rsidRDefault="00000000">
            <w:pPr>
              <w:pStyle w:val="TableParagraph"/>
              <w:spacing w:before="0" w:line="221" w:lineRule="exact"/>
              <w:ind w:right="106"/>
              <w:rPr>
                <w:b/>
                <w:sz w:val="20"/>
              </w:rPr>
            </w:pPr>
            <w:r>
              <w:rPr>
                <w:b/>
                <w:spacing w:val="-4"/>
                <w:sz w:val="20"/>
              </w:rPr>
              <w:t>2022</w:t>
            </w:r>
          </w:p>
        </w:tc>
        <w:tc>
          <w:tcPr>
            <w:tcW w:w="919" w:type="dxa"/>
            <w:tcBorders>
              <w:bottom w:val="single" w:sz="8" w:space="0" w:color="auto"/>
            </w:tcBorders>
          </w:tcPr>
          <w:p w14:paraId="0E76FE74" w14:textId="77777777" w:rsidR="00AE2255" w:rsidRDefault="00000000">
            <w:pPr>
              <w:pStyle w:val="TableParagraph"/>
              <w:spacing w:before="0" w:line="221" w:lineRule="exact"/>
              <w:ind w:right="50"/>
              <w:rPr>
                <w:b/>
                <w:sz w:val="20"/>
              </w:rPr>
            </w:pPr>
            <w:r>
              <w:rPr>
                <w:b/>
                <w:spacing w:val="-4"/>
                <w:sz w:val="20"/>
              </w:rPr>
              <w:t>2021</w:t>
            </w:r>
          </w:p>
        </w:tc>
      </w:tr>
      <w:tr w:rsidR="00AE2255" w14:paraId="10F9F6F7" w14:textId="77777777">
        <w:trPr>
          <w:trHeight w:val="275"/>
        </w:trPr>
        <w:tc>
          <w:tcPr>
            <w:tcW w:w="6755" w:type="dxa"/>
            <w:tcBorders>
              <w:top w:val="single" w:sz="8" w:space="0" w:color="CCEDFF"/>
            </w:tcBorders>
            <w:shd w:val="clear" w:color="auto" w:fill="CCEDFF"/>
          </w:tcPr>
          <w:p w14:paraId="265F68D4" w14:textId="77777777" w:rsidR="00AE2255" w:rsidRDefault="00000000">
            <w:pPr>
              <w:pStyle w:val="TableParagraph"/>
              <w:spacing w:before="17"/>
              <w:ind w:left="52"/>
              <w:jc w:val="left"/>
              <w:rPr>
                <w:sz w:val="20"/>
              </w:rPr>
            </w:pPr>
            <w:r>
              <w:rPr>
                <w:spacing w:val="-2"/>
                <w:sz w:val="20"/>
              </w:rPr>
              <w:t>Notes</w:t>
            </w:r>
          </w:p>
        </w:tc>
        <w:tc>
          <w:tcPr>
            <w:tcW w:w="2556" w:type="dxa"/>
            <w:tcBorders>
              <w:top w:val="single" w:sz="8" w:space="0" w:color="CCEDFF"/>
            </w:tcBorders>
            <w:shd w:val="clear" w:color="auto" w:fill="CCEDFF"/>
          </w:tcPr>
          <w:p w14:paraId="35454271" w14:textId="77777777" w:rsidR="00AE2255" w:rsidRDefault="00AE2255">
            <w:pPr>
              <w:pStyle w:val="TableParagraph"/>
              <w:spacing w:before="0"/>
              <w:jc w:val="left"/>
              <w:rPr>
                <w:sz w:val="20"/>
              </w:rPr>
            </w:pPr>
          </w:p>
        </w:tc>
        <w:tc>
          <w:tcPr>
            <w:tcW w:w="919" w:type="dxa"/>
            <w:tcBorders>
              <w:top w:val="single" w:sz="8" w:space="0" w:color="CCEDFF"/>
            </w:tcBorders>
            <w:shd w:val="clear" w:color="auto" w:fill="CCEDFF"/>
          </w:tcPr>
          <w:p w14:paraId="3D12B015" w14:textId="77777777" w:rsidR="00AE2255" w:rsidRDefault="00AE2255">
            <w:pPr>
              <w:pStyle w:val="TableParagraph"/>
              <w:spacing w:before="0"/>
              <w:jc w:val="left"/>
              <w:rPr>
                <w:sz w:val="20"/>
              </w:rPr>
            </w:pPr>
          </w:p>
        </w:tc>
      </w:tr>
      <w:tr w:rsidR="00AE2255" w14:paraId="0D8E3892" w14:textId="77777777">
        <w:trPr>
          <w:trHeight w:val="285"/>
        </w:trPr>
        <w:tc>
          <w:tcPr>
            <w:tcW w:w="6755" w:type="dxa"/>
          </w:tcPr>
          <w:p w14:paraId="60841355" w14:textId="77777777" w:rsidR="00AE2255" w:rsidRDefault="00000000">
            <w:pPr>
              <w:pStyle w:val="TableParagraph"/>
              <w:spacing w:before="27"/>
              <w:ind w:left="187"/>
              <w:jc w:val="left"/>
              <w:rPr>
                <w:sz w:val="20"/>
              </w:rPr>
            </w:pPr>
            <w:r>
              <w:rPr>
                <w:sz w:val="20"/>
              </w:rPr>
              <w:t>3.10% due</w:t>
            </w:r>
            <w:r>
              <w:rPr>
                <w:spacing w:val="-1"/>
                <w:sz w:val="20"/>
              </w:rPr>
              <w:t xml:space="preserve"> </w:t>
            </w:r>
            <w:r>
              <w:rPr>
                <w:spacing w:val="-4"/>
                <w:sz w:val="20"/>
              </w:rPr>
              <w:t>2023</w:t>
            </w:r>
          </w:p>
        </w:tc>
        <w:tc>
          <w:tcPr>
            <w:tcW w:w="2556" w:type="dxa"/>
          </w:tcPr>
          <w:p w14:paraId="45E68729" w14:textId="77777777" w:rsidR="00AE2255" w:rsidRDefault="00000000">
            <w:pPr>
              <w:pStyle w:val="TableParagraph"/>
              <w:tabs>
                <w:tab w:val="left" w:pos="565"/>
              </w:tabs>
              <w:ind w:right="135"/>
              <w:rPr>
                <w:b/>
                <w:sz w:val="20"/>
              </w:rPr>
            </w:pPr>
            <w:r>
              <w:rPr>
                <w:b/>
                <w:spacing w:val="-10"/>
                <w:sz w:val="20"/>
              </w:rPr>
              <w:t>$</w:t>
            </w:r>
            <w:r>
              <w:rPr>
                <w:b/>
                <w:sz w:val="20"/>
              </w:rPr>
              <w:tab/>
            </w:r>
            <w:r>
              <w:rPr>
                <w:b/>
                <w:spacing w:val="-10"/>
                <w:sz w:val="20"/>
              </w:rPr>
              <w:t>—</w:t>
            </w:r>
          </w:p>
        </w:tc>
        <w:tc>
          <w:tcPr>
            <w:tcW w:w="919" w:type="dxa"/>
          </w:tcPr>
          <w:p w14:paraId="37DBFD39" w14:textId="77777777" w:rsidR="00AE2255" w:rsidRDefault="00000000">
            <w:pPr>
              <w:pStyle w:val="TableParagraph"/>
              <w:tabs>
                <w:tab w:val="left" w:pos="537"/>
              </w:tabs>
              <w:ind w:left="71"/>
              <w:jc w:val="left"/>
              <w:rPr>
                <w:sz w:val="20"/>
              </w:rPr>
            </w:pPr>
            <w:r>
              <w:rPr>
                <w:spacing w:val="-10"/>
                <w:sz w:val="20"/>
              </w:rPr>
              <w:t>$</w:t>
            </w:r>
            <w:r>
              <w:rPr>
                <w:sz w:val="20"/>
              </w:rPr>
              <w:tab/>
            </w:r>
            <w:r>
              <w:rPr>
                <w:spacing w:val="-5"/>
                <w:sz w:val="20"/>
              </w:rPr>
              <w:t>500</w:t>
            </w:r>
          </w:p>
        </w:tc>
      </w:tr>
      <w:tr w:rsidR="00AE2255" w14:paraId="4A4962AD" w14:textId="77777777">
        <w:trPr>
          <w:trHeight w:val="285"/>
        </w:trPr>
        <w:tc>
          <w:tcPr>
            <w:tcW w:w="6755" w:type="dxa"/>
            <w:shd w:val="clear" w:color="auto" w:fill="CCEDFF"/>
          </w:tcPr>
          <w:p w14:paraId="241CE9BF" w14:textId="77777777" w:rsidR="00AE2255" w:rsidRDefault="00000000">
            <w:pPr>
              <w:pStyle w:val="TableParagraph"/>
              <w:spacing w:before="27"/>
              <w:ind w:left="187"/>
              <w:jc w:val="left"/>
              <w:rPr>
                <w:sz w:val="20"/>
              </w:rPr>
            </w:pPr>
            <w:r>
              <w:rPr>
                <w:sz w:val="20"/>
              </w:rPr>
              <w:t>2.90% due</w:t>
            </w:r>
            <w:r>
              <w:rPr>
                <w:spacing w:val="-1"/>
                <w:sz w:val="20"/>
              </w:rPr>
              <w:t xml:space="preserve"> </w:t>
            </w:r>
            <w:r>
              <w:rPr>
                <w:spacing w:val="-4"/>
                <w:sz w:val="20"/>
              </w:rPr>
              <w:t>2025</w:t>
            </w:r>
          </w:p>
        </w:tc>
        <w:tc>
          <w:tcPr>
            <w:tcW w:w="2556" w:type="dxa"/>
            <w:shd w:val="clear" w:color="auto" w:fill="CCEDFF"/>
          </w:tcPr>
          <w:p w14:paraId="043FFA6A" w14:textId="77777777" w:rsidR="00AE2255" w:rsidRDefault="00000000">
            <w:pPr>
              <w:pStyle w:val="TableParagraph"/>
              <w:ind w:right="135"/>
              <w:rPr>
                <w:b/>
                <w:sz w:val="20"/>
              </w:rPr>
            </w:pPr>
            <w:r>
              <w:rPr>
                <w:b/>
                <w:sz w:val="20"/>
              </w:rPr>
              <w:t>—</w:t>
            </w:r>
          </w:p>
        </w:tc>
        <w:tc>
          <w:tcPr>
            <w:tcW w:w="919" w:type="dxa"/>
            <w:shd w:val="clear" w:color="auto" w:fill="CCEDFF"/>
          </w:tcPr>
          <w:p w14:paraId="25766690" w14:textId="77777777" w:rsidR="00AE2255" w:rsidRDefault="00000000">
            <w:pPr>
              <w:pStyle w:val="TableParagraph"/>
              <w:ind w:right="79"/>
              <w:rPr>
                <w:sz w:val="20"/>
              </w:rPr>
            </w:pPr>
            <w:r>
              <w:rPr>
                <w:spacing w:val="-5"/>
                <w:sz w:val="20"/>
              </w:rPr>
              <w:t>750</w:t>
            </w:r>
          </w:p>
        </w:tc>
      </w:tr>
      <w:tr w:rsidR="00AE2255" w14:paraId="4A0B31F3" w14:textId="77777777">
        <w:trPr>
          <w:trHeight w:val="285"/>
        </w:trPr>
        <w:tc>
          <w:tcPr>
            <w:tcW w:w="6755" w:type="dxa"/>
          </w:tcPr>
          <w:p w14:paraId="7C5B61CF" w14:textId="77777777" w:rsidR="00AE2255" w:rsidRDefault="00000000">
            <w:pPr>
              <w:pStyle w:val="TableParagraph"/>
              <w:spacing w:before="27"/>
              <w:ind w:left="187"/>
              <w:jc w:val="left"/>
              <w:rPr>
                <w:sz w:val="20"/>
              </w:rPr>
            </w:pPr>
            <w:r>
              <w:rPr>
                <w:sz w:val="20"/>
              </w:rPr>
              <w:t>4.95% due</w:t>
            </w:r>
            <w:r>
              <w:rPr>
                <w:spacing w:val="-1"/>
                <w:sz w:val="20"/>
              </w:rPr>
              <w:t xml:space="preserve"> </w:t>
            </w:r>
            <w:r>
              <w:rPr>
                <w:spacing w:val="-4"/>
                <w:sz w:val="20"/>
              </w:rPr>
              <w:t>2025</w:t>
            </w:r>
          </w:p>
        </w:tc>
        <w:tc>
          <w:tcPr>
            <w:tcW w:w="2556" w:type="dxa"/>
          </w:tcPr>
          <w:p w14:paraId="58C42FAB" w14:textId="77777777" w:rsidR="00AE2255" w:rsidRDefault="00000000">
            <w:pPr>
              <w:pStyle w:val="TableParagraph"/>
              <w:ind w:right="135"/>
              <w:rPr>
                <w:b/>
                <w:sz w:val="20"/>
              </w:rPr>
            </w:pPr>
            <w:r>
              <w:rPr>
                <w:b/>
                <w:spacing w:val="-5"/>
                <w:sz w:val="20"/>
              </w:rPr>
              <w:t>500</w:t>
            </w:r>
          </w:p>
        </w:tc>
        <w:tc>
          <w:tcPr>
            <w:tcW w:w="919" w:type="dxa"/>
          </w:tcPr>
          <w:p w14:paraId="79659B7E" w14:textId="77777777" w:rsidR="00AE2255" w:rsidRDefault="00000000">
            <w:pPr>
              <w:pStyle w:val="TableParagraph"/>
              <w:ind w:right="79"/>
              <w:rPr>
                <w:sz w:val="20"/>
              </w:rPr>
            </w:pPr>
            <w:r>
              <w:rPr>
                <w:sz w:val="20"/>
              </w:rPr>
              <w:t>—</w:t>
            </w:r>
          </w:p>
        </w:tc>
      </w:tr>
      <w:tr w:rsidR="00AE2255" w14:paraId="7696D098" w14:textId="77777777">
        <w:trPr>
          <w:trHeight w:val="285"/>
        </w:trPr>
        <w:tc>
          <w:tcPr>
            <w:tcW w:w="6755" w:type="dxa"/>
            <w:shd w:val="clear" w:color="auto" w:fill="CCEDFF"/>
          </w:tcPr>
          <w:p w14:paraId="2A8816D0" w14:textId="77777777" w:rsidR="00AE2255" w:rsidRDefault="00000000">
            <w:pPr>
              <w:pStyle w:val="TableParagraph"/>
              <w:spacing w:before="27"/>
              <w:ind w:left="187"/>
              <w:jc w:val="left"/>
              <w:rPr>
                <w:sz w:val="20"/>
              </w:rPr>
            </w:pPr>
            <w:r>
              <w:rPr>
                <w:sz w:val="20"/>
              </w:rPr>
              <w:t>3.55% due</w:t>
            </w:r>
            <w:r>
              <w:rPr>
                <w:spacing w:val="-1"/>
                <w:sz w:val="20"/>
              </w:rPr>
              <w:t xml:space="preserve"> </w:t>
            </w:r>
            <w:r>
              <w:rPr>
                <w:spacing w:val="-4"/>
                <w:sz w:val="20"/>
              </w:rPr>
              <w:t>2026</w:t>
            </w:r>
          </w:p>
        </w:tc>
        <w:tc>
          <w:tcPr>
            <w:tcW w:w="2556" w:type="dxa"/>
            <w:shd w:val="clear" w:color="auto" w:fill="CCEDFF"/>
          </w:tcPr>
          <w:p w14:paraId="41DFF3BE" w14:textId="77777777" w:rsidR="00AE2255" w:rsidRDefault="00000000">
            <w:pPr>
              <w:pStyle w:val="TableParagraph"/>
              <w:ind w:right="135"/>
              <w:rPr>
                <w:b/>
                <w:sz w:val="20"/>
              </w:rPr>
            </w:pPr>
            <w:r>
              <w:rPr>
                <w:b/>
                <w:spacing w:val="-2"/>
                <w:sz w:val="20"/>
              </w:rPr>
              <w:t>1,000</w:t>
            </w:r>
          </w:p>
        </w:tc>
        <w:tc>
          <w:tcPr>
            <w:tcW w:w="919" w:type="dxa"/>
            <w:shd w:val="clear" w:color="auto" w:fill="CCEDFF"/>
          </w:tcPr>
          <w:p w14:paraId="4796931E" w14:textId="77777777" w:rsidR="00AE2255" w:rsidRDefault="00000000">
            <w:pPr>
              <w:pStyle w:val="TableParagraph"/>
              <w:ind w:right="79"/>
              <w:rPr>
                <w:sz w:val="20"/>
              </w:rPr>
            </w:pPr>
            <w:r>
              <w:rPr>
                <w:spacing w:val="-2"/>
                <w:sz w:val="20"/>
              </w:rPr>
              <w:t>2,000</w:t>
            </w:r>
          </w:p>
        </w:tc>
      </w:tr>
      <w:tr w:rsidR="00AE2255" w14:paraId="684F96E9" w14:textId="77777777">
        <w:trPr>
          <w:trHeight w:val="285"/>
        </w:trPr>
        <w:tc>
          <w:tcPr>
            <w:tcW w:w="6755" w:type="dxa"/>
          </w:tcPr>
          <w:p w14:paraId="12CD4A3D" w14:textId="77777777" w:rsidR="00AE2255" w:rsidRDefault="00000000">
            <w:pPr>
              <w:pStyle w:val="TableParagraph"/>
              <w:spacing w:before="27"/>
              <w:ind w:left="187"/>
              <w:jc w:val="left"/>
              <w:rPr>
                <w:sz w:val="20"/>
              </w:rPr>
            </w:pPr>
            <w:r>
              <w:rPr>
                <w:sz w:val="20"/>
              </w:rPr>
              <w:t>5.10% due</w:t>
            </w:r>
            <w:r>
              <w:rPr>
                <w:spacing w:val="-1"/>
                <w:sz w:val="20"/>
              </w:rPr>
              <w:t xml:space="preserve"> </w:t>
            </w:r>
            <w:r>
              <w:rPr>
                <w:spacing w:val="-4"/>
                <w:sz w:val="20"/>
              </w:rPr>
              <w:t>2027</w:t>
            </w:r>
          </w:p>
        </w:tc>
        <w:tc>
          <w:tcPr>
            <w:tcW w:w="2556" w:type="dxa"/>
          </w:tcPr>
          <w:p w14:paraId="68A5B2BE" w14:textId="77777777" w:rsidR="00AE2255" w:rsidRDefault="00000000">
            <w:pPr>
              <w:pStyle w:val="TableParagraph"/>
              <w:ind w:right="135"/>
              <w:rPr>
                <w:b/>
                <w:sz w:val="20"/>
              </w:rPr>
            </w:pPr>
            <w:r>
              <w:rPr>
                <w:b/>
                <w:spacing w:val="-5"/>
                <w:sz w:val="20"/>
              </w:rPr>
              <w:t>750</w:t>
            </w:r>
          </w:p>
        </w:tc>
        <w:tc>
          <w:tcPr>
            <w:tcW w:w="919" w:type="dxa"/>
          </w:tcPr>
          <w:p w14:paraId="37C6FFC9" w14:textId="77777777" w:rsidR="00AE2255" w:rsidRDefault="00000000">
            <w:pPr>
              <w:pStyle w:val="TableParagraph"/>
              <w:ind w:right="79"/>
              <w:rPr>
                <w:sz w:val="20"/>
              </w:rPr>
            </w:pPr>
            <w:r>
              <w:rPr>
                <w:sz w:val="20"/>
              </w:rPr>
              <w:t>—</w:t>
            </w:r>
          </w:p>
        </w:tc>
      </w:tr>
      <w:tr w:rsidR="00AE2255" w14:paraId="25108AF5" w14:textId="77777777">
        <w:trPr>
          <w:trHeight w:val="285"/>
        </w:trPr>
        <w:tc>
          <w:tcPr>
            <w:tcW w:w="6755" w:type="dxa"/>
            <w:shd w:val="clear" w:color="auto" w:fill="CCEDFF"/>
          </w:tcPr>
          <w:p w14:paraId="505D6121" w14:textId="77777777" w:rsidR="00AE2255" w:rsidRDefault="00000000">
            <w:pPr>
              <w:pStyle w:val="TableParagraph"/>
              <w:spacing w:before="27"/>
              <w:ind w:left="187"/>
              <w:jc w:val="left"/>
              <w:rPr>
                <w:sz w:val="20"/>
              </w:rPr>
            </w:pPr>
            <w:r>
              <w:rPr>
                <w:sz w:val="20"/>
              </w:rPr>
              <w:t>1.85% due</w:t>
            </w:r>
            <w:r>
              <w:rPr>
                <w:spacing w:val="-1"/>
                <w:sz w:val="20"/>
              </w:rPr>
              <w:t xml:space="preserve"> </w:t>
            </w:r>
            <w:r>
              <w:rPr>
                <w:spacing w:val="-4"/>
                <w:sz w:val="20"/>
              </w:rPr>
              <w:t>2030</w:t>
            </w:r>
          </w:p>
        </w:tc>
        <w:tc>
          <w:tcPr>
            <w:tcW w:w="2556" w:type="dxa"/>
            <w:shd w:val="clear" w:color="auto" w:fill="CCEDFF"/>
          </w:tcPr>
          <w:p w14:paraId="29640BD3" w14:textId="77777777" w:rsidR="00AE2255" w:rsidRDefault="00000000">
            <w:pPr>
              <w:pStyle w:val="TableParagraph"/>
              <w:ind w:right="135"/>
              <w:rPr>
                <w:b/>
                <w:sz w:val="20"/>
              </w:rPr>
            </w:pPr>
            <w:r>
              <w:rPr>
                <w:b/>
                <w:spacing w:val="-5"/>
                <w:sz w:val="20"/>
              </w:rPr>
              <w:t>400</w:t>
            </w:r>
          </w:p>
        </w:tc>
        <w:tc>
          <w:tcPr>
            <w:tcW w:w="919" w:type="dxa"/>
            <w:shd w:val="clear" w:color="auto" w:fill="CCEDFF"/>
          </w:tcPr>
          <w:p w14:paraId="7E267983" w14:textId="77777777" w:rsidR="00AE2255" w:rsidRDefault="00000000">
            <w:pPr>
              <w:pStyle w:val="TableParagraph"/>
              <w:ind w:right="79"/>
              <w:rPr>
                <w:sz w:val="20"/>
              </w:rPr>
            </w:pPr>
            <w:r>
              <w:rPr>
                <w:spacing w:val="-5"/>
                <w:sz w:val="20"/>
              </w:rPr>
              <w:t>400</w:t>
            </w:r>
          </w:p>
        </w:tc>
      </w:tr>
      <w:tr w:rsidR="00AE2255" w14:paraId="42727B54" w14:textId="77777777">
        <w:trPr>
          <w:trHeight w:val="285"/>
        </w:trPr>
        <w:tc>
          <w:tcPr>
            <w:tcW w:w="6755" w:type="dxa"/>
          </w:tcPr>
          <w:p w14:paraId="06AF8FEE" w14:textId="77777777" w:rsidR="00AE2255" w:rsidRDefault="00000000">
            <w:pPr>
              <w:pStyle w:val="TableParagraph"/>
              <w:spacing w:before="27"/>
              <w:ind w:left="187"/>
              <w:jc w:val="left"/>
              <w:rPr>
                <w:sz w:val="20"/>
              </w:rPr>
            </w:pPr>
            <w:r>
              <w:rPr>
                <w:sz w:val="20"/>
              </w:rPr>
              <w:t>3.90% due</w:t>
            </w:r>
            <w:r>
              <w:rPr>
                <w:spacing w:val="-1"/>
                <w:sz w:val="20"/>
              </w:rPr>
              <w:t xml:space="preserve"> </w:t>
            </w:r>
            <w:r>
              <w:rPr>
                <w:spacing w:val="-4"/>
                <w:sz w:val="20"/>
              </w:rPr>
              <w:t>2032</w:t>
            </w:r>
          </w:p>
        </w:tc>
        <w:tc>
          <w:tcPr>
            <w:tcW w:w="2556" w:type="dxa"/>
          </w:tcPr>
          <w:p w14:paraId="18315669" w14:textId="77777777" w:rsidR="00AE2255" w:rsidRDefault="00000000">
            <w:pPr>
              <w:pStyle w:val="TableParagraph"/>
              <w:ind w:right="135"/>
              <w:rPr>
                <w:b/>
                <w:sz w:val="20"/>
              </w:rPr>
            </w:pPr>
            <w:r>
              <w:rPr>
                <w:b/>
                <w:spacing w:val="-5"/>
                <w:sz w:val="20"/>
              </w:rPr>
              <w:t>800</w:t>
            </w:r>
          </w:p>
        </w:tc>
        <w:tc>
          <w:tcPr>
            <w:tcW w:w="919" w:type="dxa"/>
          </w:tcPr>
          <w:p w14:paraId="37CCAF6B" w14:textId="77777777" w:rsidR="00AE2255" w:rsidRDefault="00000000">
            <w:pPr>
              <w:pStyle w:val="TableParagraph"/>
              <w:ind w:right="79"/>
              <w:rPr>
                <w:sz w:val="20"/>
              </w:rPr>
            </w:pPr>
            <w:r>
              <w:rPr>
                <w:sz w:val="20"/>
              </w:rPr>
              <w:t>—</w:t>
            </w:r>
          </w:p>
        </w:tc>
      </w:tr>
      <w:tr w:rsidR="00AE2255" w14:paraId="0001BAF6" w14:textId="77777777">
        <w:trPr>
          <w:trHeight w:val="285"/>
        </w:trPr>
        <w:tc>
          <w:tcPr>
            <w:tcW w:w="6755" w:type="dxa"/>
            <w:shd w:val="clear" w:color="auto" w:fill="CCEDFF"/>
          </w:tcPr>
          <w:p w14:paraId="3CF22F17" w14:textId="77777777" w:rsidR="00AE2255" w:rsidRDefault="00000000">
            <w:pPr>
              <w:pStyle w:val="TableParagraph"/>
              <w:spacing w:before="27"/>
              <w:ind w:left="187"/>
              <w:jc w:val="left"/>
              <w:rPr>
                <w:sz w:val="20"/>
              </w:rPr>
            </w:pPr>
            <w:r>
              <w:rPr>
                <w:sz w:val="20"/>
              </w:rPr>
              <w:t>5.25% due</w:t>
            </w:r>
            <w:r>
              <w:rPr>
                <w:spacing w:val="-1"/>
                <w:sz w:val="20"/>
              </w:rPr>
              <w:t xml:space="preserve"> </w:t>
            </w:r>
            <w:r>
              <w:rPr>
                <w:spacing w:val="-4"/>
                <w:sz w:val="20"/>
              </w:rPr>
              <w:t>2033</w:t>
            </w:r>
          </w:p>
        </w:tc>
        <w:tc>
          <w:tcPr>
            <w:tcW w:w="2556" w:type="dxa"/>
            <w:shd w:val="clear" w:color="auto" w:fill="CCEDFF"/>
          </w:tcPr>
          <w:p w14:paraId="32055C93" w14:textId="77777777" w:rsidR="00AE2255" w:rsidRDefault="00000000">
            <w:pPr>
              <w:pStyle w:val="TableParagraph"/>
              <w:ind w:right="135"/>
              <w:rPr>
                <w:b/>
                <w:sz w:val="20"/>
              </w:rPr>
            </w:pPr>
            <w:r>
              <w:rPr>
                <w:b/>
                <w:spacing w:val="-2"/>
                <w:sz w:val="20"/>
              </w:rPr>
              <w:t>1,000</w:t>
            </w:r>
          </w:p>
        </w:tc>
        <w:tc>
          <w:tcPr>
            <w:tcW w:w="919" w:type="dxa"/>
            <w:shd w:val="clear" w:color="auto" w:fill="CCEDFF"/>
          </w:tcPr>
          <w:p w14:paraId="12BD375E" w14:textId="77777777" w:rsidR="00AE2255" w:rsidRDefault="00000000">
            <w:pPr>
              <w:pStyle w:val="TableParagraph"/>
              <w:ind w:right="79"/>
              <w:rPr>
                <w:sz w:val="20"/>
              </w:rPr>
            </w:pPr>
            <w:r>
              <w:rPr>
                <w:sz w:val="20"/>
              </w:rPr>
              <w:t>—</w:t>
            </w:r>
          </w:p>
        </w:tc>
      </w:tr>
      <w:tr w:rsidR="00AE2255" w14:paraId="66E976CC" w14:textId="77777777">
        <w:trPr>
          <w:trHeight w:val="285"/>
        </w:trPr>
        <w:tc>
          <w:tcPr>
            <w:tcW w:w="6755" w:type="dxa"/>
          </w:tcPr>
          <w:p w14:paraId="5D6E307A" w14:textId="77777777" w:rsidR="00AE2255" w:rsidRDefault="00000000">
            <w:pPr>
              <w:pStyle w:val="TableParagraph"/>
              <w:spacing w:before="27"/>
              <w:ind w:left="187"/>
              <w:jc w:val="left"/>
              <w:rPr>
                <w:sz w:val="20"/>
              </w:rPr>
            </w:pPr>
            <w:r>
              <w:rPr>
                <w:sz w:val="20"/>
              </w:rPr>
              <w:t>3.60% due</w:t>
            </w:r>
            <w:r>
              <w:rPr>
                <w:spacing w:val="-1"/>
                <w:sz w:val="20"/>
              </w:rPr>
              <w:t xml:space="preserve"> </w:t>
            </w:r>
            <w:r>
              <w:rPr>
                <w:spacing w:val="-4"/>
                <w:sz w:val="20"/>
              </w:rPr>
              <w:t>2035</w:t>
            </w:r>
          </w:p>
        </w:tc>
        <w:tc>
          <w:tcPr>
            <w:tcW w:w="2556" w:type="dxa"/>
          </w:tcPr>
          <w:p w14:paraId="6746B29A" w14:textId="77777777" w:rsidR="00AE2255" w:rsidRDefault="00000000">
            <w:pPr>
              <w:pStyle w:val="TableParagraph"/>
              <w:ind w:right="135"/>
              <w:rPr>
                <w:b/>
                <w:sz w:val="20"/>
              </w:rPr>
            </w:pPr>
            <w:r>
              <w:rPr>
                <w:b/>
                <w:spacing w:val="-5"/>
                <w:sz w:val="20"/>
              </w:rPr>
              <w:t>500</w:t>
            </w:r>
          </w:p>
        </w:tc>
        <w:tc>
          <w:tcPr>
            <w:tcW w:w="919" w:type="dxa"/>
          </w:tcPr>
          <w:p w14:paraId="1E3EB66F" w14:textId="77777777" w:rsidR="00AE2255" w:rsidRDefault="00000000">
            <w:pPr>
              <w:pStyle w:val="TableParagraph"/>
              <w:ind w:right="79"/>
              <w:rPr>
                <w:sz w:val="20"/>
              </w:rPr>
            </w:pPr>
            <w:r>
              <w:rPr>
                <w:spacing w:val="-5"/>
                <w:sz w:val="20"/>
              </w:rPr>
              <w:t>500</w:t>
            </w:r>
          </w:p>
        </w:tc>
      </w:tr>
      <w:tr w:rsidR="00AE2255" w14:paraId="33C4FAD2" w14:textId="77777777">
        <w:trPr>
          <w:trHeight w:val="285"/>
        </w:trPr>
        <w:tc>
          <w:tcPr>
            <w:tcW w:w="6755" w:type="dxa"/>
            <w:shd w:val="clear" w:color="auto" w:fill="CCEDFF"/>
          </w:tcPr>
          <w:p w14:paraId="257F4BF9" w14:textId="77777777" w:rsidR="00AE2255" w:rsidRDefault="00000000">
            <w:pPr>
              <w:pStyle w:val="TableParagraph"/>
              <w:spacing w:before="27"/>
              <w:ind w:left="187"/>
              <w:jc w:val="left"/>
              <w:rPr>
                <w:sz w:val="20"/>
              </w:rPr>
            </w:pPr>
            <w:r>
              <w:rPr>
                <w:sz w:val="20"/>
              </w:rPr>
              <w:t>4.50%</w:t>
            </w:r>
            <w:r>
              <w:rPr>
                <w:spacing w:val="-1"/>
                <w:sz w:val="20"/>
              </w:rPr>
              <w:t xml:space="preserve"> </w:t>
            </w:r>
            <w:r>
              <w:rPr>
                <w:sz w:val="20"/>
              </w:rPr>
              <w:t>and 6.15% due</w:t>
            </w:r>
            <w:r>
              <w:rPr>
                <w:spacing w:val="-1"/>
                <w:sz w:val="20"/>
              </w:rPr>
              <w:t xml:space="preserve"> </w:t>
            </w:r>
            <w:r>
              <w:rPr>
                <w:spacing w:val="-4"/>
                <w:sz w:val="20"/>
              </w:rPr>
              <w:t>2036</w:t>
            </w:r>
          </w:p>
        </w:tc>
        <w:tc>
          <w:tcPr>
            <w:tcW w:w="2556" w:type="dxa"/>
            <w:shd w:val="clear" w:color="auto" w:fill="CCEDFF"/>
          </w:tcPr>
          <w:p w14:paraId="1F925D76" w14:textId="77777777" w:rsidR="00AE2255" w:rsidRDefault="00000000">
            <w:pPr>
              <w:pStyle w:val="TableParagraph"/>
              <w:ind w:right="135"/>
              <w:rPr>
                <w:b/>
                <w:sz w:val="20"/>
              </w:rPr>
            </w:pPr>
            <w:r>
              <w:rPr>
                <w:b/>
                <w:spacing w:val="-2"/>
                <w:sz w:val="20"/>
              </w:rPr>
              <w:t>1,054</w:t>
            </w:r>
          </w:p>
        </w:tc>
        <w:tc>
          <w:tcPr>
            <w:tcW w:w="919" w:type="dxa"/>
            <w:shd w:val="clear" w:color="auto" w:fill="CCEDFF"/>
          </w:tcPr>
          <w:p w14:paraId="4D182EB7" w14:textId="77777777" w:rsidR="00AE2255" w:rsidRDefault="00000000">
            <w:pPr>
              <w:pStyle w:val="TableParagraph"/>
              <w:ind w:right="79"/>
              <w:rPr>
                <w:sz w:val="20"/>
              </w:rPr>
            </w:pPr>
            <w:r>
              <w:rPr>
                <w:spacing w:val="-2"/>
                <w:sz w:val="20"/>
              </w:rPr>
              <w:t>1,054</w:t>
            </w:r>
          </w:p>
        </w:tc>
      </w:tr>
      <w:tr w:rsidR="00AE2255" w14:paraId="045A7844" w14:textId="77777777">
        <w:trPr>
          <w:trHeight w:val="285"/>
        </w:trPr>
        <w:tc>
          <w:tcPr>
            <w:tcW w:w="6755" w:type="dxa"/>
          </w:tcPr>
          <w:p w14:paraId="26D72A0D" w14:textId="77777777" w:rsidR="00AE2255" w:rsidRDefault="00000000">
            <w:pPr>
              <w:pStyle w:val="TableParagraph"/>
              <w:spacing w:before="27"/>
              <w:ind w:left="187"/>
              <w:jc w:val="left"/>
              <w:rPr>
                <w:sz w:val="20"/>
              </w:rPr>
            </w:pPr>
            <w:r>
              <w:rPr>
                <w:sz w:val="20"/>
              </w:rPr>
              <w:t>4.07% due</w:t>
            </w:r>
            <w:r>
              <w:rPr>
                <w:spacing w:val="-1"/>
                <w:sz w:val="20"/>
              </w:rPr>
              <w:t xml:space="preserve"> </w:t>
            </w:r>
            <w:r>
              <w:rPr>
                <w:spacing w:val="-4"/>
                <w:sz w:val="20"/>
              </w:rPr>
              <w:t>2042</w:t>
            </w:r>
          </w:p>
        </w:tc>
        <w:tc>
          <w:tcPr>
            <w:tcW w:w="2556" w:type="dxa"/>
          </w:tcPr>
          <w:p w14:paraId="2774ED72" w14:textId="77777777" w:rsidR="00AE2255" w:rsidRDefault="00000000">
            <w:pPr>
              <w:pStyle w:val="TableParagraph"/>
              <w:ind w:right="135"/>
              <w:rPr>
                <w:b/>
                <w:sz w:val="20"/>
              </w:rPr>
            </w:pPr>
            <w:r>
              <w:rPr>
                <w:b/>
                <w:spacing w:val="-2"/>
                <w:sz w:val="20"/>
              </w:rPr>
              <w:t>1,336</w:t>
            </w:r>
          </w:p>
        </w:tc>
        <w:tc>
          <w:tcPr>
            <w:tcW w:w="919" w:type="dxa"/>
          </w:tcPr>
          <w:p w14:paraId="4BC5F525" w14:textId="77777777" w:rsidR="00AE2255" w:rsidRDefault="00000000">
            <w:pPr>
              <w:pStyle w:val="TableParagraph"/>
              <w:ind w:right="79"/>
              <w:rPr>
                <w:sz w:val="20"/>
              </w:rPr>
            </w:pPr>
            <w:r>
              <w:rPr>
                <w:spacing w:val="-2"/>
                <w:sz w:val="20"/>
              </w:rPr>
              <w:t>1,336</w:t>
            </w:r>
          </w:p>
        </w:tc>
      </w:tr>
      <w:tr w:rsidR="00AE2255" w14:paraId="7112B009" w14:textId="77777777">
        <w:trPr>
          <w:trHeight w:val="285"/>
        </w:trPr>
        <w:tc>
          <w:tcPr>
            <w:tcW w:w="6755" w:type="dxa"/>
            <w:shd w:val="clear" w:color="auto" w:fill="CCEDFF"/>
          </w:tcPr>
          <w:p w14:paraId="1DC48ACB" w14:textId="77777777" w:rsidR="00AE2255" w:rsidRDefault="00000000">
            <w:pPr>
              <w:pStyle w:val="TableParagraph"/>
              <w:spacing w:before="27"/>
              <w:ind w:left="187"/>
              <w:jc w:val="left"/>
              <w:rPr>
                <w:sz w:val="20"/>
              </w:rPr>
            </w:pPr>
            <w:r>
              <w:rPr>
                <w:sz w:val="20"/>
              </w:rPr>
              <w:t>3.80% due</w:t>
            </w:r>
            <w:r>
              <w:rPr>
                <w:spacing w:val="-1"/>
                <w:sz w:val="20"/>
              </w:rPr>
              <w:t xml:space="preserve"> </w:t>
            </w:r>
            <w:r>
              <w:rPr>
                <w:spacing w:val="-4"/>
                <w:sz w:val="20"/>
              </w:rPr>
              <w:t>2045</w:t>
            </w:r>
          </w:p>
        </w:tc>
        <w:tc>
          <w:tcPr>
            <w:tcW w:w="2556" w:type="dxa"/>
            <w:shd w:val="clear" w:color="auto" w:fill="CCEDFF"/>
          </w:tcPr>
          <w:p w14:paraId="180D492B" w14:textId="77777777" w:rsidR="00AE2255" w:rsidRDefault="00000000">
            <w:pPr>
              <w:pStyle w:val="TableParagraph"/>
              <w:ind w:right="135"/>
              <w:rPr>
                <w:b/>
                <w:sz w:val="20"/>
              </w:rPr>
            </w:pPr>
            <w:r>
              <w:rPr>
                <w:b/>
                <w:spacing w:val="-2"/>
                <w:sz w:val="20"/>
              </w:rPr>
              <w:t>1,000</w:t>
            </w:r>
          </w:p>
        </w:tc>
        <w:tc>
          <w:tcPr>
            <w:tcW w:w="919" w:type="dxa"/>
            <w:shd w:val="clear" w:color="auto" w:fill="CCEDFF"/>
          </w:tcPr>
          <w:p w14:paraId="50BCABAB" w14:textId="77777777" w:rsidR="00AE2255" w:rsidRDefault="00000000">
            <w:pPr>
              <w:pStyle w:val="TableParagraph"/>
              <w:ind w:right="79"/>
              <w:rPr>
                <w:sz w:val="20"/>
              </w:rPr>
            </w:pPr>
            <w:r>
              <w:rPr>
                <w:spacing w:val="-2"/>
                <w:sz w:val="20"/>
              </w:rPr>
              <w:t>1,000</w:t>
            </w:r>
          </w:p>
        </w:tc>
      </w:tr>
      <w:tr w:rsidR="00AE2255" w14:paraId="6BE0FAE9" w14:textId="77777777">
        <w:trPr>
          <w:trHeight w:val="285"/>
        </w:trPr>
        <w:tc>
          <w:tcPr>
            <w:tcW w:w="6755" w:type="dxa"/>
          </w:tcPr>
          <w:p w14:paraId="74F83F34" w14:textId="77777777" w:rsidR="00AE2255" w:rsidRDefault="00000000">
            <w:pPr>
              <w:pStyle w:val="TableParagraph"/>
              <w:spacing w:before="27"/>
              <w:ind w:left="187"/>
              <w:jc w:val="left"/>
              <w:rPr>
                <w:sz w:val="20"/>
              </w:rPr>
            </w:pPr>
            <w:r>
              <w:rPr>
                <w:sz w:val="20"/>
              </w:rPr>
              <w:t>4.70% due</w:t>
            </w:r>
            <w:r>
              <w:rPr>
                <w:spacing w:val="-1"/>
                <w:sz w:val="20"/>
              </w:rPr>
              <w:t xml:space="preserve"> </w:t>
            </w:r>
            <w:r>
              <w:rPr>
                <w:spacing w:val="-4"/>
                <w:sz w:val="20"/>
              </w:rPr>
              <w:t>2046</w:t>
            </w:r>
          </w:p>
        </w:tc>
        <w:tc>
          <w:tcPr>
            <w:tcW w:w="2556" w:type="dxa"/>
          </w:tcPr>
          <w:p w14:paraId="729DAA7E" w14:textId="77777777" w:rsidR="00AE2255" w:rsidRDefault="00000000">
            <w:pPr>
              <w:pStyle w:val="TableParagraph"/>
              <w:ind w:right="135"/>
              <w:rPr>
                <w:b/>
                <w:sz w:val="20"/>
              </w:rPr>
            </w:pPr>
            <w:r>
              <w:rPr>
                <w:b/>
                <w:spacing w:val="-2"/>
                <w:sz w:val="20"/>
              </w:rPr>
              <w:t>1,326</w:t>
            </w:r>
          </w:p>
        </w:tc>
        <w:tc>
          <w:tcPr>
            <w:tcW w:w="919" w:type="dxa"/>
          </w:tcPr>
          <w:p w14:paraId="25A2A6AD" w14:textId="77777777" w:rsidR="00AE2255" w:rsidRDefault="00000000">
            <w:pPr>
              <w:pStyle w:val="TableParagraph"/>
              <w:ind w:right="79"/>
              <w:rPr>
                <w:sz w:val="20"/>
              </w:rPr>
            </w:pPr>
            <w:r>
              <w:rPr>
                <w:spacing w:val="-2"/>
                <w:sz w:val="20"/>
              </w:rPr>
              <w:t>1,326</w:t>
            </w:r>
          </w:p>
        </w:tc>
      </w:tr>
      <w:tr w:rsidR="00AE2255" w14:paraId="24D46F3C" w14:textId="77777777">
        <w:trPr>
          <w:trHeight w:val="285"/>
        </w:trPr>
        <w:tc>
          <w:tcPr>
            <w:tcW w:w="6755" w:type="dxa"/>
            <w:shd w:val="clear" w:color="auto" w:fill="CCEDFF"/>
          </w:tcPr>
          <w:p w14:paraId="3106A219" w14:textId="77777777" w:rsidR="00AE2255" w:rsidRDefault="00000000">
            <w:pPr>
              <w:pStyle w:val="TableParagraph"/>
              <w:spacing w:before="27"/>
              <w:ind w:left="187"/>
              <w:jc w:val="left"/>
              <w:rPr>
                <w:sz w:val="20"/>
              </w:rPr>
            </w:pPr>
            <w:r>
              <w:rPr>
                <w:sz w:val="20"/>
              </w:rPr>
              <w:t>2.80% due</w:t>
            </w:r>
            <w:r>
              <w:rPr>
                <w:spacing w:val="-1"/>
                <w:sz w:val="20"/>
              </w:rPr>
              <w:t xml:space="preserve"> </w:t>
            </w:r>
            <w:r>
              <w:rPr>
                <w:spacing w:val="-4"/>
                <w:sz w:val="20"/>
              </w:rPr>
              <w:t>2050</w:t>
            </w:r>
          </w:p>
        </w:tc>
        <w:tc>
          <w:tcPr>
            <w:tcW w:w="2556" w:type="dxa"/>
            <w:shd w:val="clear" w:color="auto" w:fill="CCEDFF"/>
          </w:tcPr>
          <w:p w14:paraId="668570D2" w14:textId="77777777" w:rsidR="00AE2255" w:rsidRDefault="00000000">
            <w:pPr>
              <w:pStyle w:val="TableParagraph"/>
              <w:ind w:right="135"/>
              <w:rPr>
                <w:b/>
                <w:sz w:val="20"/>
              </w:rPr>
            </w:pPr>
            <w:r>
              <w:rPr>
                <w:b/>
                <w:spacing w:val="-5"/>
                <w:sz w:val="20"/>
              </w:rPr>
              <w:t>750</w:t>
            </w:r>
          </w:p>
        </w:tc>
        <w:tc>
          <w:tcPr>
            <w:tcW w:w="919" w:type="dxa"/>
            <w:shd w:val="clear" w:color="auto" w:fill="CCEDFF"/>
          </w:tcPr>
          <w:p w14:paraId="28461D07" w14:textId="77777777" w:rsidR="00AE2255" w:rsidRDefault="00000000">
            <w:pPr>
              <w:pStyle w:val="TableParagraph"/>
              <w:ind w:right="79"/>
              <w:rPr>
                <w:sz w:val="20"/>
              </w:rPr>
            </w:pPr>
            <w:r>
              <w:rPr>
                <w:spacing w:val="-5"/>
                <w:sz w:val="20"/>
              </w:rPr>
              <w:t>750</w:t>
            </w:r>
          </w:p>
        </w:tc>
      </w:tr>
      <w:tr w:rsidR="00AE2255" w14:paraId="6A91FCF7" w14:textId="77777777">
        <w:trPr>
          <w:trHeight w:val="285"/>
        </w:trPr>
        <w:tc>
          <w:tcPr>
            <w:tcW w:w="6755" w:type="dxa"/>
          </w:tcPr>
          <w:p w14:paraId="04BC1489" w14:textId="77777777" w:rsidR="00AE2255" w:rsidRDefault="00000000">
            <w:pPr>
              <w:pStyle w:val="TableParagraph"/>
              <w:spacing w:before="27"/>
              <w:ind w:left="187"/>
              <w:jc w:val="left"/>
              <w:rPr>
                <w:sz w:val="20"/>
              </w:rPr>
            </w:pPr>
            <w:r>
              <w:rPr>
                <w:sz w:val="20"/>
              </w:rPr>
              <w:t>4.09% due</w:t>
            </w:r>
            <w:r>
              <w:rPr>
                <w:spacing w:val="-1"/>
                <w:sz w:val="20"/>
              </w:rPr>
              <w:t xml:space="preserve"> </w:t>
            </w:r>
            <w:r>
              <w:rPr>
                <w:spacing w:val="-4"/>
                <w:sz w:val="20"/>
              </w:rPr>
              <w:t>2052</w:t>
            </w:r>
          </w:p>
        </w:tc>
        <w:tc>
          <w:tcPr>
            <w:tcW w:w="2556" w:type="dxa"/>
          </w:tcPr>
          <w:p w14:paraId="3E6C870A" w14:textId="77777777" w:rsidR="00AE2255" w:rsidRDefault="00000000">
            <w:pPr>
              <w:pStyle w:val="TableParagraph"/>
              <w:ind w:right="135"/>
              <w:rPr>
                <w:b/>
                <w:sz w:val="20"/>
              </w:rPr>
            </w:pPr>
            <w:r>
              <w:rPr>
                <w:b/>
                <w:spacing w:val="-2"/>
                <w:sz w:val="20"/>
              </w:rPr>
              <w:t>1,578</w:t>
            </w:r>
          </w:p>
        </w:tc>
        <w:tc>
          <w:tcPr>
            <w:tcW w:w="919" w:type="dxa"/>
          </w:tcPr>
          <w:p w14:paraId="6485581B" w14:textId="77777777" w:rsidR="00AE2255" w:rsidRDefault="00000000">
            <w:pPr>
              <w:pStyle w:val="TableParagraph"/>
              <w:ind w:right="79"/>
              <w:rPr>
                <w:sz w:val="20"/>
              </w:rPr>
            </w:pPr>
            <w:r>
              <w:rPr>
                <w:spacing w:val="-2"/>
                <w:sz w:val="20"/>
              </w:rPr>
              <w:t>1,578</w:t>
            </w:r>
          </w:p>
        </w:tc>
      </w:tr>
      <w:tr w:rsidR="00AE2255" w14:paraId="3BFA9555" w14:textId="77777777">
        <w:trPr>
          <w:trHeight w:val="285"/>
        </w:trPr>
        <w:tc>
          <w:tcPr>
            <w:tcW w:w="6755" w:type="dxa"/>
            <w:shd w:val="clear" w:color="auto" w:fill="CCEDFF"/>
          </w:tcPr>
          <w:p w14:paraId="7DA284EA" w14:textId="77777777" w:rsidR="00AE2255" w:rsidRDefault="00000000">
            <w:pPr>
              <w:pStyle w:val="TableParagraph"/>
              <w:spacing w:before="27"/>
              <w:ind w:left="172"/>
              <w:jc w:val="left"/>
              <w:rPr>
                <w:sz w:val="20"/>
              </w:rPr>
            </w:pPr>
            <w:r>
              <w:rPr>
                <w:sz w:val="20"/>
              </w:rPr>
              <w:t>4.15% due</w:t>
            </w:r>
            <w:r>
              <w:rPr>
                <w:spacing w:val="-1"/>
                <w:sz w:val="20"/>
              </w:rPr>
              <w:t xml:space="preserve"> </w:t>
            </w:r>
            <w:r>
              <w:rPr>
                <w:spacing w:val="-4"/>
                <w:sz w:val="20"/>
              </w:rPr>
              <w:t>2053</w:t>
            </w:r>
          </w:p>
        </w:tc>
        <w:tc>
          <w:tcPr>
            <w:tcW w:w="2556" w:type="dxa"/>
            <w:shd w:val="clear" w:color="auto" w:fill="CCEDFF"/>
          </w:tcPr>
          <w:p w14:paraId="5ED20881" w14:textId="77777777" w:rsidR="00AE2255" w:rsidRDefault="00000000">
            <w:pPr>
              <w:pStyle w:val="TableParagraph"/>
              <w:ind w:right="135"/>
              <w:rPr>
                <w:b/>
                <w:sz w:val="20"/>
              </w:rPr>
            </w:pPr>
            <w:r>
              <w:rPr>
                <w:b/>
                <w:spacing w:val="-5"/>
                <w:sz w:val="20"/>
              </w:rPr>
              <w:t>850</w:t>
            </w:r>
          </w:p>
        </w:tc>
        <w:tc>
          <w:tcPr>
            <w:tcW w:w="919" w:type="dxa"/>
            <w:shd w:val="clear" w:color="auto" w:fill="CCEDFF"/>
          </w:tcPr>
          <w:p w14:paraId="3A9D34AD" w14:textId="77777777" w:rsidR="00AE2255" w:rsidRDefault="00000000">
            <w:pPr>
              <w:pStyle w:val="TableParagraph"/>
              <w:ind w:right="79"/>
              <w:rPr>
                <w:sz w:val="20"/>
              </w:rPr>
            </w:pPr>
            <w:r>
              <w:rPr>
                <w:sz w:val="20"/>
              </w:rPr>
              <w:t>—</w:t>
            </w:r>
          </w:p>
        </w:tc>
      </w:tr>
      <w:tr w:rsidR="00AE2255" w14:paraId="3F96B439" w14:textId="77777777">
        <w:trPr>
          <w:trHeight w:val="285"/>
        </w:trPr>
        <w:tc>
          <w:tcPr>
            <w:tcW w:w="6755" w:type="dxa"/>
          </w:tcPr>
          <w:p w14:paraId="173FB878" w14:textId="77777777" w:rsidR="00AE2255" w:rsidRDefault="00000000">
            <w:pPr>
              <w:pStyle w:val="TableParagraph"/>
              <w:spacing w:before="27"/>
              <w:ind w:left="172"/>
              <w:jc w:val="left"/>
              <w:rPr>
                <w:sz w:val="20"/>
              </w:rPr>
            </w:pPr>
            <w:r>
              <w:rPr>
                <w:sz w:val="20"/>
              </w:rPr>
              <w:t>5.70% due</w:t>
            </w:r>
            <w:r>
              <w:rPr>
                <w:spacing w:val="-1"/>
                <w:sz w:val="20"/>
              </w:rPr>
              <w:t xml:space="preserve"> </w:t>
            </w:r>
            <w:r>
              <w:rPr>
                <w:spacing w:val="-4"/>
                <w:sz w:val="20"/>
              </w:rPr>
              <w:t>2054</w:t>
            </w:r>
          </w:p>
        </w:tc>
        <w:tc>
          <w:tcPr>
            <w:tcW w:w="2556" w:type="dxa"/>
          </w:tcPr>
          <w:p w14:paraId="02949E3A" w14:textId="77777777" w:rsidR="00AE2255" w:rsidRDefault="00000000">
            <w:pPr>
              <w:pStyle w:val="TableParagraph"/>
              <w:ind w:right="135"/>
              <w:rPr>
                <w:b/>
                <w:sz w:val="20"/>
              </w:rPr>
            </w:pPr>
            <w:r>
              <w:rPr>
                <w:b/>
                <w:spacing w:val="-2"/>
                <w:sz w:val="20"/>
              </w:rPr>
              <w:t>1,000</w:t>
            </w:r>
          </w:p>
        </w:tc>
        <w:tc>
          <w:tcPr>
            <w:tcW w:w="919" w:type="dxa"/>
          </w:tcPr>
          <w:p w14:paraId="1A86C740" w14:textId="77777777" w:rsidR="00AE2255" w:rsidRDefault="00000000">
            <w:pPr>
              <w:pStyle w:val="TableParagraph"/>
              <w:ind w:right="79"/>
              <w:rPr>
                <w:sz w:val="20"/>
              </w:rPr>
            </w:pPr>
            <w:r>
              <w:rPr>
                <w:sz w:val="20"/>
              </w:rPr>
              <w:t>—</w:t>
            </w:r>
          </w:p>
        </w:tc>
      </w:tr>
      <w:tr w:rsidR="00AE2255" w14:paraId="22FCF6FB" w14:textId="77777777">
        <w:trPr>
          <w:trHeight w:val="285"/>
        </w:trPr>
        <w:tc>
          <w:tcPr>
            <w:tcW w:w="6755" w:type="dxa"/>
            <w:shd w:val="clear" w:color="auto" w:fill="CCEDFF"/>
          </w:tcPr>
          <w:p w14:paraId="138CD49D" w14:textId="77777777" w:rsidR="00AE2255" w:rsidRDefault="00000000">
            <w:pPr>
              <w:pStyle w:val="TableParagraph"/>
              <w:spacing w:before="27"/>
              <w:ind w:left="172"/>
              <w:jc w:val="left"/>
              <w:rPr>
                <w:sz w:val="20"/>
              </w:rPr>
            </w:pPr>
            <w:r>
              <w:rPr>
                <w:sz w:val="20"/>
              </w:rPr>
              <w:t>4.30% due</w:t>
            </w:r>
            <w:r>
              <w:rPr>
                <w:spacing w:val="-1"/>
                <w:sz w:val="20"/>
              </w:rPr>
              <w:t xml:space="preserve"> </w:t>
            </w:r>
            <w:r>
              <w:rPr>
                <w:spacing w:val="-4"/>
                <w:sz w:val="20"/>
              </w:rPr>
              <w:t>2062</w:t>
            </w:r>
          </w:p>
        </w:tc>
        <w:tc>
          <w:tcPr>
            <w:tcW w:w="2556" w:type="dxa"/>
            <w:shd w:val="clear" w:color="auto" w:fill="CCEDFF"/>
          </w:tcPr>
          <w:p w14:paraId="1CC53FB6" w14:textId="77777777" w:rsidR="00AE2255" w:rsidRDefault="00000000">
            <w:pPr>
              <w:pStyle w:val="TableParagraph"/>
              <w:ind w:right="135"/>
              <w:rPr>
                <w:b/>
                <w:sz w:val="20"/>
              </w:rPr>
            </w:pPr>
            <w:r>
              <w:rPr>
                <w:b/>
                <w:spacing w:val="-5"/>
                <w:sz w:val="20"/>
              </w:rPr>
              <w:t>650</w:t>
            </w:r>
          </w:p>
        </w:tc>
        <w:tc>
          <w:tcPr>
            <w:tcW w:w="919" w:type="dxa"/>
            <w:shd w:val="clear" w:color="auto" w:fill="CCEDFF"/>
          </w:tcPr>
          <w:p w14:paraId="5629F731" w14:textId="77777777" w:rsidR="00AE2255" w:rsidRDefault="00000000">
            <w:pPr>
              <w:pStyle w:val="TableParagraph"/>
              <w:ind w:right="79"/>
              <w:rPr>
                <w:sz w:val="20"/>
              </w:rPr>
            </w:pPr>
            <w:r>
              <w:rPr>
                <w:sz w:val="20"/>
              </w:rPr>
              <w:t>—</w:t>
            </w:r>
          </w:p>
        </w:tc>
      </w:tr>
      <w:tr w:rsidR="00AE2255" w14:paraId="4D3B9582" w14:textId="77777777">
        <w:trPr>
          <w:trHeight w:val="285"/>
        </w:trPr>
        <w:tc>
          <w:tcPr>
            <w:tcW w:w="6755" w:type="dxa"/>
          </w:tcPr>
          <w:p w14:paraId="5D9BCF67" w14:textId="77777777" w:rsidR="00AE2255" w:rsidRDefault="00000000">
            <w:pPr>
              <w:pStyle w:val="TableParagraph"/>
              <w:spacing w:before="27"/>
              <w:ind w:left="172"/>
              <w:jc w:val="left"/>
              <w:rPr>
                <w:sz w:val="20"/>
              </w:rPr>
            </w:pPr>
            <w:r>
              <w:rPr>
                <w:sz w:val="20"/>
              </w:rPr>
              <w:t>5.90% due</w:t>
            </w:r>
            <w:r>
              <w:rPr>
                <w:spacing w:val="-1"/>
                <w:sz w:val="20"/>
              </w:rPr>
              <w:t xml:space="preserve"> </w:t>
            </w:r>
            <w:r>
              <w:rPr>
                <w:spacing w:val="-4"/>
                <w:sz w:val="20"/>
              </w:rPr>
              <w:t>2063</w:t>
            </w:r>
          </w:p>
        </w:tc>
        <w:tc>
          <w:tcPr>
            <w:tcW w:w="2556" w:type="dxa"/>
          </w:tcPr>
          <w:p w14:paraId="3D70828D" w14:textId="77777777" w:rsidR="00AE2255" w:rsidRDefault="00000000">
            <w:pPr>
              <w:pStyle w:val="TableParagraph"/>
              <w:ind w:right="135"/>
              <w:rPr>
                <w:b/>
                <w:sz w:val="20"/>
              </w:rPr>
            </w:pPr>
            <w:r>
              <w:rPr>
                <w:b/>
                <w:spacing w:val="-5"/>
                <w:sz w:val="20"/>
              </w:rPr>
              <w:t>750</w:t>
            </w:r>
          </w:p>
        </w:tc>
        <w:tc>
          <w:tcPr>
            <w:tcW w:w="919" w:type="dxa"/>
          </w:tcPr>
          <w:p w14:paraId="204D36CA" w14:textId="77777777" w:rsidR="00AE2255" w:rsidRDefault="00000000">
            <w:pPr>
              <w:pStyle w:val="TableParagraph"/>
              <w:ind w:right="79"/>
              <w:rPr>
                <w:sz w:val="20"/>
              </w:rPr>
            </w:pPr>
            <w:r>
              <w:rPr>
                <w:sz w:val="20"/>
              </w:rPr>
              <w:t>—</w:t>
            </w:r>
          </w:p>
        </w:tc>
      </w:tr>
      <w:tr w:rsidR="00AE2255" w14:paraId="19DDEEAC" w14:textId="77777777">
        <w:trPr>
          <w:trHeight w:val="275"/>
        </w:trPr>
        <w:tc>
          <w:tcPr>
            <w:tcW w:w="6755" w:type="dxa"/>
            <w:tcBorders>
              <w:bottom w:val="single" w:sz="8" w:space="0" w:color="CCEDFF"/>
            </w:tcBorders>
            <w:shd w:val="clear" w:color="auto" w:fill="CCEDFF"/>
          </w:tcPr>
          <w:p w14:paraId="01E389ED" w14:textId="77777777" w:rsidR="00AE2255" w:rsidRDefault="00000000">
            <w:pPr>
              <w:pStyle w:val="TableParagraph"/>
              <w:spacing w:before="27" w:line="228" w:lineRule="exact"/>
              <w:ind w:left="172"/>
              <w:jc w:val="left"/>
              <w:rPr>
                <w:sz w:val="20"/>
              </w:rPr>
            </w:pPr>
            <w:r>
              <w:rPr>
                <w:sz w:val="20"/>
              </w:rPr>
              <w:t>Other</w:t>
            </w:r>
            <w:r>
              <w:rPr>
                <w:spacing w:val="-2"/>
                <w:sz w:val="20"/>
              </w:rPr>
              <w:t xml:space="preserve"> </w:t>
            </w:r>
            <w:r>
              <w:rPr>
                <w:sz w:val="20"/>
              </w:rPr>
              <w:t>notes</w:t>
            </w:r>
            <w:r>
              <w:rPr>
                <w:spacing w:val="-2"/>
                <w:sz w:val="20"/>
              </w:rPr>
              <w:t xml:space="preserve"> </w:t>
            </w:r>
            <w:r>
              <w:rPr>
                <w:sz w:val="20"/>
              </w:rPr>
              <w:t>with</w:t>
            </w:r>
            <w:r>
              <w:rPr>
                <w:spacing w:val="-1"/>
                <w:sz w:val="20"/>
              </w:rPr>
              <w:t xml:space="preserve"> </w:t>
            </w:r>
            <w:r>
              <w:rPr>
                <w:sz w:val="20"/>
              </w:rPr>
              <w:t>rates</w:t>
            </w:r>
            <w:r>
              <w:rPr>
                <w:spacing w:val="-2"/>
                <w:sz w:val="20"/>
              </w:rPr>
              <w:t xml:space="preserve"> </w:t>
            </w:r>
            <w:r>
              <w:rPr>
                <w:sz w:val="20"/>
              </w:rPr>
              <w:t>from</w:t>
            </w:r>
            <w:r>
              <w:rPr>
                <w:spacing w:val="-2"/>
                <w:sz w:val="20"/>
              </w:rPr>
              <w:t xml:space="preserve"> </w:t>
            </w:r>
            <w:r>
              <w:rPr>
                <w:sz w:val="20"/>
              </w:rPr>
              <w:t>4.85%</w:t>
            </w:r>
            <w:r>
              <w:rPr>
                <w:spacing w:val="-2"/>
                <w:sz w:val="20"/>
              </w:rPr>
              <w:t xml:space="preserve"> </w:t>
            </w:r>
            <w:r>
              <w:rPr>
                <w:sz w:val="20"/>
              </w:rPr>
              <w:t>to</w:t>
            </w:r>
            <w:r>
              <w:rPr>
                <w:spacing w:val="-1"/>
                <w:sz w:val="20"/>
              </w:rPr>
              <w:t xml:space="preserve"> </w:t>
            </w:r>
            <w:r>
              <w:rPr>
                <w:sz w:val="20"/>
              </w:rPr>
              <w:t>8.5%,</w:t>
            </w:r>
            <w:r>
              <w:rPr>
                <w:spacing w:val="-1"/>
                <w:sz w:val="20"/>
              </w:rPr>
              <w:t xml:space="preserve"> </w:t>
            </w:r>
            <w:r>
              <w:rPr>
                <w:sz w:val="20"/>
              </w:rPr>
              <w:t>due</w:t>
            </w:r>
            <w:r>
              <w:rPr>
                <w:spacing w:val="-2"/>
                <w:sz w:val="20"/>
              </w:rPr>
              <w:t xml:space="preserve"> </w:t>
            </w:r>
            <w:r>
              <w:rPr>
                <w:sz w:val="20"/>
              </w:rPr>
              <w:t>2023</w:t>
            </w:r>
            <w:r>
              <w:rPr>
                <w:spacing w:val="-1"/>
                <w:sz w:val="20"/>
              </w:rPr>
              <w:t xml:space="preserve"> </w:t>
            </w:r>
            <w:r>
              <w:rPr>
                <w:sz w:val="20"/>
              </w:rPr>
              <w:t>to</w:t>
            </w:r>
            <w:r>
              <w:rPr>
                <w:spacing w:val="-1"/>
                <w:sz w:val="20"/>
              </w:rPr>
              <w:t xml:space="preserve"> </w:t>
            </w:r>
            <w:r>
              <w:rPr>
                <w:spacing w:val="-4"/>
                <w:sz w:val="20"/>
              </w:rPr>
              <w:t>2029</w:t>
            </w:r>
          </w:p>
        </w:tc>
        <w:tc>
          <w:tcPr>
            <w:tcW w:w="2556" w:type="dxa"/>
            <w:tcBorders>
              <w:bottom w:val="single" w:sz="8" w:space="0" w:color="CCEDFF"/>
            </w:tcBorders>
            <w:shd w:val="clear" w:color="auto" w:fill="CCEDFF"/>
          </w:tcPr>
          <w:p w14:paraId="112EF994" w14:textId="77777777" w:rsidR="00AE2255" w:rsidRDefault="00000000">
            <w:pPr>
              <w:pStyle w:val="TableParagraph"/>
              <w:spacing w:line="230" w:lineRule="exact"/>
              <w:ind w:right="135"/>
              <w:rPr>
                <w:b/>
                <w:sz w:val="20"/>
              </w:rPr>
            </w:pPr>
            <w:r>
              <w:rPr>
                <w:b/>
                <w:spacing w:val="-2"/>
                <w:sz w:val="20"/>
              </w:rPr>
              <w:t>1,598</w:t>
            </w:r>
          </w:p>
        </w:tc>
        <w:tc>
          <w:tcPr>
            <w:tcW w:w="919" w:type="dxa"/>
            <w:tcBorders>
              <w:bottom w:val="single" w:sz="8" w:space="0" w:color="CCEDFF"/>
            </w:tcBorders>
            <w:shd w:val="clear" w:color="auto" w:fill="CCEDFF"/>
          </w:tcPr>
          <w:p w14:paraId="52296A40" w14:textId="77777777" w:rsidR="00AE2255" w:rsidRDefault="00000000">
            <w:pPr>
              <w:pStyle w:val="TableParagraph"/>
              <w:spacing w:line="230" w:lineRule="exact"/>
              <w:ind w:right="79"/>
              <w:rPr>
                <w:sz w:val="20"/>
              </w:rPr>
            </w:pPr>
            <w:r>
              <w:rPr>
                <w:spacing w:val="-2"/>
                <w:sz w:val="20"/>
              </w:rPr>
              <w:t>1,605</w:t>
            </w:r>
          </w:p>
        </w:tc>
      </w:tr>
      <w:tr w:rsidR="00AE2255" w14:paraId="1AAA2273" w14:textId="77777777">
        <w:trPr>
          <w:trHeight w:val="275"/>
        </w:trPr>
        <w:tc>
          <w:tcPr>
            <w:tcW w:w="6755" w:type="dxa"/>
            <w:tcBorders>
              <w:top w:val="single" w:sz="8" w:space="0" w:color="auto"/>
            </w:tcBorders>
          </w:tcPr>
          <w:p w14:paraId="7219F2A8" w14:textId="77777777" w:rsidR="00AE2255" w:rsidRDefault="00000000">
            <w:pPr>
              <w:pStyle w:val="TableParagraph"/>
              <w:spacing w:before="17"/>
              <w:ind w:left="52"/>
              <w:jc w:val="left"/>
              <w:rPr>
                <w:sz w:val="20"/>
              </w:rPr>
            </w:pPr>
            <w:r>
              <w:rPr>
                <w:sz w:val="20"/>
              </w:rPr>
              <w:t>Total</w:t>
            </w:r>
            <w:r>
              <w:rPr>
                <w:spacing w:val="-4"/>
                <w:sz w:val="20"/>
              </w:rPr>
              <w:t xml:space="preserve"> debt</w:t>
            </w:r>
          </w:p>
        </w:tc>
        <w:tc>
          <w:tcPr>
            <w:tcW w:w="2556" w:type="dxa"/>
            <w:tcBorders>
              <w:top w:val="single" w:sz="8" w:space="0" w:color="auto"/>
            </w:tcBorders>
          </w:tcPr>
          <w:p w14:paraId="687EFD62" w14:textId="77777777" w:rsidR="00AE2255" w:rsidRDefault="00000000">
            <w:pPr>
              <w:pStyle w:val="TableParagraph"/>
              <w:spacing w:before="15"/>
              <w:ind w:right="135"/>
              <w:rPr>
                <w:b/>
                <w:sz w:val="20"/>
              </w:rPr>
            </w:pPr>
            <w:r>
              <w:rPr>
                <w:b/>
                <w:spacing w:val="-2"/>
                <w:sz w:val="20"/>
              </w:rPr>
              <w:t>16,842</w:t>
            </w:r>
          </w:p>
        </w:tc>
        <w:tc>
          <w:tcPr>
            <w:tcW w:w="919" w:type="dxa"/>
            <w:tcBorders>
              <w:top w:val="single" w:sz="8" w:space="0" w:color="auto"/>
            </w:tcBorders>
          </w:tcPr>
          <w:p w14:paraId="6ACB773C" w14:textId="77777777" w:rsidR="00AE2255" w:rsidRDefault="00000000">
            <w:pPr>
              <w:pStyle w:val="TableParagraph"/>
              <w:spacing w:before="15"/>
              <w:ind w:left="287"/>
              <w:jc w:val="left"/>
              <w:rPr>
                <w:sz w:val="20"/>
              </w:rPr>
            </w:pPr>
            <w:r>
              <w:rPr>
                <w:spacing w:val="-2"/>
                <w:sz w:val="20"/>
              </w:rPr>
              <w:t>12,799</w:t>
            </w:r>
          </w:p>
        </w:tc>
      </w:tr>
      <w:tr w:rsidR="00AE2255" w14:paraId="3DB73E09" w14:textId="77777777">
        <w:trPr>
          <w:trHeight w:val="275"/>
        </w:trPr>
        <w:tc>
          <w:tcPr>
            <w:tcW w:w="6755" w:type="dxa"/>
            <w:tcBorders>
              <w:bottom w:val="single" w:sz="8" w:space="0" w:color="000000"/>
            </w:tcBorders>
            <w:shd w:val="clear" w:color="auto" w:fill="CCEDFF"/>
          </w:tcPr>
          <w:p w14:paraId="0BF84DC1" w14:textId="77777777" w:rsidR="00AE2255" w:rsidRDefault="00000000">
            <w:pPr>
              <w:pStyle w:val="TableParagraph"/>
              <w:spacing w:before="27" w:line="228" w:lineRule="exact"/>
              <w:ind w:left="187"/>
              <w:jc w:val="left"/>
              <w:rPr>
                <w:sz w:val="20"/>
              </w:rPr>
            </w:pPr>
            <w:r>
              <w:rPr>
                <w:sz w:val="20"/>
              </w:rPr>
              <w:t>Less:</w:t>
            </w:r>
            <w:r>
              <w:rPr>
                <w:spacing w:val="-5"/>
                <w:sz w:val="20"/>
              </w:rPr>
              <w:t xml:space="preserve"> </w:t>
            </w:r>
            <w:r>
              <w:rPr>
                <w:sz w:val="20"/>
              </w:rPr>
              <w:t>unamortized</w:t>
            </w:r>
            <w:r>
              <w:rPr>
                <w:spacing w:val="-5"/>
                <w:sz w:val="20"/>
              </w:rPr>
              <w:t xml:space="preserve"> </w:t>
            </w:r>
            <w:r>
              <w:rPr>
                <w:sz w:val="20"/>
              </w:rPr>
              <w:t>discounts</w:t>
            </w:r>
            <w:r>
              <w:rPr>
                <w:spacing w:val="-4"/>
                <w:sz w:val="20"/>
              </w:rPr>
              <w:t xml:space="preserve"> </w:t>
            </w:r>
            <w:r>
              <w:rPr>
                <w:sz w:val="20"/>
              </w:rPr>
              <w:t>and</w:t>
            </w:r>
            <w:r>
              <w:rPr>
                <w:spacing w:val="-5"/>
                <w:sz w:val="20"/>
              </w:rPr>
              <w:t xml:space="preserve"> </w:t>
            </w:r>
            <w:r>
              <w:rPr>
                <w:sz w:val="20"/>
              </w:rPr>
              <w:t>issuance</w:t>
            </w:r>
            <w:r>
              <w:rPr>
                <w:spacing w:val="-4"/>
                <w:sz w:val="20"/>
              </w:rPr>
              <w:t xml:space="preserve"> costs</w:t>
            </w:r>
          </w:p>
        </w:tc>
        <w:tc>
          <w:tcPr>
            <w:tcW w:w="2556" w:type="dxa"/>
            <w:tcBorders>
              <w:bottom w:val="single" w:sz="8" w:space="0" w:color="000000"/>
            </w:tcBorders>
            <w:shd w:val="clear" w:color="auto" w:fill="CCEDFF"/>
          </w:tcPr>
          <w:p w14:paraId="4FCB8C86" w14:textId="77777777" w:rsidR="00AE2255" w:rsidRDefault="00000000">
            <w:pPr>
              <w:pStyle w:val="TableParagraph"/>
              <w:spacing w:line="230" w:lineRule="exact"/>
              <w:ind w:right="70"/>
              <w:rPr>
                <w:b/>
                <w:sz w:val="20"/>
              </w:rPr>
            </w:pPr>
            <w:r>
              <w:rPr>
                <w:b/>
                <w:spacing w:val="-2"/>
                <w:sz w:val="20"/>
              </w:rPr>
              <w:t>(1,295)</w:t>
            </w:r>
          </w:p>
        </w:tc>
        <w:tc>
          <w:tcPr>
            <w:tcW w:w="919" w:type="dxa"/>
            <w:tcBorders>
              <w:bottom w:val="single" w:sz="8" w:space="0" w:color="000000"/>
            </w:tcBorders>
            <w:shd w:val="clear" w:color="auto" w:fill="CCEDFF"/>
          </w:tcPr>
          <w:p w14:paraId="4EDADF59" w14:textId="77777777" w:rsidR="00AE2255" w:rsidRDefault="00000000">
            <w:pPr>
              <w:pStyle w:val="TableParagraph"/>
              <w:spacing w:line="230" w:lineRule="exact"/>
              <w:ind w:right="14"/>
              <w:rPr>
                <w:sz w:val="20"/>
              </w:rPr>
            </w:pPr>
            <w:r>
              <w:rPr>
                <w:spacing w:val="-2"/>
                <w:sz w:val="20"/>
              </w:rPr>
              <w:t>(1,123)</w:t>
            </w:r>
          </w:p>
        </w:tc>
      </w:tr>
      <w:tr w:rsidR="00AE2255" w14:paraId="1515C621" w14:textId="77777777">
        <w:trPr>
          <w:trHeight w:val="275"/>
        </w:trPr>
        <w:tc>
          <w:tcPr>
            <w:tcW w:w="6755" w:type="dxa"/>
            <w:tcBorders>
              <w:top w:val="single" w:sz="8" w:space="0" w:color="000000"/>
            </w:tcBorders>
          </w:tcPr>
          <w:p w14:paraId="39D3BDE8" w14:textId="77777777" w:rsidR="00AE2255" w:rsidRDefault="00000000">
            <w:pPr>
              <w:pStyle w:val="TableParagraph"/>
              <w:spacing w:before="17"/>
              <w:ind w:left="52"/>
              <w:jc w:val="left"/>
              <w:rPr>
                <w:sz w:val="20"/>
              </w:rPr>
            </w:pPr>
            <w:r>
              <w:rPr>
                <w:sz w:val="20"/>
              </w:rPr>
              <w:t>Total</w:t>
            </w:r>
            <w:r>
              <w:rPr>
                <w:spacing w:val="-4"/>
                <w:sz w:val="20"/>
              </w:rPr>
              <w:t xml:space="preserve"> </w:t>
            </w:r>
            <w:r>
              <w:rPr>
                <w:sz w:val="20"/>
              </w:rPr>
              <w:t>debt,</w:t>
            </w:r>
            <w:r>
              <w:rPr>
                <w:spacing w:val="-2"/>
                <w:sz w:val="20"/>
              </w:rPr>
              <w:t xml:space="preserve"> </w:t>
            </w:r>
            <w:r>
              <w:rPr>
                <w:spacing w:val="-5"/>
                <w:sz w:val="20"/>
              </w:rPr>
              <w:t>net</w:t>
            </w:r>
          </w:p>
        </w:tc>
        <w:tc>
          <w:tcPr>
            <w:tcW w:w="2556" w:type="dxa"/>
            <w:tcBorders>
              <w:top w:val="single" w:sz="8" w:space="0" w:color="000000"/>
            </w:tcBorders>
          </w:tcPr>
          <w:p w14:paraId="0B293092" w14:textId="77777777" w:rsidR="00AE2255" w:rsidRDefault="00000000">
            <w:pPr>
              <w:pStyle w:val="TableParagraph"/>
              <w:spacing w:before="15"/>
              <w:ind w:right="135"/>
              <w:rPr>
                <w:b/>
                <w:sz w:val="20"/>
              </w:rPr>
            </w:pPr>
            <w:r>
              <w:rPr>
                <w:b/>
                <w:spacing w:val="-2"/>
                <w:sz w:val="20"/>
              </w:rPr>
              <w:t>15,547</w:t>
            </w:r>
          </w:p>
        </w:tc>
        <w:tc>
          <w:tcPr>
            <w:tcW w:w="919" w:type="dxa"/>
            <w:tcBorders>
              <w:top w:val="single" w:sz="8" w:space="0" w:color="000000"/>
            </w:tcBorders>
          </w:tcPr>
          <w:p w14:paraId="463908DC" w14:textId="77777777" w:rsidR="00AE2255" w:rsidRDefault="00000000">
            <w:pPr>
              <w:pStyle w:val="TableParagraph"/>
              <w:spacing w:before="15"/>
              <w:ind w:left="287"/>
              <w:jc w:val="left"/>
              <w:rPr>
                <w:sz w:val="20"/>
              </w:rPr>
            </w:pPr>
            <w:r>
              <w:rPr>
                <w:spacing w:val="-2"/>
                <w:sz w:val="20"/>
              </w:rPr>
              <w:t>11,676</w:t>
            </w:r>
          </w:p>
        </w:tc>
      </w:tr>
      <w:tr w:rsidR="00AE2255" w14:paraId="3C5EFB86" w14:textId="77777777">
        <w:trPr>
          <w:trHeight w:val="275"/>
        </w:trPr>
        <w:tc>
          <w:tcPr>
            <w:tcW w:w="6755" w:type="dxa"/>
            <w:tcBorders>
              <w:bottom w:val="single" w:sz="8" w:space="0" w:color="CCEDFF"/>
            </w:tcBorders>
            <w:shd w:val="clear" w:color="auto" w:fill="CCEDFF"/>
          </w:tcPr>
          <w:p w14:paraId="7F5E8A2B" w14:textId="77777777" w:rsidR="00AE2255" w:rsidRDefault="00000000">
            <w:pPr>
              <w:pStyle w:val="TableParagraph"/>
              <w:spacing w:before="27" w:line="228" w:lineRule="exact"/>
              <w:ind w:left="187"/>
              <w:jc w:val="left"/>
              <w:rPr>
                <w:sz w:val="20"/>
              </w:rPr>
            </w:pPr>
            <w:r>
              <w:rPr>
                <w:sz w:val="20"/>
              </w:rPr>
              <w:t>Less:</w:t>
            </w:r>
            <w:r>
              <w:rPr>
                <w:spacing w:val="-4"/>
                <w:sz w:val="20"/>
              </w:rPr>
              <w:t xml:space="preserve"> </w:t>
            </w:r>
            <w:r>
              <w:rPr>
                <w:sz w:val="20"/>
              </w:rPr>
              <w:t>current</w:t>
            </w:r>
            <w:r>
              <w:rPr>
                <w:spacing w:val="-4"/>
                <w:sz w:val="20"/>
              </w:rPr>
              <w:t xml:space="preserve"> </w:t>
            </w:r>
            <w:r>
              <w:rPr>
                <w:spacing w:val="-2"/>
                <w:sz w:val="20"/>
              </w:rPr>
              <w:t>portion</w:t>
            </w:r>
          </w:p>
        </w:tc>
        <w:tc>
          <w:tcPr>
            <w:tcW w:w="2556" w:type="dxa"/>
            <w:tcBorders>
              <w:bottom w:val="single" w:sz="8" w:space="0" w:color="CCEDFF"/>
            </w:tcBorders>
            <w:shd w:val="clear" w:color="auto" w:fill="CCEDFF"/>
          </w:tcPr>
          <w:p w14:paraId="68E79DF0" w14:textId="77777777" w:rsidR="00AE2255" w:rsidRDefault="00000000">
            <w:pPr>
              <w:pStyle w:val="TableParagraph"/>
              <w:spacing w:line="230" w:lineRule="exact"/>
              <w:ind w:right="70"/>
              <w:rPr>
                <w:b/>
                <w:sz w:val="20"/>
              </w:rPr>
            </w:pPr>
            <w:r>
              <w:rPr>
                <w:b/>
                <w:spacing w:val="-2"/>
                <w:sz w:val="20"/>
              </w:rPr>
              <w:t>(118)</w:t>
            </w:r>
          </w:p>
        </w:tc>
        <w:tc>
          <w:tcPr>
            <w:tcW w:w="919" w:type="dxa"/>
            <w:tcBorders>
              <w:bottom w:val="single" w:sz="8" w:space="0" w:color="CCEDFF"/>
            </w:tcBorders>
            <w:shd w:val="clear" w:color="auto" w:fill="CCEDFF"/>
          </w:tcPr>
          <w:p w14:paraId="18A2E605" w14:textId="77777777" w:rsidR="00AE2255" w:rsidRDefault="00000000">
            <w:pPr>
              <w:pStyle w:val="TableParagraph"/>
              <w:spacing w:line="230" w:lineRule="exact"/>
              <w:ind w:right="14"/>
              <w:rPr>
                <w:sz w:val="20"/>
              </w:rPr>
            </w:pPr>
            <w:r>
              <w:rPr>
                <w:spacing w:val="-5"/>
                <w:sz w:val="20"/>
              </w:rPr>
              <w:t>(6)</w:t>
            </w:r>
          </w:p>
        </w:tc>
      </w:tr>
      <w:tr w:rsidR="00AE2255" w14:paraId="7BE8C283" w14:textId="77777777">
        <w:trPr>
          <w:trHeight w:val="252"/>
        </w:trPr>
        <w:tc>
          <w:tcPr>
            <w:tcW w:w="6755" w:type="dxa"/>
            <w:tcBorders>
              <w:top w:val="single" w:sz="8" w:space="0" w:color="auto"/>
              <w:bottom w:val="single" w:sz="18" w:space="0" w:color="000000"/>
            </w:tcBorders>
          </w:tcPr>
          <w:p w14:paraId="22E415E1" w14:textId="77777777" w:rsidR="00AE2255" w:rsidRDefault="00000000">
            <w:pPr>
              <w:pStyle w:val="TableParagraph"/>
              <w:spacing w:before="17" w:line="216" w:lineRule="exact"/>
              <w:ind w:left="52"/>
              <w:jc w:val="left"/>
              <w:rPr>
                <w:sz w:val="20"/>
              </w:rPr>
            </w:pPr>
            <w:r>
              <w:rPr>
                <w:sz w:val="20"/>
              </w:rPr>
              <w:t>Long-term</w:t>
            </w:r>
            <w:r>
              <w:rPr>
                <w:spacing w:val="-4"/>
                <w:sz w:val="20"/>
              </w:rPr>
              <w:t xml:space="preserve"> </w:t>
            </w:r>
            <w:r>
              <w:rPr>
                <w:sz w:val="20"/>
              </w:rPr>
              <w:t>debt,</w:t>
            </w:r>
            <w:r>
              <w:rPr>
                <w:spacing w:val="-2"/>
                <w:sz w:val="20"/>
              </w:rPr>
              <w:t xml:space="preserve"> </w:t>
            </w:r>
            <w:r>
              <w:rPr>
                <w:spacing w:val="-5"/>
                <w:sz w:val="20"/>
              </w:rPr>
              <w:t>net</w:t>
            </w:r>
          </w:p>
        </w:tc>
        <w:tc>
          <w:tcPr>
            <w:tcW w:w="2556" w:type="dxa"/>
            <w:tcBorders>
              <w:top w:val="single" w:sz="8" w:space="0" w:color="auto"/>
              <w:bottom w:val="single" w:sz="18" w:space="0" w:color="000000"/>
            </w:tcBorders>
          </w:tcPr>
          <w:p w14:paraId="2328162E" w14:textId="77777777" w:rsidR="00AE2255" w:rsidRDefault="00000000">
            <w:pPr>
              <w:pStyle w:val="TableParagraph"/>
              <w:spacing w:before="15" w:line="217" w:lineRule="exact"/>
              <w:ind w:right="135"/>
              <w:rPr>
                <w:b/>
                <w:sz w:val="20"/>
              </w:rPr>
            </w:pPr>
            <w:r>
              <w:rPr>
                <w:b/>
                <w:sz w:val="20"/>
              </w:rPr>
              <w:t>$</w:t>
            </w:r>
            <w:r>
              <w:rPr>
                <w:b/>
                <w:spacing w:val="65"/>
                <w:sz w:val="20"/>
              </w:rPr>
              <w:t xml:space="preserve"> </w:t>
            </w:r>
            <w:r>
              <w:rPr>
                <w:b/>
                <w:spacing w:val="-2"/>
                <w:sz w:val="20"/>
              </w:rPr>
              <w:t>15,429</w:t>
            </w:r>
          </w:p>
        </w:tc>
        <w:tc>
          <w:tcPr>
            <w:tcW w:w="919" w:type="dxa"/>
            <w:tcBorders>
              <w:top w:val="single" w:sz="8" w:space="0" w:color="auto"/>
              <w:bottom w:val="single" w:sz="18" w:space="0" w:color="000000"/>
            </w:tcBorders>
          </w:tcPr>
          <w:p w14:paraId="53E7BA73" w14:textId="77777777" w:rsidR="00AE2255" w:rsidRDefault="00000000">
            <w:pPr>
              <w:pStyle w:val="TableParagraph"/>
              <w:spacing w:before="15" w:line="217" w:lineRule="exact"/>
              <w:ind w:left="71"/>
              <w:jc w:val="left"/>
              <w:rPr>
                <w:sz w:val="20"/>
              </w:rPr>
            </w:pPr>
            <w:r>
              <w:rPr>
                <w:sz w:val="20"/>
              </w:rPr>
              <w:t>$</w:t>
            </w:r>
            <w:r>
              <w:rPr>
                <w:spacing w:val="65"/>
                <w:sz w:val="20"/>
              </w:rPr>
              <w:t xml:space="preserve"> </w:t>
            </w:r>
            <w:r>
              <w:rPr>
                <w:spacing w:val="-2"/>
                <w:sz w:val="20"/>
              </w:rPr>
              <w:t>11,670</w:t>
            </w:r>
          </w:p>
        </w:tc>
      </w:tr>
      <w:tr w:rsidR="00AE2255" w14:paraId="04EF4DE6" w14:textId="77777777">
        <w:trPr>
          <w:trHeight w:val="456"/>
        </w:trPr>
        <w:tc>
          <w:tcPr>
            <w:tcW w:w="6755" w:type="dxa"/>
            <w:tcBorders>
              <w:top w:val="single" w:sz="18" w:space="0" w:color="000000"/>
            </w:tcBorders>
          </w:tcPr>
          <w:p w14:paraId="2B7B1BA5" w14:textId="77777777" w:rsidR="00AE2255" w:rsidRDefault="00AE2255">
            <w:pPr>
              <w:pStyle w:val="TableParagraph"/>
              <w:spacing w:before="7"/>
              <w:jc w:val="left"/>
              <w:rPr>
                <w:sz w:val="19"/>
              </w:rPr>
            </w:pPr>
          </w:p>
          <w:p w14:paraId="2CE04CC1" w14:textId="77777777" w:rsidR="00AE2255" w:rsidRDefault="00000000">
            <w:pPr>
              <w:pStyle w:val="TableParagraph"/>
              <w:spacing w:before="0" w:line="210" w:lineRule="exact"/>
              <w:jc w:val="left"/>
              <w:rPr>
                <w:b/>
                <w:sz w:val="20"/>
              </w:rPr>
            </w:pPr>
            <w:r>
              <w:rPr>
                <w:b/>
                <w:sz w:val="20"/>
              </w:rPr>
              <w:t>Revolving</w:t>
            </w:r>
            <w:r>
              <w:rPr>
                <w:b/>
                <w:spacing w:val="-5"/>
                <w:sz w:val="20"/>
              </w:rPr>
              <w:t xml:space="preserve"> </w:t>
            </w:r>
            <w:r>
              <w:rPr>
                <w:b/>
                <w:sz w:val="20"/>
              </w:rPr>
              <w:t>Credit</w:t>
            </w:r>
            <w:r>
              <w:rPr>
                <w:b/>
                <w:spacing w:val="-5"/>
                <w:sz w:val="20"/>
              </w:rPr>
              <w:t xml:space="preserve"> </w:t>
            </w:r>
            <w:r>
              <w:rPr>
                <w:b/>
                <w:spacing w:val="-2"/>
                <w:sz w:val="20"/>
              </w:rPr>
              <w:t>Facility</w:t>
            </w:r>
          </w:p>
        </w:tc>
        <w:tc>
          <w:tcPr>
            <w:tcW w:w="2556" w:type="dxa"/>
            <w:tcBorders>
              <w:top w:val="single" w:sz="18" w:space="0" w:color="000000"/>
            </w:tcBorders>
          </w:tcPr>
          <w:p w14:paraId="33ED4A5A" w14:textId="77777777" w:rsidR="00AE2255" w:rsidRDefault="00AE2255">
            <w:pPr>
              <w:pStyle w:val="TableParagraph"/>
              <w:spacing w:before="0"/>
              <w:jc w:val="left"/>
              <w:rPr>
                <w:sz w:val="20"/>
              </w:rPr>
            </w:pPr>
          </w:p>
        </w:tc>
        <w:tc>
          <w:tcPr>
            <w:tcW w:w="919" w:type="dxa"/>
            <w:tcBorders>
              <w:top w:val="single" w:sz="18" w:space="0" w:color="000000"/>
            </w:tcBorders>
          </w:tcPr>
          <w:p w14:paraId="314A280D" w14:textId="77777777" w:rsidR="00AE2255" w:rsidRDefault="00AE2255">
            <w:pPr>
              <w:pStyle w:val="TableParagraph"/>
              <w:spacing w:before="0"/>
              <w:jc w:val="left"/>
              <w:rPr>
                <w:sz w:val="20"/>
              </w:rPr>
            </w:pPr>
          </w:p>
        </w:tc>
      </w:tr>
    </w:tbl>
    <w:p w14:paraId="6B8C157E" w14:textId="77777777" w:rsidR="00AE2255" w:rsidRDefault="00AE2255">
      <w:pPr>
        <w:pStyle w:val="BodyText"/>
        <w:spacing w:before="7"/>
        <w:rPr>
          <w:sz w:val="18"/>
        </w:rPr>
      </w:pPr>
    </w:p>
    <w:p w14:paraId="782171AA" w14:textId="77777777" w:rsidR="00AE2255" w:rsidRDefault="00000000">
      <w:pPr>
        <w:pStyle w:val="BodyText"/>
        <w:spacing w:line="249" w:lineRule="auto"/>
        <w:ind w:left="610" w:right="428" w:firstLine="450"/>
        <w:jc w:val="both"/>
      </w:pPr>
      <w:r>
        <w:t>On August 24, 2022, we entered into a new Revolving Credit Agreement (the “Revolving Credit Agreement”) with various banks. The Revolving Credit Agreement consists of a $3.0 billion five-year unsecured revolving credit facility, with the option to increase the commitments under the credit facility by an additional amount of up to $500 million (for an aggregate amount of up to $3.5 billion), subject to the agreement of one or more new or existing lenders to provide such additional amounts and certain other customary conditions. The Revolving Credit Agreement matures on August 24, 2027. However, we may request that commitments be renewed for additional one-year periods under certain circumstances as set forth in the Revolving Credit Agreement. The Revolving Credit Agreement is available for any of our lawful corporate purposes, including supporting</w:t>
      </w:r>
      <w:r>
        <w:rPr>
          <w:spacing w:val="-2"/>
        </w:rPr>
        <w:t xml:space="preserve"> </w:t>
      </w:r>
      <w:r>
        <w:t>commercial</w:t>
      </w:r>
      <w:r>
        <w:rPr>
          <w:spacing w:val="-2"/>
        </w:rPr>
        <w:t xml:space="preserve"> </w:t>
      </w:r>
      <w:r>
        <w:t>paper</w:t>
      </w:r>
      <w:r>
        <w:rPr>
          <w:spacing w:val="-2"/>
        </w:rPr>
        <w:t xml:space="preserve"> </w:t>
      </w:r>
      <w:r>
        <w:t>borrowings.</w:t>
      </w:r>
      <w:r>
        <w:rPr>
          <w:spacing w:val="-2"/>
        </w:rPr>
        <w:t xml:space="preserve"> </w:t>
      </w:r>
      <w:r>
        <w:t>Borrowings</w:t>
      </w:r>
      <w:r>
        <w:rPr>
          <w:spacing w:val="-2"/>
        </w:rPr>
        <w:t xml:space="preserve"> </w:t>
      </w:r>
      <w:r>
        <w:t>under</w:t>
      </w:r>
      <w:r>
        <w:rPr>
          <w:spacing w:val="-2"/>
        </w:rPr>
        <w:t xml:space="preserve"> </w:t>
      </w:r>
      <w:r>
        <w:t>the</w:t>
      </w:r>
      <w:r>
        <w:rPr>
          <w:spacing w:val="-2"/>
        </w:rPr>
        <w:t xml:space="preserve"> </w:t>
      </w:r>
      <w:r>
        <w:t>Revolving</w:t>
      </w:r>
      <w:r>
        <w:rPr>
          <w:spacing w:val="-2"/>
        </w:rPr>
        <w:t xml:space="preserve"> </w:t>
      </w:r>
      <w:r>
        <w:t>Credit</w:t>
      </w:r>
      <w:r>
        <w:rPr>
          <w:spacing w:val="-2"/>
        </w:rPr>
        <w:t xml:space="preserve"> </w:t>
      </w:r>
      <w:r>
        <w:t>Agreement</w:t>
      </w:r>
      <w:r>
        <w:rPr>
          <w:spacing w:val="-2"/>
        </w:rPr>
        <w:t xml:space="preserve"> </w:t>
      </w:r>
      <w:r>
        <w:t>are</w:t>
      </w:r>
      <w:r>
        <w:rPr>
          <w:spacing w:val="-2"/>
        </w:rPr>
        <w:t xml:space="preserve"> </w:t>
      </w:r>
      <w:r>
        <w:t>unsecured</w:t>
      </w:r>
      <w:r>
        <w:rPr>
          <w:spacing w:val="-2"/>
        </w:rPr>
        <w:t xml:space="preserve"> </w:t>
      </w:r>
      <w:r>
        <w:t>and</w:t>
      </w:r>
      <w:r>
        <w:rPr>
          <w:spacing w:val="-2"/>
        </w:rPr>
        <w:t xml:space="preserve"> </w:t>
      </w:r>
      <w:r>
        <w:t>bear</w:t>
      </w:r>
      <w:r>
        <w:rPr>
          <w:spacing w:val="-2"/>
        </w:rPr>
        <w:t xml:space="preserve"> </w:t>
      </w:r>
      <w:r>
        <w:t>interest</w:t>
      </w:r>
      <w:r>
        <w:rPr>
          <w:spacing w:val="-2"/>
        </w:rPr>
        <w:t xml:space="preserve"> </w:t>
      </w:r>
      <w:r>
        <w:t xml:space="preserve">at rates set forth in the Revolving Credit Agreement. The Revolving Credit Agreement contains customary representations, </w:t>
      </w:r>
      <w:proofErr w:type="gramStart"/>
      <w:r>
        <w:t>warranties</w:t>
      </w:r>
      <w:proofErr w:type="gramEnd"/>
      <w:r>
        <w:t xml:space="preserve"> and covenants, including covenants restricting ours and certain of our subsidiaries’ ability to encumber assets and</w:t>
      </w:r>
      <w:r>
        <w:rPr>
          <w:spacing w:val="40"/>
        </w:rPr>
        <w:t xml:space="preserve"> </w:t>
      </w:r>
      <w:r>
        <w:t xml:space="preserve">our ability to merge or consolidate with another entity. The Revolving Credit Agreement replaces our revolving credit agreement (the “Former Credit Agreement”), which had been scheduled to mature on August 24, 2026. The Former Credit Agreement, which had a total capacity of $3.0 billion and was undrawn, was terminated effective August 24, 2022. There were no borrowings under the Revolving Credit Agreement or the Former Credit Agreement </w:t>
      </w:r>
      <w:proofErr w:type="gramStart"/>
      <w:r>
        <w:t>at</w:t>
      </w:r>
      <w:proofErr w:type="gramEnd"/>
      <w:r>
        <w:t xml:space="preserve"> December 31, 2022 and 2021. As of December 31, </w:t>
      </w:r>
      <w:proofErr w:type="gramStart"/>
      <w:r>
        <w:t>2022</w:t>
      </w:r>
      <w:proofErr w:type="gramEnd"/>
      <w:r>
        <w:t xml:space="preserve"> and 2021, we were in compliance with all covenants contained in the Revolving Credit Agreement and Former Credit Agreement, as well as in our debt agreements.</w:t>
      </w:r>
    </w:p>
    <w:p w14:paraId="3612805E" w14:textId="77777777" w:rsidR="00AE2255" w:rsidRDefault="00AE2255">
      <w:pPr>
        <w:pStyle w:val="BodyText"/>
        <w:spacing w:before="3"/>
        <w:rPr>
          <w:sz w:val="18"/>
        </w:rPr>
      </w:pPr>
    </w:p>
    <w:p w14:paraId="7ED3687E" w14:textId="77777777" w:rsidR="00AE2255" w:rsidRDefault="00000000">
      <w:pPr>
        <w:pStyle w:val="Heading2"/>
      </w:pPr>
      <w:r>
        <w:t>Commercial</w:t>
      </w:r>
      <w:r>
        <w:rPr>
          <w:spacing w:val="-6"/>
        </w:rPr>
        <w:t xml:space="preserve"> </w:t>
      </w:r>
      <w:r>
        <w:rPr>
          <w:spacing w:val="-2"/>
        </w:rPr>
        <w:t>Paper</w:t>
      </w:r>
    </w:p>
    <w:p w14:paraId="0F5C9B85" w14:textId="77777777" w:rsidR="00AE2255" w:rsidRDefault="00000000">
      <w:pPr>
        <w:pStyle w:val="BodyText"/>
        <w:spacing w:before="153"/>
        <w:ind w:left="610" w:right="428" w:firstLine="360"/>
        <w:jc w:val="both"/>
      </w:pPr>
      <w:r>
        <w:t>We have agreements in place with financial institutions to provide for the issuance of commercial paper. The outstanding balance of commercial paper can fluctuate daily and the amount outstanding during the period may be greater or less than the</w:t>
      </w:r>
    </w:p>
    <w:p w14:paraId="6EC6E699" w14:textId="77777777" w:rsidR="00AE2255" w:rsidRDefault="00AE2255">
      <w:pPr>
        <w:jc w:val="both"/>
        <w:sectPr w:rsidR="00AE2255">
          <w:pgSz w:w="12240" w:h="15840"/>
          <w:pgMar w:top="440" w:right="560" w:bottom="720" w:left="380" w:header="230" w:footer="531" w:gutter="0"/>
          <w:cols w:space="720"/>
        </w:sectPr>
      </w:pPr>
    </w:p>
    <w:p w14:paraId="5F897F01" w14:textId="77777777" w:rsidR="00AE2255" w:rsidRDefault="00AE2255">
      <w:pPr>
        <w:pStyle w:val="BodyText"/>
        <w:spacing w:before="10"/>
        <w:rPr>
          <w:sz w:val="22"/>
        </w:rPr>
      </w:pPr>
    </w:p>
    <w:p w14:paraId="38DA3A48" w14:textId="77777777" w:rsidR="00AE2255" w:rsidRDefault="00000000">
      <w:pPr>
        <w:pStyle w:val="BodyText"/>
        <w:spacing w:before="92"/>
        <w:ind w:left="610" w:right="428"/>
        <w:jc w:val="both"/>
      </w:pPr>
      <w:r>
        <w:t xml:space="preserve">amount reported at the end of the period. There were no commercial paper borrowings outstanding as of December 31, </w:t>
      </w:r>
      <w:proofErr w:type="gramStart"/>
      <w:r>
        <w:t>2022</w:t>
      </w:r>
      <w:proofErr w:type="gramEnd"/>
      <w:r>
        <w:rPr>
          <w:spacing w:val="40"/>
        </w:rPr>
        <w:t xml:space="preserve"> </w:t>
      </w:r>
      <w:r>
        <w:t>and we did not issue or repay any during 2022. We may, as conditions warrant, issue commercial paper backed by our</w:t>
      </w:r>
      <w:r>
        <w:rPr>
          <w:spacing w:val="40"/>
        </w:rPr>
        <w:t xml:space="preserve"> </w:t>
      </w:r>
      <w:r>
        <w:t>revolving credit agreement to manage the timing of cash flows.</w:t>
      </w:r>
    </w:p>
    <w:p w14:paraId="26FAABBB" w14:textId="77777777" w:rsidR="00AE2255" w:rsidRDefault="00000000">
      <w:pPr>
        <w:pStyle w:val="Heading2"/>
        <w:spacing w:before="197"/>
        <w:jc w:val="both"/>
      </w:pPr>
      <w:r>
        <w:t>Long</w:t>
      </w:r>
      <w:r>
        <w:rPr>
          <w:spacing w:val="-3"/>
        </w:rPr>
        <w:t xml:space="preserve"> </w:t>
      </w:r>
      <w:r>
        <w:t>Term</w:t>
      </w:r>
      <w:r>
        <w:rPr>
          <w:spacing w:val="-2"/>
        </w:rPr>
        <w:t xml:space="preserve"> </w:t>
      </w:r>
      <w:r>
        <w:rPr>
          <w:spacing w:val="-4"/>
        </w:rPr>
        <w:t>Debt</w:t>
      </w:r>
    </w:p>
    <w:p w14:paraId="799AFB06" w14:textId="77777777" w:rsidR="00AE2255" w:rsidRDefault="00AE2255">
      <w:pPr>
        <w:pStyle w:val="BodyText"/>
        <w:spacing w:before="6"/>
        <w:rPr>
          <w:b/>
          <w:sz w:val="18"/>
        </w:rPr>
      </w:pPr>
    </w:p>
    <w:p w14:paraId="499D0A11" w14:textId="77777777" w:rsidR="00AE2255" w:rsidRDefault="00000000">
      <w:pPr>
        <w:pStyle w:val="BodyText"/>
        <w:spacing w:line="249" w:lineRule="auto"/>
        <w:ind w:left="610" w:right="427" w:firstLine="360"/>
        <w:jc w:val="both"/>
      </w:pPr>
      <w:r>
        <w:t>On October 24, 2022, we issued a total of $4.0 billion of senior unsecured notes, consisting of $500 million aggregate principal amount of 4.95% Notes due 2025 (the “2025 Notes”), $750 million aggregate principal amount of 5.10% Notes due 2027 (the “2027 Notes”), $1.0 billion aggregate principal amount of 5.25% Notes due 2033 (the “2033 Notes”), $1.0 billion aggregate principal amount of 5.70% Notes due 2054 (the “2054 Notes”) and $750 million aggregate principal amount of</w:t>
      </w:r>
      <w:r>
        <w:rPr>
          <w:spacing w:val="40"/>
        </w:rPr>
        <w:t xml:space="preserve"> </w:t>
      </w:r>
      <w:r>
        <w:t>5.90% Notes due 2063 (the “2063 Notes” and, together with the 2025 Notes, the 2027 Notes, the 2033 Notes and the 2054 Notes, the “October 2022 Notes”) in a registered public offering. We will pay interest on the 2025 Notes semi-annually in arrears on April 15 and October 15 of each year, beginning on April 15, 2023. We will pay interest on the 2033 Notes semi- annually in arrears on January 15 and July 15 of each year, beginning on January 15, 2023. We will pay interest on each of</w:t>
      </w:r>
      <w:r>
        <w:rPr>
          <w:spacing w:val="40"/>
        </w:rPr>
        <w:t xml:space="preserve"> </w:t>
      </w:r>
      <w:r>
        <w:t xml:space="preserve">2027 Notes, 2054 Notes and 2063 Notes semi-annually in arrears on May 15 and November 15 of each year, beginning on May 15, 2023. We may, at our option, redeem the October 2022 Notes of any series, in whole or in part, at any time at the redemption prices equal to the greater of 100% of the principal amount of the October 2022 Notes to be redeemed or an applicable “make-whole” amount, plus accrued and unpaid interest to the date of redemption. We used the net proceeds from this offering to </w:t>
      </w:r>
      <w:proofErr w:type="gramStart"/>
      <w:r>
        <w:t>enter into</w:t>
      </w:r>
      <w:proofErr w:type="gramEnd"/>
      <w:r>
        <w:t xml:space="preserve"> an accelerated share repurchase (ASR) agreement to repurchase $4.0 billion of our common stock.</w:t>
      </w:r>
    </w:p>
    <w:p w14:paraId="289815CE" w14:textId="77777777" w:rsidR="00AE2255" w:rsidRDefault="00AE2255">
      <w:pPr>
        <w:pStyle w:val="BodyText"/>
        <w:spacing w:before="3"/>
        <w:rPr>
          <w:sz w:val="18"/>
        </w:rPr>
      </w:pPr>
    </w:p>
    <w:p w14:paraId="6D893B54" w14:textId="77777777" w:rsidR="00AE2255" w:rsidRDefault="00000000">
      <w:pPr>
        <w:pStyle w:val="BodyText"/>
        <w:spacing w:before="1" w:line="249" w:lineRule="auto"/>
        <w:ind w:left="610" w:right="430" w:firstLine="360"/>
        <w:jc w:val="both"/>
      </w:pPr>
      <w:r>
        <w:t>On May 5, 2022, we issued a total of $2.3 billion of senior unsecured notes, consisting of $800 million aggregate principal amount of 3.90% Notes due June 15, 2032 (the “2032 Notes”), $850 million aggregate principal amount of 4.15% Notes due June 15, 2053 (the “2053 Notes”) and $650 million aggregate principal amount of 4.30% Notes due June 15, 2062 (the “2062 Notes” and, together with the 2032 Notes and 2053 Notes, the “May 2022 Notes”) in a registered public offering. Net proceeds received from the offering were, after deducting pricing discounts and debt issuance costs, which are being amortized and recorded as interest expense over the term of the May 2022 Notes. We will pay interest on the May 2022 Notes semi-annually</w:t>
      </w:r>
      <w:r>
        <w:rPr>
          <w:spacing w:val="40"/>
        </w:rPr>
        <w:t xml:space="preserve"> </w:t>
      </w:r>
      <w:r>
        <w:t>in arrears on June 15 and December 15 of each year with the first payment made on June 15, 2022. We may, at our option, redeem the May 2022 Notes of any series, in whole or in part, at any time and from time to time, at a redemption price equal to the greater of 100% of the principal amount of the May 2022 Notes to be redeemed or an applicable make-whole amount, plus accrued and unpaid interest to the date of redemption.</w:t>
      </w:r>
    </w:p>
    <w:p w14:paraId="44B5E7E6" w14:textId="77777777" w:rsidR="00AE2255" w:rsidRDefault="00AE2255">
      <w:pPr>
        <w:pStyle w:val="BodyText"/>
        <w:spacing w:before="1"/>
        <w:rPr>
          <w:sz w:val="18"/>
        </w:rPr>
      </w:pPr>
    </w:p>
    <w:p w14:paraId="118E2911" w14:textId="77777777" w:rsidR="00AE2255" w:rsidRDefault="00000000">
      <w:pPr>
        <w:pStyle w:val="BodyText"/>
        <w:spacing w:line="249" w:lineRule="auto"/>
        <w:ind w:left="610" w:right="429" w:firstLine="360"/>
        <w:jc w:val="both"/>
      </w:pPr>
      <w:r>
        <w:t xml:space="preserve">On May 11, 2022, we used the net proceeds from the May 2022 Notes to redeem </w:t>
      </w:r>
      <w:proofErr w:type="gramStart"/>
      <w:r>
        <w:t>all of</w:t>
      </w:r>
      <w:proofErr w:type="gramEnd"/>
      <w:r>
        <w:t xml:space="preserve"> the outstanding $500 million in aggregate principal amount of our 3.10% Notes due 2023, $750 million in aggregate principal amount of our 2.90% Notes due 2025, and the remaining balance of the net proceeds to redeem $1.0 billion of our outstanding $2.0 billion in aggregate</w:t>
      </w:r>
      <w:r>
        <w:rPr>
          <w:spacing w:val="40"/>
        </w:rPr>
        <w:t xml:space="preserve"> </w:t>
      </w:r>
      <w:r>
        <w:t>principal amount of our 3.55% Notes due 2026 at their redemption price. We paid make-whole premiums of $13.9 million in connection</w:t>
      </w:r>
      <w:r>
        <w:rPr>
          <w:spacing w:val="-1"/>
        </w:rPr>
        <w:t xml:space="preserve"> </w:t>
      </w:r>
      <w:r>
        <w:t>with</w:t>
      </w:r>
      <w:r>
        <w:rPr>
          <w:spacing w:val="-1"/>
        </w:rPr>
        <w:t xml:space="preserve"> </w:t>
      </w:r>
      <w:r>
        <w:t>the</w:t>
      </w:r>
      <w:r>
        <w:rPr>
          <w:spacing w:val="-1"/>
        </w:rPr>
        <w:t xml:space="preserve"> </w:t>
      </w:r>
      <w:r>
        <w:t>early</w:t>
      </w:r>
      <w:r>
        <w:rPr>
          <w:spacing w:val="-1"/>
        </w:rPr>
        <w:t xml:space="preserve"> </w:t>
      </w:r>
      <w:r>
        <w:t>extinguishments</w:t>
      </w:r>
      <w:r>
        <w:rPr>
          <w:spacing w:val="-1"/>
        </w:rPr>
        <w:t xml:space="preserve"> </w:t>
      </w:r>
      <w:r>
        <w:t>of</w:t>
      </w:r>
      <w:r>
        <w:rPr>
          <w:spacing w:val="-1"/>
        </w:rPr>
        <w:t xml:space="preserve"> </w:t>
      </w:r>
      <w:r>
        <w:t>debt.</w:t>
      </w:r>
      <w:r>
        <w:rPr>
          <w:spacing w:val="-1"/>
        </w:rPr>
        <w:t xml:space="preserve"> </w:t>
      </w:r>
      <w:r>
        <w:t>We</w:t>
      </w:r>
      <w:r>
        <w:rPr>
          <w:spacing w:val="-1"/>
        </w:rPr>
        <w:t xml:space="preserve"> </w:t>
      </w:r>
      <w:r>
        <w:t>incurred</w:t>
      </w:r>
      <w:r>
        <w:rPr>
          <w:spacing w:val="-1"/>
        </w:rPr>
        <w:t xml:space="preserve"> </w:t>
      </w:r>
      <w:r>
        <w:t>losses</w:t>
      </w:r>
      <w:r>
        <w:rPr>
          <w:spacing w:val="-1"/>
        </w:rPr>
        <w:t xml:space="preserve"> </w:t>
      </w:r>
      <w:r>
        <w:t>of</w:t>
      </w:r>
      <w:r>
        <w:rPr>
          <w:spacing w:val="-1"/>
        </w:rPr>
        <w:t xml:space="preserve"> </w:t>
      </w:r>
      <w:r>
        <w:t>$34</w:t>
      </w:r>
      <w:r>
        <w:rPr>
          <w:spacing w:val="-1"/>
        </w:rPr>
        <w:t xml:space="preserve"> </w:t>
      </w:r>
      <w:r>
        <w:t>million</w:t>
      </w:r>
      <w:r>
        <w:rPr>
          <w:spacing w:val="-1"/>
        </w:rPr>
        <w:t xml:space="preserve"> </w:t>
      </w:r>
      <w:r>
        <w:t>($26</w:t>
      </w:r>
      <w:r>
        <w:rPr>
          <w:spacing w:val="-1"/>
        </w:rPr>
        <w:t xml:space="preserve"> </w:t>
      </w:r>
      <w:r>
        <w:t>million,</w:t>
      </w:r>
      <w:r>
        <w:rPr>
          <w:spacing w:val="-1"/>
        </w:rPr>
        <w:t xml:space="preserve"> </w:t>
      </w:r>
      <w:r>
        <w:t>or</w:t>
      </w:r>
      <w:r>
        <w:rPr>
          <w:spacing w:val="-1"/>
        </w:rPr>
        <w:t xml:space="preserve"> </w:t>
      </w:r>
      <w:r>
        <w:t>$0.10</w:t>
      </w:r>
      <w:r>
        <w:rPr>
          <w:spacing w:val="-1"/>
        </w:rPr>
        <w:t xml:space="preserve"> </w:t>
      </w:r>
      <w:r>
        <w:t>per</w:t>
      </w:r>
      <w:r>
        <w:rPr>
          <w:spacing w:val="-1"/>
        </w:rPr>
        <w:t xml:space="preserve"> </w:t>
      </w:r>
      <w:r>
        <w:t>share,</w:t>
      </w:r>
      <w:r>
        <w:rPr>
          <w:spacing w:val="-1"/>
        </w:rPr>
        <w:t xml:space="preserve"> </w:t>
      </w:r>
      <w:r>
        <w:t>after</w:t>
      </w:r>
      <w:r>
        <w:rPr>
          <w:spacing w:val="-1"/>
        </w:rPr>
        <w:t xml:space="preserve"> </w:t>
      </w:r>
      <w:r>
        <w:t>tax) on these transactions related to early extinguishments of debt, additional interest expense and other related charges, which was recorded in other non-operating (expense) income, net in our consolidated statements of earnings.</w:t>
      </w:r>
    </w:p>
    <w:p w14:paraId="15CA21BB" w14:textId="77777777" w:rsidR="00AE2255" w:rsidRDefault="00AE2255">
      <w:pPr>
        <w:pStyle w:val="BodyText"/>
        <w:spacing w:before="10"/>
        <w:rPr>
          <w:sz w:val="17"/>
        </w:rPr>
      </w:pPr>
    </w:p>
    <w:p w14:paraId="067CD163" w14:textId="77777777" w:rsidR="00AE2255" w:rsidRDefault="00000000">
      <w:pPr>
        <w:pStyle w:val="BodyText"/>
        <w:ind w:left="610" w:right="430" w:firstLine="360"/>
        <w:jc w:val="both"/>
      </w:pPr>
      <w:r>
        <w:t>In September 2021, we repaid $500 million of long-term notes with a fixed interest rate of 3.35% according to their scheduled maturities.</w:t>
      </w:r>
    </w:p>
    <w:p w14:paraId="7D797D41" w14:textId="77777777" w:rsidR="00AE2255" w:rsidRDefault="00AE2255">
      <w:pPr>
        <w:pStyle w:val="BodyText"/>
        <w:spacing w:before="4"/>
        <w:rPr>
          <w:sz w:val="17"/>
        </w:rPr>
      </w:pPr>
    </w:p>
    <w:p w14:paraId="38C732F4" w14:textId="77777777" w:rsidR="00AE2255" w:rsidRDefault="00000000">
      <w:pPr>
        <w:pStyle w:val="BodyText"/>
        <w:spacing w:before="1"/>
        <w:ind w:left="610" w:right="428" w:firstLine="360"/>
        <w:jc w:val="both"/>
      </w:pPr>
      <w:r>
        <w:t xml:space="preserve">We made interest payments of approximately $573 million, $543 </w:t>
      </w:r>
      <w:proofErr w:type="gramStart"/>
      <w:r>
        <w:t>million</w:t>
      </w:r>
      <w:proofErr w:type="gramEnd"/>
      <w:r>
        <w:t xml:space="preserve"> and $567 million during the years ended December 31, 2022, 2021 and 2020.</w:t>
      </w:r>
    </w:p>
    <w:p w14:paraId="4CFA9CB9" w14:textId="77777777" w:rsidR="00AE2255" w:rsidRDefault="00000000">
      <w:pPr>
        <w:pStyle w:val="Heading2"/>
        <w:spacing w:before="196" w:line="458" w:lineRule="auto"/>
        <w:ind w:right="7385"/>
        <w:jc w:val="both"/>
      </w:pPr>
      <w:bookmarkStart w:id="58" w:name="Note_11_–_Postretirement_Benefit_Plans"/>
      <w:bookmarkEnd w:id="58"/>
      <w:r>
        <w:t>Note</w:t>
      </w:r>
      <w:r>
        <w:rPr>
          <w:spacing w:val="-9"/>
        </w:rPr>
        <w:t xml:space="preserve"> </w:t>
      </w:r>
      <w:r>
        <w:t>11</w:t>
      </w:r>
      <w:r>
        <w:rPr>
          <w:spacing w:val="-8"/>
        </w:rPr>
        <w:t xml:space="preserve"> </w:t>
      </w:r>
      <w:r>
        <w:t>–</w:t>
      </w:r>
      <w:r>
        <w:rPr>
          <w:spacing w:val="-8"/>
        </w:rPr>
        <w:t xml:space="preserve"> </w:t>
      </w:r>
      <w:r>
        <w:t>Postretirement</w:t>
      </w:r>
      <w:r>
        <w:rPr>
          <w:spacing w:val="-8"/>
        </w:rPr>
        <w:t xml:space="preserve"> </w:t>
      </w:r>
      <w:r>
        <w:t>Benefit</w:t>
      </w:r>
      <w:r>
        <w:rPr>
          <w:spacing w:val="-8"/>
        </w:rPr>
        <w:t xml:space="preserve"> </w:t>
      </w:r>
      <w:r>
        <w:t>Plans Plan Descriptions</w:t>
      </w:r>
    </w:p>
    <w:p w14:paraId="455B3621" w14:textId="77777777" w:rsidR="00AE2255" w:rsidRDefault="00000000">
      <w:pPr>
        <w:pStyle w:val="BodyText"/>
        <w:spacing w:before="5" w:line="249" w:lineRule="auto"/>
        <w:ind w:left="610" w:right="429" w:firstLine="360"/>
        <w:jc w:val="both"/>
      </w:pPr>
      <w:r>
        <w:t xml:space="preserve">Many of our employees and retirees participate in various postretirement benefit plans including defined benefit pension plans, retiree medical and life insurance plans, defined contribution retirement savings plans, and other postemployment plans. Substantially </w:t>
      </w:r>
      <w:proofErr w:type="gramStart"/>
      <w:r>
        <w:t>all of</w:t>
      </w:r>
      <w:proofErr w:type="gramEnd"/>
      <w:r>
        <w:t xml:space="preserve"> our postretirement benefit obligations relate to U.S. based defined benefit pension plans and retiree medical and life insurance plans. </w:t>
      </w:r>
      <w:proofErr w:type="gramStart"/>
      <w:r>
        <w:t>The majority of</w:t>
      </w:r>
      <w:proofErr w:type="gramEnd"/>
      <w:r>
        <w:t xml:space="preserve"> our U.S. defined benefit pension plans provide for benefits within limits imposed by federal tax law (referred to as qualified plans). However, certain of our U.S. defined benefit pension plans provide for benefits </w:t>
      </w:r>
      <w:proofErr w:type="gramStart"/>
      <w:r>
        <w:t>in excess of</w:t>
      </w:r>
      <w:proofErr w:type="gramEnd"/>
      <w:r>
        <w:t xml:space="preserve"> qualified plan limits imposed by federal tax law (referred to as nonqualified plans).</w:t>
      </w:r>
    </w:p>
    <w:p w14:paraId="5738706B" w14:textId="77777777" w:rsidR="00AE2255" w:rsidRDefault="00AE2255">
      <w:pPr>
        <w:pStyle w:val="BodyText"/>
        <w:spacing w:before="9"/>
        <w:rPr>
          <w:sz w:val="21"/>
        </w:rPr>
      </w:pPr>
    </w:p>
    <w:p w14:paraId="2B3DB04F" w14:textId="77777777" w:rsidR="00AE2255" w:rsidRDefault="00000000">
      <w:pPr>
        <w:pStyle w:val="BodyText"/>
        <w:spacing w:line="232" w:lineRule="auto"/>
        <w:ind w:left="610" w:right="429" w:firstLine="360"/>
        <w:jc w:val="both"/>
      </w:pPr>
      <w:r>
        <w:t xml:space="preserve">Salaried employees hired after December 31, </w:t>
      </w:r>
      <w:proofErr w:type="gramStart"/>
      <w:r>
        <w:t>2005</w:t>
      </w:r>
      <w:proofErr w:type="gramEnd"/>
      <w:r>
        <w:t xml:space="preserve"> are not eligible to participate in our qualified defined benefit pension plans, but are eligible to participate in a qualified defined contribution plan in addition to our other retirement savings plans. They also </w:t>
      </w:r>
      <w:proofErr w:type="gramStart"/>
      <w:r>
        <w:t>have the ability to</w:t>
      </w:r>
      <w:proofErr w:type="gramEnd"/>
      <w:r>
        <w:t xml:space="preserve"> participate in our retiree medical plans, but we do not subsidize the cost of their participation in those plans as we do with employees hired before January 1, 2006. Over the last few years, we have negotiated similar changes with various labor organizations such that new union represented employees do not participate in our defined benefit pension</w:t>
      </w:r>
    </w:p>
    <w:p w14:paraId="78A18EB4" w14:textId="77777777" w:rsidR="00AE2255" w:rsidRDefault="00AE2255">
      <w:pPr>
        <w:spacing w:line="232" w:lineRule="auto"/>
        <w:jc w:val="both"/>
        <w:sectPr w:rsidR="00AE2255">
          <w:pgSz w:w="12240" w:h="15840"/>
          <w:pgMar w:top="440" w:right="560" w:bottom="720" w:left="380" w:header="230" w:footer="531" w:gutter="0"/>
          <w:cols w:space="720"/>
        </w:sectPr>
      </w:pPr>
    </w:p>
    <w:p w14:paraId="68EC7E95" w14:textId="77777777" w:rsidR="00AE2255" w:rsidRDefault="00AE2255">
      <w:pPr>
        <w:pStyle w:val="BodyText"/>
        <w:spacing w:before="10"/>
        <w:rPr>
          <w:sz w:val="22"/>
        </w:rPr>
      </w:pPr>
    </w:p>
    <w:p w14:paraId="53C1093F" w14:textId="77777777" w:rsidR="00AE2255" w:rsidRDefault="00000000">
      <w:pPr>
        <w:pStyle w:val="BodyText"/>
        <w:spacing w:before="97" w:line="232" w:lineRule="auto"/>
        <w:ind w:left="610" w:right="430"/>
        <w:jc w:val="both"/>
      </w:pPr>
      <w:r>
        <w:t>plans. Our defined benefit pension plans for salaried employees were fully frozen effective January 1, 2020, at which time such employees no longer earn additional benefits under the defined benefit pension plans and were transitioned to an enhanced defined contribution retirement savings plan.</w:t>
      </w:r>
    </w:p>
    <w:p w14:paraId="2F8C9E0A" w14:textId="77777777" w:rsidR="00AE2255" w:rsidRDefault="00000000">
      <w:pPr>
        <w:pStyle w:val="BodyText"/>
        <w:spacing w:before="197" w:line="249" w:lineRule="auto"/>
        <w:ind w:left="610" w:right="428" w:firstLine="450"/>
        <w:jc w:val="both"/>
      </w:pPr>
      <w:r>
        <w:t>During the second quarter of 2022, we purchased group annuity contracts to transfer $4.3 billion of gross defined benefit pension</w:t>
      </w:r>
      <w:r>
        <w:rPr>
          <w:spacing w:val="-3"/>
        </w:rPr>
        <w:t xml:space="preserve"> </w:t>
      </w:r>
      <w:r>
        <w:t>obligations</w:t>
      </w:r>
      <w:r>
        <w:rPr>
          <w:spacing w:val="-3"/>
        </w:rPr>
        <w:t xml:space="preserve"> </w:t>
      </w:r>
      <w:r>
        <w:t>and</w:t>
      </w:r>
      <w:r>
        <w:rPr>
          <w:spacing w:val="-3"/>
        </w:rPr>
        <w:t xml:space="preserve"> </w:t>
      </w:r>
      <w:r>
        <w:t>related</w:t>
      </w:r>
      <w:r>
        <w:rPr>
          <w:spacing w:val="-3"/>
        </w:rPr>
        <w:t xml:space="preserve"> </w:t>
      </w:r>
      <w:r>
        <w:t>plan</w:t>
      </w:r>
      <w:r>
        <w:rPr>
          <w:spacing w:val="-3"/>
        </w:rPr>
        <w:t xml:space="preserve"> </w:t>
      </w:r>
      <w:r>
        <w:t>assets</w:t>
      </w:r>
      <w:r>
        <w:rPr>
          <w:spacing w:val="-3"/>
        </w:rPr>
        <w:t xml:space="preserve"> </w:t>
      </w:r>
      <w:r>
        <w:t>to</w:t>
      </w:r>
      <w:r>
        <w:rPr>
          <w:spacing w:val="-3"/>
        </w:rPr>
        <w:t xml:space="preserve"> </w:t>
      </w:r>
      <w:r>
        <w:t>an</w:t>
      </w:r>
      <w:r>
        <w:rPr>
          <w:spacing w:val="-3"/>
        </w:rPr>
        <w:t xml:space="preserve"> </w:t>
      </w:r>
      <w:r>
        <w:t>insurance</w:t>
      </w:r>
      <w:r>
        <w:rPr>
          <w:spacing w:val="-3"/>
        </w:rPr>
        <w:t xml:space="preserve"> </w:t>
      </w:r>
      <w:r>
        <w:t>company</w:t>
      </w:r>
      <w:r>
        <w:rPr>
          <w:spacing w:val="-3"/>
        </w:rPr>
        <w:t xml:space="preserve"> </w:t>
      </w:r>
      <w:r>
        <w:t>for</w:t>
      </w:r>
      <w:r>
        <w:rPr>
          <w:spacing w:val="-3"/>
        </w:rPr>
        <w:t xml:space="preserve"> </w:t>
      </w:r>
      <w:r>
        <w:t>approximately</w:t>
      </w:r>
      <w:r>
        <w:rPr>
          <w:spacing w:val="-3"/>
        </w:rPr>
        <w:t xml:space="preserve"> </w:t>
      </w:r>
      <w:r>
        <w:t>13,600</w:t>
      </w:r>
      <w:r>
        <w:rPr>
          <w:spacing w:val="-3"/>
        </w:rPr>
        <w:t xml:space="preserve"> </w:t>
      </w:r>
      <w:r>
        <w:t>U.S.</w:t>
      </w:r>
      <w:r>
        <w:rPr>
          <w:spacing w:val="-3"/>
        </w:rPr>
        <w:t xml:space="preserve"> </w:t>
      </w:r>
      <w:r>
        <w:t>retirees</w:t>
      </w:r>
      <w:r>
        <w:rPr>
          <w:spacing w:val="-3"/>
        </w:rPr>
        <w:t xml:space="preserve"> </w:t>
      </w:r>
      <w:r>
        <w:t>and</w:t>
      </w:r>
      <w:r>
        <w:rPr>
          <w:spacing w:val="-3"/>
        </w:rPr>
        <w:t xml:space="preserve"> </w:t>
      </w:r>
      <w:r>
        <w:t>beneficiaries.</w:t>
      </w:r>
      <w:r>
        <w:rPr>
          <w:spacing w:val="-3"/>
        </w:rPr>
        <w:t xml:space="preserve"> </w:t>
      </w:r>
      <w:r>
        <w:t>In connection</w:t>
      </w:r>
      <w:r>
        <w:rPr>
          <w:spacing w:val="40"/>
        </w:rPr>
        <w:t xml:space="preserve"> </w:t>
      </w:r>
      <w:r>
        <w:t>with</w:t>
      </w:r>
      <w:r>
        <w:rPr>
          <w:spacing w:val="40"/>
        </w:rPr>
        <w:t xml:space="preserve"> </w:t>
      </w:r>
      <w:r>
        <w:t>this</w:t>
      </w:r>
      <w:r>
        <w:rPr>
          <w:spacing w:val="40"/>
        </w:rPr>
        <w:t xml:space="preserve"> </w:t>
      </w:r>
      <w:r>
        <w:t>transaction,</w:t>
      </w:r>
      <w:r>
        <w:rPr>
          <w:spacing w:val="40"/>
        </w:rPr>
        <w:t xml:space="preserve"> </w:t>
      </w:r>
      <w:r>
        <w:t>we</w:t>
      </w:r>
      <w:r>
        <w:rPr>
          <w:spacing w:val="40"/>
        </w:rPr>
        <w:t xml:space="preserve"> </w:t>
      </w:r>
      <w:r>
        <w:t>recognized</w:t>
      </w:r>
      <w:r>
        <w:rPr>
          <w:spacing w:val="40"/>
        </w:rPr>
        <w:t xml:space="preserve"> </w:t>
      </w:r>
      <w:r>
        <w:t>a</w:t>
      </w:r>
      <w:r>
        <w:rPr>
          <w:spacing w:val="40"/>
        </w:rPr>
        <w:t xml:space="preserve"> </w:t>
      </w:r>
      <w:r>
        <w:t>noncash,</w:t>
      </w:r>
      <w:r>
        <w:rPr>
          <w:spacing w:val="40"/>
        </w:rPr>
        <w:t xml:space="preserve"> </w:t>
      </w:r>
      <w:r>
        <w:t>non-operating</w:t>
      </w:r>
      <w:r>
        <w:rPr>
          <w:spacing w:val="40"/>
        </w:rPr>
        <w:t xml:space="preserve"> </w:t>
      </w:r>
      <w:r>
        <w:t>pension</w:t>
      </w:r>
      <w:r>
        <w:rPr>
          <w:spacing w:val="40"/>
        </w:rPr>
        <w:t xml:space="preserve"> </w:t>
      </w:r>
      <w:r>
        <w:t>settlement</w:t>
      </w:r>
      <w:r>
        <w:rPr>
          <w:spacing w:val="40"/>
        </w:rPr>
        <w:t xml:space="preserve"> </w:t>
      </w:r>
      <w:r>
        <w:t>charge</w:t>
      </w:r>
      <w:r>
        <w:rPr>
          <w:spacing w:val="40"/>
        </w:rPr>
        <w:t xml:space="preserve"> </w:t>
      </w:r>
      <w:r>
        <w:t>of</w:t>
      </w:r>
      <w:r>
        <w:rPr>
          <w:spacing w:val="40"/>
        </w:rPr>
        <w:t xml:space="preserve"> </w:t>
      </w:r>
      <w:r>
        <w:t>$1.5</w:t>
      </w:r>
      <w:r>
        <w:rPr>
          <w:spacing w:val="40"/>
        </w:rPr>
        <w:t xml:space="preserve"> </w:t>
      </w:r>
      <w:r>
        <w:t>billion</w:t>
      </w:r>
      <w:r>
        <w:rPr>
          <w:spacing w:val="80"/>
          <w:w w:val="150"/>
        </w:rPr>
        <w:t xml:space="preserve"> </w:t>
      </w:r>
      <w:r>
        <w:t>($1.2 billion, or $4.33 per share, after-tax) for the affected plans in the quarter ended June 26, 2022, which represents the accelerated recognition of actuarial losses that were included in the accumulated other comprehensive loss (AOCL) account within stockholders’ equity. During the third quarter of 2021, we purchased group annuity contracts to transfer $4.9 billion of gross defined benefit pension obligations and related plan assets to an insurance company for approximately 18,000 U.S. retirees</w:t>
      </w:r>
      <w:r>
        <w:rPr>
          <w:spacing w:val="18"/>
        </w:rPr>
        <w:t xml:space="preserve"> </w:t>
      </w:r>
      <w:r>
        <w:t>and</w:t>
      </w:r>
      <w:r>
        <w:rPr>
          <w:spacing w:val="18"/>
        </w:rPr>
        <w:t xml:space="preserve"> </w:t>
      </w:r>
      <w:r>
        <w:t>beneficiaries,</w:t>
      </w:r>
      <w:r>
        <w:rPr>
          <w:spacing w:val="18"/>
        </w:rPr>
        <w:t xml:space="preserve"> </w:t>
      </w:r>
      <w:r>
        <w:t>and</w:t>
      </w:r>
      <w:r>
        <w:rPr>
          <w:spacing w:val="18"/>
        </w:rPr>
        <w:t xml:space="preserve"> </w:t>
      </w:r>
      <w:r>
        <w:t>in</w:t>
      </w:r>
      <w:r>
        <w:rPr>
          <w:spacing w:val="18"/>
        </w:rPr>
        <w:t xml:space="preserve"> </w:t>
      </w:r>
      <w:r>
        <w:t>connection</w:t>
      </w:r>
      <w:r>
        <w:rPr>
          <w:spacing w:val="18"/>
        </w:rPr>
        <w:t xml:space="preserve"> </w:t>
      </w:r>
      <w:r>
        <w:t>recognized</w:t>
      </w:r>
      <w:r>
        <w:rPr>
          <w:spacing w:val="18"/>
        </w:rPr>
        <w:t xml:space="preserve"> </w:t>
      </w:r>
      <w:r>
        <w:t>a</w:t>
      </w:r>
      <w:r>
        <w:rPr>
          <w:spacing w:val="18"/>
        </w:rPr>
        <w:t xml:space="preserve"> </w:t>
      </w:r>
      <w:r>
        <w:t>noncash</w:t>
      </w:r>
      <w:r>
        <w:rPr>
          <w:spacing w:val="18"/>
        </w:rPr>
        <w:t xml:space="preserve"> </w:t>
      </w:r>
      <w:r>
        <w:t>pension</w:t>
      </w:r>
      <w:r>
        <w:rPr>
          <w:spacing w:val="18"/>
        </w:rPr>
        <w:t xml:space="preserve"> </w:t>
      </w:r>
      <w:r>
        <w:t>settlement</w:t>
      </w:r>
      <w:r>
        <w:rPr>
          <w:spacing w:val="18"/>
        </w:rPr>
        <w:t xml:space="preserve"> </w:t>
      </w:r>
      <w:r>
        <w:t>charge</w:t>
      </w:r>
      <w:r>
        <w:rPr>
          <w:spacing w:val="18"/>
        </w:rPr>
        <w:t xml:space="preserve"> </w:t>
      </w:r>
      <w:r>
        <w:t>of</w:t>
      </w:r>
      <w:r>
        <w:rPr>
          <w:spacing w:val="18"/>
        </w:rPr>
        <w:t xml:space="preserve"> </w:t>
      </w:r>
      <w:r>
        <w:t>$1.7</w:t>
      </w:r>
      <w:r>
        <w:rPr>
          <w:spacing w:val="18"/>
        </w:rPr>
        <w:t xml:space="preserve"> </w:t>
      </w:r>
      <w:r>
        <w:t>billion</w:t>
      </w:r>
      <w:r>
        <w:rPr>
          <w:spacing w:val="18"/>
        </w:rPr>
        <w:t xml:space="preserve"> </w:t>
      </w:r>
      <w:r>
        <w:t>($1.3</w:t>
      </w:r>
      <w:r>
        <w:rPr>
          <w:spacing w:val="18"/>
        </w:rPr>
        <w:t xml:space="preserve"> </w:t>
      </w:r>
      <w:r>
        <w:t>billion,</w:t>
      </w:r>
      <w:r>
        <w:rPr>
          <w:spacing w:val="18"/>
        </w:rPr>
        <w:t xml:space="preserve"> </w:t>
      </w:r>
      <w:r>
        <w:t>or</w:t>
      </w:r>
    </w:p>
    <w:p w14:paraId="4097AB8B" w14:textId="77777777" w:rsidR="00AE2255" w:rsidRDefault="00000000">
      <w:pPr>
        <w:pStyle w:val="BodyText"/>
        <w:spacing w:before="7" w:line="249" w:lineRule="auto"/>
        <w:ind w:left="610" w:right="428"/>
        <w:jc w:val="both"/>
      </w:pPr>
      <w:r>
        <w:t>$4.72 per share, after tax) in 2021. These group annuity contracts were purchased using assets from Lockheed Martin’s master retirement</w:t>
      </w:r>
      <w:r>
        <w:rPr>
          <w:spacing w:val="-1"/>
        </w:rPr>
        <w:t xml:space="preserve"> </w:t>
      </w:r>
      <w:r>
        <w:t>trust</w:t>
      </w:r>
      <w:r>
        <w:rPr>
          <w:spacing w:val="-1"/>
        </w:rPr>
        <w:t xml:space="preserve"> </w:t>
      </w:r>
      <w:r>
        <w:t>and</w:t>
      </w:r>
      <w:r>
        <w:rPr>
          <w:spacing w:val="-1"/>
        </w:rPr>
        <w:t xml:space="preserve"> </w:t>
      </w:r>
      <w:r>
        <w:t>no</w:t>
      </w:r>
      <w:r>
        <w:rPr>
          <w:spacing w:val="-1"/>
        </w:rPr>
        <w:t xml:space="preserve"> </w:t>
      </w:r>
      <w:r>
        <w:t>additional</w:t>
      </w:r>
      <w:r>
        <w:rPr>
          <w:spacing w:val="-1"/>
        </w:rPr>
        <w:t xml:space="preserve"> </w:t>
      </w:r>
      <w:r>
        <w:t>funding</w:t>
      </w:r>
      <w:r>
        <w:rPr>
          <w:spacing w:val="-1"/>
        </w:rPr>
        <w:t xml:space="preserve"> </w:t>
      </w:r>
      <w:r>
        <w:t>contributions</w:t>
      </w:r>
      <w:r>
        <w:rPr>
          <w:spacing w:val="-1"/>
        </w:rPr>
        <w:t xml:space="preserve"> </w:t>
      </w:r>
      <w:r>
        <w:t>were</w:t>
      </w:r>
      <w:r>
        <w:rPr>
          <w:spacing w:val="-1"/>
        </w:rPr>
        <w:t xml:space="preserve"> </w:t>
      </w:r>
      <w:r>
        <w:t>required.</w:t>
      </w:r>
      <w:r>
        <w:rPr>
          <w:spacing w:val="-1"/>
        </w:rPr>
        <w:t xml:space="preserve"> </w:t>
      </w:r>
      <w:r>
        <w:t>These</w:t>
      </w:r>
      <w:r>
        <w:rPr>
          <w:spacing w:val="-1"/>
        </w:rPr>
        <w:t xml:space="preserve"> </w:t>
      </w:r>
      <w:r>
        <w:t>transactions</w:t>
      </w:r>
      <w:r>
        <w:rPr>
          <w:spacing w:val="-1"/>
        </w:rPr>
        <w:t xml:space="preserve"> </w:t>
      </w:r>
      <w:r>
        <w:t>had</w:t>
      </w:r>
      <w:r>
        <w:rPr>
          <w:spacing w:val="-1"/>
        </w:rPr>
        <w:t xml:space="preserve"> </w:t>
      </w:r>
      <w:r>
        <w:t>no</w:t>
      </w:r>
      <w:r>
        <w:rPr>
          <w:spacing w:val="-1"/>
        </w:rPr>
        <w:t xml:space="preserve"> </w:t>
      </w:r>
      <w:r>
        <w:t>impact</w:t>
      </w:r>
      <w:r>
        <w:rPr>
          <w:spacing w:val="-1"/>
        </w:rPr>
        <w:t xml:space="preserve"> </w:t>
      </w:r>
      <w:r>
        <w:t>on</w:t>
      </w:r>
      <w:r>
        <w:rPr>
          <w:spacing w:val="-1"/>
        </w:rPr>
        <w:t xml:space="preserve"> </w:t>
      </w:r>
      <w:r>
        <w:t>the</w:t>
      </w:r>
      <w:r>
        <w:rPr>
          <w:spacing w:val="-1"/>
        </w:rPr>
        <w:t xml:space="preserve"> </w:t>
      </w:r>
      <w:r>
        <w:t>amount,</w:t>
      </w:r>
      <w:r>
        <w:rPr>
          <w:spacing w:val="-1"/>
        </w:rPr>
        <w:t xml:space="preserve"> </w:t>
      </w:r>
      <w:r>
        <w:t xml:space="preserve">timing, or form of the monthly retirement benefit payments to the affected retirees and beneficiaries; and </w:t>
      </w:r>
      <w:proofErr w:type="gramStart"/>
      <w:r>
        <w:t>as a result of</w:t>
      </w:r>
      <w:proofErr w:type="gramEnd"/>
      <w:r>
        <w:t xml:space="preserve"> these transactions, we were relieved of all responsibility for the pension obligations and the insurance company is now required to</w:t>
      </w:r>
      <w:r>
        <w:rPr>
          <w:spacing w:val="40"/>
        </w:rPr>
        <w:t xml:space="preserve"> </w:t>
      </w:r>
      <w:r>
        <w:t>pay and administer the retirement benefits.</w:t>
      </w:r>
    </w:p>
    <w:p w14:paraId="159CB908" w14:textId="77777777" w:rsidR="00AE2255" w:rsidRDefault="00AE2255">
      <w:pPr>
        <w:pStyle w:val="BodyText"/>
        <w:spacing w:before="11"/>
      </w:pPr>
    </w:p>
    <w:p w14:paraId="387330F6" w14:textId="77777777" w:rsidR="00AE2255" w:rsidRDefault="00000000">
      <w:pPr>
        <w:pStyle w:val="Heading2"/>
        <w:jc w:val="both"/>
      </w:pPr>
      <w:r>
        <w:t>Qualified</w:t>
      </w:r>
      <w:r>
        <w:rPr>
          <w:spacing w:val="-8"/>
        </w:rPr>
        <w:t xml:space="preserve"> </w:t>
      </w:r>
      <w:r>
        <w:t>Defined</w:t>
      </w:r>
      <w:r>
        <w:rPr>
          <w:spacing w:val="-5"/>
        </w:rPr>
        <w:t xml:space="preserve"> </w:t>
      </w:r>
      <w:r>
        <w:t>Benefit</w:t>
      </w:r>
      <w:r>
        <w:rPr>
          <w:spacing w:val="-4"/>
        </w:rPr>
        <w:t xml:space="preserve"> </w:t>
      </w:r>
      <w:r>
        <w:t>Pension</w:t>
      </w:r>
      <w:r>
        <w:rPr>
          <w:spacing w:val="-5"/>
        </w:rPr>
        <w:t xml:space="preserve"> </w:t>
      </w:r>
      <w:r>
        <w:t>Plans</w:t>
      </w:r>
      <w:r>
        <w:rPr>
          <w:spacing w:val="-5"/>
        </w:rPr>
        <w:t xml:space="preserve"> </w:t>
      </w:r>
      <w:r>
        <w:t>and</w:t>
      </w:r>
      <w:r>
        <w:rPr>
          <w:spacing w:val="-5"/>
        </w:rPr>
        <w:t xml:space="preserve"> </w:t>
      </w:r>
      <w:r>
        <w:t>Retiree</w:t>
      </w:r>
      <w:r>
        <w:rPr>
          <w:spacing w:val="-5"/>
        </w:rPr>
        <w:t xml:space="preserve"> </w:t>
      </w:r>
      <w:r>
        <w:t>Medical</w:t>
      </w:r>
      <w:r>
        <w:rPr>
          <w:spacing w:val="-5"/>
        </w:rPr>
        <w:t xml:space="preserve"> </w:t>
      </w:r>
      <w:r>
        <w:t>and</w:t>
      </w:r>
      <w:r>
        <w:rPr>
          <w:spacing w:val="-5"/>
        </w:rPr>
        <w:t xml:space="preserve"> </w:t>
      </w:r>
      <w:r>
        <w:t>Life</w:t>
      </w:r>
      <w:r>
        <w:rPr>
          <w:spacing w:val="-5"/>
        </w:rPr>
        <w:t xml:space="preserve"> </w:t>
      </w:r>
      <w:r>
        <w:t>Insurance</w:t>
      </w:r>
      <w:r>
        <w:rPr>
          <w:spacing w:val="-5"/>
        </w:rPr>
        <w:t xml:space="preserve"> </w:t>
      </w:r>
      <w:r>
        <w:rPr>
          <w:spacing w:val="-2"/>
        </w:rPr>
        <w:t>Plans</w:t>
      </w:r>
    </w:p>
    <w:p w14:paraId="362A2B07" w14:textId="77777777" w:rsidR="00AE2255" w:rsidRDefault="00AE2255">
      <w:pPr>
        <w:pStyle w:val="BodyText"/>
        <w:spacing w:before="3"/>
        <w:rPr>
          <w:b/>
          <w:sz w:val="18"/>
        </w:rPr>
      </w:pPr>
    </w:p>
    <w:p w14:paraId="0AC18755" w14:textId="77777777" w:rsidR="00AE2255" w:rsidRDefault="00000000">
      <w:pPr>
        <w:pStyle w:val="Heading3"/>
        <w:jc w:val="both"/>
      </w:pPr>
      <w:r>
        <w:t>FAS</w:t>
      </w:r>
      <w:r>
        <w:rPr>
          <w:spacing w:val="-5"/>
        </w:rPr>
        <w:t xml:space="preserve"> </w:t>
      </w:r>
      <w:r>
        <w:t>(Expense)</w:t>
      </w:r>
      <w:r>
        <w:rPr>
          <w:spacing w:val="-3"/>
        </w:rPr>
        <w:t xml:space="preserve"> </w:t>
      </w:r>
      <w:r>
        <w:rPr>
          <w:spacing w:val="-2"/>
        </w:rPr>
        <w:t>Income</w:t>
      </w:r>
    </w:p>
    <w:p w14:paraId="3D718EE9" w14:textId="77777777" w:rsidR="00AE2255" w:rsidRDefault="00AE2255">
      <w:pPr>
        <w:pStyle w:val="BodyText"/>
        <w:rPr>
          <w:b/>
          <w:i/>
          <w:sz w:val="19"/>
        </w:rPr>
      </w:pPr>
    </w:p>
    <w:p w14:paraId="488461FA" w14:textId="77777777" w:rsidR="00AE2255" w:rsidRDefault="00000000">
      <w:pPr>
        <w:pStyle w:val="BodyText"/>
        <w:spacing w:line="232" w:lineRule="auto"/>
        <w:ind w:left="610" w:right="430" w:firstLine="360"/>
      </w:pPr>
      <w:r>
        <w:t>The</w:t>
      </w:r>
      <w:r>
        <w:rPr>
          <w:spacing w:val="-4"/>
        </w:rPr>
        <w:t xml:space="preserve"> </w:t>
      </w:r>
      <w:r>
        <w:t>pretax</w:t>
      </w:r>
      <w:r>
        <w:rPr>
          <w:spacing w:val="-3"/>
        </w:rPr>
        <w:t xml:space="preserve"> </w:t>
      </w:r>
      <w:r>
        <w:t>FAS</w:t>
      </w:r>
      <w:r>
        <w:rPr>
          <w:spacing w:val="-4"/>
        </w:rPr>
        <w:t xml:space="preserve"> </w:t>
      </w:r>
      <w:r>
        <w:t>(expense)</w:t>
      </w:r>
      <w:r>
        <w:rPr>
          <w:spacing w:val="-3"/>
        </w:rPr>
        <w:t xml:space="preserve"> </w:t>
      </w:r>
      <w:r>
        <w:t>income</w:t>
      </w:r>
      <w:r>
        <w:rPr>
          <w:spacing w:val="-4"/>
        </w:rPr>
        <w:t xml:space="preserve"> </w:t>
      </w:r>
      <w:r>
        <w:t>related</w:t>
      </w:r>
      <w:r>
        <w:rPr>
          <w:spacing w:val="-3"/>
        </w:rPr>
        <w:t xml:space="preserve"> </w:t>
      </w:r>
      <w:r>
        <w:t>to</w:t>
      </w:r>
      <w:r>
        <w:rPr>
          <w:spacing w:val="-3"/>
        </w:rPr>
        <w:t xml:space="preserve"> </w:t>
      </w:r>
      <w:r>
        <w:t>our</w:t>
      </w:r>
      <w:r>
        <w:rPr>
          <w:spacing w:val="-3"/>
        </w:rPr>
        <w:t xml:space="preserve"> </w:t>
      </w:r>
      <w:r>
        <w:t>qualified</w:t>
      </w:r>
      <w:r>
        <w:rPr>
          <w:spacing w:val="-3"/>
        </w:rPr>
        <w:t xml:space="preserve"> </w:t>
      </w:r>
      <w:r>
        <w:t>defined</w:t>
      </w:r>
      <w:r>
        <w:rPr>
          <w:spacing w:val="-3"/>
        </w:rPr>
        <w:t xml:space="preserve"> </w:t>
      </w:r>
      <w:r>
        <w:t>benefit</w:t>
      </w:r>
      <w:r>
        <w:rPr>
          <w:spacing w:val="-4"/>
        </w:rPr>
        <w:t xml:space="preserve"> </w:t>
      </w:r>
      <w:r>
        <w:t>pension</w:t>
      </w:r>
      <w:r>
        <w:rPr>
          <w:spacing w:val="-3"/>
        </w:rPr>
        <w:t xml:space="preserve"> </w:t>
      </w:r>
      <w:r>
        <w:t>plans</w:t>
      </w:r>
      <w:r>
        <w:rPr>
          <w:spacing w:val="-4"/>
        </w:rPr>
        <w:t xml:space="preserve"> </w:t>
      </w:r>
      <w:r>
        <w:t>and</w:t>
      </w:r>
      <w:r>
        <w:rPr>
          <w:spacing w:val="-3"/>
        </w:rPr>
        <w:t xml:space="preserve"> </w:t>
      </w:r>
      <w:r>
        <w:t>retiree</w:t>
      </w:r>
      <w:r>
        <w:rPr>
          <w:spacing w:val="-4"/>
        </w:rPr>
        <w:t xml:space="preserve"> </w:t>
      </w:r>
      <w:r>
        <w:t>medical</w:t>
      </w:r>
      <w:r>
        <w:rPr>
          <w:spacing w:val="-4"/>
        </w:rPr>
        <w:t xml:space="preserve"> </w:t>
      </w:r>
      <w:r>
        <w:t>and</w:t>
      </w:r>
      <w:r>
        <w:rPr>
          <w:spacing w:val="-3"/>
        </w:rPr>
        <w:t xml:space="preserve"> </w:t>
      </w:r>
      <w:r>
        <w:t>life insurance plans included the following (in millions):</w:t>
      </w:r>
    </w:p>
    <w:p w14:paraId="19AF8BCA" w14:textId="77777777" w:rsidR="00AE2255" w:rsidRDefault="00AE2255">
      <w:pPr>
        <w:pStyle w:val="BodyText"/>
        <w:spacing w:before="1"/>
        <w:rPr>
          <w:sz w:val="19"/>
        </w:rPr>
      </w:pPr>
    </w:p>
    <w:tbl>
      <w:tblPr>
        <w:tblW w:w="0" w:type="auto"/>
        <w:tblInd w:w="617" w:type="dxa"/>
        <w:tblLayout w:type="fixed"/>
        <w:tblCellMar>
          <w:left w:w="0" w:type="dxa"/>
          <w:right w:w="0" w:type="dxa"/>
        </w:tblCellMar>
        <w:tblLook w:val="01E0" w:firstRow="1" w:lastRow="1" w:firstColumn="1" w:lastColumn="1" w:noHBand="0" w:noVBand="0"/>
      </w:tblPr>
      <w:tblGrid>
        <w:gridCol w:w="3918"/>
        <w:gridCol w:w="1148"/>
        <w:gridCol w:w="975"/>
        <w:gridCol w:w="1114"/>
        <w:gridCol w:w="195"/>
        <w:gridCol w:w="2850"/>
      </w:tblGrid>
      <w:tr w:rsidR="00AE2255" w14:paraId="10D769F7" w14:textId="77777777">
        <w:trPr>
          <w:trHeight w:val="470"/>
        </w:trPr>
        <w:tc>
          <w:tcPr>
            <w:tcW w:w="7155" w:type="dxa"/>
            <w:gridSpan w:val="4"/>
            <w:vMerge w:val="restart"/>
            <w:tcBorders>
              <w:bottom w:val="single" w:sz="8" w:space="0" w:color="000000"/>
              <w:right w:val="single" w:sz="8" w:space="0" w:color="000000"/>
            </w:tcBorders>
          </w:tcPr>
          <w:p w14:paraId="7E92814C" w14:textId="77777777" w:rsidR="00AE2255" w:rsidRDefault="00000000">
            <w:pPr>
              <w:pStyle w:val="TableParagraph"/>
              <w:spacing w:before="44" w:after="26" w:line="208" w:lineRule="auto"/>
              <w:ind w:left="4588" w:right="654" w:firstLine="188"/>
              <w:jc w:val="left"/>
              <w:rPr>
                <w:b/>
                <w:sz w:val="20"/>
              </w:rPr>
            </w:pPr>
            <w:r>
              <w:rPr>
                <w:b/>
                <w:sz w:val="20"/>
              </w:rPr>
              <w:t>Qualified Defined Benefit</w:t>
            </w:r>
            <w:r>
              <w:rPr>
                <w:b/>
                <w:spacing w:val="-13"/>
                <w:sz w:val="20"/>
              </w:rPr>
              <w:t xml:space="preserve"> </w:t>
            </w:r>
            <w:r>
              <w:rPr>
                <w:b/>
                <w:sz w:val="20"/>
              </w:rPr>
              <w:t>Pension</w:t>
            </w:r>
            <w:r>
              <w:rPr>
                <w:b/>
                <w:spacing w:val="-12"/>
                <w:sz w:val="20"/>
              </w:rPr>
              <w:t xml:space="preserve"> </w:t>
            </w:r>
            <w:r>
              <w:rPr>
                <w:b/>
                <w:sz w:val="20"/>
              </w:rPr>
              <w:t>Plans</w:t>
            </w:r>
          </w:p>
          <w:p w14:paraId="5577344C" w14:textId="77777777" w:rsidR="00AE2255" w:rsidRDefault="00000000">
            <w:pPr>
              <w:pStyle w:val="TableParagraph"/>
              <w:spacing w:before="0" w:line="20" w:lineRule="exact"/>
              <w:ind w:left="4100"/>
              <w:jc w:val="left"/>
              <w:rPr>
                <w:sz w:val="2"/>
              </w:rPr>
            </w:pPr>
            <w:r>
              <w:rPr>
                <w:sz w:val="2"/>
              </w:rPr>
            </w:r>
            <w:r>
              <w:rPr>
                <w:sz w:val="2"/>
              </w:rPr>
              <w:pict w14:anchorId="2C4B7A1A">
                <v:group id="docshapegroup45" o:spid="_x0000_s2174" style="width:142.5pt;height:1pt;mso-position-horizontal-relative:char;mso-position-vertical-relative:line" coordsize="2850,20">
                  <v:shape id="docshape46" o:spid="_x0000_s2176" style="position:absolute;top:10;width:2850;height:2" coordorigin=",10" coordsize="2850,0" path="m2850,10l,10e" fillcolor="black" stroked="f">
                    <v:fill opacity="0"/>
                    <v:path arrowok="t"/>
                  </v:shape>
                  <v:line id="_x0000_s2175" style="position:absolute" from="0,10" to="2850,10" strokeweight="1pt"/>
                  <w10:wrap type="none"/>
                  <w10:anchorlock/>
                </v:group>
              </w:pict>
            </w:r>
          </w:p>
          <w:p w14:paraId="591E32D5" w14:textId="77777777" w:rsidR="00AE2255" w:rsidRDefault="00000000">
            <w:pPr>
              <w:pStyle w:val="TableParagraph"/>
              <w:tabs>
                <w:tab w:val="left" w:pos="5532"/>
                <w:tab w:val="left" w:pos="6507"/>
              </w:tabs>
              <w:spacing w:before="30" w:line="230" w:lineRule="exact"/>
              <w:ind w:left="4557"/>
              <w:jc w:val="left"/>
              <w:rPr>
                <w:b/>
                <w:sz w:val="20"/>
              </w:rPr>
            </w:pPr>
            <w:r>
              <w:rPr>
                <w:b/>
                <w:spacing w:val="-4"/>
                <w:sz w:val="20"/>
              </w:rPr>
              <w:t>2022</w:t>
            </w:r>
            <w:r>
              <w:rPr>
                <w:b/>
                <w:sz w:val="20"/>
              </w:rPr>
              <w:tab/>
            </w:r>
            <w:r>
              <w:rPr>
                <w:b/>
                <w:spacing w:val="-4"/>
                <w:sz w:val="20"/>
              </w:rPr>
              <w:t>2021</w:t>
            </w:r>
            <w:r>
              <w:rPr>
                <w:b/>
                <w:sz w:val="20"/>
              </w:rPr>
              <w:tab/>
            </w:r>
            <w:r>
              <w:rPr>
                <w:b/>
                <w:spacing w:val="-4"/>
                <w:sz w:val="20"/>
              </w:rPr>
              <w:t>2020</w:t>
            </w:r>
          </w:p>
        </w:tc>
        <w:tc>
          <w:tcPr>
            <w:tcW w:w="195" w:type="dxa"/>
            <w:vMerge w:val="restart"/>
            <w:tcBorders>
              <w:left w:val="single" w:sz="8" w:space="0" w:color="000000"/>
              <w:bottom w:val="single" w:sz="8" w:space="0" w:color="000000"/>
            </w:tcBorders>
          </w:tcPr>
          <w:p w14:paraId="7690EC71" w14:textId="77777777" w:rsidR="00AE2255" w:rsidRDefault="00AE2255">
            <w:pPr>
              <w:pStyle w:val="TableParagraph"/>
              <w:spacing w:before="0"/>
              <w:jc w:val="left"/>
              <w:rPr>
                <w:sz w:val="20"/>
              </w:rPr>
            </w:pPr>
          </w:p>
        </w:tc>
        <w:tc>
          <w:tcPr>
            <w:tcW w:w="2850" w:type="dxa"/>
            <w:tcBorders>
              <w:bottom w:val="single" w:sz="8" w:space="0" w:color="000000"/>
            </w:tcBorders>
          </w:tcPr>
          <w:p w14:paraId="30CBADCD" w14:textId="77777777" w:rsidR="00AE2255" w:rsidRDefault="00000000">
            <w:pPr>
              <w:pStyle w:val="TableParagraph"/>
              <w:spacing w:before="44" w:line="208" w:lineRule="auto"/>
              <w:ind w:left="542" w:right="256" w:firstLine="17"/>
              <w:jc w:val="left"/>
              <w:rPr>
                <w:b/>
                <w:sz w:val="20"/>
              </w:rPr>
            </w:pPr>
            <w:r>
              <w:rPr>
                <w:b/>
                <w:sz w:val="20"/>
              </w:rPr>
              <w:t>Retiree</w:t>
            </w:r>
            <w:r>
              <w:rPr>
                <w:b/>
                <w:spacing w:val="-11"/>
                <w:sz w:val="20"/>
              </w:rPr>
              <w:t xml:space="preserve"> </w:t>
            </w:r>
            <w:r>
              <w:rPr>
                <w:b/>
                <w:sz w:val="20"/>
              </w:rPr>
              <w:t>Medical</w:t>
            </w:r>
            <w:r>
              <w:rPr>
                <w:b/>
                <w:spacing w:val="-12"/>
                <w:sz w:val="20"/>
              </w:rPr>
              <w:t xml:space="preserve"> </w:t>
            </w:r>
            <w:r>
              <w:rPr>
                <w:b/>
                <w:sz w:val="20"/>
              </w:rPr>
              <w:t>and Life</w:t>
            </w:r>
            <w:r>
              <w:rPr>
                <w:b/>
                <w:spacing w:val="-8"/>
                <w:sz w:val="20"/>
              </w:rPr>
              <w:t xml:space="preserve"> </w:t>
            </w:r>
            <w:r>
              <w:rPr>
                <w:b/>
                <w:sz w:val="20"/>
              </w:rPr>
              <w:t>Insurance</w:t>
            </w:r>
            <w:r>
              <w:rPr>
                <w:b/>
                <w:spacing w:val="-5"/>
                <w:sz w:val="20"/>
              </w:rPr>
              <w:t xml:space="preserve"> </w:t>
            </w:r>
            <w:r>
              <w:rPr>
                <w:b/>
                <w:spacing w:val="-4"/>
                <w:sz w:val="20"/>
              </w:rPr>
              <w:t>Plans</w:t>
            </w:r>
          </w:p>
        </w:tc>
      </w:tr>
      <w:tr w:rsidR="00AE2255" w14:paraId="2710F685" w14:textId="77777777">
        <w:trPr>
          <w:trHeight w:val="280"/>
        </w:trPr>
        <w:tc>
          <w:tcPr>
            <w:tcW w:w="7155" w:type="dxa"/>
            <w:gridSpan w:val="4"/>
            <w:vMerge/>
            <w:tcBorders>
              <w:top w:val="nil"/>
              <w:bottom w:val="single" w:sz="8" w:space="0" w:color="000000"/>
              <w:right w:val="single" w:sz="8" w:space="0" w:color="000000"/>
            </w:tcBorders>
          </w:tcPr>
          <w:p w14:paraId="3308F010"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78EE6CA7" w14:textId="77777777" w:rsidR="00AE2255" w:rsidRDefault="00AE2255">
            <w:pPr>
              <w:rPr>
                <w:sz w:val="2"/>
                <w:szCs w:val="2"/>
              </w:rPr>
            </w:pPr>
          </w:p>
        </w:tc>
        <w:tc>
          <w:tcPr>
            <w:tcW w:w="2850" w:type="dxa"/>
            <w:tcBorders>
              <w:top w:val="single" w:sz="8" w:space="0" w:color="000000"/>
              <w:bottom w:val="single" w:sz="8" w:space="0" w:color="000000"/>
            </w:tcBorders>
          </w:tcPr>
          <w:p w14:paraId="6DCB3083" w14:textId="77777777" w:rsidR="00AE2255" w:rsidRDefault="00000000">
            <w:pPr>
              <w:pStyle w:val="TableParagraph"/>
              <w:tabs>
                <w:tab w:val="left" w:pos="1422"/>
                <w:tab w:val="left" w:pos="2397"/>
              </w:tabs>
              <w:spacing w:before="30" w:line="230" w:lineRule="exact"/>
              <w:ind w:left="447"/>
              <w:jc w:val="left"/>
              <w:rPr>
                <w:b/>
                <w:sz w:val="20"/>
              </w:rPr>
            </w:pPr>
            <w:r>
              <w:rPr>
                <w:b/>
                <w:spacing w:val="-4"/>
                <w:sz w:val="20"/>
              </w:rPr>
              <w:t>2022</w:t>
            </w:r>
            <w:r>
              <w:rPr>
                <w:b/>
                <w:sz w:val="20"/>
              </w:rPr>
              <w:tab/>
            </w:r>
            <w:r>
              <w:rPr>
                <w:b/>
                <w:spacing w:val="-4"/>
                <w:sz w:val="20"/>
              </w:rPr>
              <w:t>2021</w:t>
            </w:r>
            <w:r>
              <w:rPr>
                <w:b/>
                <w:sz w:val="20"/>
              </w:rPr>
              <w:tab/>
            </w:r>
            <w:r>
              <w:rPr>
                <w:b/>
                <w:spacing w:val="-4"/>
                <w:sz w:val="20"/>
              </w:rPr>
              <w:t>2020</w:t>
            </w:r>
          </w:p>
        </w:tc>
      </w:tr>
      <w:tr w:rsidR="00AE2255" w14:paraId="5B7E8CA6" w14:textId="77777777">
        <w:trPr>
          <w:trHeight w:val="275"/>
        </w:trPr>
        <w:tc>
          <w:tcPr>
            <w:tcW w:w="7155" w:type="dxa"/>
            <w:gridSpan w:val="4"/>
            <w:tcBorders>
              <w:top w:val="single" w:sz="8" w:space="0" w:color="000000"/>
              <w:right w:val="single" w:sz="8" w:space="0" w:color="000000"/>
            </w:tcBorders>
            <w:shd w:val="clear" w:color="auto" w:fill="CCEDFF"/>
          </w:tcPr>
          <w:p w14:paraId="50CE1991" w14:textId="77777777" w:rsidR="00AE2255" w:rsidRDefault="00000000">
            <w:pPr>
              <w:pStyle w:val="TableParagraph"/>
              <w:spacing w:before="17"/>
              <w:ind w:left="52"/>
              <w:jc w:val="left"/>
              <w:rPr>
                <w:sz w:val="20"/>
              </w:rPr>
            </w:pPr>
            <w:r>
              <w:rPr>
                <w:spacing w:val="-2"/>
                <w:sz w:val="20"/>
              </w:rPr>
              <w:t>Operating:</w:t>
            </w:r>
          </w:p>
        </w:tc>
        <w:tc>
          <w:tcPr>
            <w:tcW w:w="3045" w:type="dxa"/>
            <w:gridSpan w:val="2"/>
            <w:tcBorders>
              <w:top w:val="single" w:sz="8" w:space="0" w:color="000000"/>
              <w:left w:val="single" w:sz="8" w:space="0" w:color="000000"/>
            </w:tcBorders>
            <w:shd w:val="clear" w:color="auto" w:fill="CCEDFF"/>
          </w:tcPr>
          <w:p w14:paraId="0DB7B3EF" w14:textId="77777777" w:rsidR="00AE2255" w:rsidRDefault="00AE2255">
            <w:pPr>
              <w:pStyle w:val="TableParagraph"/>
              <w:spacing w:before="0"/>
              <w:jc w:val="left"/>
              <w:rPr>
                <w:sz w:val="20"/>
              </w:rPr>
            </w:pPr>
          </w:p>
        </w:tc>
      </w:tr>
      <w:tr w:rsidR="00AE2255" w14:paraId="4ED3B58B" w14:textId="77777777">
        <w:trPr>
          <w:trHeight w:val="285"/>
        </w:trPr>
        <w:tc>
          <w:tcPr>
            <w:tcW w:w="3918" w:type="dxa"/>
          </w:tcPr>
          <w:p w14:paraId="20E69852" w14:textId="77777777" w:rsidR="00AE2255" w:rsidRDefault="00000000">
            <w:pPr>
              <w:pStyle w:val="TableParagraph"/>
              <w:spacing w:before="27"/>
              <w:ind w:left="172"/>
              <w:jc w:val="left"/>
              <w:rPr>
                <w:sz w:val="20"/>
              </w:rPr>
            </w:pPr>
            <w:r>
              <w:rPr>
                <w:sz w:val="20"/>
              </w:rPr>
              <w:t>Service</w:t>
            </w:r>
            <w:r>
              <w:rPr>
                <w:spacing w:val="-7"/>
                <w:sz w:val="20"/>
              </w:rPr>
              <w:t xml:space="preserve"> </w:t>
            </w:r>
            <w:r>
              <w:rPr>
                <w:spacing w:val="-4"/>
                <w:sz w:val="20"/>
              </w:rPr>
              <w:t>cost</w:t>
            </w:r>
          </w:p>
        </w:tc>
        <w:tc>
          <w:tcPr>
            <w:tcW w:w="1148" w:type="dxa"/>
          </w:tcPr>
          <w:p w14:paraId="496E375D" w14:textId="77777777" w:rsidR="00AE2255" w:rsidRDefault="00000000">
            <w:pPr>
              <w:pStyle w:val="TableParagraph"/>
              <w:tabs>
                <w:tab w:val="left" w:pos="499"/>
              </w:tabs>
              <w:ind w:right="70"/>
              <w:rPr>
                <w:b/>
                <w:sz w:val="20"/>
              </w:rPr>
            </w:pPr>
            <w:r>
              <w:rPr>
                <w:b/>
                <w:spacing w:val="-10"/>
                <w:sz w:val="20"/>
              </w:rPr>
              <w:t>$</w:t>
            </w:r>
            <w:r>
              <w:rPr>
                <w:b/>
                <w:sz w:val="20"/>
              </w:rPr>
              <w:tab/>
            </w:r>
            <w:r>
              <w:rPr>
                <w:b/>
                <w:spacing w:val="-4"/>
                <w:sz w:val="20"/>
              </w:rPr>
              <w:t>(87)</w:t>
            </w:r>
          </w:p>
        </w:tc>
        <w:tc>
          <w:tcPr>
            <w:tcW w:w="975" w:type="dxa"/>
          </w:tcPr>
          <w:p w14:paraId="244EBFC1" w14:textId="77777777" w:rsidR="00AE2255" w:rsidRDefault="00000000">
            <w:pPr>
              <w:pStyle w:val="TableParagraph"/>
              <w:tabs>
                <w:tab w:val="left" w:pos="399"/>
              </w:tabs>
              <w:ind w:right="70"/>
              <w:rPr>
                <w:sz w:val="20"/>
              </w:rPr>
            </w:pPr>
            <w:r>
              <w:rPr>
                <w:spacing w:val="-10"/>
                <w:sz w:val="20"/>
              </w:rPr>
              <w:t>$</w:t>
            </w:r>
            <w:r>
              <w:rPr>
                <w:sz w:val="20"/>
              </w:rPr>
              <w:tab/>
            </w:r>
            <w:r>
              <w:rPr>
                <w:spacing w:val="-2"/>
                <w:sz w:val="20"/>
              </w:rPr>
              <w:t>(106)</w:t>
            </w:r>
          </w:p>
        </w:tc>
        <w:tc>
          <w:tcPr>
            <w:tcW w:w="1114" w:type="dxa"/>
            <w:tcBorders>
              <w:right w:val="single" w:sz="8" w:space="0" w:color="000000"/>
            </w:tcBorders>
          </w:tcPr>
          <w:p w14:paraId="7C1F2833" w14:textId="77777777" w:rsidR="00AE2255" w:rsidRDefault="00000000">
            <w:pPr>
              <w:pStyle w:val="TableParagraph"/>
              <w:tabs>
                <w:tab w:val="left" w:pos="470"/>
              </w:tabs>
              <w:ind w:left="71"/>
              <w:jc w:val="left"/>
              <w:rPr>
                <w:sz w:val="20"/>
              </w:rPr>
            </w:pPr>
            <w:r>
              <w:rPr>
                <w:spacing w:val="-10"/>
                <w:sz w:val="20"/>
              </w:rPr>
              <w:t>$</w:t>
            </w:r>
            <w:r>
              <w:rPr>
                <w:sz w:val="20"/>
              </w:rPr>
              <w:tab/>
            </w:r>
            <w:r>
              <w:rPr>
                <w:spacing w:val="-2"/>
                <w:sz w:val="20"/>
              </w:rPr>
              <w:t>(101)</w:t>
            </w:r>
          </w:p>
        </w:tc>
        <w:tc>
          <w:tcPr>
            <w:tcW w:w="3045" w:type="dxa"/>
            <w:gridSpan w:val="2"/>
            <w:tcBorders>
              <w:left w:val="single" w:sz="8" w:space="0" w:color="000000"/>
            </w:tcBorders>
          </w:tcPr>
          <w:p w14:paraId="52562B9B" w14:textId="77777777" w:rsidR="00AE2255" w:rsidRDefault="00000000">
            <w:pPr>
              <w:pStyle w:val="TableParagraph"/>
              <w:tabs>
                <w:tab w:val="left" w:pos="836"/>
                <w:tab w:val="left" w:pos="1711"/>
                <w:tab w:val="left" w:pos="2686"/>
              </w:tabs>
              <w:ind w:left="237"/>
              <w:jc w:val="left"/>
              <w:rPr>
                <w:sz w:val="20"/>
              </w:rPr>
            </w:pPr>
            <w:r>
              <w:rPr>
                <w:b/>
                <w:spacing w:val="-10"/>
                <w:sz w:val="20"/>
              </w:rPr>
              <w:t>$</w:t>
            </w:r>
            <w:r>
              <w:rPr>
                <w:b/>
                <w:sz w:val="20"/>
              </w:rPr>
              <w:tab/>
              <w:t>(9)</w:t>
            </w:r>
            <w:r>
              <w:rPr>
                <w:b/>
                <w:spacing w:val="67"/>
                <w:w w:val="150"/>
                <w:sz w:val="20"/>
              </w:rPr>
              <w:t xml:space="preserve"> </w:t>
            </w:r>
            <w:r>
              <w:rPr>
                <w:spacing w:val="-10"/>
                <w:sz w:val="20"/>
              </w:rPr>
              <w:t>$</w:t>
            </w:r>
            <w:r>
              <w:rPr>
                <w:sz w:val="20"/>
              </w:rPr>
              <w:tab/>
              <w:t>(13)</w:t>
            </w:r>
            <w:r>
              <w:rPr>
                <w:spacing w:val="65"/>
                <w:w w:val="150"/>
                <w:sz w:val="20"/>
              </w:rPr>
              <w:t xml:space="preserve"> </w:t>
            </w:r>
            <w:r>
              <w:rPr>
                <w:spacing w:val="-10"/>
                <w:sz w:val="20"/>
              </w:rPr>
              <w:t>$</w:t>
            </w:r>
            <w:r>
              <w:rPr>
                <w:sz w:val="20"/>
              </w:rPr>
              <w:tab/>
            </w:r>
            <w:r>
              <w:rPr>
                <w:spacing w:val="-4"/>
                <w:sz w:val="20"/>
              </w:rPr>
              <w:t>(13)</w:t>
            </w:r>
          </w:p>
        </w:tc>
      </w:tr>
      <w:tr w:rsidR="00AE2255" w14:paraId="1E2171D5" w14:textId="77777777">
        <w:trPr>
          <w:trHeight w:val="285"/>
        </w:trPr>
        <w:tc>
          <w:tcPr>
            <w:tcW w:w="7155" w:type="dxa"/>
            <w:gridSpan w:val="4"/>
            <w:tcBorders>
              <w:right w:val="single" w:sz="8" w:space="0" w:color="000000"/>
            </w:tcBorders>
            <w:shd w:val="clear" w:color="auto" w:fill="CCEDFF"/>
          </w:tcPr>
          <w:p w14:paraId="2AE88657" w14:textId="77777777" w:rsidR="00AE2255" w:rsidRDefault="00000000">
            <w:pPr>
              <w:pStyle w:val="TableParagraph"/>
              <w:spacing w:before="27"/>
              <w:ind w:left="52"/>
              <w:jc w:val="left"/>
              <w:rPr>
                <w:sz w:val="20"/>
              </w:rPr>
            </w:pPr>
            <w:r>
              <w:rPr>
                <w:spacing w:val="-2"/>
                <w:sz w:val="20"/>
              </w:rPr>
              <w:t>Non-operating:</w:t>
            </w:r>
          </w:p>
        </w:tc>
        <w:tc>
          <w:tcPr>
            <w:tcW w:w="3045" w:type="dxa"/>
            <w:gridSpan w:val="2"/>
            <w:tcBorders>
              <w:left w:val="single" w:sz="8" w:space="0" w:color="000000"/>
            </w:tcBorders>
            <w:shd w:val="clear" w:color="auto" w:fill="CCEDFF"/>
          </w:tcPr>
          <w:p w14:paraId="35768036" w14:textId="77777777" w:rsidR="00AE2255" w:rsidRDefault="00AE2255">
            <w:pPr>
              <w:pStyle w:val="TableParagraph"/>
              <w:spacing w:before="0"/>
              <w:jc w:val="left"/>
              <w:rPr>
                <w:sz w:val="20"/>
              </w:rPr>
            </w:pPr>
          </w:p>
        </w:tc>
      </w:tr>
      <w:tr w:rsidR="00AE2255" w14:paraId="5E76ED71" w14:textId="77777777">
        <w:trPr>
          <w:trHeight w:val="285"/>
        </w:trPr>
        <w:tc>
          <w:tcPr>
            <w:tcW w:w="3918" w:type="dxa"/>
          </w:tcPr>
          <w:p w14:paraId="0418C688" w14:textId="77777777" w:rsidR="00AE2255" w:rsidRDefault="00000000">
            <w:pPr>
              <w:pStyle w:val="TableParagraph"/>
              <w:spacing w:before="27"/>
              <w:ind w:left="172"/>
              <w:jc w:val="left"/>
              <w:rPr>
                <w:sz w:val="20"/>
              </w:rPr>
            </w:pPr>
            <w:r>
              <w:rPr>
                <w:sz w:val="20"/>
              </w:rPr>
              <w:t>Interest</w:t>
            </w:r>
            <w:r>
              <w:rPr>
                <w:spacing w:val="-7"/>
                <w:sz w:val="20"/>
              </w:rPr>
              <w:t xml:space="preserve"> </w:t>
            </w:r>
            <w:r>
              <w:rPr>
                <w:spacing w:val="-4"/>
                <w:sz w:val="20"/>
              </w:rPr>
              <w:t>cost</w:t>
            </w:r>
          </w:p>
        </w:tc>
        <w:tc>
          <w:tcPr>
            <w:tcW w:w="1148" w:type="dxa"/>
          </w:tcPr>
          <w:p w14:paraId="45851431" w14:textId="77777777" w:rsidR="00AE2255" w:rsidRDefault="00000000">
            <w:pPr>
              <w:pStyle w:val="TableParagraph"/>
              <w:ind w:right="70"/>
              <w:rPr>
                <w:b/>
                <w:sz w:val="20"/>
              </w:rPr>
            </w:pPr>
            <w:r>
              <w:rPr>
                <w:b/>
                <w:spacing w:val="-2"/>
                <w:sz w:val="20"/>
              </w:rPr>
              <w:t>(1,289)</w:t>
            </w:r>
          </w:p>
        </w:tc>
        <w:tc>
          <w:tcPr>
            <w:tcW w:w="975" w:type="dxa"/>
          </w:tcPr>
          <w:p w14:paraId="1D646BE7" w14:textId="77777777" w:rsidR="00AE2255" w:rsidRDefault="00000000">
            <w:pPr>
              <w:pStyle w:val="TableParagraph"/>
              <w:ind w:right="70"/>
              <w:rPr>
                <w:sz w:val="20"/>
              </w:rPr>
            </w:pPr>
            <w:r>
              <w:rPr>
                <w:spacing w:val="-2"/>
                <w:sz w:val="20"/>
              </w:rPr>
              <w:t>(1,220)</w:t>
            </w:r>
          </w:p>
        </w:tc>
        <w:tc>
          <w:tcPr>
            <w:tcW w:w="1114" w:type="dxa"/>
            <w:tcBorders>
              <w:right w:val="single" w:sz="8" w:space="0" w:color="000000"/>
            </w:tcBorders>
          </w:tcPr>
          <w:p w14:paraId="308C3710" w14:textId="77777777" w:rsidR="00AE2255" w:rsidRDefault="00000000">
            <w:pPr>
              <w:pStyle w:val="TableParagraph"/>
              <w:ind w:right="199"/>
              <w:rPr>
                <w:sz w:val="20"/>
              </w:rPr>
            </w:pPr>
            <w:r>
              <w:rPr>
                <w:spacing w:val="-2"/>
                <w:sz w:val="20"/>
              </w:rPr>
              <w:t>(1,538)</w:t>
            </w:r>
          </w:p>
        </w:tc>
        <w:tc>
          <w:tcPr>
            <w:tcW w:w="3045" w:type="dxa"/>
            <w:gridSpan w:val="2"/>
            <w:tcBorders>
              <w:left w:val="single" w:sz="8" w:space="0" w:color="000000"/>
            </w:tcBorders>
          </w:tcPr>
          <w:p w14:paraId="0E2938DB" w14:textId="77777777" w:rsidR="00AE2255" w:rsidRDefault="00000000">
            <w:pPr>
              <w:pStyle w:val="TableParagraph"/>
              <w:tabs>
                <w:tab w:val="left" w:pos="1711"/>
                <w:tab w:val="left" w:pos="2686"/>
              </w:tabs>
              <w:ind w:left="736"/>
              <w:jc w:val="left"/>
              <w:rPr>
                <w:sz w:val="20"/>
              </w:rPr>
            </w:pPr>
            <w:r>
              <w:rPr>
                <w:b/>
                <w:spacing w:val="-4"/>
                <w:sz w:val="20"/>
              </w:rPr>
              <w:t>(49)</w:t>
            </w:r>
            <w:r>
              <w:rPr>
                <w:b/>
                <w:sz w:val="20"/>
              </w:rPr>
              <w:tab/>
            </w:r>
            <w:r>
              <w:rPr>
                <w:spacing w:val="-4"/>
                <w:sz w:val="20"/>
              </w:rPr>
              <w:t>(53)</w:t>
            </w:r>
            <w:r>
              <w:rPr>
                <w:sz w:val="20"/>
              </w:rPr>
              <w:tab/>
            </w:r>
            <w:r>
              <w:rPr>
                <w:spacing w:val="-4"/>
                <w:sz w:val="20"/>
              </w:rPr>
              <w:t>(70)</w:t>
            </w:r>
          </w:p>
        </w:tc>
      </w:tr>
      <w:tr w:rsidR="00AE2255" w14:paraId="45790FB1" w14:textId="77777777">
        <w:trPr>
          <w:trHeight w:val="285"/>
        </w:trPr>
        <w:tc>
          <w:tcPr>
            <w:tcW w:w="3918" w:type="dxa"/>
            <w:shd w:val="clear" w:color="auto" w:fill="CCEDFF"/>
          </w:tcPr>
          <w:p w14:paraId="137FF79F" w14:textId="77777777" w:rsidR="00AE2255" w:rsidRDefault="00000000">
            <w:pPr>
              <w:pStyle w:val="TableParagraph"/>
              <w:spacing w:before="27"/>
              <w:ind w:left="172"/>
              <w:jc w:val="left"/>
              <w:rPr>
                <w:sz w:val="20"/>
              </w:rPr>
            </w:pPr>
            <w:r>
              <w:rPr>
                <w:sz w:val="20"/>
              </w:rPr>
              <w:t>Expected</w:t>
            </w:r>
            <w:r>
              <w:rPr>
                <w:spacing w:val="-3"/>
                <w:sz w:val="20"/>
              </w:rPr>
              <w:t xml:space="preserve"> </w:t>
            </w:r>
            <w:r>
              <w:rPr>
                <w:sz w:val="20"/>
              </w:rPr>
              <w:t>return</w:t>
            </w:r>
            <w:r>
              <w:rPr>
                <w:spacing w:val="-2"/>
                <w:sz w:val="20"/>
              </w:rPr>
              <w:t xml:space="preserve"> </w:t>
            </w:r>
            <w:r>
              <w:rPr>
                <w:sz w:val="20"/>
              </w:rPr>
              <w:t>on</w:t>
            </w:r>
            <w:r>
              <w:rPr>
                <w:spacing w:val="-2"/>
                <w:sz w:val="20"/>
              </w:rPr>
              <w:t xml:space="preserve"> </w:t>
            </w:r>
            <w:r>
              <w:rPr>
                <w:sz w:val="20"/>
              </w:rPr>
              <w:t>plan</w:t>
            </w:r>
            <w:r>
              <w:rPr>
                <w:spacing w:val="-2"/>
                <w:sz w:val="20"/>
              </w:rPr>
              <w:t xml:space="preserve"> assets</w:t>
            </w:r>
          </w:p>
        </w:tc>
        <w:tc>
          <w:tcPr>
            <w:tcW w:w="1148" w:type="dxa"/>
            <w:shd w:val="clear" w:color="auto" w:fill="CCEDFF"/>
          </w:tcPr>
          <w:p w14:paraId="2F4B53FF" w14:textId="77777777" w:rsidR="00AE2255" w:rsidRDefault="00000000">
            <w:pPr>
              <w:pStyle w:val="TableParagraph"/>
              <w:ind w:right="135"/>
              <w:rPr>
                <w:b/>
                <w:sz w:val="20"/>
              </w:rPr>
            </w:pPr>
            <w:r>
              <w:rPr>
                <w:b/>
                <w:spacing w:val="-2"/>
                <w:sz w:val="20"/>
              </w:rPr>
              <w:t>1,854</w:t>
            </w:r>
          </w:p>
        </w:tc>
        <w:tc>
          <w:tcPr>
            <w:tcW w:w="975" w:type="dxa"/>
            <w:shd w:val="clear" w:color="auto" w:fill="CCEDFF"/>
          </w:tcPr>
          <w:p w14:paraId="77E2312E" w14:textId="77777777" w:rsidR="00AE2255" w:rsidRDefault="00000000">
            <w:pPr>
              <w:pStyle w:val="TableParagraph"/>
              <w:ind w:left="387"/>
              <w:jc w:val="left"/>
              <w:rPr>
                <w:sz w:val="20"/>
              </w:rPr>
            </w:pPr>
            <w:r>
              <w:rPr>
                <w:spacing w:val="-2"/>
                <w:sz w:val="20"/>
              </w:rPr>
              <w:t>2,146</w:t>
            </w:r>
          </w:p>
        </w:tc>
        <w:tc>
          <w:tcPr>
            <w:tcW w:w="1114" w:type="dxa"/>
            <w:tcBorders>
              <w:right w:val="single" w:sz="8" w:space="0" w:color="000000"/>
            </w:tcBorders>
            <w:shd w:val="clear" w:color="auto" w:fill="CCEDFF"/>
          </w:tcPr>
          <w:p w14:paraId="3B859FDB" w14:textId="77777777" w:rsidR="00AE2255" w:rsidRDefault="00000000">
            <w:pPr>
              <w:pStyle w:val="TableParagraph"/>
              <w:ind w:left="387"/>
              <w:jc w:val="left"/>
              <w:rPr>
                <w:sz w:val="20"/>
              </w:rPr>
            </w:pPr>
            <w:r>
              <w:rPr>
                <w:spacing w:val="-2"/>
                <w:sz w:val="20"/>
              </w:rPr>
              <w:t>2,264</w:t>
            </w:r>
          </w:p>
        </w:tc>
        <w:tc>
          <w:tcPr>
            <w:tcW w:w="3045" w:type="dxa"/>
            <w:gridSpan w:val="2"/>
            <w:tcBorders>
              <w:left w:val="single" w:sz="8" w:space="0" w:color="000000"/>
            </w:tcBorders>
            <w:shd w:val="clear" w:color="auto" w:fill="CCEDFF"/>
          </w:tcPr>
          <w:p w14:paraId="10526F00" w14:textId="77777777" w:rsidR="00AE2255" w:rsidRDefault="00000000">
            <w:pPr>
              <w:pStyle w:val="TableParagraph"/>
              <w:tabs>
                <w:tab w:val="left" w:pos="1678"/>
                <w:tab w:val="left" w:pos="2653"/>
              </w:tabs>
              <w:ind w:left="703"/>
              <w:jc w:val="left"/>
              <w:rPr>
                <w:sz w:val="20"/>
              </w:rPr>
            </w:pPr>
            <w:r>
              <w:rPr>
                <w:b/>
                <w:spacing w:val="-5"/>
                <w:sz w:val="20"/>
              </w:rPr>
              <w:t>136</w:t>
            </w:r>
            <w:r>
              <w:rPr>
                <w:b/>
                <w:sz w:val="20"/>
              </w:rPr>
              <w:tab/>
            </w:r>
            <w:r>
              <w:rPr>
                <w:spacing w:val="-5"/>
                <w:sz w:val="20"/>
              </w:rPr>
              <w:t>141</w:t>
            </w:r>
            <w:r>
              <w:rPr>
                <w:sz w:val="20"/>
              </w:rPr>
              <w:tab/>
            </w:r>
            <w:r>
              <w:rPr>
                <w:spacing w:val="-5"/>
                <w:sz w:val="20"/>
              </w:rPr>
              <w:t>127</w:t>
            </w:r>
          </w:p>
        </w:tc>
      </w:tr>
      <w:tr w:rsidR="00AE2255" w14:paraId="7088870C" w14:textId="77777777">
        <w:trPr>
          <w:trHeight w:val="285"/>
        </w:trPr>
        <w:tc>
          <w:tcPr>
            <w:tcW w:w="3918" w:type="dxa"/>
          </w:tcPr>
          <w:p w14:paraId="505BD816" w14:textId="77777777" w:rsidR="00AE2255" w:rsidRDefault="00000000">
            <w:pPr>
              <w:pStyle w:val="TableParagraph"/>
              <w:spacing w:before="27"/>
              <w:ind w:left="172"/>
              <w:jc w:val="left"/>
              <w:rPr>
                <w:sz w:val="20"/>
              </w:rPr>
            </w:pPr>
            <w:r>
              <w:rPr>
                <w:sz w:val="20"/>
              </w:rPr>
              <w:t>Recognized</w:t>
            </w:r>
            <w:r>
              <w:rPr>
                <w:spacing w:val="-5"/>
                <w:sz w:val="20"/>
              </w:rPr>
              <w:t xml:space="preserve"> </w:t>
            </w:r>
            <w:r>
              <w:rPr>
                <w:sz w:val="20"/>
              </w:rPr>
              <w:t>net</w:t>
            </w:r>
            <w:r>
              <w:rPr>
                <w:spacing w:val="-5"/>
                <w:sz w:val="20"/>
              </w:rPr>
              <w:t xml:space="preserve"> </w:t>
            </w:r>
            <w:r>
              <w:rPr>
                <w:sz w:val="20"/>
              </w:rPr>
              <w:t>actuarial</w:t>
            </w:r>
            <w:r>
              <w:rPr>
                <w:spacing w:val="-6"/>
                <w:sz w:val="20"/>
              </w:rPr>
              <w:t xml:space="preserve"> </w:t>
            </w:r>
            <w:r>
              <w:rPr>
                <w:sz w:val="20"/>
              </w:rPr>
              <w:t>(losses)</w:t>
            </w:r>
            <w:r>
              <w:rPr>
                <w:spacing w:val="-4"/>
                <w:sz w:val="20"/>
              </w:rPr>
              <w:t xml:space="preserve"> gains</w:t>
            </w:r>
          </w:p>
        </w:tc>
        <w:tc>
          <w:tcPr>
            <w:tcW w:w="1148" w:type="dxa"/>
          </w:tcPr>
          <w:p w14:paraId="6E7D9536" w14:textId="77777777" w:rsidR="00AE2255" w:rsidRDefault="00000000">
            <w:pPr>
              <w:pStyle w:val="TableParagraph"/>
              <w:ind w:right="70"/>
              <w:rPr>
                <w:b/>
                <w:sz w:val="20"/>
              </w:rPr>
            </w:pPr>
            <w:r>
              <w:rPr>
                <w:b/>
                <w:spacing w:val="-2"/>
                <w:sz w:val="20"/>
              </w:rPr>
              <w:t>(425)</w:t>
            </w:r>
          </w:p>
        </w:tc>
        <w:tc>
          <w:tcPr>
            <w:tcW w:w="975" w:type="dxa"/>
          </w:tcPr>
          <w:p w14:paraId="62D234EC" w14:textId="77777777" w:rsidR="00AE2255" w:rsidRDefault="00000000">
            <w:pPr>
              <w:pStyle w:val="TableParagraph"/>
              <w:ind w:right="70"/>
              <w:rPr>
                <w:sz w:val="20"/>
              </w:rPr>
            </w:pPr>
            <w:r>
              <w:rPr>
                <w:spacing w:val="-2"/>
                <w:sz w:val="20"/>
              </w:rPr>
              <w:t>(902)</w:t>
            </w:r>
          </w:p>
        </w:tc>
        <w:tc>
          <w:tcPr>
            <w:tcW w:w="1114" w:type="dxa"/>
            <w:tcBorders>
              <w:right w:val="single" w:sz="8" w:space="0" w:color="000000"/>
            </w:tcBorders>
          </w:tcPr>
          <w:p w14:paraId="354528C3" w14:textId="77777777" w:rsidR="00AE2255" w:rsidRDefault="00000000">
            <w:pPr>
              <w:pStyle w:val="TableParagraph"/>
              <w:ind w:right="199"/>
              <w:rPr>
                <w:sz w:val="20"/>
              </w:rPr>
            </w:pPr>
            <w:r>
              <w:rPr>
                <w:spacing w:val="-2"/>
                <w:sz w:val="20"/>
              </w:rPr>
              <w:t>(849)</w:t>
            </w:r>
          </w:p>
        </w:tc>
        <w:tc>
          <w:tcPr>
            <w:tcW w:w="3045" w:type="dxa"/>
            <w:gridSpan w:val="2"/>
            <w:tcBorders>
              <w:left w:val="single" w:sz="8" w:space="0" w:color="000000"/>
            </w:tcBorders>
          </w:tcPr>
          <w:p w14:paraId="39399150" w14:textId="77777777" w:rsidR="00AE2255" w:rsidRDefault="00000000">
            <w:pPr>
              <w:pStyle w:val="TableParagraph"/>
              <w:tabs>
                <w:tab w:val="left" w:pos="1778"/>
                <w:tab w:val="left" w:pos="2853"/>
              </w:tabs>
              <w:ind w:left="803"/>
              <w:jc w:val="left"/>
              <w:rPr>
                <w:sz w:val="20"/>
              </w:rPr>
            </w:pPr>
            <w:r>
              <w:rPr>
                <w:b/>
                <w:spacing w:val="-5"/>
                <w:sz w:val="20"/>
              </w:rPr>
              <w:t>46</w:t>
            </w:r>
            <w:r>
              <w:rPr>
                <w:b/>
                <w:sz w:val="20"/>
              </w:rPr>
              <w:tab/>
            </w:r>
            <w:r>
              <w:rPr>
                <w:spacing w:val="-10"/>
                <w:sz w:val="20"/>
              </w:rPr>
              <w:t>—</w:t>
            </w:r>
            <w:r>
              <w:rPr>
                <w:sz w:val="20"/>
              </w:rPr>
              <w:tab/>
            </w:r>
            <w:r>
              <w:rPr>
                <w:spacing w:val="-10"/>
                <w:sz w:val="20"/>
              </w:rPr>
              <w:t>4</w:t>
            </w:r>
          </w:p>
        </w:tc>
      </w:tr>
      <w:tr w:rsidR="00AE2255" w14:paraId="3D4AF413" w14:textId="77777777">
        <w:trPr>
          <w:trHeight w:val="285"/>
        </w:trPr>
        <w:tc>
          <w:tcPr>
            <w:tcW w:w="3918" w:type="dxa"/>
            <w:shd w:val="clear" w:color="auto" w:fill="CCEDFF"/>
          </w:tcPr>
          <w:p w14:paraId="40B1C129" w14:textId="77777777" w:rsidR="00AE2255" w:rsidRDefault="00000000">
            <w:pPr>
              <w:pStyle w:val="TableParagraph"/>
              <w:ind w:left="172"/>
              <w:jc w:val="left"/>
              <w:rPr>
                <w:sz w:val="20"/>
              </w:rPr>
            </w:pPr>
            <w:r>
              <w:rPr>
                <w:sz w:val="20"/>
              </w:rPr>
              <w:t>Amortization</w:t>
            </w:r>
            <w:r>
              <w:rPr>
                <w:spacing w:val="-4"/>
                <w:sz w:val="20"/>
              </w:rPr>
              <w:t xml:space="preserve"> </w:t>
            </w:r>
            <w:r>
              <w:rPr>
                <w:sz w:val="20"/>
              </w:rPr>
              <w:t>of</w:t>
            </w:r>
            <w:r>
              <w:rPr>
                <w:spacing w:val="-3"/>
                <w:sz w:val="20"/>
              </w:rPr>
              <w:t xml:space="preserve"> </w:t>
            </w:r>
            <w:r>
              <w:rPr>
                <w:sz w:val="20"/>
              </w:rPr>
              <w:t>prior</w:t>
            </w:r>
            <w:r>
              <w:rPr>
                <w:spacing w:val="-4"/>
                <w:sz w:val="20"/>
              </w:rPr>
              <w:t xml:space="preserve"> </w:t>
            </w:r>
            <w:r>
              <w:rPr>
                <w:sz w:val="20"/>
              </w:rPr>
              <w:t>service</w:t>
            </w:r>
            <w:r>
              <w:rPr>
                <w:spacing w:val="-4"/>
                <w:sz w:val="20"/>
              </w:rPr>
              <w:t xml:space="preserve"> </w:t>
            </w:r>
            <w:r>
              <w:rPr>
                <w:sz w:val="20"/>
              </w:rPr>
              <w:t>credits</w:t>
            </w:r>
            <w:r>
              <w:rPr>
                <w:spacing w:val="-4"/>
                <w:sz w:val="20"/>
              </w:rPr>
              <w:t xml:space="preserve"> </w:t>
            </w:r>
            <w:r>
              <w:rPr>
                <w:spacing w:val="-2"/>
                <w:sz w:val="20"/>
              </w:rPr>
              <w:t>(costs)</w:t>
            </w:r>
          </w:p>
        </w:tc>
        <w:tc>
          <w:tcPr>
            <w:tcW w:w="1148" w:type="dxa"/>
            <w:shd w:val="clear" w:color="auto" w:fill="CCEDFF"/>
          </w:tcPr>
          <w:p w14:paraId="7E4C07A6" w14:textId="77777777" w:rsidR="00AE2255" w:rsidRDefault="00000000">
            <w:pPr>
              <w:pStyle w:val="TableParagraph"/>
              <w:ind w:right="135"/>
              <w:rPr>
                <w:b/>
                <w:sz w:val="20"/>
              </w:rPr>
            </w:pPr>
            <w:r>
              <w:rPr>
                <w:b/>
                <w:spacing w:val="-5"/>
                <w:sz w:val="20"/>
              </w:rPr>
              <w:t>359</w:t>
            </w:r>
          </w:p>
        </w:tc>
        <w:tc>
          <w:tcPr>
            <w:tcW w:w="975" w:type="dxa"/>
            <w:shd w:val="clear" w:color="auto" w:fill="CCEDFF"/>
          </w:tcPr>
          <w:p w14:paraId="45CE6FA1" w14:textId="77777777" w:rsidR="00AE2255" w:rsidRDefault="00000000">
            <w:pPr>
              <w:pStyle w:val="TableParagraph"/>
              <w:ind w:right="135"/>
              <w:rPr>
                <w:sz w:val="20"/>
              </w:rPr>
            </w:pPr>
            <w:r>
              <w:rPr>
                <w:spacing w:val="-5"/>
                <w:sz w:val="20"/>
              </w:rPr>
              <w:t>349</w:t>
            </w:r>
          </w:p>
        </w:tc>
        <w:tc>
          <w:tcPr>
            <w:tcW w:w="1114" w:type="dxa"/>
            <w:tcBorders>
              <w:right w:val="single" w:sz="8" w:space="0" w:color="000000"/>
            </w:tcBorders>
            <w:shd w:val="clear" w:color="auto" w:fill="CCEDFF"/>
          </w:tcPr>
          <w:p w14:paraId="1B9D44F0" w14:textId="77777777" w:rsidR="00AE2255" w:rsidRDefault="00000000">
            <w:pPr>
              <w:pStyle w:val="TableParagraph"/>
              <w:ind w:left="537"/>
              <w:jc w:val="left"/>
              <w:rPr>
                <w:sz w:val="20"/>
              </w:rPr>
            </w:pPr>
            <w:r>
              <w:rPr>
                <w:spacing w:val="-5"/>
                <w:sz w:val="20"/>
              </w:rPr>
              <w:t>342</w:t>
            </w:r>
          </w:p>
        </w:tc>
        <w:tc>
          <w:tcPr>
            <w:tcW w:w="3045" w:type="dxa"/>
            <w:gridSpan w:val="2"/>
            <w:tcBorders>
              <w:left w:val="single" w:sz="8" w:space="0" w:color="000000"/>
            </w:tcBorders>
            <w:shd w:val="clear" w:color="auto" w:fill="CCEDFF"/>
          </w:tcPr>
          <w:p w14:paraId="7B6A6FAB" w14:textId="77777777" w:rsidR="00AE2255" w:rsidRDefault="00000000">
            <w:pPr>
              <w:pStyle w:val="TableParagraph"/>
              <w:tabs>
                <w:tab w:val="left" w:pos="1711"/>
                <w:tab w:val="left" w:pos="2686"/>
              </w:tabs>
              <w:ind w:left="736"/>
              <w:jc w:val="left"/>
              <w:rPr>
                <w:sz w:val="20"/>
              </w:rPr>
            </w:pPr>
            <w:r>
              <w:rPr>
                <w:b/>
                <w:spacing w:val="-4"/>
                <w:sz w:val="20"/>
              </w:rPr>
              <w:t>(27)</w:t>
            </w:r>
            <w:r>
              <w:rPr>
                <w:b/>
                <w:sz w:val="20"/>
              </w:rPr>
              <w:tab/>
            </w:r>
            <w:r>
              <w:rPr>
                <w:spacing w:val="-4"/>
                <w:sz w:val="20"/>
              </w:rPr>
              <w:t>(37)</w:t>
            </w:r>
            <w:r>
              <w:rPr>
                <w:sz w:val="20"/>
              </w:rPr>
              <w:tab/>
            </w:r>
            <w:r>
              <w:rPr>
                <w:spacing w:val="-4"/>
                <w:sz w:val="20"/>
              </w:rPr>
              <w:t>(39)</w:t>
            </w:r>
          </w:p>
        </w:tc>
      </w:tr>
      <w:tr w:rsidR="00AE2255" w14:paraId="332CFFE1" w14:textId="77777777">
        <w:trPr>
          <w:trHeight w:val="275"/>
        </w:trPr>
        <w:tc>
          <w:tcPr>
            <w:tcW w:w="3918" w:type="dxa"/>
            <w:tcBorders>
              <w:bottom w:val="single" w:sz="8" w:space="0" w:color="000000"/>
            </w:tcBorders>
          </w:tcPr>
          <w:p w14:paraId="7F82479A" w14:textId="77777777" w:rsidR="00AE2255" w:rsidRDefault="00000000">
            <w:pPr>
              <w:pStyle w:val="TableParagraph"/>
              <w:spacing w:line="230" w:lineRule="exact"/>
              <w:ind w:left="172"/>
              <w:jc w:val="left"/>
              <w:rPr>
                <w:sz w:val="20"/>
              </w:rPr>
            </w:pPr>
            <w:r>
              <w:rPr>
                <w:sz w:val="20"/>
              </w:rPr>
              <w:t>Settlement</w:t>
            </w:r>
            <w:r>
              <w:rPr>
                <w:spacing w:val="-11"/>
                <w:sz w:val="20"/>
              </w:rPr>
              <w:t xml:space="preserve"> </w:t>
            </w:r>
            <w:r>
              <w:rPr>
                <w:spacing w:val="-2"/>
                <w:sz w:val="20"/>
              </w:rPr>
              <w:t>charge</w:t>
            </w:r>
          </w:p>
        </w:tc>
        <w:tc>
          <w:tcPr>
            <w:tcW w:w="1148" w:type="dxa"/>
            <w:tcBorders>
              <w:bottom w:val="single" w:sz="8" w:space="0" w:color="000000"/>
            </w:tcBorders>
          </w:tcPr>
          <w:p w14:paraId="4401E2D2" w14:textId="77777777" w:rsidR="00AE2255" w:rsidRDefault="00000000">
            <w:pPr>
              <w:pStyle w:val="TableParagraph"/>
              <w:spacing w:line="230" w:lineRule="exact"/>
              <w:ind w:right="70"/>
              <w:rPr>
                <w:b/>
                <w:sz w:val="20"/>
              </w:rPr>
            </w:pPr>
            <w:r>
              <w:rPr>
                <w:b/>
                <w:spacing w:val="-2"/>
                <w:sz w:val="20"/>
              </w:rPr>
              <w:t>(1,470)</w:t>
            </w:r>
          </w:p>
        </w:tc>
        <w:tc>
          <w:tcPr>
            <w:tcW w:w="975" w:type="dxa"/>
            <w:tcBorders>
              <w:bottom w:val="single" w:sz="8" w:space="0" w:color="000000"/>
            </w:tcBorders>
          </w:tcPr>
          <w:p w14:paraId="17676024" w14:textId="77777777" w:rsidR="00AE2255" w:rsidRDefault="00000000">
            <w:pPr>
              <w:pStyle w:val="TableParagraph"/>
              <w:spacing w:line="230" w:lineRule="exact"/>
              <w:ind w:right="70"/>
              <w:rPr>
                <w:b/>
                <w:sz w:val="20"/>
              </w:rPr>
            </w:pPr>
            <w:r>
              <w:rPr>
                <w:b/>
                <w:spacing w:val="-2"/>
                <w:sz w:val="20"/>
              </w:rPr>
              <w:t>(1,665)</w:t>
            </w:r>
          </w:p>
        </w:tc>
        <w:tc>
          <w:tcPr>
            <w:tcW w:w="1114" w:type="dxa"/>
            <w:tcBorders>
              <w:bottom w:val="single" w:sz="8" w:space="0" w:color="000000"/>
              <w:right w:val="single" w:sz="8" w:space="0" w:color="000000"/>
            </w:tcBorders>
          </w:tcPr>
          <w:p w14:paraId="73E01459" w14:textId="77777777" w:rsidR="00AE2255" w:rsidRDefault="00000000">
            <w:pPr>
              <w:pStyle w:val="TableParagraph"/>
              <w:spacing w:line="230" w:lineRule="exact"/>
              <w:ind w:right="264"/>
              <w:rPr>
                <w:sz w:val="20"/>
              </w:rPr>
            </w:pPr>
            <w:r>
              <w:rPr>
                <w:sz w:val="20"/>
              </w:rPr>
              <w:t>—</w:t>
            </w:r>
          </w:p>
        </w:tc>
        <w:tc>
          <w:tcPr>
            <w:tcW w:w="3045" w:type="dxa"/>
            <w:gridSpan w:val="2"/>
            <w:tcBorders>
              <w:left w:val="single" w:sz="8" w:space="0" w:color="000000"/>
              <w:bottom w:val="single" w:sz="8" w:space="0" w:color="000000"/>
            </w:tcBorders>
          </w:tcPr>
          <w:p w14:paraId="7679A146" w14:textId="77777777" w:rsidR="00AE2255" w:rsidRDefault="00000000">
            <w:pPr>
              <w:pStyle w:val="TableParagraph"/>
              <w:tabs>
                <w:tab w:val="left" w:pos="1778"/>
                <w:tab w:val="left" w:pos="2753"/>
              </w:tabs>
              <w:spacing w:line="230" w:lineRule="exact"/>
              <w:ind w:left="803"/>
              <w:jc w:val="left"/>
              <w:rPr>
                <w:sz w:val="20"/>
              </w:rPr>
            </w:pPr>
            <w:r>
              <w:rPr>
                <w:b/>
                <w:spacing w:val="-10"/>
                <w:sz w:val="20"/>
              </w:rPr>
              <w:t>—</w:t>
            </w:r>
            <w:r>
              <w:rPr>
                <w:b/>
                <w:sz w:val="20"/>
              </w:rPr>
              <w:tab/>
            </w:r>
            <w:r>
              <w:rPr>
                <w:spacing w:val="-10"/>
                <w:sz w:val="20"/>
              </w:rPr>
              <w:t>—</w:t>
            </w:r>
            <w:r>
              <w:rPr>
                <w:sz w:val="20"/>
              </w:rPr>
              <w:tab/>
            </w:r>
            <w:r>
              <w:rPr>
                <w:spacing w:val="-10"/>
                <w:sz w:val="20"/>
              </w:rPr>
              <w:t>—</w:t>
            </w:r>
          </w:p>
        </w:tc>
      </w:tr>
      <w:tr w:rsidR="00AE2255" w14:paraId="751DAF86" w14:textId="77777777">
        <w:trPr>
          <w:trHeight w:val="280"/>
        </w:trPr>
        <w:tc>
          <w:tcPr>
            <w:tcW w:w="3918" w:type="dxa"/>
            <w:tcBorders>
              <w:top w:val="single" w:sz="8" w:space="0" w:color="000000"/>
              <w:bottom w:val="single" w:sz="8" w:space="0" w:color="000000"/>
            </w:tcBorders>
            <w:shd w:val="clear" w:color="auto" w:fill="CCEDFF"/>
          </w:tcPr>
          <w:p w14:paraId="6061218B" w14:textId="77777777" w:rsidR="00AE2255" w:rsidRDefault="00000000">
            <w:pPr>
              <w:pStyle w:val="TableParagraph"/>
              <w:spacing w:before="17"/>
              <w:ind w:left="292"/>
              <w:jc w:val="left"/>
              <w:rPr>
                <w:sz w:val="20"/>
              </w:rPr>
            </w:pPr>
            <w:r>
              <w:rPr>
                <w:sz w:val="20"/>
              </w:rPr>
              <w:t>Non-service</w:t>
            </w:r>
            <w:r>
              <w:rPr>
                <w:spacing w:val="-5"/>
                <w:sz w:val="20"/>
              </w:rPr>
              <w:t xml:space="preserve"> </w:t>
            </w:r>
            <w:r>
              <w:rPr>
                <w:sz w:val="20"/>
              </w:rPr>
              <w:t>FAS</w:t>
            </w:r>
            <w:r>
              <w:rPr>
                <w:spacing w:val="-5"/>
                <w:sz w:val="20"/>
              </w:rPr>
              <w:t xml:space="preserve"> </w:t>
            </w:r>
            <w:r>
              <w:rPr>
                <w:sz w:val="20"/>
              </w:rPr>
              <w:t>(expense)</w:t>
            </w:r>
            <w:r>
              <w:rPr>
                <w:spacing w:val="-3"/>
                <w:sz w:val="20"/>
              </w:rPr>
              <w:t xml:space="preserve"> </w:t>
            </w:r>
            <w:r>
              <w:rPr>
                <w:spacing w:val="-2"/>
                <w:sz w:val="20"/>
              </w:rPr>
              <w:t>income</w:t>
            </w:r>
          </w:p>
        </w:tc>
        <w:tc>
          <w:tcPr>
            <w:tcW w:w="1148" w:type="dxa"/>
            <w:tcBorders>
              <w:top w:val="single" w:sz="8" w:space="0" w:color="000000"/>
              <w:bottom w:val="single" w:sz="8" w:space="0" w:color="000000"/>
            </w:tcBorders>
            <w:shd w:val="clear" w:color="auto" w:fill="CCEDFF"/>
          </w:tcPr>
          <w:p w14:paraId="0950C44A" w14:textId="77777777" w:rsidR="00AE2255" w:rsidRDefault="00000000">
            <w:pPr>
              <w:pStyle w:val="TableParagraph"/>
              <w:spacing w:before="30" w:line="230" w:lineRule="exact"/>
              <w:ind w:right="70"/>
              <w:rPr>
                <w:b/>
                <w:sz w:val="20"/>
              </w:rPr>
            </w:pPr>
            <w:r>
              <w:rPr>
                <w:b/>
                <w:spacing w:val="-2"/>
                <w:sz w:val="20"/>
              </w:rPr>
              <w:t>(971)</w:t>
            </w:r>
          </w:p>
        </w:tc>
        <w:tc>
          <w:tcPr>
            <w:tcW w:w="975" w:type="dxa"/>
            <w:tcBorders>
              <w:top w:val="single" w:sz="8" w:space="0" w:color="000000"/>
              <w:bottom w:val="single" w:sz="8" w:space="0" w:color="000000"/>
            </w:tcBorders>
            <w:shd w:val="clear" w:color="auto" w:fill="CCEDFF"/>
          </w:tcPr>
          <w:p w14:paraId="7A8708D8" w14:textId="77777777" w:rsidR="00AE2255" w:rsidRDefault="00000000">
            <w:pPr>
              <w:pStyle w:val="TableParagraph"/>
              <w:spacing w:before="30" w:line="230" w:lineRule="exact"/>
              <w:ind w:right="70"/>
              <w:rPr>
                <w:sz w:val="20"/>
              </w:rPr>
            </w:pPr>
            <w:r>
              <w:rPr>
                <w:spacing w:val="-2"/>
                <w:sz w:val="20"/>
              </w:rPr>
              <w:t>(1,292)</w:t>
            </w:r>
          </w:p>
        </w:tc>
        <w:tc>
          <w:tcPr>
            <w:tcW w:w="1114" w:type="dxa"/>
            <w:tcBorders>
              <w:top w:val="single" w:sz="8" w:space="0" w:color="000000"/>
              <w:bottom w:val="single" w:sz="8" w:space="0" w:color="000000"/>
              <w:right w:val="single" w:sz="8" w:space="0" w:color="000000"/>
            </w:tcBorders>
            <w:shd w:val="clear" w:color="auto" w:fill="CCEDFF"/>
          </w:tcPr>
          <w:p w14:paraId="296B4EFD" w14:textId="77777777" w:rsidR="00AE2255" w:rsidRDefault="00000000">
            <w:pPr>
              <w:pStyle w:val="TableParagraph"/>
              <w:spacing w:before="30" w:line="230" w:lineRule="exact"/>
              <w:ind w:left="537"/>
              <w:jc w:val="left"/>
              <w:rPr>
                <w:sz w:val="20"/>
              </w:rPr>
            </w:pPr>
            <w:r>
              <w:rPr>
                <w:spacing w:val="-5"/>
                <w:sz w:val="20"/>
              </w:rPr>
              <w:t>219</w:t>
            </w:r>
          </w:p>
        </w:tc>
        <w:tc>
          <w:tcPr>
            <w:tcW w:w="3045" w:type="dxa"/>
            <w:gridSpan w:val="2"/>
            <w:tcBorders>
              <w:top w:val="single" w:sz="8" w:space="0" w:color="000000"/>
              <w:left w:val="single" w:sz="8" w:space="0" w:color="000000"/>
              <w:bottom w:val="single" w:sz="8" w:space="0" w:color="000000"/>
            </w:tcBorders>
            <w:shd w:val="clear" w:color="auto" w:fill="CCEDFF"/>
          </w:tcPr>
          <w:p w14:paraId="14C217F4" w14:textId="77777777" w:rsidR="00AE2255" w:rsidRDefault="00000000">
            <w:pPr>
              <w:pStyle w:val="TableParagraph"/>
              <w:tabs>
                <w:tab w:val="left" w:pos="1778"/>
                <w:tab w:val="left" w:pos="2753"/>
              </w:tabs>
              <w:spacing w:before="30" w:line="230" w:lineRule="exact"/>
              <w:ind w:left="703"/>
              <w:jc w:val="left"/>
              <w:rPr>
                <w:sz w:val="20"/>
              </w:rPr>
            </w:pPr>
            <w:r>
              <w:rPr>
                <w:b/>
                <w:spacing w:val="-5"/>
                <w:sz w:val="20"/>
              </w:rPr>
              <w:t>106</w:t>
            </w:r>
            <w:r>
              <w:rPr>
                <w:b/>
                <w:sz w:val="20"/>
              </w:rPr>
              <w:tab/>
            </w:r>
            <w:r>
              <w:rPr>
                <w:spacing w:val="-5"/>
                <w:sz w:val="20"/>
              </w:rPr>
              <w:t>51</w:t>
            </w:r>
            <w:r>
              <w:rPr>
                <w:sz w:val="20"/>
              </w:rPr>
              <w:tab/>
            </w:r>
            <w:r>
              <w:rPr>
                <w:spacing w:val="-5"/>
                <w:sz w:val="20"/>
              </w:rPr>
              <w:t>22</w:t>
            </w:r>
          </w:p>
        </w:tc>
      </w:tr>
      <w:tr w:rsidR="00AE2255" w14:paraId="10F72B60" w14:textId="77777777">
        <w:trPr>
          <w:trHeight w:val="252"/>
        </w:trPr>
        <w:tc>
          <w:tcPr>
            <w:tcW w:w="3918" w:type="dxa"/>
            <w:tcBorders>
              <w:top w:val="single" w:sz="8" w:space="0" w:color="000000"/>
              <w:bottom w:val="single" w:sz="18" w:space="0" w:color="000000"/>
            </w:tcBorders>
          </w:tcPr>
          <w:p w14:paraId="0EE39740" w14:textId="77777777" w:rsidR="00AE2255" w:rsidRDefault="00000000">
            <w:pPr>
              <w:pStyle w:val="TableParagraph"/>
              <w:spacing w:before="17" w:line="216" w:lineRule="exact"/>
              <w:ind w:left="412"/>
              <w:jc w:val="left"/>
              <w:rPr>
                <w:sz w:val="20"/>
              </w:rPr>
            </w:pPr>
            <w:r>
              <w:rPr>
                <w:sz w:val="20"/>
              </w:rPr>
              <w:t>Total</w:t>
            </w:r>
            <w:r>
              <w:rPr>
                <w:spacing w:val="-4"/>
                <w:sz w:val="20"/>
              </w:rPr>
              <w:t xml:space="preserve"> </w:t>
            </w:r>
            <w:r>
              <w:rPr>
                <w:sz w:val="20"/>
              </w:rPr>
              <w:t>FAS</w:t>
            </w:r>
            <w:r>
              <w:rPr>
                <w:spacing w:val="-4"/>
                <w:sz w:val="20"/>
              </w:rPr>
              <w:t xml:space="preserve"> </w:t>
            </w:r>
            <w:r>
              <w:rPr>
                <w:sz w:val="20"/>
              </w:rPr>
              <w:t>(expense)</w:t>
            </w:r>
            <w:r>
              <w:rPr>
                <w:spacing w:val="-3"/>
                <w:sz w:val="20"/>
              </w:rPr>
              <w:t xml:space="preserve"> </w:t>
            </w:r>
            <w:r>
              <w:rPr>
                <w:spacing w:val="-2"/>
                <w:sz w:val="20"/>
              </w:rPr>
              <w:t>income</w:t>
            </w:r>
          </w:p>
        </w:tc>
        <w:tc>
          <w:tcPr>
            <w:tcW w:w="1148" w:type="dxa"/>
            <w:tcBorders>
              <w:top w:val="single" w:sz="8" w:space="0" w:color="000000"/>
              <w:bottom w:val="single" w:sz="18" w:space="0" w:color="000000"/>
            </w:tcBorders>
          </w:tcPr>
          <w:p w14:paraId="4C2E378F" w14:textId="77777777" w:rsidR="00AE2255" w:rsidRDefault="00000000">
            <w:pPr>
              <w:pStyle w:val="TableParagraph"/>
              <w:spacing w:before="15" w:line="217" w:lineRule="exact"/>
              <w:ind w:right="70"/>
              <w:rPr>
                <w:b/>
                <w:sz w:val="20"/>
              </w:rPr>
            </w:pPr>
            <w:r>
              <w:rPr>
                <w:b/>
                <w:sz w:val="20"/>
              </w:rPr>
              <w:t>$</w:t>
            </w:r>
            <w:r>
              <w:rPr>
                <w:b/>
                <w:spacing w:val="74"/>
                <w:w w:val="150"/>
                <w:sz w:val="20"/>
              </w:rPr>
              <w:t xml:space="preserve"> </w:t>
            </w:r>
            <w:r>
              <w:rPr>
                <w:b/>
                <w:spacing w:val="-2"/>
                <w:sz w:val="20"/>
              </w:rPr>
              <w:t>(1,058)</w:t>
            </w:r>
          </w:p>
        </w:tc>
        <w:tc>
          <w:tcPr>
            <w:tcW w:w="975" w:type="dxa"/>
            <w:tcBorders>
              <w:top w:val="single" w:sz="8" w:space="0" w:color="000000"/>
              <w:bottom w:val="single" w:sz="18" w:space="0" w:color="000000"/>
            </w:tcBorders>
          </w:tcPr>
          <w:p w14:paraId="24164377" w14:textId="77777777" w:rsidR="00AE2255" w:rsidRDefault="00000000">
            <w:pPr>
              <w:pStyle w:val="TableParagraph"/>
              <w:spacing w:before="15" w:line="217" w:lineRule="exact"/>
              <w:ind w:right="70"/>
              <w:rPr>
                <w:sz w:val="20"/>
              </w:rPr>
            </w:pPr>
            <w:r>
              <w:rPr>
                <w:sz w:val="20"/>
              </w:rPr>
              <w:t>$</w:t>
            </w:r>
            <w:r>
              <w:rPr>
                <w:spacing w:val="74"/>
                <w:w w:val="150"/>
                <w:sz w:val="20"/>
              </w:rPr>
              <w:t xml:space="preserve"> </w:t>
            </w:r>
            <w:r>
              <w:rPr>
                <w:spacing w:val="-2"/>
                <w:sz w:val="20"/>
              </w:rPr>
              <w:t>(1,398)</w:t>
            </w:r>
          </w:p>
        </w:tc>
        <w:tc>
          <w:tcPr>
            <w:tcW w:w="1114" w:type="dxa"/>
            <w:tcBorders>
              <w:top w:val="single" w:sz="8" w:space="0" w:color="000000"/>
              <w:bottom w:val="single" w:sz="18" w:space="0" w:color="000000"/>
              <w:right w:val="single" w:sz="8" w:space="0" w:color="000000"/>
            </w:tcBorders>
          </w:tcPr>
          <w:p w14:paraId="0526EFE5" w14:textId="77777777" w:rsidR="00AE2255" w:rsidRDefault="00000000">
            <w:pPr>
              <w:pStyle w:val="TableParagraph"/>
              <w:tabs>
                <w:tab w:val="left" w:pos="537"/>
              </w:tabs>
              <w:spacing w:before="15" w:line="217" w:lineRule="exact"/>
              <w:ind w:left="71"/>
              <w:jc w:val="left"/>
              <w:rPr>
                <w:sz w:val="20"/>
              </w:rPr>
            </w:pPr>
            <w:r>
              <w:rPr>
                <w:spacing w:val="-10"/>
                <w:sz w:val="20"/>
              </w:rPr>
              <w:t>$</w:t>
            </w:r>
            <w:r>
              <w:rPr>
                <w:sz w:val="20"/>
              </w:rPr>
              <w:tab/>
            </w:r>
            <w:r>
              <w:rPr>
                <w:spacing w:val="-5"/>
                <w:sz w:val="20"/>
              </w:rPr>
              <w:t>118</w:t>
            </w:r>
          </w:p>
        </w:tc>
        <w:tc>
          <w:tcPr>
            <w:tcW w:w="3045" w:type="dxa"/>
            <w:gridSpan w:val="2"/>
            <w:tcBorders>
              <w:top w:val="single" w:sz="8" w:space="0" w:color="000000"/>
              <w:left w:val="single" w:sz="8" w:space="0" w:color="000000"/>
              <w:bottom w:val="single" w:sz="18" w:space="0" w:color="000000"/>
            </w:tcBorders>
          </w:tcPr>
          <w:p w14:paraId="41CDD87E" w14:textId="77777777" w:rsidR="00AE2255" w:rsidRDefault="00000000">
            <w:pPr>
              <w:pStyle w:val="TableParagraph"/>
              <w:tabs>
                <w:tab w:val="left" w:pos="803"/>
                <w:tab w:val="left" w:pos="1212"/>
                <w:tab w:val="left" w:pos="1778"/>
                <w:tab w:val="left" w:pos="2187"/>
                <w:tab w:val="left" w:pos="2853"/>
              </w:tabs>
              <w:spacing w:before="15" w:line="217" w:lineRule="exact"/>
              <w:ind w:left="237"/>
              <w:jc w:val="left"/>
              <w:rPr>
                <w:sz w:val="20"/>
              </w:rPr>
            </w:pPr>
            <w:r>
              <w:rPr>
                <w:b/>
                <w:spacing w:val="-10"/>
                <w:sz w:val="20"/>
              </w:rPr>
              <w:t>$</w:t>
            </w:r>
            <w:r>
              <w:rPr>
                <w:b/>
                <w:sz w:val="20"/>
              </w:rPr>
              <w:tab/>
            </w:r>
            <w:r>
              <w:rPr>
                <w:b/>
                <w:spacing w:val="-5"/>
                <w:sz w:val="20"/>
              </w:rPr>
              <w:t>97</w:t>
            </w:r>
            <w:r>
              <w:rPr>
                <w:b/>
                <w:sz w:val="20"/>
              </w:rPr>
              <w:tab/>
            </w:r>
            <w:r>
              <w:rPr>
                <w:spacing w:val="-10"/>
                <w:sz w:val="20"/>
              </w:rPr>
              <w:t>$</w:t>
            </w:r>
            <w:r>
              <w:rPr>
                <w:sz w:val="20"/>
              </w:rPr>
              <w:tab/>
            </w:r>
            <w:r>
              <w:rPr>
                <w:spacing w:val="-5"/>
                <w:sz w:val="20"/>
              </w:rPr>
              <w:t>38</w:t>
            </w:r>
            <w:r>
              <w:rPr>
                <w:sz w:val="20"/>
              </w:rPr>
              <w:tab/>
            </w:r>
            <w:r>
              <w:rPr>
                <w:spacing w:val="-10"/>
                <w:sz w:val="20"/>
              </w:rPr>
              <w:t>$</w:t>
            </w:r>
            <w:r>
              <w:rPr>
                <w:sz w:val="20"/>
              </w:rPr>
              <w:tab/>
            </w:r>
            <w:r>
              <w:rPr>
                <w:spacing w:val="-10"/>
                <w:sz w:val="20"/>
              </w:rPr>
              <w:t>9</w:t>
            </w:r>
          </w:p>
        </w:tc>
      </w:tr>
    </w:tbl>
    <w:p w14:paraId="7547ADEE" w14:textId="77777777" w:rsidR="00AE2255" w:rsidRDefault="00AE2255">
      <w:pPr>
        <w:pStyle w:val="BodyText"/>
        <w:spacing w:before="9"/>
        <w:rPr>
          <w:sz w:val="24"/>
        </w:rPr>
      </w:pPr>
    </w:p>
    <w:p w14:paraId="59E87C2B" w14:textId="77777777" w:rsidR="00AE2255" w:rsidRDefault="00000000">
      <w:pPr>
        <w:pStyle w:val="BodyText"/>
        <w:spacing w:before="1" w:line="249" w:lineRule="auto"/>
        <w:ind w:left="610" w:right="428" w:firstLine="360"/>
        <w:jc w:val="both"/>
      </w:pPr>
      <w:r>
        <w:t>We record the service cost component of FAS (expense) income for our qualified defined benefit plans and retiree medical and life insurance plans in the cost of sales accounts; the non-service components of our FAS (expense) income for our</w:t>
      </w:r>
      <w:r>
        <w:rPr>
          <w:spacing w:val="40"/>
        </w:rPr>
        <w:t xml:space="preserve"> </w:t>
      </w:r>
      <w:r>
        <w:t>qualified defined benefit pension plans in the non-service FAS pension (expense) income account; and the non-service components of our FAS income for our retiree medical and life insurance plans as part of the other non-operating (expense) income, net account on our consolidated statements of earnings.</w:t>
      </w:r>
    </w:p>
    <w:p w14:paraId="46F06F70" w14:textId="77777777" w:rsidR="00AE2255" w:rsidRDefault="00AE2255">
      <w:pPr>
        <w:spacing w:line="249" w:lineRule="auto"/>
        <w:jc w:val="both"/>
        <w:sectPr w:rsidR="00AE2255">
          <w:pgSz w:w="12240" w:h="15840"/>
          <w:pgMar w:top="440" w:right="560" w:bottom="720" w:left="380" w:header="230" w:footer="531" w:gutter="0"/>
          <w:cols w:space="720"/>
        </w:sectPr>
      </w:pPr>
    </w:p>
    <w:p w14:paraId="10EFF228" w14:textId="77777777" w:rsidR="00AE2255" w:rsidRDefault="00AE2255">
      <w:pPr>
        <w:pStyle w:val="BodyText"/>
        <w:spacing w:before="7"/>
        <w:rPr>
          <w:sz w:val="22"/>
        </w:rPr>
      </w:pPr>
    </w:p>
    <w:p w14:paraId="6029B388" w14:textId="77777777" w:rsidR="00AE2255" w:rsidRDefault="00000000">
      <w:pPr>
        <w:pStyle w:val="Heading3"/>
        <w:spacing w:before="92"/>
      </w:pPr>
      <w:r>
        <w:t>Funded</w:t>
      </w:r>
      <w:r>
        <w:rPr>
          <w:spacing w:val="-4"/>
        </w:rPr>
        <w:t xml:space="preserve"> </w:t>
      </w:r>
      <w:r>
        <w:rPr>
          <w:spacing w:val="-2"/>
        </w:rPr>
        <w:t>Status</w:t>
      </w:r>
    </w:p>
    <w:p w14:paraId="3AD961CA" w14:textId="77777777" w:rsidR="00AE2255" w:rsidRDefault="00AE2255">
      <w:pPr>
        <w:pStyle w:val="BodyText"/>
        <w:rPr>
          <w:b/>
          <w:i/>
          <w:sz w:val="22"/>
        </w:rPr>
      </w:pPr>
    </w:p>
    <w:p w14:paraId="4089661D" w14:textId="77777777" w:rsidR="00AE2255" w:rsidRDefault="00000000">
      <w:pPr>
        <w:pStyle w:val="BodyText"/>
        <w:spacing w:line="249" w:lineRule="auto"/>
        <w:ind w:left="610" w:right="429" w:firstLine="360"/>
        <w:jc w:val="both"/>
      </w:pPr>
      <w:r>
        <w:t>The following table provides a reconciliation of benefit obligations, plan assets and net (unfunded) funded status of our qualified defined benefit pension plans and our retiree medical and life insurance plans (in millions):</w:t>
      </w:r>
    </w:p>
    <w:p w14:paraId="721F374E" w14:textId="77777777" w:rsidR="00AE2255" w:rsidRDefault="00AE2255">
      <w:pPr>
        <w:pStyle w:val="BodyText"/>
        <w:spacing w:before="2" w:after="1"/>
        <w:rPr>
          <w:sz w:val="18"/>
        </w:rPr>
      </w:pPr>
    </w:p>
    <w:tbl>
      <w:tblPr>
        <w:tblW w:w="0" w:type="auto"/>
        <w:tblInd w:w="617" w:type="dxa"/>
        <w:tblLayout w:type="fixed"/>
        <w:tblCellMar>
          <w:left w:w="0" w:type="dxa"/>
          <w:right w:w="0" w:type="dxa"/>
        </w:tblCellMar>
        <w:tblLook w:val="01E0" w:firstRow="1" w:lastRow="1" w:firstColumn="1" w:lastColumn="1" w:noHBand="0" w:noVBand="0"/>
      </w:tblPr>
      <w:tblGrid>
        <w:gridCol w:w="4550"/>
        <w:gridCol w:w="2301"/>
        <w:gridCol w:w="1174"/>
        <w:gridCol w:w="195"/>
        <w:gridCol w:w="998"/>
        <w:gridCol w:w="998"/>
      </w:tblGrid>
      <w:tr w:rsidR="00AE2255" w14:paraId="00E3362D" w14:textId="77777777">
        <w:trPr>
          <w:trHeight w:val="470"/>
        </w:trPr>
        <w:tc>
          <w:tcPr>
            <w:tcW w:w="8025" w:type="dxa"/>
            <w:gridSpan w:val="3"/>
            <w:vMerge w:val="restart"/>
            <w:tcBorders>
              <w:bottom w:val="single" w:sz="8" w:space="0" w:color="000000"/>
              <w:right w:val="single" w:sz="8" w:space="0" w:color="000000"/>
            </w:tcBorders>
          </w:tcPr>
          <w:p w14:paraId="3299A432" w14:textId="77777777" w:rsidR="00AE2255" w:rsidRDefault="00000000">
            <w:pPr>
              <w:pStyle w:val="TableParagraph"/>
              <w:spacing w:before="44" w:after="26" w:line="208" w:lineRule="auto"/>
              <w:ind w:left="5910" w:firstLine="138"/>
              <w:jc w:val="left"/>
              <w:rPr>
                <w:b/>
                <w:sz w:val="20"/>
              </w:rPr>
            </w:pPr>
            <w:r>
              <w:rPr>
                <w:b/>
                <w:sz w:val="20"/>
              </w:rPr>
              <w:t>Qualified Defined Benefit</w:t>
            </w:r>
            <w:r>
              <w:rPr>
                <w:b/>
                <w:spacing w:val="-8"/>
                <w:sz w:val="20"/>
              </w:rPr>
              <w:t xml:space="preserve"> </w:t>
            </w:r>
            <w:r>
              <w:rPr>
                <w:b/>
                <w:sz w:val="20"/>
              </w:rPr>
              <w:t>Pension</w:t>
            </w:r>
            <w:r>
              <w:rPr>
                <w:b/>
                <w:spacing w:val="-5"/>
                <w:sz w:val="20"/>
              </w:rPr>
              <w:t xml:space="preserve"> </w:t>
            </w:r>
            <w:r>
              <w:rPr>
                <w:b/>
                <w:spacing w:val="-4"/>
                <w:sz w:val="20"/>
              </w:rPr>
              <w:t>Plans</w:t>
            </w:r>
          </w:p>
          <w:p w14:paraId="4B3CEB8E" w14:textId="77777777" w:rsidR="00AE2255" w:rsidRDefault="00000000">
            <w:pPr>
              <w:pStyle w:val="TableParagraph"/>
              <w:spacing w:before="0" w:line="20" w:lineRule="exact"/>
              <w:ind w:left="5825"/>
              <w:jc w:val="left"/>
              <w:rPr>
                <w:sz w:val="2"/>
              </w:rPr>
            </w:pPr>
            <w:r>
              <w:rPr>
                <w:sz w:val="2"/>
              </w:rPr>
            </w:r>
            <w:r>
              <w:rPr>
                <w:sz w:val="2"/>
              </w:rPr>
              <w:pict w14:anchorId="7146A16C">
                <v:group id="docshapegroup47" o:spid="_x0000_s2171" style="width:99.75pt;height:1pt;mso-position-horizontal-relative:char;mso-position-vertical-relative:line" coordsize="1995,20">
                  <v:shape id="docshape48" o:spid="_x0000_s2173" style="position:absolute;top:10;width:1995;height:2" coordorigin=",10" coordsize="1995,0" path="m1995,10l,10e" fillcolor="black" stroked="f">
                    <v:fill opacity="0"/>
                    <v:path arrowok="t"/>
                  </v:shape>
                  <v:line id="_x0000_s2172" style="position:absolute" from="0,10" to="1995,10" strokeweight="1pt"/>
                  <w10:wrap type="none"/>
                  <w10:anchorlock/>
                </v:group>
              </w:pict>
            </w:r>
          </w:p>
          <w:p w14:paraId="7B2574CF" w14:textId="77777777" w:rsidR="00AE2255" w:rsidRDefault="00000000">
            <w:pPr>
              <w:pStyle w:val="TableParagraph"/>
              <w:tabs>
                <w:tab w:val="left" w:pos="7377"/>
              </w:tabs>
              <w:spacing w:before="15" w:line="230" w:lineRule="exact"/>
              <w:ind w:left="6282"/>
              <w:jc w:val="left"/>
              <w:rPr>
                <w:b/>
                <w:sz w:val="20"/>
              </w:rPr>
            </w:pPr>
            <w:r>
              <w:rPr>
                <w:b/>
                <w:spacing w:val="-4"/>
                <w:sz w:val="20"/>
              </w:rPr>
              <w:t>2022</w:t>
            </w:r>
            <w:r>
              <w:rPr>
                <w:b/>
                <w:sz w:val="20"/>
              </w:rPr>
              <w:tab/>
            </w:r>
            <w:r>
              <w:rPr>
                <w:b/>
                <w:spacing w:val="-4"/>
                <w:sz w:val="20"/>
              </w:rPr>
              <w:t>2021</w:t>
            </w:r>
          </w:p>
        </w:tc>
        <w:tc>
          <w:tcPr>
            <w:tcW w:w="195" w:type="dxa"/>
            <w:vMerge w:val="restart"/>
            <w:tcBorders>
              <w:left w:val="single" w:sz="8" w:space="0" w:color="000000"/>
              <w:bottom w:val="single" w:sz="8" w:space="0" w:color="000000"/>
            </w:tcBorders>
          </w:tcPr>
          <w:p w14:paraId="66FF1B50" w14:textId="77777777" w:rsidR="00AE2255" w:rsidRDefault="00AE2255">
            <w:pPr>
              <w:pStyle w:val="TableParagraph"/>
              <w:spacing w:before="0"/>
              <w:jc w:val="left"/>
              <w:rPr>
                <w:sz w:val="18"/>
              </w:rPr>
            </w:pPr>
          </w:p>
        </w:tc>
        <w:tc>
          <w:tcPr>
            <w:tcW w:w="1996" w:type="dxa"/>
            <w:gridSpan w:val="2"/>
            <w:tcBorders>
              <w:bottom w:val="single" w:sz="8" w:space="0" w:color="000000"/>
            </w:tcBorders>
          </w:tcPr>
          <w:p w14:paraId="63C7BE7A" w14:textId="77777777" w:rsidR="00AE2255" w:rsidRDefault="00000000">
            <w:pPr>
              <w:pStyle w:val="TableParagraph"/>
              <w:spacing w:before="44" w:line="208" w:lineRule="auto"/>
              <w:ind w:left="114" w:firstLine="17"/>
              <w:jc w:val="left"/>
              <w:rPr>
                <w:b/>
                <w:sz w:val="20"/>
              </w:rPr>
            </w:pPr>
            <w:r>
              <w:rPr>
                <w:b/>
                <w:sz w:val="20"/>
              </w:rPr>
              <w:t>Retiree</w:t>
            </w:r>
            <w:r>
              <w:rPr>
                <w:b/>
                <w:spacing w:val="-11"/>
                <w:sz w:val="20"/>
              </w:rPr>
              <w:t xml:space="preserve"> </w:t>
            </w:r>
            <w:r>
              <w:rPr>
                <w:b/>
                <w:sz w:val="20"/>
              </w:rPr>
              <w:t>Medical</w:t>
            </w:r>
            <w:r>
              <w:rPr>
                <w:b/>
                <w:spacing w:val="-11"/>
                <w:sz w:val="20"/>
              </w:rPr>
              <w:t xml:space="preserve"> </w:t>
            </w:r>
            <w:r>
              <w:rPr>
                <w:b/>
                <w:sz w:val="20"/>
              </w:rPr>
              <w:t>and Life</w:t>
            </w:r>
            <w:r>
              <w:rPr>
                <w:b/>
                <w:spacing w:val="-8"/>
                <w:sz w:val="20"/>
              </w:rPr>
              <w:t xml:space="preserve"> </w:t>
            </w:r>
            <w:r>
              <w:rPr>
                <w:b/>
                <w:sz w:val="20"/>
              </w:rPr>
              <w:t>Insurance</w:t>
            </w:r>
            <w:r>
              <w:rPr>
                <w:b/>
                <w:spacing w:val="-5"/>
                <w:sz w:val="20"/>
              </w:rPr>
              <w:t xml:space="preserve"> </w:t>
            </w:r>
            <w:r>
              <w:rPr>
                <w:b/>
                <w:spacing w:val="-4"/>
                <w:sz w:val="20"/>
              </w:rPr>
              <w:t>Plans</w:t>
            </w:r>
          </w:p>
        </w:tc>
      </w:tr>
      <w:tr w:rsidR="00AE2255" w14:paraId="37EF9CA5" w14:textId="77777777">
        <w:trPr>
          <w:trHeight w:val="265"/>
        </w:trPr>
        <w:tc>
          <w:tcPr>
            <w:tcW w:w="8025" w:type="dxa"/>
            <w:gridSpan w:val="3"/>
            <w:vMerge/>
            <w:tcBorders>
              <w:top w:val="nil"/>
              <w:bottom w:val="single" w:sz="8" w:space="0" w:color="000000"/>
              <w:right w:val="single" w:sz="8" w:space="0" w:color="000000"/>
            </w:tcBorders>
          </w:tcPr>
          <w:p w14:paraId="27A20662"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0DDBB3A0" w14:textId="77777777" w:rsidR="00AE2255" w:rsidRDefault="00AE2255">
            <w:pPr>
              <w:rPr>
                <w:sz w:val="2"/>
                <w:szCs w:val="2"/>
              </w:rPr>
            </w:pPr>
          </w:p>
        </w:tc>
        <w:tc>
          <w:tcPr>
            <w:tcW w:w="998" w:type="dxa"/>
            <w:tcBorders>
              <w:top w:val="single" w:sz="8" w:space="0" w:color="000000"/>
              <w:bottom w:val="single" w:sz="8" w:space="0" w:color="000000"/>
            </w:tcBorders>
          </w:tcPr>
          <w:p w14:paraId="4086ADD2" w14:textId="77777777" w:rsidR="00AE2255" w:rsidRDefault="00000000">
            <w:pPr>
              <w:pStyle w:val="TableParagraph"/>
              <w:spacing w:before="15" w:line="230" w:lineRule="exact"/>
              <w:ind w:left="447"/>
              <w:jc w:val="left"/>
              <w:rPr>
                <w:b/>
                <w:sz w:val="20"/>
              </w:rPr>
            </w:pPr>
            <w:r>
              <w:rPr>
                <w:b/>
                <w:spacing w:val="-4"/>
                <w:sz w:val="20"/>
              </w:rPr>
              <w:t>2022</w:t>
            </w:r>
          </w:p>
        </w:tc>
        <w:tc>
          <w:tcPr>
            <w:tcW w:w="998" w:type="dxa"/>
            <w:tcBorders>
              <w:top w:val="single" w:sz="8" w:space="0" w:color="000000"/>
              <w:bottom w:val="single" w:sz="8" w:space="0" w:color="000000"/>
            </w:tcBorders>
          </w:tcPr>
          <w:p w14:paraId="09C72553" w14:textId="77777777" w:rsidR="00AE2255" w:rsidRDefault="00000000">
            <w:pPr>
              <w:pStyle w:val="TableParagraph"/>
              <w:spacing w:before="15" w:line="230" w:lineRule="exact"/>
              <w:ind w:right="51"/>
              <w:rPr>
                <w:b/>
                <w:sz w:val="20"/>
              </w:rPr>
            </w:pPr>
            <w:r>
              <w:rPr>
                <w:b/>
                <w:spacing w:val="-4"/>
                <w:sz w:val="20"/>
              </w:rPr>
              <w:t>2021</w:t>
            </w:r>
          </w:p>
        </w:tc>
      </w:tr>
      <w:tr w:rsidR="00AE2255" w14:paraId="07917072" w14:textId="77777777">
        <w:trPr>
          <w:trHeight w:val="275"/>
        </w:trPr>
        <w:tc>
          <w:tcPr>
            <w:tcW w:w="8025" w:type="dxa"/>
            <w:gridSpan w:val="3"/>
            <w:tcBorders>
              <w:top w:val="single" w:sz="8" w:space="0" w:color="000000"/>
              <w:right w:val="single" w:sz="8" w:space="0" w:color="000000"/>
            </w:tcBorders>
            <w:shd w:val="clear" w:color="auto" w:fill="CCEDFF"/>
          </w:tcPr>
          <w:p w14:paraId="7E594852" w14:textId="77777777" w:rsidR="00AE2255" w:rsidRDefault="00000000">
            <w:pPr>
              <w:pStyle w:val="TableParagraph"/>
              <w:spacing w:before="13"/>
              <w:ind w:left="52"/>
              <w:jc w:val="left"/>
              <w:rPr>
                <w:b/>
                <w:sz w:val="20"/>
              </w:rPr>
            </w:pPr>
            <w:r>
              <w:rPr>
                <w:b/>
                <w:sz w:val="20"/>
              </w:rPr>
              <w:t>Change</w:t>
            </w:r>
            <w:r>
              <w:rPr>
                <w:b/>
                <w:spacing w:val="-4"/>
                <w:sz w:val="20"/>
              </w:rPr>
              <w:t xml:space="preserve"> </w:t>
            </w:r>
            <w:r>
              <w:rPr>
                <w:b/>
                <w:sz w:val="20"/>
              </w:rPr>
              <w:t>in</w:t>
            </w:r>
            <w:r>
              <w:rPr>
                <w:b/>
                <w:spacing w:val="-4"/>
                <w:sz w:val="20"/>
              </w:rPr>
              <w:t xml:space="preserve"> </w:t>
            </w:r>
            <w:r>
              <w:rPr>
                <w:b/>
                <w:sz w:val="20"/>
              </w:rPr>
              <w:t>benefit</w:t>
            </w:r>
            <w:r>
              <w:rPr>
                <w:b/>
                <w:spacing w:val="-3"/>
                <w:sz w:val="20"/>
              </w:rPr>
              <w:t xml:space="preserve"> </w:t>
            </w:r>
            <w:r>
              <w:rPr>
                <w:b/>
                <w:spacing w:val="-2"/>
                <w:sz w:val="20"/>
              </w:rPr>
              <w:t>obligation</w:t>
            </w:r>
          </w:p>
        </w:tc>
        <w:tc>
          <w:tcPr>
            <w:tcW w:w="2191" w:type="dxa"/>
            <w:gridSpan w:val="3"/>
            <w:tcBorders>
              <w:top w:val="single" w:sz="8" w:space="0" w:color="000000"/>
              <w:left w:val="single" w:sz="8" w:space="0" w:color="000000"/>
            </w:tcBorders>
            <w:shd w:val="clear" w:color="auto" w:fill="CCEDFF"/>
          </w:tcPr>
          <w:p w14:paraId="42385E96" w14:textId="77777777" w:rsidR="00AE2255" w:rsidRDefault="00AE2255">
            <w:pPr>
              <w:pStyle w:val="TableParagraph"/>
              <w:spacing w:before="0"/>
              <w:jc w:val="left"/>
              <w:rPr>
                <w:sz w:val="18"/>
              </w:rPr>
            </w:pPr>
          </w:p>
        </w:tc>
      </w:tr>
      <w:tr w:rsidR="00AE2255" w14:paraId="732F465C" w14:textId="77777777">
        <w:trPr>
          <w:trHeight w:val="285"/>
        </w:trPr>
        <w:tc>
          <w:tcPr>
            <w:tcW w:w="4550" w:type="dxa"/>
          </w:tcPr>
          <w:p w14:paraId="7193719E" w14:textId="77777777" w:rsidR="00AE2255" w:rsidRDefault="00000000">
            <w:pPr>
              <w:pStyle w:val="TableParagraph"/>
              <w:spacing w:before="27"/>
              <w:ind w:left="187"/>
              <w:jc w:val="left"/>
              <w:rPr>
                <w:b/>
                <w:sz w:val="20"/>
              </w:rPr>
            </w:pPr>
            <w:r>
              <w:rPr>
                <w:sz w:val="20"/>
              </w:rPr>
              <w:t>Beginning</w:t>
            </w:r>
            <w:r>
              <w:rPr>
                <w:spacing w:val="-5"/>
                <w:sz w:val="20"/>
              </w:rPr>
              <w:t xml:space="preserve"> </w:t>
            </w:r>
            <w:r>
              <w:rPr>
                <w:sz w:val="20"/>
              </w:rPr>
              <w:t>balance</w:t>
            </w:r>
            <w:r>
              <w:rPr>
                <w:spacing w:val="-4"/>
                <w:sz w:val="20"/>
              </w:rPr>
              <w:t xml:space="preserve"> </w:t>
            </w:r>
            <w:r>
              <w:rPr>
                <w:b/>
                <w:spacing w:val="-5"/>
                <w:sz w:val="20"/>
                <w:vertAlign w:val="superscript"/>
              </w:rPr>
              <w:t>(a)</w:t>
            </w:r>
          </w:p>
        </w:tc>
        <w:tc>
          <w:tcPr>
            <w:tcW w:w="2301" w:type="dxa"/>
          </w:tcPr>
          <w:p w14:paraId="407AC10B" w14:textId="77777777" w:rsidR="00AE2255" w:rsidRDefault="00000000">
            <w:pPr>
              <w:pStyle w:val="TableParagraph"/>
              <w:ind w:right="195"/>
              <w:rPr>
                <w:b/>
                <w:sz w:val="20"/>
              </w:rPr>
            </w:pPr>
            <w:r>
              <w:rPr>
                <w:b/>
                <w:sz w:val="20"/>
              </w:rPr>
              <w:t>$</w:t>
            </w:r>
            <w:r>
              <w:rPr>
                <w:b/>
                <w:spacing w:val="65"/>
                <w:sz w:val="20"/>
              </w:rPr>
              <w:t xml:space="preserve"> </w:t>
            </w:r>
            <w:r>
              <w:rPr>
                <w:b/>
                <w:spacing w:val="-2"/>
                <w:sz w:val="20"/>
              </w:rPr>
              <w:t>43,447</w:t>
            </w:r>
          </w:p>
        </w:tc>
        <w:tc>
          <w:tcPr>
            <w:tcW w:w="1174" w:type="dxa"/>
            <w:tcBorders>
              <w:right w:val="single" w:sz="8" w:space="0" w:color="000000"/>
            </w:tcBorders>
          </w:tcPr>
          <w:p w14:paraId="404CAC92" w14:textId="77777777" w:rsidR="00AE2255" w:rsidRDefault="00000000">
            <w:pPr>
              <w:pStyle w:val="TableParagraph"/>
              <w:ind w:left="131"/>
              <w:jc w:val="left"/>
              <w:rPr>
                <w:sz w:val="20"/>
              </w:rPr>
            </w:pPr>
            <w:r>
              <w:rPr>
                <w:sz w:val="20"/>
              </w:rPr>
              <w:t>$</w:t>
            </w:r>
            <w:r>
              <w:rPr>
                <w:spacing w:val="65"/>
                <w:sz w:val="20"/>
              </w:rPr>
              <w:t xml:space="preserve"> </w:t>
            </w:r>
            <w:r>
              <w:rPr>
                <w:spacing w:val="-2"/>
                <w:sz w:val="20"/>
              </w:rPr>
              <w:t>51,352</w:t>
            </w:r>
          </w:p>
        </w:tc>
        <w:tc>
          <w:tcPr>
            <w:tcW w:w="1193" w:type="dxa"/>
            <w:gridSpan w:val="2"/>
            <w:tcBorders>
              <w:left w:val="single" w:sz="8" w:space="0" w:color="000000"/>
            </w:tcBorders>
          </w:tcPr>
          <w:p w14:paraId="58853441" w14:textId="77777777" w:rsidR="00AE2255" w:rsidRDefault="00000000">
            <w:pPr>
              <w:pStyle w:val="TableParagraph"/>
              <w:tabs>
                <w:tab w:val="left" w:pos="553"/>
              </w:tabs>
              <w:ind w:left="237"/>
              <w:jc w:val="left"/>
              <w:rPr>
                <w:b/>
                <w:sz w:val="20"/>
              </w:rPr>
            </w:pPr>
            <w:r>
              <w:rPr>
                <w:b/>
                <w:spacing w:val="-10"/>
                <w:sz w:val="20"/>
              </w:rPr>
              <w:t>$</w:t>
            </w:r>
            <w:r>
              <w:rPr>
                <w:b/>
                <w:sz w:val="20"/>
              </w:rPr>
              <w:tab/>
            </w:r>
            <w:r>
              <w:rPr>
                <w:b/>
                <w:spacing w:val="-2"/>
                <w:sz w:val="20"/>
              </w:rPr>
              <w:t>1,839</w:t>
            </w:r>
          </w:p>
        </w:tc>
        <w:tc>
          <w:tcPr>
            <w:tcW w:w="998" w:type="dxa"/>
          </w:tcPr>
          <w:p w14:paraId="09328BF1" w14:textId="77777777" w:rsidR="00AE2255" w:rsidRDefault="00000000">
            <w:pPr>
              <w:pStyle w:val="TableParagraph"/>
              <w:tabs>
                <w:tab w:val="left" w:pos="315"/>
              </w:tabs>
              <w:ind w:right="80"/>
              <w:rPr>
                <w:sz w:val="20"/>
              </w:rPr>
            </w:pPr>
            <w:r>
              <w:rPr>
                <w:spacing w:val="-10"/>
                <w:sz w:val="20"/>
              </w:rPr>
              <w:t>$</w:t>
            </w:r>
            <w:r>
              <w:rPr>
                <w:sz w:val="20"/>
              </w:rPr>
              <w:tab/>
            </w:r>
            <w:r>
              <w:rPr>
                <w:spacing w:val="-2"/>
                <w:sz w:val="20"/>
              </w:rPr>
              <w:t>2,271</w:t>
            </w:r>
          </w:p>
        </w:tc>
      </w:tr>
      <w:tr w:rsidR="00AE2255" w14:paraId="76D94677" w14:textId="77777777">
        <w:trPr>
          <w:trHeight w:val="285"/>
        </w:trPr>
        <w:tc>
          <w:tcPr>
            <w:tcW w:w="4550" w:type="dxa"/>
            <w:shd w:val="clear" w:color="auto" w:fill="CCEDFF"/>
          </w:tcPr>
          <w:p w14:paraId="77AB1EE5" w14:textId="77777777" w:rsidR="00AE2255" w:rsidRDefault="00000000">
            <w:pPr>
              <w:pStyle w:val="TableParagraph"/>
              <w:spacing w:before="27"/>
              <w:ind w:left="412"/>
              <w:jc w:val="left"/>
              <w:rPr>
                <w:sz w:val="20"/>
              </w:rPr>
            </w:pPr>
            <w:r>
              <w:rPr>
                <w:sz w:val="20"/>
              </w:rPr>
              <w:t>Service</w:t>
            </w:r>
            <w:r>
              <w:rPr>
                <w:spacing w:val="-7"/>
                <w:sz w:val="20"/>
              </w:rPr>
              <w:t xml:space="preserve"> </w:t>
            </w:r>
            <w:r>
              <w:rPr>
                <w:spacing w:val="-4"/>
                <w:sz w:val="20"/>
              </w:rPr>
              <w:t>cost</w:t>
            </w:r>
          </w:p>
        </w:tc>
        <w:tc>
          <w:tcPr>
            <w:tcW w:w="2301" w:type="dxa"/>
            <w:shd w:val="clear" w:color="auto" w:fill="CCEDFF"/>
          </w:tcPr>
          <w:p w14:paraId="7ACD318C" w14:textId="77777777" w:rsidR="00AE2255" w:rsidRDefault="00000000">
            <w:pPr>
              <w:pStyle w:val="TableParagraph"/>
              <w:ind w:right="195"/>
              <w:rPr>
                <w:b/>
                <w:sz w:val="20"/>
              </w:rPr>
            </w:pPr>
            <w:r>
              <w:rPr>
                <w:b/>
                <w:spacing w:val="-5"/>
                <w:sz w:val="20"/>
              </w:rPr>
              <w:t>87</w:t>
            </w:r>
          </w:p>
        </w:tc>
        <w:tc>
          <w:tcPr>
            <w:tcW w:w="1174" w:type="dxa"/>
            <w:tcBorders>
              <w:right w:val="single" w:sz="8" w:space="0" w:color="000000"/>
            </w:tcBorders>
            <w:shd w:val="clear" w:color="auto" w:fill="CCEDFF"/>
          </w:tcPr>
          <w:p w14:paraId="2CF2B987" w14:textId="77777777" w:rsidR="00AE2255" w:rsidRDefault="00000000">
            <w:pPr>
              <w:pStyle w:val="TableParagraph"/>
              <w:ind w:left="597"/>
              <w:jc w:val="left"/>
              <w:rPr>
                <w:sz w:val="20"/>
              </w:rPr>
            </w:pPr>
            <w:r>
              <w:rPr>
                <w:spacing w:val="-5"/>
                <w:sz w:val="20"/>
              </w:rPr>
              <w:t>106</w:t>
            </w:r>
          </w:p>
        </w:tc>
        <w:tc>
          <w:tcPr>
            <w:tcW w:w="1193" w:type="dxa"/>
            <w:gridSpan w:val="2"/>
            <w:tcBorders>
              <w:left w:val="single" w:sz="8" w:space="0" w:color="000000"/>
            </w:tcBorders>
            <w:shd w:val="clear" w:color="auto" w:fill="CCEDFF"/>
          </w:tcPr>
          <w:p w14:paraId="76C438A5" w14:textId="77777777" w:rsidR="00AE2255" w:rsidRDefault="00000000">
            <w:pPr>
              <w:pStyle w:val="TableParagraph"/>
              <w:ind w:right="177"/>
              <w:rPr>
                <w:b/>
                <w:sz w:val="20"/>
              </w:rPr>
            </w:pPr>
            <w:r>
              <w:rPr>
                <w:b/>
                <w:sz w:val="20"/>
              </w:rPr>
              <w:t>9</w:t>
            </w:r>
          </w:p>
        </w:tc>
        <w:tc>
          <w:tcPr>
            <w:tcW w:w="998" w:type="dxa"/>
            <w:shd w:val="clear" w:color="auto" w:fill="CCEDFF"/>
          </w:tcPr>
          <w:p w14:paraId="60BE1284" w14:textId="77777777" w:rsidR="00AE2255" w:rsidRDefault="00000000">
            <w:pPr>
              <w:pStyle w:val="TableParagraph"/>
              <w:ind w:right="80"/>
              <w:rPr>
                <w:sz w:val="20"/>
              </w:rPr>
            </w:pPr>
            <w:r>
              <w:rPr>
                <w:spacing w:val="-5"/>
                <w:sz w:val="20"/>
              </w:rPr>
              <w:t>13</w:t>
            </w:r>
          </w:p>
        </w:tc>
      </w:tr>
      <w:tr w:rsidR="00AE2255" w14:paraId="51BDF893" w14:textId="77777777">
        <w:trPr>
          <w:trHeight w:val="285"/>
        </w:trPr>
        <w:tc>
          <w:tcPr>
            <w:tcW w:w="4550" w:type="dxa"/>
          </w:tcPr>
          <w:p w14:paraId="08712E62" w14:textId="77777777" w:rsidR="00AE2255" w:rsidRDefault="00000000">
            <w:pPr>
              <w:pStyle w:val="TableParagraph"/>
              <w:spacing w:before="27"/>
              <w:ind w:left="412"/>
              <w:jc w:val="left"/>
              <w:rPr>
                <w:sz w:val="20"/>
              </w:rPr>
            </w:pPr>
            <w:r>
              <w:rPr>
                <w:sz w:val="20"/>
              </w:rPr>
              <w:t>Interest</w:t>
            </w:r>
            <w:r>
              <w:rPr>
                <w:spacing w:val="-7"/>
                <w:sz w:val="20"/>
              </w:rPr>
              <w:t xml:space="preserve"> </w:t>
            </w:r>
            <w:r>
              <w:rPr>
                <w:spacing w:val="-4"/>
                <w:sz w:val="20"/>
              </w:rPr>
              <w:t>cost</w:t>
            </w:r>
          </w:p>
        </w:tc>
        <w:tc>
          <w:tcPr>
            <w:tcW w:w="2301" w:type="dxa"/>
          </w:tcPr>
          <w:p w14:paraId="790D0F7C" w14:textId="77777777" w:rsidR="00AE2255" w:rsidRDefault="00000000">
            <w:pPr>
              <w:pStyle w:val="TableParagraph"/>
              <w:ind w:right="195"/>
              <w:rPr>
                <w:b/>
                <w:sz w:val="20"/>
              </w:rPr>
            </w:pPr>
            <w:r>
              <w:rPr>
                <w:b/>
                <w:spacing w:val="-2"/>
                <w:sz w:val="20"/>
              </w:rPr>
              <w:t>1,289</w:t>
            </w:r>
          </w:p>
        </w:tc>
        <w:tc>
          <w:tcPr>
            <w:tcW w:w="1174" w:type="dxa"/>
            <w:tcBorders>
              <w:right w:val="single" w:sz="8" w:space="0" w:color="000000"/>
            </w:tcBorders>
          </w:tcPr>
          <w:p w14:paraId="0517F67F" w14:textId="77777777" w:rsidR="00AE2255" w:rsidRDefault="00000000">
            <w:pPr>
              <w:pStyle w:val="TableParagraph"/>
              <w:ind w:left="447"/>
              <w:jc w:val="left"/>
              <w:rPr>
                <w:sz w:val="20"/>
              </w:rPr>
            </w:pPr>
            <w:r>
              <w:rPr>
                <w:spacing w:val="-2"/>
                <w:sz w:val="20"/>
              </w:rPr>
              <w:t>1,220</w:t>
            </w:r>
          </w:p>
        </w:tc>
        <w:tc>
          <w:tcPr>
            <w:tcW w:w="1193" w:type="dxa"/>
            <w:gridSpan w:val="2"/>
            <w:tcBorders>
              <w:left w:val="single" w:sz="8" w:space="0" w:color="000000"/>
            </w:tcBorders>
          </w:tcPr>
          <w:p w14:paraId="03580FBA" w14:textId="77777777" w:rsidR="00AE2255" w:rsidRDefault="00000000">
            <w:pPr>
              <w:pStyle w:val="TableParagraph"/>
              <w:ind w:right="177"/>
              <w:rPr>
                <w:b/>
                <w:sz w:val="20"/>
              </w:rPr>
            </w:pPr>
            <w:r>
              <w:rPr>
                <w:b/>
                <w:spacing w:val="-5"/>
                <w:sz w:val="20"/>
              </w:rPr>
              <w:t>49</w:t>
            </w:r>
          </w:p>
        </w:tc>
        <w:tc>
          <w:tcPr>
            <w:tcW w:w="998" w:type="dxa"/>
          </w:tcPr>
          <w:p w14:paraId="645FFEC7" w14:textId="77777777" w:rsidR="00AE2255" w:rsidRDefault="00000000">
            <w:pPr>
              <w:pStyle w:val="TableParagraph"/>
              <w:ind w:right="80"/>
              <w:rPr>
                <w:sz w:val="20"/>
              </w:rPr>
            </w:pPr>
            <w:r>
              <w:rPr>
                <w:spacing w:val="-5"/>
                <w:sz w:val="20"/>
              </w:rPr>
              <w:t>53</w:t>
            </w:r>
          </w:p>
        </w:tc>
      </w:tr>
      <w:tr w:rsidR="00AE2255" w14:paraId="7DC2FA53" w14:textId="77777777">
        <w:trPr>
          <w:trHeight w:val="285"/>
        </w:trPr>
        <w:tc>
          <w:tcPr>
            <w:tcW w:w="4550" w:type="dxa"/>
            <w:shd w:val="clear" w:color="auto" w:fill="CCEDFF"/>
          </w:tcPr>
          <w:p w14:paraId="7FF608E6" w14:textId="77777777" w:rsidR="00AE2255" w:rsidRDefault="00000000">
            <w:pPr>
              <w:pStyle w:val="TableParagraph"/>
              <w:spacing w:before="27"/>
              <w:ind w:left="412"/>
              <w:jc w:val="left"/>
              <w:rPr>
                <w:b/>
                <w:sz w:val="20"/>
              </w:rPr>
            </w:pPr>
            <w:r>
              <w:rPr>
                <w:sz w:val="20"/>
              </w:rPr>
              <w:t>Actuarial</w:t>
            </w:r>
            <w:r>
              <w:rPr>
                <w:spacing w:val="-6"/>
                <w:sz w:val="20"/>
              </w:rPr>
              <w:t xml:space="preserve"> </w:t>
            </w:r>
            <w:r>
              <w:rPr>
                <w:sz w:val="20"/>
              </w:rPr>
              <w:t>(gains)</w:t>
            </w:r>
            <w:r>
              <w:rPr>
                <w:spacing w:val="-4"/>
                <w:sz w:val="20"/>
              </w:rPr>
              <w:t xml:space="preserve"> </w:t>
            </w:r>
            <w:r>
              <w:rPr>
                <w:sz w:val="20"/>
              </w:rPr>
              <w:t>losses</w:t>
            </w:r>
            <w:r>
              <w:rPr>
                <w:spacing w:val="-5"/>
                <w:sz w:val="20"/>
              </w:rPr>
              <w:t xml:space="preserve"> </w:t>
            </w:r>
            <w:r>
              <w:rPr>
                <w:b/>
                <w:spacing w:val="-5"/>
                <w:sz w:val="20"/>
                <w:vertAlign w:val="superscript"/>
              </w:rPr>
              <w:t>(b)</w:t>
            </w:r>
          </w:p>
        </w:tc>
        <w:tc>
          <w:tcPr>
            <w:tcW w:w="2301" w:type="dxa"/>
            <w:shd w:val="clear" w:color="auto" w:fill="CCEDFF"/>
          </w:tcPr>
          <w:p w14:paraId="1CC0562B" w14:textId="77777777" w:rsidR="00AE2255" w:rsidRDefault="00000000">
            <w:pPr>
              <w:pStyle w:val="TableParagraph"/>
              <w:ind w:right="130"/>
              <w:rPr>
                <w:b/>
                <w:sz w:val="20"/>
              </w:rPr>
            </w:pPr>
            <w:r>
              <w:rPr>
                <w:b/>
                <w:spacing w:val="-2"/>
                <w:sz w:val="20"/>
              </w:rPr>
              <w:t>(10,270)</w:t>
            </w:r>
          </w:p>
        </w:tc>
        <w:tc>
          <w:tcPr>
            <w:tcW w:w="1174" w:type="dxa"/>
            <w:tcBorders>
              <w:right w:val="single" w:sz="8" w:space="0" w:color="000000"/>
            </w:tcBorders>
            <w:shd w:val="clear" w:color="auto" w:fill="CCEDFF"/>
          </w:tcPr>
          <w:p w14:paraId="19B677C8" w14:textId="77777777" w:rsidR="00AE2255" w:rsidRDefault="00000000">
            <w:pPr>
              <w:pStyle w:val="TableParagraph"/>
              <w:ind w:right="199"/>
              <w:rPr>
                <w:sz w:val="20"/>
              </w:rPr>
            </w:pPr>
            <w:r>
              <w:rPr>
                <w:spacing w:val="-2"/>
                <w:sz w:val="20"/>
              </w:rPr>
              <w:t>(2,045)</w:t>
            </w:r>
          </w:p>
        </w:tc>
        <w:tc>
          <w:tcPr>
            <w:tcW w:w="2191" w:type="dxa"/>
            <w:gridSpan w:val="3"/>
            <w:tcBorders>
              <w:left w:val="single" w:sz="8" w:space="0" w:color="000000"/>
            </w:tcBorders>
            <w:shd w:val="clear" w:color="auto" w:fill="CCEDFF"/>
          </w:tcPr>
          <w:p w14:paraId="081DE410" w14:textId="77777777" w:rsidR="00AE2255" w:rsidRDefault="00000000">
            <w:pPr>
              <w:pStyle w:val="TableParagraph"/>
              <w:tabs>
                <w:tab w:val="left" w:pos="1731"/>
              </w:tabs>
              <w:ind w:left="636"/>
              <w:jc w:val="left"/>
              <w:rPr>
                <w:sz w:val="20"/>
              </w:rPr>
            </w:pPr>
            <w:r>
              <w:rPr>
                <w:b/>
                <w:spacing w:val="-2"/>
                <w:sz w:val="20"/>
              </w:rPr>
              <w:t>(396)</w:t>
            </w:r>
            <w:r>
              <w:rPr>
                <w:b/>
                <w:sz w:val="20"/>
              </w:rPr>
              <w:tab/>
            </w:r>
            <w:r>
              <w:rPr>
                <w:spacing w:val="-2"/>
                <w:sz w:val="20"/>
              </w:rPr>
              <w:t>(352)</w:t>
            </w:r>
          </w:p>
        </w:tc>
      </w:tr>
      <w:tr w:rsidR="00AE2255" w14:paraId="18C1C348" w14:textId="77777777">
        <w:trPr>
          <w:trHeight w:val="285"/>
        </w:trPr>
        <w:tc>
          <w:tcPr>
            <w:tcW w:w="4550" w:type="dxa"/>
          </w:tcPr>
          <w:p w14:paraId="3C0A2B0D" w14:textId="77777777" w:rsidR="00AE2255" w:rsidRDefault="00000000">
            <w:pPr>
              <w:pStyle w:val="TableParagraph"/>
              <w:spacing w:before="27"/>
              <w:ind w:left="412"/>
              <w:jc w:val="left"/>
              <w:rPr>
                <w:b/>
                <w:sz w:val="20"/>
              </w:rPr>
            </w:pPr>
            <w:r>
              <w:rPr>
                <w:sz w:val="20"/>
              </w:rPr>
              <w:t>Settlements</w:t>
            </w:r>
            <w:r>
              <w:rPr>
                <w:spacing w:val="-10"/>
                <w:sz w:val="20"/>
              </w:rPr>
              <w:t xml:space="preserve"> </w:t>
            </w:r>
            <w:r>
              <w:rPr>
                <w:b/>
                <w:spacing w:val="-5"/>
                <w:sz w:val="20"/>
                <w:vertAlign w:val="superscript"/>
              </w:rPr>
              <w:t>(c)</w:t>
            </w:r>
          </w:p>
        </w:tc>
        <w:tc>
          <w:tcPr>
            <w:tcW w:w="2301" w:type="dxa"/>
          </w:tcPr>
          <w:p w14:paraId="6D2276F3" w14:textId="77777777" w:rsidR="00AE2255" w:rsidRDefault="00000000">
            <w:pPr>
              <w:pStyle w:val="TableParagraph"/>
              <w:ind w:right="130"/>
              <w:rPr>
                <w:b/>
                <w:sz w:val="20"/>
              </w:rPr>
            </w:pPr>
            <w:r>
              <w:rPr>
                <w:b/>
                <w:spacing w:val="-2"/>
                <w:sz w:val="20"/>
              </w:rPr>
              <w:t>(4,309)</w:t>
            </w:r>
          </w:p>
        </w:tc>
        <w:tc>
          <w:tcPr>
            <w:tcW w:w="1174" w:type="dxa"/>
            <w:tcBorders>
              <w:right w:val="single" w:sz="8" w:space="0" w:color="000000"/>
            </w:tcBorders>
          </w:tcPr>
          <w:p w14:paraId="5E3A3153" w14:textId="77777777" w:rsidR="00AE2255" w:rsidRDefault="00000000">
            <w:pPr>
              <w:pStyle w:val="TableParagraph"/>
              <w:ind w:right="199"/>
              <w:rPr>
                <w:sz w:val="20"/>
              </w:rPr>
            </w:pPr>
            <w:r>
              <w:rPr>
                <w:spacing w:val="-2"/>
                <w:sz w:val="20"/>
              </w:rPr>
              <w:t>(4,885)</w:t>
            </w:r>
          </w:p>
        </w:tc>
        <w:tc>
          <w:tcPr>
            <w:tcW w:w="1193" w:type="dxa"/>
            <w:gridSpan w:val="2"/>
            <w:tcBorders>
              <w:left w:val="single" w:sz="8" w:space="0" w:color="000000"/>
            </w:tcBorders>
          </w:tcPr>
          <w:p w14:paraId="79833077" w14:textId="77777777" w:rsidR="00AE2255" w:rsidRDefault="00000000">
            <w:pPr>
              <w:pStyle w:val="TableParagraph"/>
              <w:ind w:right="177"/>
              <w:rPr>
                <w:b/>
                <w:sz w:val="20"/>
              </w:rPr>
            </w:pPr>
            <w:r>
              <w:rPr>
                <w:b/>
                <w:sz w:val="20"/>
              </w:rPr>
              <w:t>—</w:t>
            </w:r>
          </w:p>
        </w:tc>
        <w:tc>
          <w:tcPr>
            <w:tcW w:w="998" w:type="dxa"/>
          </w:tcPr>
          <w:p w14:paraId="38E733FA" w14:textId="77777777" w:rsidR="00AE2255" w:rsidRDefault="00000000">
            <w:pPr>
              <w:pStyle w:val="TableParagraph"/>
              <w:ind w:right="80"/>
              <w:rPr>
                <w:sz w:val="20"/>
              </w:rPr>
            </w:pPr>
            <w:r>
              <w:rPr>
                <w:sz w:val="20"/>
              </w:rPr>
              <w:t>—</w:t>
            </w:r>
          </w:p>
        </w:tc>
      </w:tr>
      <w:tr w:rsidR="00AE2255" w14:paraId="06BE1DB0" w14:textId="77777777">
        <w:trPr>
          <w:trHeight w:val="285"/>
        </w:trPr>
        <w:tc>
          <w:tcPr>
            <w:tcW w:w="4550" w:type="dxa"/>
            <w:shd w:val="clear" w:color="auto" w:fill="CCEDFF"/>
          </w:tcPr>
          <w:p w14:paraId="5C6D633E" w14:textId="77777777" w:rsidR="00AE2255" w:rsidRDefault="00000000">
            <w:pPr>
              <w:pStyle w:val="TableParagraph"/>
              <w:spacing w:before="27"/>
              <w:ind w:left="412"/>
              <w:jc w:val="left"/>
              <w:rPr>
                <w:sz w:val="20"/>
              </w:rPr>
            </w:pPr>
            <w:r>
              <w:rPr>
                <w:sz w:val="20"/>
              </w:rPr>
              <w:t>Plan</w:t>
            </w:r>
            <w:r>
              <w:rPr>
                <w:spacing w:val="-3"/>
                <w:sz w:val="20"/>
              </w:rPr>
              <w:t xml:space="preserve"> </w:t>
            </w:r>
            <w:r>
              <w:rPr>
                <w:spacing w:val="-2"/>
                <w:sz w:val="20"/>
              </w:rPr>
              <w:t>amendments</w:t>
            </w:r>
          </w:p>
        </w:tc>
        <w:tc>
          <w:tcPr>
            <w:tcW w:w="2301" w:type="dxa"/>
            <w:shd w:val="clear" w:color="auto" w:fill="CCEDFF"/>
          </w:tcPr>
          <w:p w14:paraId="6B85234D" w14:textId="77777777" w:rsidR="00AE2255" w:rsidRDefault="00000000">
            <w:pPr>
              <w:pStyle w:val="TableParagraph"/>
              <w:ind w:right="195"/>
              <w:rPr>
                <w:b/>
                <w:sz w:val="20"/>
              </w:rPr>
            </w:pPr>
            <w:r>
              <w:rPr>
                <w:b/>
                <w:spacing w:val="-5"/>
                <w:sz w:val="20"/>
              </w:rPr>
              <w:t>186</w:t>
            </w:r>
          </w:p>
        </w:tc>
        <w:tc>
          <w:tcPr>
            <w:tcW w:w="1174" w:type="dxa"/>
            <w:tcBorders>
              <w:right w:val="single" w:sz="8" w:space="0" w:color="000000"/>
            </w:tcBorders>
            <w:shd w:val="clear" w:color="auto" w:fill="CCEDFF"/>
          </w:tcPr>
          <w:p w14:paraId="6DA842BF" w14:textId="77777777" w:rsidR="00AE2255" w:rsidRDefault="00000000">
            <w:pPr>
              <w:pStyle w:val="TableParagraph"/>
              <w:ind w:right="264"/>
              <w:rPr>
                <w:sz w:val="20"/>
              </w:rPr>
            </w:pPr>
            <w:r>
              <w:rPr>
                <w:sz w:val="20"/>
              </w:rPr>
              <w:t>2</w:t>
            </w:r>
          </w:p>
        </w:tc>
        <w:tc>
          <w:tcPr>
            <w:tcW w:w="1193" w:type="dxa"/>
            <w:gridSpan w:val="2"/>
            <w:tcBorders>
              <w:left w:val="single" w:sz="8" w:space="0" w:color="000000"/>
            </w:tcBorders>
            <w:shd w:val="clear" w:color="auto" w:fill="CCEDFF"/>
          </w:tcPr>
          <w:p w14:paraId="6B158A4D" w14:textId="77777777" w:rsidR="00AE2255" w:rsidRDefault="00000000">
            <w:pPr>
              <w:pStyle w:val="TableParagraph"/>
              <w:ind w:right="177"/>
              <w:rPr>
                <w:b/>
                <w:sz w:val="20"/>
              </w:rPr>
            </w:pPr>
            <w:r>
              <w:rPr>
                <w:b/>
                <w:sz w:val="20"/>
              </w:rPr>
              <w:t>1</w:t>
            </w:r>
          </w:p>
        </w:tc>
        <w:tc>
          <w:tcPr>
            <w:tcW w:w="998" w:type="dxa"/>
            <w:shd w:val="clear" w:color="auto" w:fill="CCEDFF"/>
          </w:tcPr>
          <w:p w14:paraId="3467A1FC" w14:textId="77777777" w:rsidR="00AE2255" w:rsidRDefault="00000000">
            <w:pPr>
              <w:pStyle w:val="TableParagraph"/>
              <w:ind w:right="80"/>
              <w:rPr>
                <w:sz w:val="20"/>
              </w:rPr>
            </w:pPr>
            <w:r>
              <w:rPr>
                <w:sz w:val="20"/>
              </w:rPr>
              <w:t>—</w:t>
            </w:r>
          </w:p>
        </w:tc>
      </w:tr>
      <w:tr w:rsidR="00AE2255" w14:paraId="3A98969E" w14:textId="77777777">
        <w:trPr>
          <w:trHeight w:val="285"/>
        </w:trPr>
        <w:tc>
          <w:tcPr>
            <w:tcW w:w="4550" w:type="dxa"/>
          </w:tcPr>
          <w:p w14:paraId="468593F2" w14:textId="77777777" w:rsidR="00AE2255" w:rsidRDefault="00000000">
            <w:pPr>
              <w:pStyle w:val="TableParagraph"/>
              <w:spacing w:before="27"/>
              <w:ind w:left="412"/>
              <w:jc w:val="left"/>
              <w:rPr>
                <w:sz w:val="20"/>
              </w:rPr>
            </w:pPr>
            <w:r>
              <w:rPr>
                <w:sz w:val="20"/>
              </w:rPr>
              <w:t>Benefits</w:t>
            </w:r>
            <w:r>
              <w:rPr>
                <w:spacing w:val="-8"/>
                <w:sz w:val="20"/>
              </w:rPr>
              <w:t xml:space="preserve"> </w:t>
            </w:r>
            <w:r>
              <w:rPr>
                <w:spacing w:val="-4"/>
                <w:sz w:val="20"/>
              </w:rPr>
              <w:t>paid</w:t>
            </w:r>
          </w:p>
        </w:tc>
        <w:tc>
          <w:tcPr>
            <w:tcW w:w="2301" w:type="dxa"/>
          </w:tcPr>
          <w:p w14:paraId="0D898ECC" w14:textId="77777777" w:rsidR="00AE2255" w:rsidRDefault="00000000">
            <w:pPr>
              <w:pStyle w:val="TableParagraph"/>
              <w:ind w:right="130"/>
              <w:rPr>
                <w:b/>
                <w:sz w:val="20"/>
              </w:rPr>
            </w:pPr>
            <w:r>
              <w:rPr>
                <w:b/>
                <w:spacing w:val="-2"/>
                <w:sz w:val="20"/>
              </w:rPr>
              <w:t>(1,732)</w:t>
            </w:r>
          </w:p>
        </w:tc>
        <w:tc>
          <w:tcPr>
            <w:tcW w:w="1174" w:type="dxa"/>
            <w:tcBorders>
              <w:right w:val="single" w:sz="8" w:space="0" w:color="000000"/>
            </w:tcBorders>
          </w:tcPr>
          <w:p w14:paraId="7137E074" w14:textId="77777777" w:rsidR="00AE2255" w:rsidRDefault="00000000">
            <w:pPr>
              <w:pStyle w:val="TableParagraph"/>
              <w:ind w:right="199"/>
              <w:rPr>
                <w:sz w:val="20"/>
              </w:rPr>
            </w:pPr>
            <w:r>
              <w:rPr>
                <w:spacing w:val="-2"/>
                <w:sz w:val="20"/>
              </w:rPr>
              <w:t>(2,303)</w:t>
            </w:r>
          </w:p>
        </w:tc>
        <w:tc>
          <w:tcPr>
            <w:tcW w:w="2191" w:type="dxa"/>
            <w:gridSpan w:val="3"/>
            <w:tcBorders>
              <w:left w:val="single" w:sz="8" w:space="0" w:color="000000"/>
            </w:tcBorders>
          </w:tcPr>
          <w:p w14:paraId="07AAB2C3" w14:textId="77777777" w:rsidR="00AE2255" w:rsidRDefault="00000000">
            <w:pPr>
              <w:pStyle w:val="TableParagraph"/>
              <w:tabs>
                <w:tab w:val="left" w:pos="1731"/>
              </w:tabs>
              <w:ind w:left="636"/>
              <w:jc w:val="left"/>
              <w:rPr>
                <w:sz w:val="20"/>
              </w:rPr>
            </w:pPr>
            <w:r>
              <w:rPr>
                <w:b/>
                <w:spacing w:val="-2"/>
                <w:sz w:val="20"/>
              </w:rPr>
              <w:t>(207)</w:t>
            </w:r>
            <w:r>
              <w:rPr>
                <w:b/>
                <w:sz w:val="20"/>
              </w:rPr>
              <w:tab/>
            </w:r>
            <w:r>
              <w:rPr>
                <w:spacing w:val="-2"/>
                <w:sz w:val="20"/>
              </w:rPr>
              <w:t>(217)</w:t>
            </w:r>
          </w:p>
        </w:tc>
      </w:tr>
      <w:tr w:rsidR="00AE2255" w14:paraId="6F4666A5" w14:textId="77777777">
        <w:trPr>
          <w:trHeight w:val="285"/>
        </w:trPr>
        <w:tc>
          <w:tcPr>
            <w:tcW w:w="4550" w:type="dxa"/>
            <w:shd w:val="clear" w:color="auto" w:fill="CCEDFF"/>
          </w:tcPr>
          <w:p w14:paraId="0AD6F295" w14:textId="77777777" w:rsidR="00AE2255" w:rsidRDefault="00000000">
            <w:pPr>
              <w:pStyle w:val="TableParagraph"/>
              <w:spacing w:before="27"/>
              <w:ind w:left="412"/>
              <w:jc w:val="left"/>
              <w:rPr>
                <w:sz w:val="20"/>
              </w:rPr>
            </w:pPr>
            <w:r>
              <w:rPr>
                <w:sz w:val="20"/>
              </w:rPr>
              <w:t>Medicare</w:t>
            </w:r>
            <w:r>
              <w:rPr>
                <w:spacing w:val="-4"/>
                <w:sz w:val="20"/>
              </w:rPr>
              <w:t xml:space="preserve"> </w:t>
            </w:r>
            <w:r>
              <w:rPr>
                <w:sz w:val="20"/>
              </w:rPr>
              <w:t>Part</w:t>
            </w:r>
            <w:r>
              <w:rPr>
                <w:spacing w:val="-3"/>
                <w:sz w:val="20"/>
              </w:rPr>
              <w:t xml:space="preserve"> </w:t>
            </w:r>
            <w:r>
              <w:rPr>
                <w:sz w:val="20"/>
              </w:rPr>
              <w:t>D</w:t>
            </w:r>
            <w:r>
              <w:rPr>
                <w:spacing w:val="-3"/>
                <w:sz w:val="20"/>
              </w:rPr>
              <w:t xml:space="preserve"> </w:t>
            </w:r>
            <w:r>
              <w:rPr>
                <w:spacing w:val="-2"/>
                <w:sz w:val="20"/>
              </w:rPr>
              <w:t>subsidy</w:t>
            </w:r>
          </w:p>
        </w:tc>
        <w:tc>
          <w:tcPr>
            <w:tcW w:w="2301" w:type="dxa"/>
            <w:shd w:val="clear" w:color="auto" w:fill="CCEDFF"/>
          </w:tcPr>
          <w:p w14:paraId="73250708" w14:textId="77777777" w:rsidR="00AE2255" w:rsidRDefault="00000000">
            <w:pPr>
              <w:pStyle w:val="TableParagraph"/>
              <w:ind w:right="195"/>
              <w:rPr>
                <w:b/>
                <w:sz w:val="20"/>
              </w:rPr>
            </w:pPr>
            <w:r>
              <w:rPr>
                <w:b/>
                <w:sz w:val="20"/>
              </w:rPr>
              <w:t>—</w:t>
            </w:r>
          </w:p>
        </w:tc>
        <w:tc>
          <w:tcPr>
            <w:tcW w:w="1174" w:type="dxa"/>
            <w:tcBorders>
              <w:right w:val="single" w:sz="8" w:space="0" w:color="000000"/>
            </w:tcBorders>
            <w:shd w:val="clear" w:color="auto" w:fill="CCEDFF"/>
          </w:tcPr>
          <w:p w14:paraId="6E8BB3FE" w14:textId="77777777" w:rsidR="00AE2255" w:rsidRDefault="00000000">
            <w:pPr>
              <w:pStyle w:val="TableParagraph"/>
              <w:ind w:right="264"/>
              <w:rPr>
                <w:sz w:val="20"/>
              </w:rPr>
            </w:pPr>
            <w:r>
              <w:rPr>
                <w:sz w:val="20"/>
              </w:rPr>
              <w:t>—</w:t>
            </w:r>
          </w:p>
        </w:tc>
        <w:tc>
          <w:tcPr>
            <w:tcW w:w="1193" w:type="dxa"/>
            <w:gridSpan w:val="2"/>
            <w:tcBorders>
              <w:left w:val="single" w:sz="8" w:space="0" w:color="000000"/>
            </w:tcBorders>
            <w:shd w:val="clear" w:color="auto" w:fill="CCEDFF"/>
          </w:tcPr>
          <w:p w14:paraId="0084FB4F" w14:textId="77777777" w:rsidR="00AE2255" w:rsidRDefault="00000000">
            <w:pPr>
              <w:pStyle w:val="TableParagraph"/>
              <w:ind w:right="177"/>
              <w:rPr>
                <w:b/>
                <w:sz w:val="20"/>
              </w:rPr>
            </w:pPr>
            <w:r>
              <w:rPr>
                <w:b/>
                <w:sz w:val="20"/>
              </w:rPr>
              <w:t>3</w:t>
            </w:r>
          </w:p>
        </w:tc>
        <w:tc>
          <w:tcPr>
            <w:tcW w:w="998" w:type="dxa"/>
            <w:shd w:val="clear" w:color="auto" w:fill="CCEDFF"/>
          </w:tcPr>
          <w:p w14:paraId="08A9A5B3" w14:textId="77777777" w:rsidR="00AE2255" w:rsidRDefault="00000000">
            <w:pPr>
              <w:pStyle w:val="TableParagraph"/>
              <w:ind w:right="80"/>
              <w:rPr>
                <w:sz w:val="20"/>
              </w:rPr>
            </w:pPr>
            <w:r>
              <w:rPr>
                <w:sz w:val="20"/>
              </w:rPr>
              <w:t>4</w:t>
            </w:r>
          </w:p>
        </w:tc>
      </w:tr>
      <w:tr w:rsidR="00AE2255" w14:paraId="646ABC60" w14:textId="77777777">
        <w:trPr>
          <w:trHeight w:val="275"/>
        </w:trPr>
        <w:tc>
          <w:tcPr>
            <w:tcW w:w="4550" w:type="dxa"/>
            <w:tcBorders>
              <w:bottom w:val="single" w:sz="8" w:space="0" w:color="000000"/>
            </w:tcBorders>
          </w:tcPr>
          <w:p w14:paraId="7ADCAA22" w14:textId="77777777" w:rsidR="00AE2255" w:rsidRDefault="00000000">
            <w:pPr>
              <w:pStyle w:val="TableParagraph"/>
              <w:spacing w:before="27" w:line="228" w:lineRule="exact"/>
              <w:ind w:left="412"/>
              <w:jc w:val="left"/>
              <w:rPr>
                <w:sz w:val="20"/>
              </w:rPr>
            </w:pPr>
            <w:r>
              <w:rPr>
                <w:sz w:val="20"/>
              </w:rPr>
              <w:t>Participants’</w:t>
            </w:r>
            <w:r>
              <w:rPr>
                <w:spacing w:val="-9"/>
                <w:sz w:val="20"/>
              </w:rPr>
              <w:t xml:space="preserve"> </w:t>
            </w:r>
            <w:r>
              <w:rPr>
                <w:spacing w:val="-2"/>
                <w:sz w:val="20"/>
              </w:rPr>
              <w:t>contributions</w:t>
            </w:r>
          </w:p>
        </w:tc>
        <w:tc>
          <w:tcPr>
            <w:tcW w:w="2301" w:type="dxa"/>
            <w:tcBorders>
              <w:bottom w:val="single" w:sz="8" w:space="0" w:color="000000"/>
            </w:tcBorders>
          </w:tcPr>
          <w:p w14:paraId="7E77C904" w14:textId="77777777" w:rsidR="00AE2255" w:rsidRDefault="00000000">
            <w:pPr>
              <w:pStyle w:val="TableParagraph"/>
              <w:spacing w:line="230" w:lineRule="exact"/>
              <w:ind w:right="195"/>
              <w:rPr>
                <w:b/>
                <w:sz w:val="20"/>
              </w:rPr>
            </w:pPr>
            <w:r>
              <w:rPr>
                <w:b/>
                <w:sz w:val="20"/>
              </w:rPr>
              <w:t>—</w:t>
            </w:r>
          </w:p>
        </w:tc>
        <w:tc>
          <w:tcPr>
            <w:tcW w:w="1174" w:type="dxa"/>
            <w:tcBorders>
              <w:bottom w:val="single" w:sz="8" w:space="0" w:color="000000"/>
              <w:right w:val="single" w:sz="8" w:space="0" w:color="000000"/>
            </w:tcBorders>
          </w:tcPr>
          <w:p w14:paraId="5467A998" w14:textId="77777777" w:rsidR="00AE2255" w:rsidRDefault="00000000">
            <w:pPr>
              <w:pStyle w:val="TableParagraph"/>
              <w:spacing w:line="230" w:lineRule="exact"/>
              <w:ind w:right="264"/>
              <w:rPr>
                <w:sz w:val="20"/>
              </w:rPr>
            </w:pPr>
            <w:r>
              <w:rPr>
                <w:sz w:val="20"/>
              </w:rPr>
              <w:t>—</w:t>
            </w:r>
          </w:p>
        </w:tc>
        <w:tc>
          <w:tcPr>
            <w:tcW w:w="1193" w:type="dxa"/>
            <w:gridSpan w:val="2"/>
            <w:tcBorders>
              <w:left w:val="single" w:sz="8" w:space="0" w:color="000000"/>
              <w:bottom w:val="single" w:sz="8" w:space="0" w:color="000000"/>
            </w:tcBorders>
          </w:tcPr>
          <w:p w14:paraId="27E211E6" w14:textId="77777777" w:rsidR="00AE2255" w:rsidRDefault="00000000">
            <w:pPr>
              <w:pStyle w:val="TableParagraph"/>
              <w:spacing w:line="230" w:lineRule="exact"/>
              <w:ind w:right="177"/>
              <w:rPr>
                <w:b/>
                <w:sz w:val="20"/>
              </w:rPr>
            </w:pPr>
            <w:r>
              <w:rPr>
                <w:b/>
                <w:spacing w:val="-5"/>
                <w:sz w:val="20"/>
              </w:rPr>
              <w:t>61</w:t>
            </w:r>
          </w:p>
        </w:tc>
        <w:tc>
          <w:tcPr>
            <w:tcW w:w="998" w:type="dxa"/>
            <w:tcBorders>
              <w:bottom w:val="single" w:sz="8" w:space="0" w:color="000000"/>
            </w:tcBorders>
          </w:tcPr>
          <w:p w14:paraId="26D56AB0" w14:textId="77777777" w:rsidR="00AE2255" w:rsidRDefault="00000000">
            <w:pPr>
              <w:pStyle w:val="TableParagraph"/>
              <w:spacing w:line="230" w:lineRule="exact"/>
              <w:ind w:right="80"/>
              <w:rPr>
                <w:sz w:val="20"/>
              </w:rPr>
            </w:pPr>
            <w:r>
              <w:rPr>
                <w:spacing w:val="-5"/>
                <w:sz w:val="20"/>
              </w:rPr>
              <w:t>67</w:t>
            </w:r>
          </w:p>
        </w:tc>
      </w:tr>
      <w:tr w:rsidR="00AE2255" w14:paraId="3126601E" w14:textId="77777777">
        <w:trPr>
          <w:trHeight w:val="265"/>
        </w:trPr>
        <w:tc>
          <w:tcPr>
            <w:tcW w:w="4550" w:type="dxa"/>
            <w:tcBorders>
              <w:top w:val="single" w:sz="8" w:space="0" w:color="000000"/>
              <w:bottom w:val="single" w:sz="8" w:space="0" w:color="000000"/>
            </w:tcBorders>
            <w:shd w:val="clear" w:color="auto" w:fill="CCEDFF"/>
          </w:tcPr>
          <w:p w14:paraId="6DC991ED" w14:textId="77777777" w:rsidR="00AE2255" w:rsidRDefault="00000000">
            <w:pPr>
              <w:pStyle w:val="TableParagraph"/>
              <w:spacing w:before="17" w:line="228" w:lineRule="exact"/>
              <w:ind w:left="187"/>
              <w:jc w:val="left"/>
              <w:rPr>
                <w:b/>
                <w:sz w:val="20"/>
              </w:rPr>
            </w:pPr>
            <w:r>
              <w:rPr>
                <w:sz w:val="20"/>
              </w:rPr>
              <w:t>Ending</w:t>
            </w:r>
            <w:r>
              <w:rPr>
                <w:spacing w:val="-4"/>
                <w:sz w:val="20"/>
              </w:rPr>
              <w:t xml:space="preserve"> </w:t>
            </w:r>
            <w:r>
              <w:rPr>
                <w:sz w:val="20"/>
              </w:rPr>
              <w:t>balance</w:t>
            </w:r>
            <w:r>
              <w:rPr>
                <w:spacing w:val="-3"/>
                <w:sz w:val="20"/>
              </w:rPr>
              <w:t xml:space="preserve"> </w:t>
            </w:r>
            <w:r>
              <w:rPr>
                <w:b/>
                <w:spacing w:val="-5"/>
                <w:sz w:val="20"/>
                <w:vertAlign w:val="superscript"/>
              </w:rPr>
              <w:t>(a)</w:t>
            </w:r>
          </w:p>
        </w:tc>
        <w:tc>
          <w:tcPr>
            <w:tcW w:w="2301" w:type="dxa"/>
            <w:tcBorders>
              <w:top w:val="single" w:sz="8" w:space="0" w:color="000000"/>
              <w:bottom w:val="single" w:sz="8" w:space="0" w:color="000000"/>
            </w:tcBorders>
            <w:shd w:val="clear" w:color="auto" w:fill="CCEDFF"/>
          </w:tcPr>
          <w:p w14:paraId="68F0363E" w14:textId="77777777" w:rsidR="00AE2255" w:rsidRDefault="00000000">
            <w:pPr>
              <w:pStyle w:val="TableParagraph"/>
              <w:spacing w:before="15" w:line="230" w:lineRule="exact"/>
              <w:ind w:right="195"/>
              <w:rPr>
                <w:b/>
                <w:sz w:val="20"/>
              </w:rPr>
            </w:pPr>
            <w:r>
              <w:rPr>
                <w:b/>
                <w:sz w:val="20"/>
              </w:rPr>
              <w:t>$</w:t>
            </w:r>
            <w:r>
              <w:rPr>
                <w:b/>
                <w:spacing w:val="65"/>
                <w:sz w:val="20"/>
              </w:rPr>
              <w:t xml:space="preserve"> </w:t>
            </w:r>
            <w:r>
              <w:rPr>
                <w:b/>
                <w:spacing w:val="-2"/>
                <w:sz w:val="20"/>
              </w:rPr>
              <w:t>28,698</w:t>
            </w:r>
          </w:p>
        </w:tc>
        <w:tc>
          <w:tcPr>
            <w:tcW w:w="1174" w:type="dxa"/>
            <w:tcBorders>
              <w:top w:val="single" w:sz="8" w:space="0" w:color="000000"/>
              <w:bottom w:val="single" w:sz="8" w:space="0" w:color="000000"/>
              <w:right w:val="single" w:sz="8" w:space="0" w:color="000000"/>
            </w:tcBorders>
            <w:shd w:val="clear" w:color="auto" w:fill="CCEDFF"/>
          </w:tcPr>
          <w:p w14:paraId="625DE02F" w14:textId="77777777" w:rsidR="00AE2255" w:rsidRDefault="00000000">
            <w:pPr>
              <w:pStyle w:val="TableParagraph"/>
              <w:spacing w:before="15" w:line="230" w:lineRule="exact"/>
              <w:ind w:left="131"/>
              <w:jc w:val="left"/>
              <w:rPr>
                <w:sz w:val="20"/>
              </w:rPr>
            </w:pPr>
            <w:r>
              <w:rPr>
                <w:sz w:val="20"/>
              </w:rPr>
              <w:t>$</w:t>
            </w:r>
            <w:r>
              <w:rPr>
                <w:spacing w:val="65"/>
                <w:sz w:val="20"/>
              </w:rPr>
              <w:t xml:space="preserve"> </w:t>
            </w:r>
            <w:r>
              <w:rPr>
                <w:spacing w:val="-2"/>
                <w:sz w:val="20"/>
              </w:rPr>
              <w:t>43,447</w:t>
            </w:r>
          </w:p>
        </w:tc>
        <w:tc>
          <w:tcPr>
            <w:tcW w:w="1193" w:type="dxa"/>
            <w:gridSpan w:val="2"/>
            <w:tcBorders>
              <w:top w:val="single" w:sz="8" w:space="0" w:color="000000"/>
              <w:left w:val="single" w:sz="8" w:space="0" w:color="000000"/>
              <w:bottom w:val="single" w:sz="8" w:space="0" w:color="000000"/>
            </w:tcBorders>
            <w:shd w:val="clear" w:color="auto" w:fill="CCEDFF"/>
          </w:tcPr>
          <w:p w14:paraId="466E47FC" w14:textId="77777777" w:rsidR="00AE2255" w:rsidRDefault="00000000">
            <w:pPr>
              <w:pStyle w:val="TableParagraph"/>
              <w:tabs>
                <w:tab w:val="left" w:pos="553"/>
              </w:tabs>
              <w:spacing w:before="15" w:line="230" w:lineRule="exact"/>
              <w:ind w:left="237"/>
              <w:jc w:val="left"/>
              <w:rPr>
                <w:b/>
                <w:sz w:val="20"/>
              </w:rPr>
            </w:pPr>
            <w:r>
              <w:rPr>
                <w:b/>
                <w:spacing w:val="-10"/>
                <w:sz w:val="20"/>
              </w:rPr>
              <w:t>$</w:t>
            </w:r>
            <w:r>
              <w:rPr>
                <w:b/>
                <w:sz w:val="20"/>
              </w:rPr>
              <w:tab/>
            </w:r>
            <w:r>
              <w:rPr>
                <w:b/>
                <w:spacing w:val="-2"/>
                <w:sz w:val="20"/>
              </w:rPr>
              <w:t>1,359</w:t>
            </w:r>
          </w:p>
        </w:tc>
        <w:tc>
          <w:tcPr>
            <w:tcW w:w="998" w:type="dxa"/>
            <w:tcBorders>
              <w:top w:val="single" w:sz="8" w:space="0" w:color="000000"/>
              <w:bottom w:val="single" w:sz="8" w:space="0" w:color="000000"/>
            </w:tcBorders>
            <w:shd w:val="clear" w:color="auto" w:fill="CCEDFF"/>
          </w:tcPr>
          <w:p w14:paraId="0FCC7161" w14:textId="77777777" w:rsidR="00AE2255" w:rsidRDefault="00000000">
            <w:pPr>
              <w:pStyle w:val="TableParagraph"/>
              <w:tabs>
                <w:tab w:val="left" w:pos="315"/>
              </w:tabs>
              <w:spacing w:before="15" w:line="230" w:lineRule="exact"/>
              <w:ind w:right="80"/>
              <w:rPr>
                <w:sz w:val="20"/>
              </w:rPr>
            </w:pPr>
            <w:r>
              <w:rPr>
                <w:spacing w:val="-10"/>
                <w:sz w:val="20"/>
              </w:rPr>
              <w:t>$</w:t>
            </w:r>
            <w:r>
              <w:rPr>
                <w:sz w:val="20"/>
              </w:rPr>
              <w:tab/>
            </w:r>
            <w:r>
              <w:rPr>
                <w:spacing w:val="-2"/>
                <w:sz w:val="20"/>
              </w:rPr>
              <w:t>1,839</w:t>
            </w:r>
          </w:p>
        </w:tc>
      </w:tr>
      <w:tr w:rsidR="00AE2255" w14:paraId="657A50CD" w14:textId="77777777">
        <w:trPr>
          <w:trHeight w:val="275"/>
        </w:trPr>
        <w:tc>
          <w:tcPr>
            <w:tcW w:w="8025" w:type="dxa"/>
            <w:gridSpan w:val="3"/>
            <w:tcBorders>
              <w:top w:val="single" w:sz="8" w:space="0" w:color="000000"/>
              <w:right w:val="single" w:sz="8" w:space="0" w:color="000000"/>
            </w:tcBorders>
          </w:tcPr>
          <w:p w14:paraId="28423C7C" w14:textId="77777777" w:rsidR="00AE2255" w:rsidRDefault="00000000">
            <w:pPr>
              <w:pStyle w:val="TableParagraph"/>
              <w:spacing w:before="13"/>
              <w:ind w:left="52"/>
              <w:jc w:val="left"/>
              <w:rPr>
                <w:b/>
                <w:sz w:val="20"/>
              </w:rPr>
            </w:pPr>
            <w:r>
              <w:rPr>
                <w:b/>
                <w:sz w:val="20"/>
              </w:rPr>
              <w:t>Change</w:t>
            </w:r>
            <w:r>
              <w:rPr>
                <w:b/>
                <w:spacing w:val="-3"/>
                <w:sz w:val="20"/>
              </w:rPr>
              <w:t xml:space="preserve"> </w:t>
            </w:r>
            <w:r>
              <w:rPr>
                <w:b/>
                <w:sz w:val="20"/>
              </w:rPr>
              <w:t>in</w:t>
            </w:r>
            <w:r>
              <w:rPr>
                <w:b/>
                <w:spacing w:val="-3"/>
                <w:sz w:val="20"/>
              </w:rPr>
              <w:t xml:space="preserve"> </w:t>
            </w:r>
            <w:r>
              <w:rPr>
                <w:b/>
                <w:sz w:val="20"/>
              </w:rPr>
              <w:t>plan</w:t>
            </w:r>
            <w:r>
              <w:rPr>
                <w:b/>
                <w:spacing w:val="-3"/>
                <w:sz w:val="20"/>
              </w:rPr>
              <w:t xml:space="preserve"> </w:t>
            </w:r>
            <w:r>
              <w:rPr>
                <w:b/>
                <w:spacing w:val="-2"/>
                <w:sz w:val="20"/>
              </w:rPr>
              <w:t>assets</w:t>
            </w:r>
          </w:p>
        </w:tc>
        <w:tc>
          <w:tcPr>
            <w:tcW w:w="2191" w:type="dxa"/>
            <w:gridSpan w:val="3"/>
            <w:tcBorders>
              <w:top w:val="single" w:sz="8" w:space="0" w:color="000000"/>
              <w:left w:val="single" w:sz="8" w:space="0" w:color="000000"/>
            </w:tcBorders>
          </w:tcPr>
          <w:p w14:paraId="101735DE" w14:textId="77777777" w:rsidR="00AE2255" w:rsidRDefault="00AE2255">
            <w:pPr>
              <w:pStyle w:val="TableParagraph"/>
              <w:spacing w:before="0"/>
              <w:jc w:val="left"/>
              <w:rPr>
                <w:sz w:val="18"/>
              </w:rPr>
            </w:pPr>
          </w:p>
        </w:tc>
      </w:tr>
      <w:tr w:rsidR="00AE2255" w14:paraId="7E6CAD0C" w14:textId="77777777">
        <w:trPr>
          <w:trHeight w:val="285"/>
        </w:trPr>
        <w:tc>
          <w:tcPr>
            <w:tcW w:w="4550" w:type="dxa"/>
            <w:shd w:val="clear" w:color="auto" w:fill="CCEDFF"/>
          </w:tcPr>
          <w:p w14:paraId="207AA96F" w14:textId="77777777" w:rsidR="00AE2255" w:rsidRDefault="00000000">
            <w:pPr>
              <w:pStyle w:val="TableParagraph"/>
              <w:spacing w:before="27"/>
              <w:ind w:left="187"/>
              <w:jc w:val="left"/>
              <w:rPr>
                <w:sz w:val="20"/>
              </w:rPr>
            </w:pPr>
            <w:r>
              <w:rPr>
                <w:sz w:val="20"/>
              </w:rPr>
              <w:t>Beginning</w:t>
            </w:r>
            <w:r>
              <w:rPr>
                <w:spacing w:val="-3"/>
                <w:sz w:val="20"/>
              </w:rPr>
              <w:t xml:space="preserve"> </w:t>
            </w:r>
            <w:r>
              <w:rPr>
                <w:sz w:val="20"/>
              </w:rPr>
              <w:t>balance</w:t>
            </w:r>
            <w:r>
              <w:rPr>
                <w:spacing w:val="-4"/>
                <w:sz w:val="20"/>
              </w:rPr>
              <w:t xml:space="preserve"> </w:t>
            </w:r>
            <w:r>
              <w:rPr>
                <w:sz w:val="20"/>
              </w:rPr>
              <w:t>at</w:t>
            </w:r>
            <w:r>
              <w:rPr>
                <w:spacing w:val="-4"/>
                <w:sz w:val="20"/>
              </w:rPr>
              <w:t xml:space="preserve"> </w:t>
            </w:r>
            <w:r>
              <w:rPr>
                <w:sz w:val="20"/>
              </w:rPr>
              <w:t>fair</w:t>
            </w:r>
            <w:r>
              <w:rPr>
                <w:spacing w:val="-2"/>
                <w:sz w:val="20"/>
              </w:rPr>
              <w:t xml:space="preserve"> value</w:t>
            </w:r>
          </w:p>
        </w:tc>
        <w:tc>
          <w:tcPr>
            <w:tcW w:w="2301" w:type="dxa"/>
            <w:shd w:val="clear" w:color="auto" w:fill="CCEDFF"/>
          </w:tcPr>
          <w:p w14:paraId="1CC2BC73" w14:textId="77777777" w:rsidR="00AE2255" w:rsidRDefault="00000000">
            <w:pPr>
              <w:pStyle w:val="TableParagraph"/>
              <w:ind w:right="195"/>
              <w:rPr>
                <w:b/>
                <w:sz w:val="20"/>
              </w:rPr>
            </w:pPr>
            <w:r>
              <w:rPr>
                <w:b/>
                <w:sz w:val="20"/>
              </w:rPr>
              <w:t>$</w:t>
            </w:r>
            <w:r>
              <w:rPr>
                <w:b/>
                <w:spacing w:val="65"/>
                <w:sz w:val="20"/>
              </w:rPr>
              <w:t xml:space="preserve"> </w:t>
            </w:r>
            <w:r>
              <w:rPr>
                <w:b/>
                <w:spacing w:val="-2"/>
                <w:sz w:val="20"/>
              </w:rPr>
              <w:t>35,192</w:t>
            </w:r>
          </w:p>
        </w:tc>
        <w:tc>
          <w:tcPr>
            <w:tcW w:w="1174" w:type="dxa"/>
            <w:tcBorders>
              <w:right w:val="single" w:sz="8" w:space="0" w:color="000000"/>
            </w:tcBorders>
            <w:shd w:val="clear" w:color="auto" w:fill="CCEDFF"/>
          </w:tcPr>
          <w:p w14:paraId="75C4594C" w14:textId="77777777" w:rsidR="00AE2255" w:rsidRDefault="00000000">
            <w:pPr>
              <w:pStyle w:val="TableParagraph"/>
              <w:ind w:left="131"/>
              <w:jc w:val="left"/>
              <w:rPr>
                <w:sz w:val="20"/>
              </w:rPr>
            </w:pPr>
            <w:r>
              <w:rPr>
                <w:sz w:val="20"/>
              </w:rPr>
              <w:t>$</w:t>
            </w:r>
            <w:r>
              <w:rPr>
                <w:spacing w:val="65"/>
                <w:sz w:val="20"/>
              </w:rPr>
              <w:t xml:space="preserve"> </w:t>
            </w:r>
            <w:r>
              <w:rPr>
                <w:spacing w:val="-2"/>
                <w:sz w:val="20"/>
              </w:rPr>
              <w:t>38,481</w:t>
            </w:r>
          </w:p>
        </w:tc>
        <w:tc>
          <w:tcPr>
            <w:tcW w:w="1193" w:type="dxa"/>
            <w:gridSpan w:val="2"/>
            <w:tcBorders>
              <w:left w:val="single" w:sz="8" w:space="0" w:color="000000"/>
            </w:tcBorders>
            <w:shd w:val="clear" w:color="auto" w:fill="CCEDFF"/>
          </w:tcPr>
          <w:p w14:paraId="08A2AA6E" w14:textId="77777777" w:rsidR="00AE2255" w:rsidRDefault="00000000">
            <w:pPr>
              <w:pStyle w:val="TableParagraph"/>
              <w:tabs>
                <w:tab w:val="left" w:pos="553"/>
              </w:tabs>
              <w:ind w:left="237"/>
              <w:jc w:val="left"/>
              <w:rPr>
                <w:b/>
                <w:sz w:val="20"/>
              </w:rPr>
            </w:pPr>
            <w:r>
              <w:rPr>
                <w:b/>
                <w:spacing w:val="-10"/>
                <w:sz w:val="20"/>
              </w:rPr>
              <w:t>$</w:t>
            </w:r>
            <w:r>
              <w:rPr>
                <w:b/>
                <w:sz w:val="20"/>
              </w:rPr>
              <w:tab/>
            </w:r>
            <w:r>
              <w:rPr>
                <w:b/>
                <w:spacing w:val="-2"/>
                <w:sz w:val="20"/>
              </w:rPr>
              <w:t>2,169</w:t>
            </w:r>
          </w:p>
        </w:tc>
        <w:tc>
          <w:tcPr>
            <w:tcW w:w="998" w:type="dxa"/>
            <w:shd w:val="clear" w:color="auto" w:fill="CCEDFF"/>
          </w:tcPr>
          <w:p w14:paraId="6370EE23" w14:textId="77777777" w:rsidR="00AE2255" w:rsidRDefault="00000000">
            <w:pPr>
              <w:pStyle w:val="TableParagraph"/>
              <w:tabs>
                <w:tab w:val="left" w:pos="315"/>
              </w:tabs>
              <w:ind w:right="80"/>
              <w:rPr>
                <w:sz w:val="20"/>
              </w:rPr>
            </w:pPr>
            <w:r>
              <w:rPr>
                <w:spacing w:val="-10"/>
                <w:sz w:val="20"/>
              </w:rPr>
              <w:t>$</w:t>
            </w:r>
            <w:r>
              <w:rPr>
                <w:sz w:val="20"/>
              </w:rPr>
              <w:tab/>
            </w:r>
            <w:r>
              <w:rPr>
                <w:spacing w:val="-2"/>
                <w:sz w:val="20"/>
              </w:rPr>
              <w:t>2,085</w:t>
            </w:r>
          </w:p>
        </w:tc>
      </w:tr>
      <w:tr w:rsidR="00AE2255" w14:paraId="30F0E598" w14:textId="77777777">
        <w:trPr>
          <w:trHeight w:val="285"/>
        </w:trPr>
        <w:tc>
          <w:tcPr>
            <w:tcW w:w="4550" w:type="dxa"/>
          </w:tcPr>
          <w:p w14:paraId="2A379AA0" w14:textId="77777777" w:rsidR="00AE2255" w:rsidRDefault="00000000">
            <w:pPr>
              <w:pStyle w:val="TableParagraph"/>
              <w:spacing w:before="27"/>
              <w:ind w:left="412"/>
              <w:jc w:val="left"/>
              <w:rPr>
                <w:b/>
                <w:sz w:val="20"/>
              </w:rPr>
            </w:pPr>
            <w:r>
              <w:rPr>
                <w:sz w:val="20"/>
              </w:rPr>
              <w:t>Actual</w:t>
            </w:r>
            <w:r>
              <w:rPr>
                <w:spacing w:val="-4"/>
                <w:sz w:val="20"/>
              </w:rPr>
              <w:t xml:space="preserve"> </w:t>
            </w:r>
            <w:r>
              <w:rPr>
                <w:sz w:val="20"/>
              </w:rPr>
              <w:t>return</w:t>
            </w:r>
            <w:r>
              <w:rPr>
                <w:spacing w:val="-3"/>
                <w:sz w:val="20"/>
              </w:rPr>
              <w:t xml:space="preserve"> </w:t>
            </w:r>
            <w:r>
              <w:rPr>
                <w:sz w:val="20"/>
              </w:rPr>
              <w:t>on</w:t>
            </w:r>
            <w:r>
              <w:rPr>
                <w:spacing w:val="-2"/>
                <w:sz w:val="20"/>
              </w:rPr>
              <w:t xml:space="preserve"> </w:t>
            </w:r>
            <w:r>
              <w:rPr>
                <w:sz w:val="20"/>
              </w:rPr>
              <w:t>plan</w:t>
            </w:r>
            <w:r>
              <w:rPr>
                <w:spacing w:val="-3"/>
                <w:sz w:val="20"/>
              </w:rPr>
              <w:t xml:space="preserve"> </w:t>
            </w:r>
            <w:r>
              <w:rPr>
                <w:sz w:val="20"/>
              </w:rPr>
              <w:t>assets</w:t>
            </w:r>
            <w:r>
              <w:rPr>
                <w:spacing w:val="-3"/>
                <w:sz w:val="20"/>
              </w:rPr>
              <w:t xml:space="preserve"> </w:t>
            </w:r>
            <w:r>
              <w:rPr>
                <w:b/>
                <w:spacing w:val="-5"/>
                <w:sz w:val="20"/>
                <w:vertAlign w:val="superscript"/>
              </w:rPr>
              <w:t>(d)</w:t>
            </w:r>
          </w:p>
        </w:tc>
        <w:tc>
          <w:tcPr>
            <w:tcW w:w="2301" w:type="dxa"/>
          </w:tcPr>
          <w:p w14:paraId="3233A9F1" w14:textId="77777777" w:rsidR="00AE2255" w:rsidRDefault="00000000">
            <w:pPr>
              <w:pStyle w:val="TableParagraph"/>
              <w:ind w:right="130"/>
              <w:rPr>
                <w:b/>
                <w:sz w:val="20"/>
              </w:rPr>
            </w:pPr>
            <w:r>
              <w:rPr>
                <w:b/>
                <w:spacing w:val="-2"/>
                <w:sz w:val="20"/>
              </w:rPr>
              <w:t>(5,923)</w:t>
            </w:r>
          </w:p>
        </w:tc>
        <w:tc>
          <w:tcPr>
            <w:tcW w:w="1174" w:type="dxa"/>
            <w:tcBorders>
              <w:right w:val="single" w:sz="8" w:space="0" w:color="000000"/>
            </w:tcBorders>
          </w:tcPr>
          <w:p w14:paraId="030B56C6" w14:textId="77777777" w:rsidR="00AE2255" w:rsidRDefault="00000000">
            <w:pPr>
              <w:pStyle w:val="TableParagraph"/>
              <w:ind w:left="447"/>
              <w:jc w:val="left"/>
              <w:rPr>
                <w:sz w:val="20"/>
              </w:rPr>
            </w:pPr>
            <w:r>
              <w:rPr>
                <w:spacing w:val="-2"/>
                <w:sz w:val="20"/>
              </w:rPr>
              <w:t>3,899</w:t>
            </w:r>
          </w:p>
        </w:tc>
        <w:tc>
          <w:tcPr>
            <w:tcW w:w="2191" w:type="dxa"/>
            <w:gridSpan w:val="3"/>
            <w:tcBorders>
              <w:left w:val="single" w:sz="8" w:space="0" w:color="000000"/>
            </w:tcBorders>
          </w:tcPr>
          <w:p w14:paraId="650CA3B3" w14:textId="77777777" w:rsidR="00AE2255" w:rsidRDefault="00000000">
            <w:pPr>
              <w:pStyle w:val="TableParagraph"/>
              <w:tabs>
                <w:tab w:val="left" w:pos="1798"/>
              </w:tabs>
              <w:ind w:left="636"/>
              <w:jc w:val="left"/>
              <w:rPr>
                <w:sz w:val="20"/>
              </w:rPr>
            </w:pPr>
            <w:r>
              <w:rPr>
                <w:b/>
                <w:spacing w:val="-2"/>
                <w:sz w:val="20"/>
              </w:rPr>
              <w:t>(381)</w:t>
            </w:r>
            <w:r>
              <w:rPr>
                <w:b/>
                <w:sz w:val="20"/>
              </w:rPr>
              <w:tab/>
            </w:r>
            <w:r>
              <w:rPr>
                <w:spacing w:val="-5"/>
                <w:sz w:val="20"/>
              </w:rPr>
              <w:t>224</w:t>
            </w:r>
          </w:p>
        </w:tc>
      </w:tr>
      <w:tr w:rsidR="00AE2255" w14:paraId="585328C1" w14:textId="77777777">
        <w:trPr>
          <w:trHeight w:val="285"/>
        </w:trPr>
        <w:tc>
          <w:tcPr>
            <w:tcW w:w="4550" w:type="dxa"/>
            <w:shd w:val="clear" w:color="auto" w:fill="CCEDFF"/>
          </w:tcPr>
          <w:p w14:paraId="24A4C15A" w14:textId="77777777" w:rsidR="00AE2255" w:rsidRDefault="00000000">
            <w:pPr>
              <w:pStyle w:val="TableParagraph"/>
              <w:spacing w:before="27"/>
              <w:ind w:left="412"/>
              <w:jc w:val="left"/>
              <w:rPr>
                <w:b/>
                <w:sz w:val="20"/>
              </w:rPr>
            </w:pPr>
            <w:r>
              <w:rPr>
                <w:sz w:val="20"/>
              </w:rPr>
              <w:t>Settlements</w:t>
            </w:r>
            <w:r>
              <w:rPr>
                <w:spacing w:val="-10"/>
                <w:sz w:val="20"/>
              </w:rPr>
              <w:t xml:space="preserve"> </w:t>
            </w:r>
            <w:r>
              <w:rPr>
                <w:b/>
                <w:spacing w:val="-5"/>
                <w:sz w:val="20"/>
                <w:vertAlign w:val="superscript"/>
              </w:rPr>
              <w:t>(c)</w:t>
            </w:r>
          </w:p>
        </w:tc>
        <w:tc>
          <w:tcPr>
            <w:tcW w:w="2301" w:type="dxa"/>
            <w:shd w:val="clear" w:color="auto" w:fill="CCEDFF"/>
          </w:tcPr>
          <w:p w14:paraId="5F9A57F6" w14:textId="77777777" w:rsidR="00AE2255" w:rsidRDefault="00000000">
            <w:pPr>
              <w:pStyle w:val="TableParagraph"/>
              <w:ind w:right="130"/>
              <w:rPr>
                <w:b/>
                <w:sz w:val="20"/>
              </w:rPr>
            </w:pPr>
            <w:r>
              <w:rPr>
                <w:b/>
                <w:spacing w:val="-2"/>
                <w:sz w:val="20"/>
              </w:rPr>
              <w:t>(4,309)</w:t>
            </w:r>
          </w:p>
        </w:tc>
        <w:tc>
          <w:tcPr>
            <w:tcW w:w="1174" w:type="dxa"/>
            <w:tcBorders>
              <w:right w:val="single" w:sz="8" w:space="0" w:color="000000"/>
            </w:tcBorders>
            <w:shd w:val="clear" w:color="auto" w:fill="CCEDFF"/>
          </w:tcPr>
          <w:p w14:paraId="3F2D5009" w14:textId="77777777" w:rsidR="00AE2255" w:rsidRDefault="00000000">
            <w:pPr>
              <w:pStyle w:val="TableParagraph"/>
              <w:ind w:right="199"/>
              <w:rPr>
                <w:sz w:val="20"/>
              </w:rPr>
            </w:pPr>
            <w:r>
              <w:rPr>
                <w:spacing w:val="-2"/>
                <w:sz w:val="20"/>
              </w:rPr>
              <w:t>(4,885)</w:t>
            </w:r>
          </w:p>
        </w:tc>
        <w:tc>
          <w:tcPr>
            <w:tcW w:w="1193" w:type="dxa"/>
            <w:gridSpan w:val="2"/>
            <w:tcBorders>
              <w:left w:val="single" w:sz="8" w:space="0" w:color="000000"/>
            </w:tcBorders>
            <w:shd w:val="clear" w:color="auto" w:fill="CCEDFF"/>
          </w:tcPr>
          <w:p w14:paraId="486430AD" w14:textId="77777777" w:rsidR="00AE2255" w:rsidRDefault="00000000">
            <w:pPr>
              <w:pStyle w:val="TableParagraph"/>
              <w:ind w:right="177"/>
              <w:rPr>
                <w:b/>
                <w:sz w:val="20"/>
              </w:rPr>
            </w:pPr>
            <w:r>
              <w:rPr>
                <w:b/>
                <w:sz w:val="20"/>
              </w:rPr>
              <w:t>—</w:t>
            </w:r>
          </w:p>
        </w:tc>
        <w:tc>
          <w:tcPr>
            <w:tcW w:w="998" w:type="dxa"/>
            <w:shd w:val="clear" w:color="auto" w:fill="CCEDFF"/>
          </w:tcPr>
          <w:p w14:paraId="46AC3AA8" w14:textId="77777777" w:rsidR="00AE2255" w:rsidRDefault="00000000">
            <w:pPr>
              <w:pStyle w:val="TableParagraph"/>
              <w:ind w:right="80"/>
              <w:rPr>
                <w:sz w:val="20"/>
              </w:rPr>
            </w:pPr>
            <w:r>
              <w:rPr>
                <w:sz w:val="20"/>
              </w:rPr>
              <w:t>—</w:t>
            </w:r>
          </w:p>
        </w:tc>
      </w:tr>
      <w:tr w:rsidR="00AE2255" w14:paraId="23CF279F" w14:textId="77777777">
        <w:trPr>
          <w:trHeight w:val="285"/>
        </w:trPr>
        <w:tc>
          <w:tcPr>
            <w:tcW w:w="4550" w:type="dxa"/>
          </w:tcPr>
          <w:p w14:paraId="094F5945" w14:textId="77777777" w:rsidR="00AE2255" w:rsidRDefault="00000000">
            <w:pPr>
              <w:pStyle w:val="TableParagraph"/>
              <w:spacing w:before="27"/>
              <w:ind w:left="412"/>
              <w:jc w:val="left"/>
              <w:rPr>
                <w:sz w:val="20"/>
              </w:rPr>
            </w:pPr>
            <w:r>
              <w:rPr>
                <w:sz w:val="20"/>
              </w:rPr>
              <w:t>Benefits</w:t>
            </w:r>
            <w:r>
              <w:rPr>
                <w:spacing w:val="-8"/>
                <w:sz w:val="20"/>
              </w:rPr>
              <w:t xml:space="preserve"> </w:t>
            </w:r>
            <w:r>
              <w:rPr>
                <w:spacing w:val="-4"/>
                <w:sz w:val="20"/>
              </w:rPr>
              <w:t>paid</w:t>
            </w:r>
          </w:p>
        </w:tc>
        <w:tc>
          <w:tcPr>
            <w:tcW w:w="2301" w:type="dxa"/>
          </w:tcPr>
          <w:p w14:paraId="442067C9" w14:textId="77777777" w:rsidR="00AE2255" w:rsidRDefault="00000000">
            <w:pPr>
              <w:pStyle w:val="TableParagraph"/>
              <w:ind w:right="130"/>
              <w:rPr>
                <w:b/>
                <w:sz w:val="20"/>
              </w:rPr>
            </w:pPr>
            <w:r>
              <w:rPr>
                <w:b/>
                <w:spacing w:val="-2"/>
                <w:sz w:val="20"/>
              </w:rPr>
              <w:t>(1,732)</w:t>
            </w:r>
          </w:p>
        </w:tc>
        <w:tc>
          <w:tcPr>
            <w:tcW w:w="1174" w:type="dxa"/>
            <w:tcBorders>
              <w:right w:val="single" w:sz="8" w:space="0" w:color="000000"/>
            </w:tcBorders>
          </w:tcPr>
          <w:p w14:paraId="2A3A5AF2" w14:textId="77777777" w:rsidR="00AE2255" w:rsidRDefault="00000000">
            <w:pPr>
              <w:pStyle w:val="TableParagraph"/>
              <w:ind w:right="199"/>
              <w:rPr>
                <w:sz w:val="20"/>
              </w:rPr>
            </w:pPr>
            <w:r>
              <w:rPr>
                <w:spacing w:val="-2"/>
                <w:sz w:val="20"/>
              </w:rPr>
              <w:t>(2,303)</w:t>
            </w:r>
          </w:p>
        </w:tc>
        <w:tc>
          <w:tcPr>
            <w:tcW w:w="2191" w:type="dxa"/>
            <w:gridSpan w:val="3"/>
            <w:tcBorders>
              <w:left w:val="single" w:sz="8" w:space="0" w:color="000000"/>
            </w:tcBorders>
          </w:tcPr>
          <w:p w14:paraId="1BBFAFFC" w14:textId="77777777" w:rsidR="00AE2255" w:rsidRDefault="00000000">
            <w:pPr>
              <w:pStyle w:val="TableParagraph"/>
              <w:tabs>
                <w:tab w:val="left" w:pos="1731"/>
              </w:tabs>
              <w:ind w:left="636"/>
              <w:jc w:val="left"/>
              <w:rPr>
                <w:sz w:val="20"/>
              </w:rPr>
            </w:pPr>
            <w:r>
              <w:rPr>
                <w:b/>
                <w:spacing w:val="-2"/>
                <w:sz w:val="20"/>
              </w:rPr>
              <w:t>(207)</w:t>
            </w:r>
            <w:r>
              <w:rPr>
                <w:b/>
                <w:sz w:val="20"/>
              </w:rPr>
              <w:tab/>
            </w:r>
            <w:r>
              <w:rPr>
                <w:spacing w:val="-2"/>
                <w:sz w:val="20"/>
              </w:rPr>
              <w:t>(217)</w:t>
            </w:r>
          </w:p>
        </w:tc>
      </w:tr>
      <w:tr w:rsidR="00AE2255" w14:paraId="49525FD8" w14:textId="77777777">
        <w:trPr>
          <w:trHeight w:val="285"/>
        </w:trPr>
        <w:tc>
          <w:tcPr>
            <w:tcW w:w="4550" w:type="dxa"/>
            <w:shd w:val="clear" w:color="auto" w:fill="CCEDFF"/>
          </w:tcPr>
          <w:p w14:paraId="5D2FC6C4" w14:textId="77777777" w:rsidR="00AE2255" w:rsidRDefault="00000000">
            <w:pPr>
              <w:pStyle w:val="TableParagraph"/>
              <w:spacing w:before="27"/>
              <w:ind w:left="412"/>
              <w:jc w:val="left"/>
              <w:rPr>
                <w:sz w:val="20"/>
              </w:rPr>
            </w:pPr>
            <w:r>
              <w:rPr>
                <w:sz w:val="20"/>
              </w:rPr>
              <w:t>Company</w:t>
            </w:r>
            <w:r>
              <w:rPr>
                <w:spacing w:val="-5"/>
                <w:sz w:val="20"/>
              </w:rPr>
              <w:t xml:space="preserve"> </w:t>
            </w:r>
            <w:r>
              <w:rPr>
                <w:spacing w:val="-2"/>
                <w:sz w:val="20"/>
              </w:rPr>
              <w:t>contributions</w:t>
            </w:r>
          </w:p>
        </w:tc>
        <w:tc>
          <w:tcPr>
            <w:tcW w:w="2301" w:type="dxa"/>
            <w:shd w:val="clear" w:color="auto" w:fill="CCEDFF"/>
          </w:tcPr>
          <w:p w14:paraId="0CE93C66" w14:textId="77777777" w:rsidR="00AE2255" w:rsidRDefault="00000000">
            <w:pPr>
              <w:pStyle w:val="TableParagraph"/>
              <w:ind w:right="195"/>
              <w:rPr>
                <w:b/>
                <w:sz w:val="20"/>
              </w:rPr>
            </w:pPr>
            <w:r>
              <w:rPr>
                <w:b/>
                <w:sz w:val="20"/>
              </w:rPr>
              <w:t>—</w:t>
            </w:r>
          </w:p>
        </w:tc>
        <w:tc>
          <w:tcPr>
            <w:tcW w:w="1174" w:type="dxa"/>
            <w:tcBorders>
              <w:right w:val="single" w:sz="8" w:space="0" w:color="000000"/>
            </w:tcBorders>
            <w:shd w:val="clear" w:color="auto" w:fill="CCEDFF"/>
          </w:tcPr>
          <w:p w14:paraId="6ABEDDCF" w14:textId="77777777" w:rsidR="00AE2255" w:rsidRDefault="00000000">
            <w:pPr>
              <w:pStyle w:val="TableParagraph"/>
              <w:ind w:right="264"/>
              <w:rPr>
                <w:sz w:val="20"/>
              </w:rPr>
            </w:pPr>
            <w:r>
              <w:rPr>
                <w:sz w:val="20"/>
              </w:rPr>
              <w:t>—</w:t>
            </w:r>
          </w:p>
        </w:tc>
        <w:tc>
          <w:tcPr>
            <w:tcW w:w="1193" w:type="dxa"/>
            <w:gridSpan w:val="2"/>
            <w:tcBorders>
              <w:left w:val="single" w:sz="8" w:space="0" w:color="000000"/>
            </w:tcBorders>
            <w:shd w:val="clear" w:color="auto" w:fill="CCEDFF"/>
          </w:tcPr>
          <w:p w14:paraId="3750365A" w14:textId="77777777" w:rsidR="00AE2255" w:rsidRDefault="00000000">
            <w:pPr>
              <w:pStyle w:val="TableParagraph"/>
              <w:ind w:right="177"/>
              <w:rPr>
                <w:b/>
                <w:sz w:val="20"/>
              </w:rPr>
            </w:pPr>
            <w:r>
              <w:rPr>
                <w:b/>
                <w:spacing w:val="-5"/>
                <w:sz w:val="20"/>
              </w:rPr>
              <w:t>11</w:t>
            </w:r>
          </w:p>
        </w:tc>
        <w:tc>
          <w:tcPr>
            <w:tcW w:w="998" w:type="dxa"/>
            <w:shd w:val="clear" w:color="auto" w:fill="CCEDFF"/>
          </w:tcPr>
          <w:p w14:paraId="1B41E09B" w14:textId="77777777" w:rsidR="00AE2255" w:rsidRDefault="00000000">
            <w:pPr>
              <w:pStyle w:val="TableParagraph"/>
              <w:ind w:right="80"/>
              <w:rPr>
                <w:sz w:val="20"/>
              </w:rPr>
            </w:pPr>
            <w:r>
              <w:rPr>
                <w:sz w:val="20"/>
              </w:rPr>
              <w:t>6</w:t>
            </w:r>
          </w:p>
        </w:tc>
      </w:tr>
      <w:tr w:rsidR="00AE2255" w14:paraId="1CE4E066" w14:textId="77777777">
        <w:trPr>
          <w:trHeight w:val="285"/>
        </w:trPr>
        <w:tc>
          <w:tcPr>
            <w:tcW w:w="4550" w:type="dxa"/>
          </w:tcPr>
          <w:p w14:paraId="7833AA85" w14:textId="77777777" w:rsidR="00AE2255" w:rsidRDefault="00000000">
            <w:pPr>
              <w:pStyle w:val="TableParagraph"/>
              <w:spacing w:before="27"/>
              <w:ind w:left="412"/>
              <w:jc w:val="left"/>
              <w:rPr>
                <w:sz w:val="20"/>
              </w:rPr>
            </w:pPr>
            <w:r>
              <w:rPr>
                <w:sz w:val="20"/>
              </w:rPr>
              <w:t>Medicare</w:t>
            </w:r>
            <w:r>
              <w:rPr>
                <w:spacing w:val="-4"/>
                <w:sz w:val="20"/>
              </w:rPr>
              <w:t xml:space="preserve"> </w:t>
            </w:r>
            <w:r>
              <w:rPr>
                <w:sz w:val="20"/>
              </w:rPr>
              <w:t>Part</w:t>
            </w:r>
            <w:r>
              <w:rPr>
                <w:spacing w:val="-3"/>
                <w:sz w:val="20"/>
              </w:rPr>
              <w:t xml:space="preserve"> </w:t>
            </w:r>
            <w:r>
              <w:rPr>
                <w:sz w:val="20"/>
              </w:rPr>
              <w:t>D</w:t>
            </w:r>
            <w:r>
              <w:rPr>
                <w:spacing w:val="-3"/>
                <w:sz w:val="20"/>
              </w:rPr>
              <w:t xml:space="preserve"> </w:t>
            </w:r>
            <w:r>
              <w:rPr>
                <w:spacing w:val="-2"/>
                <w:sz w:val="20"/>
              </w:rPr>
              <w:t>subsidy</w:t>
            </w:r>
          </w:p>
        </w:tc>
        <w:tc>
          <w:tcPr>
            <w:tcW w:w="2301" w:type="dxa"/>
          </w:tcPr>
          <w:p w14:paraId="7121B456" w14:textId="77777777" w:rsidR="00AE2255" w:rsidRDefault="00000000">
            <w:pPr>
              <w:pStyle w:val="TableParagraph"/>
              <w:ind w:right="195"/>
              <w:rPr>
                <w:b/>
                <w:sz w:val="20"/>
              </w:rPr>
            </w:pPr>
            <w:r>
              <w:rPr>
                <w:b/>
                <w:sz w:val="20"/>
              </w:rPr>
              <w:t>—</w:t>
            </w:r>
          </w:p>
        </w:tc>
        <w:tc>
          <w:tcPr>
            <w:tcW w:w="1174" w:type="dxa"/>
            <w:tcBorders>
              <w:right w:val="single" w:sz="8" w:space="0" w:color="000000"/>
            </w:tcBorders>
          </w:tcPr>
          <w:p w14:paraId="3510498B" w14:textId="77777777" w:rsidR="00AE2255" w:rsidRDefault="00000000">
            <w:pPr>
              <w:pStyle w:val="TableParagraph"/>
              <w:ind w:right="264"/>
              <w:rPr>
                <w:sz w:val="20"/>
              </w:rPr>
            </w:pPr>
            <w:r>
              <w:rPr>
                <w:sz w:val="20"/>
              </w:rPr>
              <w:t>—</w:t>
            </w:r>
          </w:p>
        </w:tc>
        <w:tc>
          <w:tcPr>
            <w:tcW w:w="1193" w:type="dxa"/>
            <w:gridSpan w:val="2"/>
            <w:tcBorders>
              <w:left w:val="single" w:sz="8" w:space="0" w:color="000000"/>
            </w:tcBorders>
          </w:tcPr>
          <w:p w14:paraId="4CE22E8A" w14:textId="77777777" w:rsidR="00AE2255" w:rsidRDefault="00000000">
            <w:pPr>
              <w:pStyle w:val="TableParagraph"/>
              <w:ind w:right="177"/>
              <w:rPr>
                <w:b/>
                <w:sz w:val="20"/>
              </w:rPr>
            </w:pPr>
            <w:r>
              <w:rPr>
                <w:b/>
                <w:sz w:val="20"/>
              </w:rPr>
              <w:t>3</w:t>
            </w:r>
          </w:p>
        </w:tc>
        <w:tc>
          <w:tcPr>
            <w:tcW w:w="998" w:type="dxa"/>
          </w:tcPr>
          <w:p w14:paraId="1C204432" w14:textId="77777777" w:rsidR="00AE2255" w:rsidRDefault="00000000">
            <w:pPr>
              <w:pStyle w:val="TableParagraph"/>
              <w:ind w:right="80"/>
              <w:rPr>
                <w:sz w:val="20"/>
              </w:rPr>
            </w:pPr>
            <w:r>
              <w:rPr>
                <w:sz w:val="20"/>
              </w:rPr>
              <w:t>4</w:t>
            </w:r>
          </w:p>
        </w:tc>
      </w:tr>
      <w:tr w:rsidR="00AE2255" w14:paraId="4F4A2A73" w14:textId="77777777">
        <w:trPr>
          <w:trHeight w:val="275"/>
        </w:trPr>
        <w:tc>
          <w:tcPr>
            <w:tcW w:w="4550" w:type="dxa"/>
            <w:tcBorders>
              <w:bottom w:val="single" w:sz="8" w:space="0" w:color="000000"/>
            </w:tcBorders>
            <w:shd w:val="clear" w:color="auto" w:fill="CCEDFF"/>
          </w:tcPr>
          <w:p w14:paraId="13815F4E" w14:textId="77777777" w:rsidR="00AE2255" w:rsidRDefault="00000000">
            <w:pPr>
              <w:pStyle w:val="TableParagraph"/>
              <w:spacing w:before="27" w:line="228" w:lineRule="exact"/>
              <w:ind w:left="412"/>
              <w:jc w:val="left"/>
              <w:rPr>
                <w:sz w:val="20"/>
              </w:rPr>
            </w:pPr>
            <w:r>
              <w:rPr>
                <w:sz w:val="20"/>
              </w:rPr>
              <w:t>Participants’</w:t>
            </w:r>
            <w:r>
              <w:rPr>
                <w:spacing w:val="-9"/>
                <w:sz w:val="20"/>
              </w:rPr>
              <w:t xml:space="preserve"> </w:t>
            </w:r>
            <w:r>
              <w:rPr>
                <w:spacing w:val="-2"/>
                <w:sz w:val="20"/>
              </w:rPr>
              <w:t>contributions</w:t>
            </w:r>
          </w:p>
        </w:tc>
        <w:tc>
          <w:tcPr>
            <w:tcW w:w="2301" w:type="dxa"/>
            <w:tcBorders>
              <w:bottom w:val="single" w:sz="8" w:space="0" w:color="000000"/>
            </w:tcBorders>
            <w:shd w:val="clear" w:color="auto" w:fill="CCEDFF"/>
          </w:tcPr>
          <w:p w14:paraId="6531FA4B" w14:textId="77777777" w:rsidR="00AE2255" w:rsidRDefault="00000000">
            <w:pPr>
              <w:pStyle w:val="TableParagraph"/>
              <w:spacing w:line="230" w:lineRule="exact"/>
              <w:ind w:right="195"/>
              <w:rPr>
                <w:b/>
                <w:sz w:val="20"/>
              </w:rPr>
            </w:pPr>
            <w:r>
              <w:rPr>
                <w:b/>
                <w:sz w:val="20"/>
              </w:rPr>
              <w:t>—</w:t>
            </w:r>
          </w:p>
        </w:tc>
        <w:tc>
          <w:tcPr>
            <w:tcW w:w="1174" w:type="dxa"/>
            <w:tcBorders>
              <w:bottom w:val="single" w:sz="8" w:space="0" w:color="000000"/>
              <w:right w:val="single" w:sz="8" w:space="0" w:color="000000"/>
            </w:tcBorders>
            <w:shd w:val="clear" w:color="auto" w:fill="CCEDFF"/>
          </w:tcPr>
          <w:p w14:paraId="495BE99C" w14:textId="77777777" w:rsidR="00AE2255" w:rsidRDefault="00000000">
            <w:pPr>
              <w:pStyle w:val="TableParagraph"/>
              <w:spacing w:line="230" w:lineRule="exact"/>
              <w:ind w:right="264"/>
              <w:rPr>
                <w:sz w:val="20"/>
              </w:rPr>
            </w:pPr>
            <w:r>
              <w:rPr>
                <w:sz w:val="20"/>
              </w:rPr>
              <w:t>—</w:t>
            </w:r>
          </w:p>
        </w:tc>
        <w:tc>
          <w:tcPr>
            <w:tcW w:w="1193" w:type="dxa"/>
            <w:gridSpan w:val="2"/>
            <w:tcBorders>
              <w:left w:val="single" w:sz="8" w:space="0" w:color="000000"/>
              <w:bottom w:val="single" w:sz="8" w:space="0" w:color="000000"/>
            </w:tcBorders>
            <w:shd w:val="clear" w:color="auto" w:fill="CCEDFF"/>
          </w:tcPr>
          <w:p w14:paraId="661DE1C2" w14:textId="77777777" w:rsidR="00AE2255" w:rsidRDefault="00000000">
            <w:pPr>
              <w:pStyle w:val="TableParagraph"/>
              <w:spacing w:line="230" w:lineRule="exact"/>
              <w:ind w:right="177"/>
              <w:rPr>
                <w:b/>
                <w:sz w:val="20"/>
              </w:rPr>
            </w:pPr>
            <w:r>
              <w:rPr>
                <w:b/>
                <w:spacing w:val="-5"/>
                <w:sz w:val="20"/>
              </w:rPr>
              <w:t>61</w:t>
            </w:r>
          </w:p>
        </w:tc>
        <w:tc>
          <w:tcPr>
            <w:tcW w:w="998" w:type="dxa"/>
            <w:tcBorders>
              <w:bottom w:val="single" w:sz="8" w:space="0" w:color="000000"/>
            </w:tcBorders>
            <w:shd w:val="clear" w:color="auto" w:fill="CCEDFF"/>
          </w:tcPr>
          <w:p w14:paraId="236AB262" w14:textId="77777777" w:rsidR="00AE2255" w:rsidRDefault="00000000">
            <w:pPr>
              <w:pStyle w:val="TableParagraph"/>
              <w:spacing w:line="230" w:lineRule="exact"/>
              <w:ind w:right="80"/>
              <w:rPr>
                <w:sz w:val="20"/>
              </w:rPr>
            </w:pPr>
            <w:r>
              <w:rPr>
                <w:spacing w:val="-5"/>
                <w:sz w:val="20"/>
              </w:rPr>
              <w:t>67</w:t>
            </w:r>
          </w:p>
        </w:tc>
      </w:tr>
      <w:tr w:rsidR="00AE2255" w14:paraId="4B25276A" w14:textId="77777777">
        <w:trPr>
          <w:trHeight w:val="265"/>
        </w:trPr>
        <w:tc>
          <w:tcPr>
            <w:tcW w:w="4550" w:type="dxa"/>
            <w:tcBorders>
              <w:top w:val="single" w:sz="8" w:space="0" w:color="000000"/>
              <w:bottom w:val="single" w:sz="8" w:space="0" w:color="000000"/>
            </w:tcBorders>
          </w:tcPr>
          <w:p w14:paraId="6B4B573D" w14:textId="77777777" w:rsidR="00AE2255" w:rsidRDefault="00000000">
            <w:pPr>
              <w:pStyle w:val="TableParagraph"/>
              <w:spacing w:before="17" w:line="228" w:lineRule="exact"/>
              <w:ind w:left="187"/>
              <w:jc w:val="left"/>
              <w:rPr>
                <w:sz w:val="20"/>
              </w:rPr>
            </w:pPr>
            <w:r>
              <w:rPr>
                <w:sz w:val="20"/>
              </w:rPr>
              <w:t>Ending</w:t>
            </w:r>
            <w:r>
              <w:rPr>
                <w:spacing w:val="-3"/>
                <w:sz w:val="20"/>
              </w:rPr>
              <w:t xml:space="preserve"> </w:t>
            </w:r>
            <w:r>
              <w:rPr>
                <w:sz w:val="20"/>
              </w:rPr>
              <w:t>balance</w:t>
            </w:r>
            <w:r>
              <w:rPr>
                <w:spacing w:val="-3"/>
                <w:sz w:val="20"/>
              </w:rPr>
              <w:t xml:space="preserve"> </w:t>
            </w:r>
            <w:r>
              <w:rPr>
                <w:sz w:val="20"/>
              </w:rPr>
              <w:t>at</w:t>
            </w:r>
            <w:r>
              <w:rPr>
                <w:spacing w:val="-3"/>
                <w:sz w:val="20"/>
              </w:rPr>
              <w:t xml:space="preserve"> </w:t>
            </w:r>
            <w:r>
              <w:rPr>
                <w:sz w:val="20"/>
              </w:rPr>
              <w:t>fair</w:t>
            </w:r>
            <w:r>
              <w:rPr>
                <w:spacing w:val="-2"/>
                <w:sz w:val="20"/>
              </w:rPr>
              <w:t xml:space="preserve"> value</w:t>
            </w:r>
          </w:p>
        </w:tc>
        <w:tc>
          <w:tcPr>
            <w:tcW w:w="2301" w:type="dxa"/>
            <w:tcBorders>
              <w:top w:val="single" w:sz="8" w:space="0" w:color="000000"/>
              <w:bottom w:val="single" w:sz="8" w:space="0" w:color="000000"/>
            </w:tcBorders>
          </w:tcPr>
          <w:p w14:paraId="445EBAB8" w14:textId="77777777" w:rsidR="00AE2255" w:rsidRDefault="00000000">
            <w:pPr>
              <w:pStyle w:val="TableParagraph"/>
              <w:spacing w:before="15" w:line="230" w:lineRule="exact"/>
              <w:ind w:right="195"/>
              <w:rPr>
                <w:b/>
                <w:sz w:val="20"/>
              </w:rPr>
            </w:pPr>
            <w:r>
              <w:rPr>
                <w:b/>
                <w:sz w:val="20"/>
              </w:rPr>
              <w:t>$</w:t>
            </w:r>
            <w:r>
              <w:rPr>
                <w:b/>
                <w:spacing w:val="65"/>
                <w:sz w:val="20"/>
              </w:rPr>
              <w:t xml:space="preserve"> </w:t>
            </w:r>
            <w:r>
              <w:rPr>
                <w:b/>
                <w:spacing w:val="-2"/>
                <w:sz w:val="20"/>
              </w:rPr>
              <w:t>23,228</w:t>
            </w:r>
          </w:p>
        </w:tc>
        <w:tc>
          <w:tcPr>
            <w:tcW w:w="1174" w:type="dxa"/>
            <w:tcBorders>
              <w:top w:val="single" w:sz="8" w:space="0" w:color="000000"/>
              <w:bottom w:val="single" w:sz="8" w:space="0" w:color="000000"/>
              <w:right w:val="single" w:sz="8" w:space="0" w:color="000000"/>
            </w:tcBorders>
          </w:tcPr>
          <w:p w14:paraId="012DEC8E" w14:textId="77777777" w:rsidR="00AE2255" w:rsidRDefault="00000000">
            <w:pPr>
              <w:pStyle w:val="TableParagraph"/>
              <w:spacing w:before="15" w:line="230" w:lineRule="exact"/>
              <w:ind w:left="131"/>
              <w:jc w:val="left"/>
              <w:rPr>
                <w:sz w:val="20"/>
              </w:rPr>
            </w:pPr>
            <w:r>
              <w:rPr>
                <w:sz w:val="20"/>
              </w:rPr>
              <w:t>$</w:t>
            </w:r>
            <w:r>
              <w:rPr>
                <w:spacing w:val="65"/>
                <w:sz w:val="20"/>
              </w:rPr>
              <w:t xml:space="preserve"> </w:t>
            </w:r>
            <w:r>
              <w:rPr>
                <w:spacing w:val="-2"/>
                <w:sz w:val="20"/>
              </w:rPr>
              <w:t>35,192</w:t>
            </w:r>
          </w:p>
        </w:tc>
        <w:tc>
          <w:tcPr>
            <w:tcW w:w="1193" w:type="dxa"/>
            <w:gridSpan w:val="2"/>
            <w:tcBorders>
              <w:top w:val="single" w:sz="8" w:space="0" w:color="000000"/>
              <w:left w:val="single" w:sz="8" w:space="0" w:color="000000"/>
              <w:bottom w:val="single" w:sz="8" w:space="0" w:color="000000"/>
            </w:tcBorders>
          </w:tcPr>
          <w:p w14:paraId="59D8B08B" w14:textId="77777777" w:rsidR="00AE2255" w:rsidRDefault="00000000">
            <w:pPr>
              <w:pStyle w:val="TableParagraph"/>
              <w:tabs>
                <w:tab w:val="left" w:pos="553"/>
              </w:tabs>
              <w:spacing w:before="15" w:line="230" w:lineRule="exact"/>
              <w:ind w:left="237"/>
              <w:jc w:val="left"/>
              <w:rPr>
                <w:b/>
                <w:sz w:val="20"/>
              </w:rPr>
            </w:pPr>
            <w:r>
              <w:rPr>
                <w:b/>
                <w:spacing w:val="-10"/>
                <w:sz w:val="20"/>
              </w:rPr>
              <w:t>$</w:t>
            </w:r>
            <w:r>
              <w:rPr>
                <w:b/>
                <w:sz w:val="20"/>
              </w:rPr>
              <w:tab/>
            </w:r>
            <w:r>
              <w:rPr>
                <w:b/>
                <w:spacing w:val="-2"/>
                <w:sz w:val="20"/>
              </w:rPr>
              <w:t>1,656</w:t>
            </w:r>
          </w:p>
        </w:tc>
        <w:tc>
          <w:tcPr>
            <w:tcW w:w="998" w:type="dxa"/>
            <w:tcBorders>
              <w:top w:val="single" w:sz="8" w:space="0" w:color="000000"/>
              <w:bottom w:val="single" w:sz="8" w:space="0" w:color="000000"/>
            </w:tcBorders>
          </w:tcPr>
          <w:p w14:paraId="68F99DBC" w14:textId="77777777" w:rsidR="00AE2255" w:rsidRDefault="00000000">
            <w:pPr>
              <w:pStyle w:val="TableParagraph"/>
              <w:tabs>
                <w:tab w:val="left" w:pos="315"/>
              </w:tabs>
              <w:spacing w:before="15" w:line="230" w:lineRule="exact"/>
              <w:ind w:right="80"/>
              <w:rPr>
                <w:sz w:val="20"/>
              </w:rPr>
            </w:pPr>
            <w:r>
              <w:rPr>
                <w:spacing w:val="-10"/>
                <w:sz w:val="20"/>
              </w:rPr>
              <w:t>$</w:t>
            </w:r>
            <w:r>
              <w:rPr>
                <w:sz w:val="20"/>
              </w:rPr>
              <w:tab/>
            </w:r>
            <w:r>
              <w:rPr>
                <w:spacing w:val="-2"/>
                <w:sz w:val="20"/>
              </w:rPr>
              <w:t>2,169</w:t>
            </w:r>
          </w:p>
        </w:tc>
      </w:tr>
      <w:tr w:rsidR="00AE2255" w14:paraId="297C74E9" w14:textId="77777777">
        <w:trPr>
          <w:trHeight w:val="252"/>
        </w:trPr>
        <w:tc>
          <w:tcPr>
            <w:tcW w:w="4550" w:type="dxa"/>
            <w:tcBorders>
              <w:top w:val="single" w:sz="8" w:space="0" w:color="000000"/>
              <w:bottom w:val="single" w:sz="18" w:space="0" w:color="000000"/>
            </w:tcBorders>
            <w:shd w:val="clear" w:color="auto" w:fill="CCEDFF"/>
          </w:tcPr>
          <w:p w14:paraId="6B65D97C" w14:textId="77777777" w:rsidR="00AE2255" w:rsidRDefault="00000000">
            <w:pPr>
              <w:pStyle w:val="TableParagraph"/>
              <w:spacing w:before="17" w:line="216" w:lineRule="exact"/>
              <w:ind w:left="187"/>
              <w:jc w:val="left"/>
              <w:rPr>
                <w:sz w:val="20"/>
              </w:rPr>
            </w:pPr>
            <w:r>
              <w:rPr>
                <w:sz w:val="20"/>
              </w:rPr>
              <w:t>(Unfunded)</w:t>
            </w:r>
            <w:r>
              <w:rPr>
                <w:spacing w:val="-4"/>
                <w:sz w:val="20"/>
              </w:rPr>
              <w:t xml:space="preserve"> </w:t>
            </w:r>
            <w:r>
              <w:rPr>
                <w:sz w:val="20"/>
              </w:rPr>
              <w:t>funded</w:t>
            </w:r>
            <w:r>
              <w:rPr>
                <w:spacing w:val="-2"/>
                <w:sz w:val="20"/>
              </w:rPr>
              <w:t xml:space="preserve"> </w:t>
            </w:r>
            <w:r>
              <w:rPr>
                <w:sz w:val="20"/>
              </w:rPr>
              <w:t>status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pacing w:val="-4"/>
                <w:sz w:val="20"/>
              </w:rPr>
              <w:t>plans</w:t>
            </w:r>
          </w:p>
        </w:tc>
        <w:tc>
          <w:tcPr>
            <w:tcW w:w="2301" w:type="dxa"/>
            <w:tcBorders>
              <w:top w:val="single" w:sz="8" w:space="0" w:color="000000"/>
              <w:bottom w:val="single" w:sz="18" w:space="0" w:color="000000"/>
            </w:tcBorders>
            <w:shd w:val="clear" w:color="auto" w:fill="CCEDFF"/>
          </w:tcPr>
          <w:p w14:paraId="3D554AEE" w14:textId="77777777" w:rsidR="00AE2255" w:rsidRDefault="00000000">
            <w:pPr>
              <w:pStyle w:val="TableParagraph"/>
              <w:spacing w:before="15" w:line="217" w:lineRule="exact"/>
              <w:ind w:right="130"/>
              <w:rPr>
                <w:b/>
                <w:sz w:val="20"/>
              </w:rPr>
            </w:pPr>
            <w:r>
              <w:rPr>
                <w:b/>
                <w:sz w:val="20"/>
              </w:rPr>
              <w:t>$</w:t>
            </w:r>
            <w:r>
              <w:rPr>
                <w:b/>
                <w:spacing w:val="74"/>
                <w:w w:val="150"/>
                <w:sz w:val="20"/>
              </w:rPr>
              <w:t xml:space="preserve"> </w:t>
            </w:r>
            <w:r>
              <w:rPr>
                <w:b/>
                <w:spacing w:val="-2"/>
                <w:sz w:val="20"/>
              </w:rPr>
              <w:t>(5,470)</w:t>
            </w:r>
          </w:p>
        </w:tc>
        <w:tc>
          <w:tcPr>
            <w:tcW w:w="1174" w:type="dxa"/>
            <w:tcBorders>
              <w:top w:val="single" w:sz="8" w:space="0" w:color="000000"/>
              <w:bottom w:val="single" w:sz="18" w:space="0" w:color="000000"/>
              <w:right w:val="single" w:sz="8" w:space="0" w:color="000000"/>
            </w:tcBorders>
            <w:shd w:val="clear" w:color="auto" w:fill="CCEDFF"/>
          </w:tcPr>
          <w:p w14:paraId="0C28610F" w14:textId="77777777" w:rsidR="00AE2255" w:rsidRDefault="00000000">
            <w:pPr>
              <w:pStyle w:val="TableParagraph"/>
              <w:spacing w:before="15" w:line="217" w:lineRule="exact"/>
              <w:ind w:left="131"/>
              <w:jc w:val="left"/>
              <w:rPr>
                <w:sz w:val="20"/>
              </w:rPr>
            </w:pPr>
            <w:r>
              <w:rPr>
                <w:sz w:val="20"/>
              </w:rPr>
              <w:t>$</w:t>
            </w:r>
            <w:r>
              <w:rPr>
                <w:spacing w:val="74"/>
                <w:w w:val="150"/>
                <w:sz w:val="20"/>
              </w:rPr>
              <w:t xml:space="preserve"> </w:t>
            </w:r>
            <w:r>
              <w:rPr>
                <w:spacing w:val="-2"/>
                <w:sz w:val="20"/>
              </w:rPr>
              <w:t>(8,255)</w:t>
            </w:r>
          </w:p>
        </w:tc>
        <w:tc>
          <w:tcPr>
            <w:tcW w:w="1193" w:type="dxa"/>
            <w:gridSpan w:val="2"/>
            <w:tcBorders>
              <w:top w:val="single" w:sz="8" w:space="0" w:color="000000"/>
              <w:left w:val="single" w:sz="8" w:space="0" w:color="000000"/>
              <w:bottom w:val="single" w:sz="18" w:space="0" w:color="000000"/>
            </w:tcBorders>
            <w:shd w:val="clear" w:color="auto" w:fill="CCEDFF"/>
          </w:tcPr>
          <w:p w14:paraId="042032B4" w14:textId="77777777" w:rsidR="00AE2255" w:rsidRDefault="00000000">
            <w:pPr>
              <w:pStyle w:val="TableParagraph"/>
              <w:tabs>
                <w:tab w:val="left" w:pos="703"/>
              </w:tabs>
              <w:spacing w:before="15" w:line="217" w:lineRule="exact"/>
              <w:ind w:left="237"/>
              <w:jc w:val="left"/>
              <w:rPr>
                <w:b/>
                <w:sz w:val="20"/>
              </w:rPr>
            </w:pPr>
            <w:r>
              <w:rPr>
                <w:b/>
                <w:spacing w:val="-10"/>
                <w:sz w:val="20"/>
              </w:rPr>
              <w:t>$</w:t>
            </w:r>
            <w:r>
              <w:rPr>
                <w:b/>
                <w:sz w:val="20"/>
              </w:rPr>
              <w:tab/>
            </w:r>
            <w:r>
              <w:rPr>
                <w:b/>
                <w:spacing w:val="-5"/>
                <w:sz w:val="20"/>
              </w:rPr>
              <w:t>297</w:t>
            </w:r>
          </w:p>
        </w:tc>
        <w:tc>
          <w:tcPr>
            <w:tcW w:w="998" w:type="dxa"/>
            <w:tcBorders>
              <w:top w:val="single" w:sz="8" w:space="0" w:color="000000"/>
              <w:bottom w:val="single" w:sz="18" w:space="0" w:color="000000"/>
            </w:tcBorders>
            <w:shd w:val="clear" w:color="auto" w:fill="CCEDFF"/>
          </w:tcPr>
          <w:p w14:paraId="6245C3FC" w14:textId="77777777" w:rsidR="00AE2255" w:rsidRDefault="00000000">
            <w:pPr>
              <w:pStyle w:val="TableParagraph"/>
              <w:tabs>
                <w:tab w:val="left" w:pos="465"/>
              </w:tabs>
              <w:spacing w:before="15" w:line="217" w:lineRule="exact"/>
              <w:ind w:right="80"/>
              <w:rPr>
                <w:sz w:val="20"/>
              </w:rPr>
            </w:pPr>
            <w:r>
              <w:rPr>
                <w:spacing w:val="-10"/>
                <w:sz w:val="20"/>
              </w:rPr>
              <w:t>$</w:t>
            </w:r>
            <w:r>
              <w:rPr>
                <w:sz w:val="20"/>
              </w:rPr>
              <w:tab/>
            </w:r>
            <w:r>
              <w:rPr>
                <w:spacing w:val="-5"/>
                <w:sz w:val="20"/>
              </w:rPr>
              <w:t>330</w:t>
            </w:r>
          </w:p>
        </w:tc>
      </w:tr>
    </w:tbl>
    <w:p w14:paraId="269DEABC" w14:textId="77777777" w:rsidR="00AE2255" w:rsidRDefault="00000000">
      <w:pPr>
        <w:spacing w:before="54" w:line="249" w:lineRule="auto"/>
        <w:ind w:left="970" w:right="426" w:hanging="360"/>
        <w:jc w:val="both"/>
        <w:rPr>
          <w:sz w:val="18"/>
        </w:rPr>
      </w:pPr>
      <w:r>
        <w:rPr>
          <w:sz w:val="18"/>
          <w:vertAlign w:val="superscript"/>
        </w:rPr>
        <w:t>(a)</w:t>
      </w:r>
      <w:r>
        <w:rPr>
          <w:spacing w:val="80"/>
          <w:w w:val="150"/>
          <w:sz w:val="18"/>
        </w:rPr>
        <w:t xml:space="preserve"> </w:t>
      </w:r>
      <w:r>
        <w:rPr>
          <w:sz w:val="18"/>
        </w:rPr>
        <w:t>Benefit</w:t>
      </w:r>
      <w:r>
        <w:rPr>
          <w:spacing w:val="-2"/>
          <w:sz w:val="18"/>
        </w:rPr>
        <w:t xml:space="preserve"> </w:t>
      </w:r>
      <w:r>
        <w:rPr>
          <w:sz w:val="18"/>
        </w:rPr>
        <w:t>obligation</w:t>
      </w:r>
      <w:r>
        <w:rPr>
          <w:spacing w:val="-1"/>
          <w:sz w:val="18"/>
        </w:rPr>
        <w:t xml:space="preserve"> </w:t>
      </w:r>
      <w:r>
        <w:rPr>
          <w:sz w:val="18"/>
        </w:rPr>
        <w:t>balances</w:t>
      </w:r>
      <w:r>
        <w:rPr>
          <w:spacing w:val="-1"/>
          <w:sz w:val="18"/>
        </w:rPr>
        <w:t xml:space="preserve"> </w:t>
      </w:r>
      <w:r>
        <w:rPr>
          <w:sz w:val="18"/>
        </w:rPr>
        <w:t>represent</w:t>
      </w:r>
      <w:r>
        <w:rPr>
          <w:spacing w:val="-1"/>
          <w:sz w:val="18"/>
        </w:rPr>
        <w:t xml:space="preserve"> </w:t>
      </w:r>
      <w:r>
        <w:rPr>
          <w:sz w:val="18"/>
        </w:rPr>
        <w:t>the</w:t>
      </w:r>
      <w:r>
        <w:rPr>
          <w:spacing w:val="-1"/>
          <w:sz w:val="18"/>
        </w:rPr>
        <w:t xml:space="preserve"> </w:t>
      </w:r>
      <w:r>
        <w:rPr>
          <w:sz w:val="18"/>
        </w:rPr>
        <w:t>projected</w:t>
      </w:r>
      <w:r>
        <w:rPr>
          <w:spacing w:val="-1"/>
          <w:sz w:val="18"/>
        </w:rPr>
        <w:t xml:space="preserve"> </w:t>
      </w:r>
      <w:r>
        <w:rPr>
          <w:sz w:val="18"/>
        </w:rPr>
        <w:t>benefit</w:t>
      </w:r>
      <w:r>
        <w:rPr>
          <w:spacing w:val="-1"/>
          <w:sz w:val="18"/>
        </w:rPr>
        <w:t xml:space="preserve"> </w:t>
      </w:r>
      <w:r>
        <w:rPr>
          <w:sz w:val="18"/>
        </w:rPr>
        <w:t>obligation</w:t>
      </w:r>
      <w:r>
        <w:rPr>
          <w:spacing w:val="-1"/>
          <w:sz w:val="18"/>
        </w:rPr>
        <w:t xml:space="preserve"> </w:t>
      </w:r>
      <w:r>
        <w:rPr>
          <w:sz w:val="18"/>
        </w:rPr>
        <w:t>for</w:t>
      </w:r>
      <w:r>
        <w:rPr>
          <w:spacing w:val="-1"/>
          <w:sz w:val="18"/>
        </w:rPr>
        <w:t xml:space="preserve"> </w:t>
      </w:r>
      <w:r>
        <w:rPr>
          <w:sz w:val="18"/>
        </w:rPr>
        <w:t>our</w:t>
      </w:r>
      <w:r>
        <w:rPr>
          <w:spacing w:val="-1"/>
          <w:sz w:val="18"/>
        </w:rPr>
        <w:t xml:space="preserve"> </w:t>
      </w:r>
      <w:r>
        <w:rPr>
          <w:sz w:val="18"/>
        </w:rPr>
        <w:t>qualified</w:t>
      </w:r>
      <w:r>
        <w:rPr>
          <w:spacing w:val="-1"/>
          <w:sz w:val="18"/>
        </w:rPr>
        <w:t xml:space="preserve"> </w:t>
      </w:r>
      <w:r>
        <w:rPr>
          <w:sz w:val="18"/>
        </w:rPr>
        <w:t>defined</w:t>
      </w:r>
      <w:r>
        <w:rPr>
          <w:spacing w:val="-1"/>
          <w:sz w:val="18"/>
        </w:rPr>
        <w:t xml:space="preserve"> </w:t>
      </w:r>
      <w:r>
        <w:rPr>
          <w:sz w:val="18"/>
        </w:rPr>
        <w:t>benefit</w:t>
      </w:r>
      <w:r>
        <w:rPr>
          <w:spacing w:val="-1"/>
          <w:sz w:val="18"/>
        </w:rPr>
        <w:t xml:space="preserve"> </w:t>
      </w:r>
      <w:r>
        <w:rPr>
          <w:sz w:val="18"/>
        </w:rPr>
        <w:t>pension</w:t>
      </w:r>
      <w:r>
        <w:rPr>
          <w:spacing w:val="-1"/>
          <w:sz w:val="18"/>
        </w:rPr>
        <w:t xml:space="preserve"> </w:t>
      </w:r>
      <w:r>
        <w:rPr>
          <w:sz w:val="18"/>
        </w:rPr>
        <w:t>plans</w:t>
      </w:r>
      <w:r>
        <w:rPr>
          <w:spacing w:val="-1"/>
          <w:sz w:val="18"/>
        </w:rPr>
        <w:t xml:space="preserve"> </w:t>
      </w:r>
      <w:r>
        <w:rPr>
          <w:sz w:val="18"/>
        </w:rPr>
        <w:t>and</w:t>
      </w:r>
      <w:r>
        <w:rPr>
          <w:spacing w:val="-1"/>
          <w:sz w:val="18"/>
        </w:rPr>
        <w:t xml:space="preserve"> </w:t>
      </w:r>
      <w:r>
        <w:rPr>
          <w:sz w:val="18"/>
        </w:rPr>
        <w:t>the</w:t>
      </w:r>
      <w:r>
        <w:rPr>
          <w:spacing w:val="-1"/>
          <w:sz w:val="18"/>
        </w:rPr>
        <w:t xml:space="preserve"> </w:t>
      </w:r>
      <w:r>
        <w:rPr>
          <w:sz w:val="18"/>
        </w:rPr>
        <w:t>accumulated benefit obligation for our retiree medical and life insurance plans.</w:t>
      </w:r>
    </w:p>
    <w:p w14:paraId="1342EAD8" w14:textId="77777777" w:rsidR="00AE2255" w:rsidRDefault="00000000">
      <w:pPr>
        <w:spacing w:before="2" w:line="249" w:lineRule="auto"/>
        <w:ind w:left="970" w:right="423" w:hanging="360"/>
        <w:jc w:val="both"/>
        <w:rPr>
          <w:sz w:val="18"/>
        </w:rPr>
      </w:pPr>
      <w:r>
        <w:rPr>
          <w:sz w:val="18"/>
          <w:vertAlign w:val="superscript"/>
        </w:rPr>
        <w:t>(b)</w:t>
      </w:r>
      <w:r>
        <w:rPr>
          <w:spacing w:val="80"/>
          <w:sz w:val="18"/>
        </w:rPr>
        <w:t xml:space="preserve"> </w:t>
      </w:r>
      <w:r>
        <w:rPr>
          <w:sz w:val="18"/>
        </w:rPr>
        <w:t xml:space="preserve">Actuarial gains for our qualified defined benefit pension plans in 2022 primarily reflect an increase in the discount rate from 2.875% </w:t>
      </w:r>
      <w:proofErr w:type="gramStart"/>
      <w:r>
        <w:rPr>
          <w:sz w:val="18"/>
        </w:rPr>
        <w:t>at</w:t>
      </w:r>
      <w:proofErr w:type="gramEnd"/>
      <w:r>
        <w:rPr>
          <w:sz w:val="18"/>
        </w:rPr>
        <w:t xml:space="preserve"> December 31, 2021 to 5.25% at December 31, 2022, which decreased benefit obligations by $10.2 billion. Actuarial gains for our retiree medical and life insurance plans in 2022 reflect an increase in the discount rate from 2.750% </w:t>
      </w:r>
      <w:proofErr w:type="gramStart"/>
      <w:r>
        <w:rPr>
          <w:sz w:val="18"/>
        </w:rPr>
        <w:t>at</w:t>
      </w:r>
      <w:proofErr w:type="gramEnd"/>
      <w:r>
        <w:rPr>
          <w:sz w:val="18"/>
        </w:rPr>
        <w:t xml:space="preserve"> December 31, 2021 to 5.25% at December 31, 2022, which decreased benefit obligations by</w:t>
      </w:r>
      <w:r>
        <w:rPr>
          <w:spacing w:val="-2"/>
          <w:sz w:val="18"/>
        </w:rPr>
        <w:t xml:space="preserve"> </w:t>
      </w:r>
      <w:r>
        <w:rPr>
          <w:sz w:val="18"/>
        </w:rPr>
        <w:t xml:space="preserve">$335 million. Actuarial gains for our qualified defined benefit pension plans in 2021 primarily reflect an increase in the discount rate from 2.50% </w:t>
      </w:r>
      <w:proofErr w:type="gramStart"/>
      <w:r>
        <w:rPr>
          <w:sz w:val="18"/>
        </w:rPr>
        <w:t>at</w:t>
      </w:r>
      <w:proofErr w:type="gramEnd"/>
      <w:r>
        <w:rPr>
          <w:sz w:val="18"/>
        </w:rPr>
        <w:t xml:space="preserve"> December 31, 2020 to 2.875% at December 31, 2021, which decreased benefit obligations by $2.3 billion, partially offset by an increase of approximately $250 million due to changes in longevity assumptions and participant data. Actuarial gains for our retiree medical and life insurance plans in 2021 reflect an increase in the discount rate from 2.375% </w:t>
      </w:r>
      <w:proofErr w:type="gramStart"/>
      <w:r>
        <w:rPr>
          <w:sz w:val="18"/>
        </w:rPr>
        <w:t>at</w:t>
      </w:r>
      <w:proofErr w:type="gramEnd"/>
      <w:r>
        <w:rPr>
          <w:sz w:val="18"/>
        </w:rPr>
        <w:t xml:space="preserve"> December 31, 2020 to 2.75% at December 31, 2021, which decreased benefit obligations by $70 million, and $282 million due to changes in plan participation assumptions and claims data.</w:t>
      </w:r>
    </w:p>
    <w:p w14:paraId="09380AF5" w14:textId="77777777" w:rsidR="00AE2255" w:rsidRDefault="00000000">
      <w:pPr>
        <w:spacing w:before="7" w:line="249" w:lineRule="auto"/>
        <w:ind w:left="970" w:right="425" w:hanging="360"/>
        <w:jc w:val="both"/>
        <w:rPr>
          <w:sz w:val="18"/>
        </w:rPr>
      </w:pPr>
      <w:r>
        <w:rPr>
          <w:sz w:val="18"/>
          <w:vertAlign w:val="superscript"/>
        </w:rPr>
        <w:t>(c)</w:t>
      </w:r>
      <w:r>
        <w:rPr>
          <w:spacing w:val="40"/>
          <w:sz w:val="18"/>
        </w:rPr>
        <w:t xml:space="preserve">  </w:t>
      </w:r>
      <w:r>
        <w:rPr>
          <w:sz w:val="18"/>
        </w:rPr>
        <w:t>Qualified defined benefit pension plan settlements in 2022 and 2021 represent the transfer of gross defined benefit pension obligations</w:t>
      </w:r>
      <w:r>
        <w:rPr>
          <w:spacing w:val="40"/>
          <w:sz w:val="18"/>
        </w:rPr>
        <w:t xml:space="preserve"> </w:t>
      </w:r>
      <w:r>
        <w:rPr>
          <w:sz w:val="18"/>
        </w:rPr>
        <w:t>and related plan assets to insurance companies pursuant to group annuity contracts purchased in the second quarter of 2022 and third quarter of 2021 as described above.</w:t>
      </w:r>
    </w:p>
    <w:p w14:paraId="46090C1B" w14:textId="77777777" w:rsidR="00AE2255" w:rsidRDefault="00000000">
      <w:pPr>
        <w:spacing w:before="7" w:line="232" w:lineRule="auto"/>
        <w:ind w:left="970" w:right="1444" w:hanging="360"/>
        <w:jc w:val="both"/>
        <w:rPr>
          <w:sz w:val="18"/>
        </w:rPr>
      </w:pPr>
      <w:r>
        <w:rPr>
          <w:sz w:val="18"/>
          <w:vertAlign w:val="superscript"/>
        </w:rPr>
        <w:t>(d)</w:t>
      </w:r>
      <w:r>
        <w:rPr>
          <w:spacing w:val="80"/>
          <w:w w:val="150"/>
          <w:sz w:val="18"/>
        </w:rPr>
        <w:t xml:space="preserve"> </w:t>
      </w:r>
      <w:r>
        <w:rPr>
          <w:sz w:val="18"/>
        </w:rPr>
        <w:t>Actual</w:t>
      </w:r>
      <w:r>
        <w:rPr>
          <w:spacing w:val="-2"/>
          <w:sz w:val="18"/>
        </w:rPr>
        <w:t xml:space="preserve"> </w:t>
      </w:r>
      <w:r>
        <w:rPr>
          <w:sz w:val="18"/>
        </w:rPr>
        <w:t>return</w:t>
      </w:r>
      <w:r>
        <w:rPr>
          <w:spacing w:val="-2"/>
          <w:sz w:val="18"/>
        </w:rPr>
        <w:t xml:space="preserve"> </w:t>
      </w:r>
      <w:r>
        <w:rPr>
          <w:sz w:val="18"/>
        </w:rPr>
        <w:t>on</w:t>
      </w:r>
      <w:r>
        <w:rPr>
          <w:spacing w:val="-2"/>
          <w:sz w:val="18"/>
        </w:rPr>
        <w:t xml:space="preserve"> </w:t>
      </w:r>
      <w:r>
        <w:rPr>
          <w:sz w:val="18"/>
        </w:rPr>
        <w:t>plan</w:t>
      </w:r>
      <w:r>
        <w:rPr>
          <w:spacing w:val="-2"/>
          <w:sz w:val="18"/>
        </w:rPr>
        <w:t xml:space="preserve"> </w:t>
      </w:r>
      <w:r>
        <w:rPr>
          <w:sz w:val="18"/>
        </w:rPr>
        <w:t>assets</w:t>
      </w:r>
      <w:r>
        <w:rPr>
          <w:spacing w:val="-3"/>
          <w:sz w:val="18"/>
        </w:rPr>
        <w:t xml:space="preserve"> </w:t>
      </w:r>
      <w:r>
        <w:rPr>
          <w:sz w:val="18"/>
        </w:rPr>
        <w:t>for</w:t>
      </w:r>
      <w:r>
        <w:rPr>
          <w:spacing w:val="-2"/>
          <w:sz w:val="18"/>
        </w:rPr>
        <w:t xml:space="preserve"> </w:t>
      </w:r>
      <w:r>
        <w:rPr>
          <w:sz w:val="18"/>
        </w:rPr>
        <w:t>our</w:t>
      </w:r>
      <w:r>
        <w:rPr>
          <w:spacing w:val="-2"/>
          <w:sz w:val="18"/>
        </w:rPr>
        <w:t xml:space="preserve"> </w:t>
      </w:r>
      <w:r>
        <w:rPr>
          <w:sz w:val="18"/>
        </w:rPr>
        <w:t>qualified</w:t>
      </w:r>
      <w:r>
        <w:rPr>
          <w:spacing w:val="-2"/>
          <w:sz w:val="18"/>
        </w:rPr>
        <w:t xml:space="preserve"> </w:t>
      </w:r>
      <w:r>
        <w:rPr>
          <w:sz w:val="18"/>
        </w:rPr>
        <w:t>defined</w:t>
      </w:r>
      <w:r>
        <w:rPr>
          <w:spacing w:val="-2"/>
          <w:sz w:val="18"/>
        </w:rPr>
        <w:t xml:space="preserve"> </w:t>
      </w:r>
      <w:r>
        <w:rPr>
          <w:sz w:val="18"/>
        </w:rPr>
        <w:t>benefit</w:t>
      </w:r>
      <w:r>
        <w:rPr>
          <w:spacing w:val="-2"/>
          <w:sz w:val="18"/>
        </w:rPr>
        <w:t xml:space="preserve"> </w:t>
      </w:r>
      <w:r>
        <w:rPr>
          <w:sz w:val="18"/>
        </w:rPr>
        <w:t>pension</w:t>
      </w:r>
      <w:r>
        <w:rPr>
          <w:spacing w:val="-2"/>
          <w:sz w:val="18"/>
        </w:rPr>
        <w:t xml:space="preserve"> </w:t>
      </w:r>
      <w:r>
        <w:rPr>
          <w:sz w:val="18"/>
        </w:rPr>
        <w:t>plans</w:t>
      </w:r>
      <w:r>
        <w:rPr>
          <w:spacing w:val="-3"/>
          <w:sz w:val="18"/>
        </w:rPr>
        <w:t xml:space="preserve"> </w:t>
      </w:r>
      <w:r>
        <w:rPr>
          <w:sz w:val="18"/>
        </w:rPr>
        <w:t>and</w:t>
      </w:r>
      <w:r>
        <w:rPr>
          <w:spacing w:val="-2"/>
          <w:sz w:val="18"/>
        </w:rPr>
        <w:t xml:space="preserve"> </w:t>
      </w:r>
      <w:r>
        <w:rPr>
          <w:sz w:val="18"/>
        </w:rPr>
        <w:t>retiree</w:t>
      </w:r>
      <w:r>
        <w:rPr>
          <w:spacing w:val="-2"/>
          <w:sz w:val="18"/>
        </w:rPr>
        <w:t xml:space="preserve"> </w:t>
      </w:r>
      <w:r>
        <w:rPr>
          <w:sz w:val="18"/>
        </w:rPr>
        <w:t>medical</w:t>
      </w:r>
      <w:r>
        <w:rPr>
          <w:spacing w:val="-2"/>
          <w:sz w:val="18"/>
        </w:rPr>
        <w:t xml:space="preserve"> </w:t>
      </w:r>
      <w:r>
        <w:rPr>
          <w:sz w:val="18"/>
        </w:rPr>
        <w:t>and</w:t>
      </w:r>
      <w:r>
        <w:rPr>
          <w:spacing w:val="-2"/>
          <w:sz w:val="18"/>
        </w:rPr>
        <w:t xml:space="preserve"> </w:t>
      </w:r>
      <w:r>
        <w:rPr>
          <w:sz w:val="18"/>
        </w:rPr>
        <w:t>life</w:t>
      </w:r>
      <w:r>
        <w:rPr>
          <w:spacing w:val="-2"/>
          <w:sz w:val="18"/>
        </w:rPr>
        <w:t xml:space="preserve"> </w:t>
      </w:r>
      <w:r>
        <w:rPr>
          <w:sz w:val="18"/>
        </w:rPr>
        <w:t>insurance</w:t>
      </w:r>
      <w:r>
        <w:rPr>
          <w:spacing w:val="-2"/>
          <w:sz w:val="18"/>
        </w:rPr>
        <w:t xml:space="preserve"> </w:t>
      </w:r>
      <w:r>
        <w:rPr>
          <w:sz w:val="18"/>
        </w:rPr>
        <w:t>plans</w:t>
      </w:r>
      <w:r>
        <w:rPr>
          <w:spacing w:val="-3"/>
          <w:sz w:val="18"/>
        </w:rPr>
        <w:t xml:space="preserve"> </w:t>
      </w:r>
      <w:r>
        <w:rPr>
          <w:sz w:val="18"/>
        </w:rPr>
        <w:t>was approximately (</w:t>
      </w:r>
      <w:proofErr w:type="gramStart"/>
      <w:r>
        <w:rPr>
          <w:sz w:val="18"/>
        </w:rPr>
        <w:t>18)%</w:t>
      </w:r>
      <w:proofErr w:type="gramEnd"/>
      <w:r>
        <w:rPr>
          <w:sz w:val="18"/>
        </w:rPr>
        <w:t xml:space="preserve"> in 2022 and 10.5% in 2021.</w:t>
      </w:r>
    </w:p>
    <w:p w14:paraId="64223D00" w14:textId="77777777" w:rsidR="00AE2255" w:rsidRDefault="00AE2255">
      <w:pPr>
        <w:pStyle w:val="BodyText"/>
        <w:rPr>
          <w:sz w:val="18"/>
        </w:rPr>
      </w:pPr>
    </w:p>
    <w:p w14:paraId="108B16FF" w14:textId="77777777" w:rsidR="00AE2255" w:rsidRDefault="00000000">
      <w:pPr>
        <w:pStyle w:val="BodyText"/>
        <w:spacing w:before="1" w:line="249" w:lineRule="auto"/>
        <w:ind w:left="610" w:right="429" w:firstLine="360"/>
        <w:jc w:val="both"/>
      </w:pPr>
      <w:r>
        <w:t>We are required to recognize the net funded status of each postretirement benefit plan on a standalone basis as either an asset or a liability on our consolidated balance sheet. The funded status is measured as the difference between the fair value of each</w:t>
      </w:r>
      <w:r>
        <w:rPr>
          <w:spacing w:val="-2"/>
        </w:rPr>
        <w:t xml:space="preserve"> </w:t>
      </w:r>
      <w:r>
        <w:t>plan’s</w:t>
      </w:r>
      <w:r>
        <w:rPr>
          <w:spacing w:val="-2"/>
        </w:rPr>
        <w:t xml:space="preserve"> </w:t>
      </w:r>
      <w:r>
        <w:t>assets</w:t>
      </w:r>
      <w:r>
        <w:rPr>
          <w:spacing w:val="-2"/>
        </w:rPr>
        <w:t xml:space="preserve"> </w:t>
      </w:r>
      <w:r>
        <w:t>and</w:t>
      </w:r>
      <w:r>
        <w:rPr>
          <w:spacing w:val="-2"/>
        </w:rPr>
        <w:t xml:space="preserve"> </w:t>
      </w:r>
      <w:r>
        <w:t>the</w:t>
      </w:r>
      <w:r>
        <w:rPr>
          <w:spacing w:val="-2"/>
        </w:rPr>
        <w:t xml:space="preserve"> </w:t>
      </w:r>
      <w:r>
        <w:t>benefit</w:t>
      </w:r>
      <w:r>
        <w:rPr>
          <w:spacing w:val="-2"/>
        </w:rPr>
        <w:t xml:space="preserve"> </w:t>
      </w:r>
      <w:r>
        <w:t>obligation.</w:t>
      </w:r>
      <w:r>
        <w:rPr>
          <w:spacing w:val="-2"/>
        </w:rPr>
        <w:t xml:space="preserve"> </w:t>
      </w:r>
      <w:r>
        <w:t>Each</w:t>
      </w:r>
      <w:r>
        <w:rPr>
          <w:spacing w:val="-2"/>
        </w:rPr>
        <w:t xml:space="preserve"> </w:t>
      </w:r>
      <w:r>
        <w:t>year</w:t>
      </w:r>
      <w:r>
        <w:rPr>
          <w:spacing w:val="-2"/>
        </w:rPr>
        <w:t xml:space="preserve"> </w:t>
      </w:r>
      <w:r>
        <w:t>we</w:t>
      </w:r>
      <w:r>
        <w:rPr>
          <w:spacing w:val="-2"/>
        </w:rPr>
        <w:t xml:space="preserve"> </w:t>
      </w:r>
      <w:r>
        <w:t>measure</w:t>
      </w:r>
      <w:r>
        <w:rPr>
          <w:spacing w:val="-2"/>
        </w:rPr>
        <w:t xml:space="preserve"> </w:t>
      </w:r>
      <w:r>
        <w:t>the</w:t>
      </w:r>
      <w:r>
        <w:rPr>
          <w:spacing w:val="-2"/>
        </w:rPr>
        <w:t xml:space="preserve"> </w:t>
      </w:r>
      <w:r>
        <w:t>fair</w:t>
      </w:r>
      <w:r>
        <w:rPr>
          <w:spacing w:val="-2"/>
        </w:rPr>
        <w:t xml:space="preserve"> </w:t>
      </w:r>
      <w:r>
        <w:t>value</w:t>
      </w:r>
      <w:r>
        <w:rPr>
          <w:spacing w:val="-2"/>
        </w:rPr>
        <w:t xml:space="preserve"> </w:t>
      </w:r>
      <w:r>
        <w:t>of</w:t>
      </w:r>
      <w:r>
        <w:rPr>
          <w:spacing w:val="-2"/>
        </w:rPr>
        <w:t xml:space="preserve"> </w:t>
      </w:r>
      <w:r>
        <w:t>each</w:t>
      </w:r>
      <w:r>
        <w:rPr>
          <w:spacing w:val="-2"/>
        </w:rPr>
        <w:t xml:space="preserve"> </w:t>
      </w:r>
      <w:r>
        <w:t>plan’s</w:t>
      </w:r>
      <w:r>
        <w:rPr>
          <w:spacing w:val="-2"/>
        </w:rPr>
        <w:t xml:space="preserve"> </w:t>
      </w:r>
      <w:r>
        <w:t>assets</w:t>
      </w:r>
      <w:r>
        <w:rPr>
          <w:spacing w:val="-2"/>
        </w:rPr>
        <w:t xml:space="preserve"> </w:t>
      </w:r>
      <w:r>
        <w:t>and</w:t>
      </w:r>
      <w:r>
        <w:rPr>
          <w:spacing w:val="-2"/>
        </w:rPr>
        <w:t xml:space="preserve"> </w:t>
      </w:r>
      <w:r>
        <w:t>benefit</w:t>
      </w:r>
      <w:r>
        <w:rPr>
          <w:spacing w:val="-2"/>
        </w:rPr>
        <w:t xml:space="preserve"> </w:t>
      </w:r>
      <w:r>
        <w:t>obligation</w:t>
      </w:r>
      <w:r>
        <w:rPr>
          <w:spacing w:val="-2"/>
        </w:rPr>
        <w:t xml:space="preserve"> </w:t>
      </w:r>
      <w:r>
        <w:t>on December 31, consistent with our fiscal year end. The fair value of each plan’s benefit obligation reflects assumptions in effect as of the measurement date as described below. For certain of our qualified defined benefit pension plans and retiree medical and life</w:t>
      </w:r>
      <w:r>
        <w:rPr>
          <w:spacing w:val="-1"/>
        </w:rPr>
        <w:t xml:space="preserve"> </w:t>
      </w:r>
      <w:r>
        <w:t>insurance</w:t>
      </w:r>
      <w:r>
        <w:rPr>
          <w:spacing w:val="-1"/>
        </w:rPr>
        <w:t xml:space="preserve"> </w:t>
      </w:r>
      <w:r>
        <w:t>plans</w:t>
      </w:r>
      <w:r>
        <w:rPr>
          <w:spacing w:val="-1"/>
        </w:rPr>
        <w:t xml:space="preserve"> </w:t>
      </w:r>
      <w:r>
        <w:t>the</w:t>
      </w:r>
      <w:r>
        <w:rPr>
          <w:spacing w:val="-1"/>
        </w:rPr>
        <w:t xml:space="preserve"> </w:t>
      </w:r>
      <w:r>
        <w:t>plan assets</w:t>
      </w:r>
      <w:r>
        <w:rPr>
          <w:spacing w:val="-1"/>
        </w:rPr>
        <w:t xml:space="preserve"> </w:t>
      </w:r>
      <w:r>
        <w:t>may exceed the</w:t>
      </w:r>
      <w:r>
        <w:rPr>
          <w:spacing w:val="-1"/>
        </w:rPr>
        <w:t xml:space="preserve"> </w:t>
      </w:r>
      <w:r>
        <w:t>benefit</w:t>
      </w:r>
      <w:r>
        <w:rPr>
          <w:spacing w:val="-1"/>
        </w:rPr>
        <w:t xml:space="preserve"> </w:t>
      </w:r>
      <w:r>
        <w:t>obligation, for which we</w:t>
      </w:r>
      <w:r>
        <w:rPr>
          <w:spacing w:val="-1"/>
        </w:rPr>
        <w:t xml:space="preserve"> </w:t>
      </w:r>
      <w:r>
        <w:t>recognize</w:t>
      </w:r>
      <w:r>
        <w:rPr>
          <w:spacing w:val="-1"/>
        </w:rPr>
        <w:t xml:space="preserve"> </w:t>
      </w:r>
      <w:r>
        <w:t>the</w:t>
      </w:r>
      <w:r>
        <w:rPr>
          <w:spacing w:val="-1"/>
        </w:rPr>
        <w:t xml:space="preserve"> </w:t>
      </w:r>
      <w:r>
        <w:t>net</w:t>
      </w:r>
      <w:r>
        <w:rPr>
          <w:spacing w:val="-1"/>
        </w:rPr>
        <w:t xml:space="preserve"> </w:t>
      </w:r>
      <w:r>
        <w:t>amount</w:t>
      </w:r>
      <w:r>
        <w:rPr>
          <w:spacing w:val="-1"/>
        </w:rPr>
        <w:t xml:space="preserve"> </w:t>
      </w:r>
      <w:r>
        <w:t>as</w:t>
      </w:r>
      <w:r>
        <w:rPr>
          <w:spacing w:val="-1"/>
        </w:rPr>
        <w:t xml:space="preserve"> </w:t>
      </w:r>
      <w:r>
        <w:t>an asset</w:t>
      </w:r>
      <w:r>
        <w:rPr>
          <w:spacing w:val="-1"/>
        </w:rPr>
        <w:t xml:space="preserve"> </w:t>
      </w:r>
      <w:r>
        <w:t>on our consolidated balance sheet. Conversely, for most of our qualified defined benefit pension plans the benefit obligation exceeds plan assets, for which we recognize the net amount as a liability on our consolidated balance sheet.</w:t>
      </w:r>
    </w:p>
    <w:p w14:paraId="42FE00FD" w14:textId="77777777" w:rsidR="00AE2255" w:rsidRDefault="00AE2255">
      <w:pPr>
        <w:spacing w:line="249" w:lineRule="auto"/>
        <w:jc w:val="both"/>
        <w:sectPr w:rsidR="00AE2255">
          <w:pgSz w:w="12240" w:h="15840"/>
          <w:pgMar w:top="440" w:right="560" w:bottom="720" w:left="380" w:header="230" w:footer="531" w:gutter="0"/>
          <w:cols w:space="720"/>
        </w:sectPr>
      </w:pPr>
    </w:p>
    <w:p w14:paraId="2578C746" w14:textId="77777777" w:rsidR="00AE2255" w:rsidRDefault="00AE2255">
      <w:pPr>
        <w:pStyle w:val="BodyText"/>
        <w:spacing w:before="10"/>
        <w:rPr>
          <w:sz w:val="22"/>
        </w:rPr>
      </w:pPr>
    </w:p>
    <w:p w14:paraId="25818858" w14:textId="77777777" w:rsidR="00AE2255" w:rsidRDefault="00000000">
      <w:pPr>
        <w:pStyle w:val="BodyText"/>
        <w:spacing w:before="92" w:after="30" w:line="249" w:lineRule="auto"/>
        <w:ind w:left="610" w:right="429" w:firstLine="360"/>
        <w:jc w:val="both"/>
      </w:pPr>
      <w:r>
        <w:t>The following table provides amounts recognized on our consolidated balance sheets related to our qualified defined</w:t>
      </w:r>
      <w:r>
        <w:rPr>
          <w:spacing w:val="40"/>
        </w:rPr>
        <w:t xml:space="preserve"> </w:t>
      </w:r>
      <w:r>
        <w:t>benefit pension plans and our retiree medical and life insurance plans (in millions):</w:t>
      </w:r>
    </w:p>
    <w:tbl>
      <w:tblPr>
        <w:tblW w:w="0" w:type="auto"/>
        <w:tblInd w:w="617" w:type="dxa"/>
        <w:tblLayout w:type="fixed"/>
        <w:tblCellMar>
          <w:left w:w="0" w:type="dxa"/>
          <w:right w:w="0" w:type="dxa"/>
        </w:tblCellMar>
        <w:tblLook w:val="01E0" w:firstRow="1" w:lastRow="1" w:firstColumn="1" w:lastColumn="1" w:noHBand="0" w:noVBand="0"/>
      </w:tblPr>
      <w:tblGrid>
        <w:gridCol w:w="4630"/>
        <w:gridCol w:w="2222"/>
        <w:gridCol w:w="1174"/>
        <w:gridCol w:w="195"/>
        <w:gridCol w:w="998"/>
        <w:gridCol w:w="998"/>
      </w:tblGrid>
      <w:tr w:rsidR="00AE2255" w14:paraId="1C6D8BBF" w14:textId="77777777">
        <w:trPr>
          <w:trHeight w:val="470"/>
        </w:trPr>
        <w:tc>
          <w:tcPr>
            <w:tcW w:w="8026" w:type="dxa"/>
            <w:gridSpan w:val="3"/>
            <w:vMerge w:val="restart"/>
            <w:tcBorders>
              <w:bottom w:val="single" w:sz="8" w:space="0" w:color="000000"/>
              <w:right w:val="single" w:sz="8" w:space="0" w:color="000000"/>
            </w:tcBorders>
          </w:tcPr>
          <w:p w14:paraId="75586F7B" w14:textId="77777777" w:rsidR="00AE2255" w:rsidRDefault="00000000">
            <w:pPr>
              <w:pStyle w:val="TableParagraph"/>
              <w:spacing w:before="44" w:after="26" w:line="208" w:lineRule="auto"/>
              <w:ind w:left="5910" w:firstLine="138"/>
              <w:jc w:val="left"/>
              <w:rPr>
                <w:b/>
                <w:sz w:val="20"/>
              </w:rPr>
            </w:pPr>
            <w:r>
              <w:rPr>
                <w:b/>
                <w:sz w:val="20"/>
              </w:rPr>
              <w:t>Qualified Defined Benefit</w:t>
            </w:r>
            <w:r>
              <w:rPr>
                <w:b/>
                <w:spacing w:val="-8"/>
                <w:sz w:val="20"/>
              </w:rPr>
              <w:t xml:space="preserve"> </w:t>
            </w:r>
            <w:r>
              <w:rPr>
                <w:b/>
                <w:sz w:val="20"/>
              </w:rPr>
              <w:t>Pension</w:t>
            </w:r>
            <w:r>
              <w:rPr>
                <w:b/>
                <w:spacing w:val="-5"/>
                <w:sz w:val="20"/>
              </w:rPr>
              <w:t xml:space="preserve"> </w:t>
            </w:r>
            <w:r>
              <w:rPr>
                <w:b/>
                <w:spacing w:val="-4"/>
                <w:sz w:val="20"/>
              </w:rPr>
              <w:t>Plans</w:t>
            </w:r>
          </w:p>
          <w:p w14:paraId="5CB9C7E1" w14:textId="77777777" w:rsidR="00AE2255" w:rsidRDefault="00000000">
            <w:pPr>
              <w:pStyle w:val="TableParagraph"/>
              <w:spacing w:before="0" w:line="20" w:lineRule="exact"/>
              <w:ind w:left="5825"/>
              <w:jc w:val="left"/>
              <w:rPr>
                <w:sz w:val="2"/>
              </w:rPr>
            </w:pPr>
            <w:r>
              <w:rPr>
                <w:sz w:val="2"/>
              </w:rPr>
            </w:r>
            <w:r>
              <w:rPr>
                <w:sz w:val="2"/>
              </w:rPr>
              <w:pict w14:anchorId="7EC96D6F">
                <v:group id="docshapegroup49" o:spid="_x0000_s2168" style="width:99.75pt;height:1pt;mso-position-horizontal-relative:char;mso-position-vertical-relative:line" coordsize="1995,20">
                  <v:shape id="docshape50" o:spid="_x0000_s2170" style="position:absolute;top:10;width:1995;height:2" coordorigin=",10" coordsize="1995,0" path="m1995,10l,10e" fillcolor="black" stroked="f">
                    <v:fill opacity="0"/>
                    <v:path arrowok="t"/>
                  </v:shape>
                  <v:line id="_x0000_s2169" style="position:absolute" from="0,10" to="1995,10" strokeweight="1pt"/>
                  <w10:wrap type="none"/>
                  <w10:anchorlock/>
                </v:group>
              </w:pict>
            </w:r>
          </w:p>
          <w:p w14:paraId="5E35E8DD" w14:textId="77777777" w:rsidR="00AE2255" w:rsidRDefault="00000000">
            <w:pPr>
              <w:pStyle w:val="TableParagraph"/>
              <w:tabs>
                <w:tab w:val="left" w:pos="7377"/>
              </w:tabs>
              <w:spacing w:before="15" w:line="230" w:lineRule="exact"/>
              <w:ind w:left="6282"/>
              <w:jc w:val="left"/>
              <w:rPr>
                <w:b/>
                <w:sz w:val="20"/>
              </w:rPr>
            </w:pPr>
            <w:r>
              <w:rPr>
                <w:b/>
                <w:spacing w:val="-4"/>
                <w:sz w:val="20"/>
              </w:rPr>
              <w:t>2022</w:t>
            </w:r>
            <w:r>
              <w:rPr>
                <w:b/>
                <w:sz w:val="20"/>
              </w:rPr>
              <w:tab/>
            </w:r>
            <w:r>
              <w:rPr>
                <w:b/>
                <w:spacing w:val="-4"/>
                <w:sz w:val="20"/>
              </w:rPr>
              <w:t>2021</w:t>
            </w:r>
          </w:p>
        </w:tc>
        <w:tc>
          <w:tcPr>
            <w:tcW w:w="195" w:type="dxa"/>
            <w:vMerge w:val="restart"/>
            <w:tcBorders>
              <w:left w:val="single" w:sz="8" w:space="0" w:color="000000"/>
              <w:bottom w:val="single" w:sz="8" w:space="0" w:color="000000"/>
            </w:tcBorders>
          </w:tcPr>
          <w:p w14:paraId="5533563A" w14:textId="77777777" w:rsidR="00AE2255" w:rsidRDefault="00AE2255">
            <w:pPr>
              <w:pStyle w:val="TableParagraph"/>
              <w:spacing w:before="0"/>
              <w:jc w:val="left"/>
              <w:rPr>
                <w:sz w:val="20"/>
              </w:rPr>
            </w:pPr>
          </w:p>
        </w:tc>
        <w:tc>
          <w:tcPr>
            <w:tcW w:w="1996" w:type="dxa"/>
            <w:gridSpan w:val="2"/>
            <w:tcBorders>
              <w:bottom w:val="single" w:sz="8" w:space="0" w:color="000000"/>
            </w:tcBorders>
          </w:tcPr>
          <w:p w14:paraId="2D7FD726" w14:textId="77777777" w:rsidR="00AE2255" w:rsidRDefault="00000000">
            <w:pPr>
              <w:pStyle w:val="TableParagraph"/>
              <w:spacing w:before="44" w:line="208" w:lineRule="auto"/>
              <w:ind w:left="113" w:firstLine="17"/>
              <w:jc w:val="left"/>
              <w:rPr>
                <w:b/>
                <w:sz w:val="20"/>
              </w:rPr>
            </w:pPr>
            <w:r>
              <w:rPr>
                <w:b/>
                <w:sz w:val="20"/>
              </w:rPr>
              <w:t>Retiree</w:t>
            </w:r>
            <w:r>
              <w:rPr>
                <w:b/>
                <w:spacing w:val="-11"/>
                <w:sz w:val="20"/>
              </w:rPr>
              <w:t xml:space="preserve"> </w:t>
            </w:r>
            <w:r>
              <w:rPr>
                <w:b/>
                <w:sz w:val="20"/>
              </w:rPr>
              <w:t>Medical</w:t>
            </w:r>
            <w:r>
              <w:rPr>
                <w:b/>
                <w:spacing w:val="-11"/>
                <w:sz w:val="20"/>
              </w:rPr>
              <w:t xml:space="preserve"> </w:t>
            </w:r>
            <w:r>
              <w:rPr>
                <w:b/>
                <w:sz w:val="20"/>
              </w:rPr>
              <w:t>and Life</w:t>
            </w:r>
            <w:r>
              <w:rPr>
                <w:b/>
                <w:spacing w:val="-8"/>
                <w:sz w:val="20"/>
              </w:rPr>
              <w:t xml:space="preserve"> </w:t>
            </w:r>
            <w:r>
              <w:rPr>
                <w:b/>
                <w:sz w:val="20"/>
              </w:rPr>
              <w:t>Insurance</w:t>
            </w:r>
            <w:r>
              <w:rPr>
                <w:b/>
                <w:spacing w:val="-5"/>
                <w:sz w:val="20"/>
              </w:rPr>
              <w:t xml:space="preserve"> </w:t>
            </w:r>
            <w:r>
              <w:rPr>
                <w:b/>
                <w:spacing w:val="-4"/>
                <w:sz w:val="20"/>
              </w:rPr>
              <w:t>Plans</w:t>
            </w:r>
          </w:p>
        </w:tc>
      </w:tr>
      <w:tr w:rsidR="00AE2255" w14:paraId="56FE9458" w14:textId="77777777">
        <w:trPr>
          <w:trHeight w:val="265"/>
        </w:trPr>
        <w:tc>
          <w:tcPr>
            <w:tcW w:w="8026" w:type="dxa"/>
            <w:gridSpan w:val="3"/>
            <w:vMerge/>
            <w:tcBorders>
              <w:top w:val="nil"/>
              <w:bottom w:val="single" w:sz="8" w:space="0" w:color="000000"/>
              <w:right w:val="single" w:sz="8" w:space="0" w:color="000000"/>
            </w:tcBorders>
          </w:tcPr>
          <w:p w14:paraId="3196E80B"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0550B6AE" w14:textId="77777777" w:rsidR="00AE2255" w:rsidRDefault="00AE2255">
            <w:pPr>
              <w:rPr>
                <w:sz w:val="2"/>
                <w:szCs w:val="2"/>
              </w:rPr>
            </w:pPr>
          </w:p>
        </w:tc>
        <w:tc>
          <w:tcPr>
            <w:tcW w:w="998" w:type="dxa"/>
            <w:tcBorders>
              <w:top w:val="single" w:sz="8" w:space="0" w:color="000000"/>
              <w:bottom w:val="single" w:sz="8" w:space="0" w:color="000000"/>
            </w:tcBorders>
          </w:tcPr>
          <w:p w14:paraId="047CEC09" w14:textId="77777777" w:rsidR="00AE2255" w:rsidRDefault="00000000">
            <w:pPr>
              <w:pStyle w:val="TableParagraph"/>
              <w:spacing w:before="15" w:line="230" w:lineRule="exact"/>
              <w:ind w:right="149"/>
              <w:rPr>
                <w:b/>
                <w:sz w:val="20"/>
              </w:rPr>
            </w:pPr>
            <w:r>
              <w:rPr>
                <w:b/>
                <w:spacing w:val="-4"/>
                <w:sz w:val="20"/>
              </w:rPr>
              <w:t>2022</w:t>
            </w:r>
          </w:p>
        </w:tc>
        <w:tc>
          <w:tcPr>
            <w:tcW w:w="998" w:type="dxa"/>
            <w:tcBorders>
              <w:top w:val="single" w:sz="8" w:space="0" w:color="000000"/>
              <w:bottom w:val="single" w:sz="8" w:space="0" w:color="000000"/>
            </w:tcBorders>
          </w:tcPr>
          <w:p w14:paraId="4777B8EF" w14:textId="77777777" w:rsidR="00AE2255" w:rsidRDefault="00000000">
            <w:pPr>
              <w:pStyle w:val="TableParagraph"/>
              <w:spacing w:before="15" w:line="230" w:lineRule="exact"/>
              <w:ind w:right="52"/>
              <w:rPr>
                <w:b/>
                <w:sz w:val="20"/>
              </w:rPr>
            </w:pPr>
            <w:r>
              <w:rPr>
                <w:b/>
                <w:spacing w:val="-4"/>
                <w:sz w:val="20"/>
              </w:rPr>
              <w:t>2021</w:t>
            </w:r>
          </w:p>
        </w:tc>
      </w:tr>
      <w:tr w:rsidR="00AE2255" w14:paraId="0DA89916" w14:textId="77777777">
        <w:trPr>
          <w:trHeight w:val="275"/>
        </w:trPr>
        <w:tc>
          <w:tcPr>
            <w:tcW w:w="4630" w:type="dxa"/>
            <w:tcBorders>
              <w:top w:val="single" w:sz="8" w:space="0" w:color="000000"/>
            </w:tcBorders>
            <w:shd w:val="clear" w:color="auto" w:fill="CCEDFF"/>
          </w:tcPr>
          <w:p w14:paraId="7F8DE6E8" w14:textId="77777777" w:rsidR="00AE2255" w:rsidRDefault="00000000">
            <w:pPr>
              <w:pStyle w:val="TableParagraph"/>
              <w:spacing w:before="17"/>
              <w:ind w:left="52"/>
              <w:jc w:val="left"/>
              <w:rPr>
                <w:sz w:val="20"/>
              </w:rPr>
            </w:pPr>
            <w:r>
              <w:rPr>
                <w:sz w:val="20"/>
              </w:rPr>
              <w:t>Other</w:t>
            </w:r>
            <w:r>
              <w:rPr>
                <w:spacing w:val="-3"/>
                <w:sz w:val="20"/>
              </w:rPr>
              <w:t xml:space="preserve"> </w:t>
            </w:r>
            <w:r>
              <w:rPr>
                <w:sz w:val="20"/>
              </w:rPr>
              <w:t>noncurrent</w:t>
            </w:r>
            <w:r>
              <w:rPr>
                <w:spacing w:val="-3"/>
                <w:sz w:val="20"/>
              </w:rPr>
              <w:t xml:space="preserve"> </w:t>
            </w:r>
            <w:r>
              <w:rPr>
                <w:spacing w:val="-2"/>
                <w:sz w:val="20"/>
              </w:rPr>
              <w:t>assets</w:t>
            </w:r>
          </w:p>
        </w:tc>
        <w:tc>
          <w:tcPr>
            <w:tcW w:w="2222" w:type="dxa"/>
            <w:tcBorders>
              <w:top w:val="single" w:sz="8" w:space="0" w:color="000000"/>
            </w:tcBorders>
            <w:shd w:val="clear" w:color="auto" w:fill="CCEDFF"/>
          </w:tcPr>
          <w:p w14:paraId="01E0448D" w14:textId="77777777" w:rsidR="00AE2255" w:rsidRDefault="00000000">
            <w:pPr>
              <w:pStyle w:val="TableParagraph"/>
              <w:tabs>
                <w:tab w:val="left" w:pos="665"/>
              </w:tabs>
              <w:spacing w:before="15"/>
              <w:ind w:right="196"/>
              <w:rPr>
                <w:b/>
                <w:sz w:val="20"/>
              </w:rPr>
            </w:pPr>
            <w:r>
              <w:rPr>
                <w:b/>
                <w:spacing w:val="-10"/>
                <w:sz w:val="20"/>
              </w:rPr>
              <w:t>$</w:t>
            </w:r>
            <w:r>
              <w:rPr>
                <w:b/>
                <w:sz w:val="20"/>
              </w:rPr>
              <w:tab/>
            </w:r>
            <w:r>
              <w:rPr>
                <w:b/>
                <w:spacing w:val="-10"/>
                <w:sz w:val="20"/>
              </w:rPr>
              <w:t>2</w:t>
            </w:r>
          </w:p>
        </w:tc>
        <w:tc>
          <w:tcPr>
            <w:tcW w:w="1174" w:type="dxa"/>
            <w:tcBorders>
              <w:top w:val="single" w:sz="8" w:space="0" w:color="000000"/>
              <w:right w:val="single" w:sz="8" w:space="0" w:color="000000"/>
            </w:tcBorders>
            <w:shd w:val="clear" w:color="auto" w:fill="CCEDFF"/>
          </w:tcPr>
          <w:p w14:paraId="13B288DA" w14:textId="77777777" w:rsidR="00AE2255" w:rsidRDefault="00000000">
            <w:pPr>
              <w:pStyle w:val="TableParagraph"/>
              <w:tabs>
                <w:tab w:val="left" w:pos="696"/>
              </w:tabs>
              <w:spacing w:before="15"/>
              <w:ind w:left="130"/>
              <w:jc w:val="left"/>
              <w:rPr>
                <w:sz w:val="20"/>
              </w:rPr>
            </w:pPr>
            <w:r>
              <w:rPr>
                <w:spacing w:val="-10"/>
                <w:sz w:val="20"/>
              </w:rPr>
              <w:t>$</w:t>
            </w:r>
            <w:r>
              <w:rPr>
                <w:sz w:val="20"/>
              </w:rPr>
              <w:tab/>
            </w:r>
            <w:r>
              <w:rPr>
                <w:spacing w:val="-5"/>
                <w:sz w:val="20"/>
              </w:rPr>
              <w:t>64</w:t>
            </w:r>
          </w:p>
        </w:tc>
        <w:tc>
          <w:tcPr>
            <w:tcW w:w="195" w:type="dxa"/>
            <w:tcBorders>
              <w:top w:val="single" w:sz="8" w:space="0" w:color="000000"/>
              <w:left w:val="single" w:sz="8" w:space="0" w:color="000000"/>
            </w:tcBorders>
            <w:shd w:val="clear" w:color="auto" w:fill="CCEDFF"/>
          </w:tcPr>
          <w:p w14:paraId="4338CC71" w14:textId="77777777" w:rsidR="00AE2255" w:rsidRDefault="00AE2255">
            <w:pPr>
              <w:pStyle w:val="TableParagraph"/>
              <w:spacing w:before="0"/>
              <w:jc w:val="left"/>
              <w:rPr>
                <w:sz w:val="20"/>
              </w:rPr>
            </w:pPr>
          </w:p>
        </w:tc>
        <w:tc>
          <w:tcPr>
            <w:tcW w:w="998" w:type="dxa"/>
            <w:tcBorders>
              <w:top w:val="single" w:sz="8" w:space="0" w:color="000000"/>
            </w:tcBorders>
            <w:shd w:val="clear" w:color="auto" w:fill="CCEDFF"/>
          </w:tcPr>
          <w:p w14:paraId="7507F333" w14:textId="77777777" w:rsidR="00AE2255" w:rsidRDefault="00000000">
            <w:pPr>
              <w:pStyle w:val="TableParagraph"/>
              <w:tabs>
                <w:tab w:val="left" w:pos="465"/>
              </w:tabs>
              <w:spacing w:before="15"/>
              <w:ind w:right="178"/>
              <w:rPr>
                <w:b/>
                <w:sz w:val="20"/>
              </w:rPr>
            </w:pPr>
            <w:r>
              <w:rPr>
                <w:b/>
                <w:spacing w:val="-10"/>
                <w:sz w:val="20"/>
              </w:rPr>
              <w:t>$</w:t>
            </w:r>
            <w:r>
              <w:rPr>
                <w:b/>
                <w:sz w:val="20"/>
              </w:rPr>
              <w:tab/>
            </w:r>
            <w:r>
              <w:rPr>
                <w:b/>
                <w:spacing w:val="-5"/>
                <w:sz w:val="20"/>
              </w:rPr>
              <w:t>297</w:t>
            </w:r>
          </w:p>
        </w:tc>
        <w:tc>
          <w:tcPr>
            <w:tcW w:w="998" w:type="dxa"/>
            <w:tcBorders>
              <w:top w:val="single" w:sz="8" w:space="0" w:color="000000"/>
            </w:tcBorders>
            <w:shd w:val="clear" w:color="auto" w:fill="CCEDFF"/>
          </w:tcPr>
          <w:p w14:paraId="4D09D7CC" w14:textId="77777777" w:rsidR="00AE2255" w:rsidRDefault="00000000">
            <w:pPr>
              <w:pStyle w:val="TableParagraph"/>
              <w:tabs>
                <w:tab w:val="left" w:pos="465"/>
              </w:tabs>
              <w:spacing w:before="15"/>
              <w:ind w:right="81"/>
              <w:rPr>
                <w:sz w:val="20"/>
              </w:rPr>
            </w:pPr>
            <w:r>
              <w:rPr>
                <w:spacing w:val="-10"/>
                <w:sz w:val="20"/>
              </w:rPr>
              <w:t>$</w:t>
            </w:r>
            <w:r>
              <w:rPr>
                <w:sz w:val="20"/>
              </w:rPr>
              <w:tab/>
            </w:r>
            <w:r>
              <w:rPr>
                <w:spacing w:val="-5"/>
                <w:sz w:val="20"/>
              </w:rPr>
              <w:t>330</w:t>
            </w:r>
          </w:p>
        </w:tc>
      </w:tr>
      <w:tr w:rsidR="00AE2255" w14:paraId="55E19AE6" w14:textId="77777777">
        <w:trPr>
          <w:trHeight w:val="280"/>
        </w:trPr>
        <w:tc>
          <w:tcPr>
            <w:tcW w:w="4630" w:type="dxa"/>
            <w:tcBorders>
              <w:bottom w:val="single" w:sz="4" w:space="0" w:color="000000"/>
            </w:tcBorders>
          </w:tcPr>
          <w:p w14:paraId="18058AA8" w14:textId="77777777" w:rsidR="00AE2255" w:rsidRDefault="00000000">
            <w:pPr>
              <w:pStyle w:val="TableParagraph"/>
              <w:spacing w:before="27"/>
              <w:ind w:left="52"/>
              <w:jc w:val="left"/>
              <w:rPr>
                <w:sz w:val="20"/>
              </w:rPr>
            </w:pPr>
            <w:r>
              <w:rPr>
                <w:sz w:val="20"/>
              </w:rPr>
              <w:t>Accrued</w:t>
            </w:r>
            <w:r>
              <w:rPr>
                <w:spacing w:val="-4"/>
                <w:sz w:val="20"/>
              </w:rPr>
              <w:t xml:space="preserve"> </w:t>
            </w:r>
            <w:r>
              <w:rPr>
                <w:sz w:val="20"/>
              </w:rPr>
              <w:t>pension</w:t>
            </w:r>
            <w:r>
              <w:rPr>
                <w:spacing w:val="-3"/>
                <w:sz w:val="20"/>
              </w:rPr>
              <w:t xml:space="preserve"> </w:t>
            </w:r>
            <w:r>
              <w:rPr>
                <w:spacing w:val="-2"/>
                <w:sz w:val="20"/>
              </w:rPr>
              <w:t>liabilities</w:t>
            </w:r>
          </w:p>
        </w:tc>
        <w:tc>
          <w:tcPr>
            <w:tcW w:w="2222" w:type="dxa"/>
            <w:tcBorders>
              <w:bottom w:val="single" w:sz="4" w:space="0" w:color="000000"/>
            </w:tcBorders>
          </w:tcPr>
          <w:p w14:paraId="27A50236" w14:textId="77777777" w:rsidR="00AE2255" w:rsidRDefault="00000000">
            <w:pPr>
              <w:pStyle w:val="TableParagraph"/>
              <w:ind w:right="131"/>
              <w:rPr>
                <w:b/>
                <w:sz w:val="20"/>
              </w:rPr>
            </w:pPr>
            <w:r>
              <w:rPr>
                <w:b/>
                <w:spacing w:val="-2"/>
                <w:sz w:val="20"/>
              </w:rPr>
              <w:t>(5,472)</w:t>
            </w:r>
          </w:p>
        </w:tc>
        <w:tc>
          <w:tcPr>
            <w:tcW w:w="1174" w:type="dxa"/>
            <w:tcBorders>
              <w:bottom w:val="single" w:sz="4" w:space="0" w:color="000000"/>
              <w:right w:val="single" w:sz="8" w:space="0" w:color="000000"/>
            </w:tcBorders>
          </w:tcPr>
          <w:p w14:paraId="0052876B" w14:textId="77777777" w:rsidR="00AE2255" w:rsidRDefault="00000000">
            <w:pPr>
              <w:pStyle w:val="TableParagraph"/>
              <w:ind w:left="379"/>
              <w:jc w:val="left"/>
              <w:rPr>
                <w:sz w:val="20"/>
              </w:rPr>
            </w:pPr>
            <w:r>
              <w:rPr>
                <w:spacing w:val="-2"/>
                <w:sz w:val="20"/>
              </w:rPr>
              <w:t>(8,319)</w:t>
            </w:r>
          </w:p>
        </w:tc>
        <w:tc>
          <w:tcPr>
            <w:tcW w:w="195" w:type="dxa"/>
            <w:tcBorders>
              <w:left w:val="single" w:sz="8" w:space="0" w:color="000000"/>
              <w:bottom w:val="single" w:sz="4" w:space="0" w:color="000000"/>
            </w:tcBorders>
          </w:tcPr>
          <w:p w14:paraId="7921D761" w14:textId="77777777" w:rsidR="00AE2255" w:rsidRDefault="00AE2255">
            <w:pPr>
              <w:pStyle w:val="TableParagraph"/>
              <w:spacing w:before="0"/>
              <w:jc w:val="left"/>
              <w:rPr>
                <w:sz w:val="20"/>
              </w:rPr>
            </w:pPr>
          </w:p>
        </w:tc>
        <w:tc>
          <w:tcPr>
            <w:tcW w:w="998" w:type="dxa"/>
            <w:tcBorders>
              <w:bottom w:val="single" w:sz="4" w:space="0" w:color="000000"/>
            </w:tcBorders>
          </w:tcPr>
          <w:p w14:paraId="22509755" w14:textId="77777777" w:rsidR="00AE2255" w:rsidRDefault="00000000">
            <w:pPr>
              <w:pStyle w:val="TableParagraph"/>
              <w:ind w:right="178"/>
              <w:rPr>
                <w:b/>
                <w:sz w:val="20"/>
              </w:rPr>
            </w:pPr>
            <w:r>
              <w:rPr>
                <w:b/>
                <w:sz w:val="20"/>
              </w:rPr>
              <w:t>—</w:t>
            </w:r>
          </w:p>
        </w:tc>
        <w:tc>
          <w:tcPr>
            <w:tcW w:w="998" w:type="dxa"/>
            <w:tcBorders>
              <w:bottom w:val="single" w:sz="4" w:space="0" w:color="000000"/>
            </w:tcBorders>
          </w:tcPr>
          <w:p w14:paraId="08CA59BF" w14:textId="77777777" w:rsidR="00AE2255" w:rsidRDefault="00000000">
            <w:pPr>
              <w:pStyle w:val="TableParagraph"/>
              <w:ind w:right="81"/>
              <w:rPr>
                <w:sz w:val="20"/>
              </w:rPr>
            </w:pPr>
            <w:r>
              <w:rPr>
                <w:sz w:val="20"/>
              </w:rPr>
              <w:t>—</w:t>
            </w:r>
          </w:p>
        </w:tc>
      </w:tr>
      <w:tr w:rsidR="00AE2255" w14:paraId="222849D7" w14:textId="77777777">
        <w:trPr>
          <w:trHeight w:val="257"/>
        </w:trPr>
        <w:tc>
          <w:tcPr>
            <w:tcW w:w="4630" w:type="dxa"/>
            <w:tcBorders>
              <w:top w:val="single" w:sz="4" w:space="0" w:color="000000"/>
              <w:bottom w:val="single" w:sz="18" w:space="0" w:color="000000"/>
            </w:tcBorders>
            <w:shd w:val="clear" w:color="auto" w:fill="CCEDFF"/>
          </w:tcPr>
          <w:p w14:paraId="4B005154" w14:textId="77777777" w:rsidR="00AE2255" w:rsidRDefault="00000000">
            <w:pPr>
              <w:pStyle w:val="TableParagraph"/>
              <w:spacing w:before="20" w:line="217" w:lineRule="exact"/>
              <w:ind w:left="52"/>
              <w:jc w:val="left"/>
              <w:rPr>
                <w:sz w:val="20"/>
              </w:rPr>
            </w:pPr>
            <w:r>
              <w:rPr>
                <w:sz w:val="20"/>
              </w:rPr>
              <w:t>Net</w:t>
            </w:r>
            <w:r>
              <w:rPr>
                <w:spacing w:val="-5"/>
                <w:sz w:val="20"/>
              </w:rPr>
              <w:t xml:space="preserve"> </w:t>
            </w:r>
            <w:r>
              <w:rPr>
                <w:sz w:val="20"/>
              </w:rPr>
              <w:t>(unfunded)</w:t>
            </w:r>
            <w:r>
              <w:rPr>
                <w:spacing w:val="-1"/>
                <w:sz w:val="20"/>
              </w:rPr>
              <w:t xml:space="preserve"> </w:t>
            </w:r>
            <w:r>
              <w:rPr>
                <w:sz w:val="20"/>
              </w:rPr>
              <w:t>funded</w:t>
            </w:r>
            <w:r>
              <w:rPr>
                <w:spacing w:val="-2"/>
                <w:sz w:val="20"/>
              </w:rPr>
              <w:t xml:space="preserve"> </w:t>
            </w:r>
            <w:r>
              <w:rPr>
                <w:sz w:val="20"/>
              </w:rPr>
              <w:t>status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pacing w:val="-4"/>
                <w:sz w:val="20"/>
              </w:rPr>
              <w:t>plans</w:t>
            </w:r>
          </w:p>
        </w:tc>
        <w:tc>
          <w:tcPr>
            <w:tcW w:w="2222" w:type="dxa"/>
            <w:tcBorders>
              <w:top w:val="single" w:sz="4" w:space="0" w:color="000000"/>
              <w:bottom w:val="single" w:sz="18" w:space="0" w:color="000000"/>
            </w:tcBorders>
            <w:shd w:val="clear" w:color="auto" w:fill="CCEDFF"/>
          </w:tcPr>
          <w:p w14:paraId="663CF34E" w14:textId="77777777" w:rsidR="00AE2255" w:rsidRDefault="00000000">
            <w:pPr>
              <w:pStyle w:val="TableParagraph"/>
              <w:spacing w:before="20" w:line="217" w:lineRule="exact"/>
              <w:ind w:right="131"/>
              <w:rPr>
                <w:b/>
                <w:sz w:val="20"/>
              </w:rPr>
            </w:pPr>
            <w:r>
              <w:rPr>
                <w:b/>
                <w:sz w:val="20"/>
              </w:rPr>
              <w:t>$</w:t>
            </w:r>
            <w:r>
              <w:rPr>
                <w:b/>
                <w:spacing w:val="74"/>
                <w:w w:val="150"/>
                <w:sz w:val="20"/>
              </w:rPr>
              <w:t xml:space="preserve"> </w:t>
            </w:r>
            <w:r>
              <w:rPr>
                <w:b/>
                <w:spacing w:val="-2"/>
                <w:sz w:val="20"/>
              </w:rPr>
              <w:t>(5,470)</w:t>
            </w:r>
          </w:p>
        </w:tc>
        <w:tc>
          <w:tcPr>
            <w:tcW w:w="1174" w:type="dxa"/>
            <w:tcBorders>
              <w:top w:val="single" w:sz="4" w:space="0" w:color="000000"/>
              <w:bottom w:val="single" w:sz="18" w:space="0" w:color="000000"/>
              <w:right w:val="single" w:sz="8" w:space="0" w:color="000000"/>
            </w:tcBorders>
            <w:shd w:val="clear" w:color="auto" w:fill="CCEDFF"/>
          </w:tcPr>
          <w:p w14:paraId="4B4EF7D6" w14:textId="77777777" w:rsidR="00AE2255" w:rsidRDefault="00000000">
            <w:pPr>
              <w:pStyle w:val="TableParagraph"/>
              <w:spacing w:before="20" w:line="217" w:lineRule="exact"/>
              <w:ind w:left="130"/>
              <w:jc w:val="left"/>
              <w:rPr>
                <w:sz w:val="20"/>
              </w:rPr>
            </w:pPr>
            <w:r>
              <w:rPr>
                <w:sz w:val="20"/>
              </w:rPr>
              <w:t>$</w:t>
            </w:r>
            <w:r>
              <w:rPr>
                <w:spacing w:val="74"/>
                <w:w w:val="150"/>
                <w:sz w:val="20"/>
              </w:rPr>
              <w:t xml:space="preserve"> </w:t>
            </w:r>
            <w:r>
              <w:rPr>
                <w:spacing w:val="-2"/>
                <w:sz w:val="20"/>
              </w:rPr>
              <w:t>(8,255)</w:t>
            </w:r>
          </w:p>
        </w:tc>
        <w:tc>
          <w:tcPr>
            <w:tcW w:w="195" w:type="dxa"/>
            <w:tcBorders>
              <w:top w:val="single" w:sz="4" w:space="0" w:color="000000"/>
              <w:left w:val="single" w:sz="8" w:space="0" w:color="000000"/>
              <w:bottom w:val="single" w:sz="18" w:space="0" w:color="000000"/>
            </w:tcBorders>
            <w:shd w:val="clear" w:color="auto" w:fill="CCEDFF"/>
          </w:tcPr>
          <w:p w14:paraId="2F86BA4A" w14:textId="77777777" w:rsidR="00AE2255" w:rsidRDefault="00AE2255">
            <w:pPr>
              <w:pStyle w:val="TableParagraph"/>
              <w:spacing w:before="0"/>
              <w:jc w:val="left"/>
              <w:rPr>
                <w:sz w:val="18"/>
              </w:rPr>
            </w:pPr>
          </w:p>
        </w:tc>
        <w:tc>
          <w:tcPr>
            <w:tcW w:w="998" w:type="dxa"/>
            <w:tcBorders>
              <w:top w:val="single" w:sz="4" w:space="0" w:color="000000"/>
              <w:bottom w:val="single" w:sz="18" w:space="0" w:color="000000"/>
            </w:tcBorders>
            <w:shd w:val="clear" w:color="auto" w:fill="CCEDFF"/>
          </w:tcPr>
          <w:p w14:paraId="5EA571C9" w14:textId="77777777" w:rsidR="00AE2255" w:rsidRDefault="00000000">
            <w:pPr>
              <w:pStyle w:val="TableParagraph"/>
              <w:tabs>
                <w:tab w:val="left" w:pos="465"/>
              </w:tabs>
              <w:spacing w:before="20" w:line="217" w:lineRule="exact"/>
              <w:ind w:right="178"/>
              <w:rPr>
                <w:b/>
                <w:sz w:val="20"/>
              </w:rPr>
            </w:pPr>
            <w:r>
              <w:rPr>
                <w:b/>
                <w:spacing w:val="-10"/>
                <w:sz w:val="20"/>
              </w:rPr>
              <w:t>$</w:t>
            </w:r>
            <w:r>
              <w:rPr>
                <w:b/>
                <w:sz w:val="20"/>
              </w:rPr>
              <w:tab/>
            </w:r>
            <w:r>
              <w:rPr>
                <w:b/>
                <w:spacing w:val="-5"/>
                <w:sz w:val="20"/>
              </w:rPr>
              <w:t>297</w:t>
            </w:r>
          </w:p>
        </w:tc>
        <w:tc>
          <w:tcPr>
            <w:tcW w:w="998" w:type="dxa"/>
            <w:tcBorders>
              <w:top w:val="single" w:sz="4" w:space="0" w:color="000000"/>
              <w:bottom w:val="single" w:sz="18" w:space="0" w:color="000000"/>
            </w:tcBorders>
            <w:shd w:val="clear" w:color="auto" w:fill="CCEDFF"/>
          </w:tcPr>
          <w:p w14:paraId="0C0B221C" w14:textId="77777777" w:rsidR="00AE2255" w:rsidRDefault="00000000">
            <w:pPr>
              <w:pStyle w:val="TableParagraph"/>
              <w:tabs>
                <w:tab w:val="left" w:pos="465"/>
              </w:tabs>
              <w:spacing w:before="20" w:line="217" w:lineRule="exact"/>
              <w:ind w:right="81"/>
              <w:rPr>
                <w:sz w:val="20"/>
              </w:rPr>
            </w:pPr>
            <w:r>
              <w:rPr>
                <w:spacing w:val="-10"/>
                <w:sz w:val="20"/>
              </w:rPr>
              <w:t>$</w:t>
            </w:r>
            <w:r>
              <w:rPr>
                <w:sz w:val="20"/>
              </w:rPr>
              <w:tab/>
            </w:r>
            <w:r>
              <w:rPr>
                <w:spacing w:val="-5"/>
                <w:sz w:val="20"/>
              </w:rPr>
              <w:t>330</w:t>
            </w:r>
          </w:p>
        </w:tc>
      </w:tr>
    </w:tbl>
    <w:p w14:paraId="7EA58362" w14:textId="77777777" w:rsidR="00AE2255" w:rsidRDefault="00AE2255">
      <w:pPr>
        <w:pStyle w:val="BodyText"/>
        <w:spacing w:before="8"/>
        <w:rPr>
          <w:sz w:val="21"/>
        </w:rPr>
      </w:pPr>
    </w:p>
    <w:p w14:paraId="2EAE5557" w14:textId="77777777" w:rsidR="00AE2255" w:rsidRDefault="00000000">
      <w:pPr>
        <w:pStyle w:val="BodyText"/>
        <w:ind w:left="970"/>
        <w:jc w:val="both"/>
      </w:pPr>
      <w:r>
        <w:t>The</w:t>
      </w:r>
      <w:r>
        <w:rPr>
          <w:spacing w:val="63"/>
        </w:rPr>
        <w:t xml:space="preserve"> </w:t>
      </w:r>
      <w:r>
        <w:t>accumulated</w:t>
      </w:r>
      <w:r>
        <w:rPr>
          <w:spacing w:val="63"/>
        </w:rPr>
        <w:t xml:space="preserve"> </w:t>
      </w:r>
      <w:r>
        <w:t>benefit</w:t>
      </w:r>
      <w:r>
        <w:rPr>
          <w:spacing w:val="63"/>
        </w:rPr>
        <w:t xml:space="preserve"> </w:t>
      </w:r>
      <w:r>
        <w:t>obligation</w:t>
      </w:r>
      <w:r>
        <w:rPr>
          <w:spacing w:val="63"/>
        </w:rPr>
        <w:t xml:space="preserve"> </w:t>
      </w:r>
      <w:r>
        <w:t>(ABO)</w:t>
      </w:r>
      <w:r>
        <w:rPr>
          <w:spacing w:val="63"/>
        </w:rPr>
        <w:t xml:space="preserve"> </w:t>
      </w:r>
      <w:r>
        <w:t>for</w:t>
      </w:r>
      <w:r>
        <w:rPr>
          <w:spacing w:val="63"/>
        </w:rPr>
        <w:t xml:space="preserve"> </w:t>
      </w:r>
      <w:r>
        <w:t>all</w:t>
      </w:r>
      <w:r>
        <w:rPr>
          <w:spacing w:val="63"/>
        </w:rPr>
        <w:t xml:space="preserve"> </w:t>
      </w:r>
      <w:r>
        <w:t>qualified</w:t>
      </w:r>
      <w:r>
        <w:rPr>
          <w:spacing w:val="63"/>
        </w:rPr>
        <w:t xml:space="preserve"> </w:t>
      </w:r>
      <w:r>
        <w:t>defined</w:t>
      </w:r>
      <w:r>
        <w:rPr>
          <w:spacing w:val="63"/>
        </w:rPr>
        <w:t xml:space="preserve"> </w:t>
      </w:r>
      <w:r>
        <w:t>benefit</w:t>
      </w:r>
      <w:r>
        <w:rPr>
          <w:spacing w:val="63"/>
        </w:rPr>
        <w:t xml:space="preserve"> </w:t>
      </w:r>
      <w:r>
        <w:t>pension</w:t>
      </w:r>
      <w:r>
        <w:rPr>
          <w:spacing w:val="63"/>
        </w:rPr>
        <w:t xml:space="preserve"> </w:t>
      </w:r>
      <w:r>
        <w:t>plans</w:t>
      </w:r>
      <w:r>
        <w:rPr>
          <w:spacing w:val="63"/>
        </w:rPr>
        <w:t xml:space="preserve"> </w:t>
      </w:r>
      <w:r>
        <w:t>was</w:t>
      </w:r>
      <w:r>
        <w:rPr>
          <w:spacing w:val="63"/>
        </w:rPr>
        <w:t xml:space="preserve"> </w:t>
      </w:r>
      <w:r>
        <w:t>$28.6</w:t>
      </w:r>
      <w:r>
        <w:rPr>
          <w:spacing w:val="63"/>
        </w:rPr>
        <w:t xml:space="preserve"> </w:t>
      </w:r>
      <w:r>
        <w:t>billion</w:t>
      </w:r>
      <w:r>
        <w:rPr>
          <w:spacing w:val="64"/>
        </w:rPr>
        <w:t xml:space="preserve"> </w:t>
      </w:r>
      <w:r>
        <w:rPr>
          <w:spacing w:val="-5"/>
        </w:rPr>
        <w:t>and</w:t>
      </w:r>
    </w:p>
    <w:p w14:paraId="710CC57E" w14:textId="77777777" w:rsidR="00AE2255" w:rsidRDefault="00000000">
      <w:pPr>
        <w:pStyle w:val="BodyText"/>
        <w:spacing w:before="10" w:line="249" w:lineRule="auto"/>
        <w:ind w:left="610" w:right="428"/>
        <w:jc w:val="both"/>
      </w:pPr>
      <w:r>
        <w:t xml:space="preserve">$43.4 billion </w:t>
      </w:r>
      <w:proofErr w:type="gramStart"/>
      <w:r>
        <w:t>at</w:t>
      </w:r>
      <w:proofErr w:type="gramEnd"/>
      <w:r>
        <w:t xml:space="preserve"> December 31, 2022 and 2021. The ABO represents benefits accrued without assuming future compensation increases to plan participants and is approximately equal to our projected benefit obligation. Plans where the benefit obligation was less than plan assets represent prepaid pension assets, which are included on our consolidated balance sheets in other noncurrent assets. Plans where the obligation was </w:t>
      </w:r>
      <w:proofErr w:type="gramStart"/>
      <w:r>
        <w:t>in excess of</w:t>
      </w:r>
      <w:proofErr w:type="gramEnd"/>
      <w:r>
        <w:t xml:space="preserve"> plan assets represent accrued pension liabilities, which are included on our consolidated balance sheets.</w:t>
      </w:r>
    </w:p>
    <w:p w14:paraId="12015947" w14:textId="77777777" w:rsidR="00AE2255" w:rsidRDefault="00AE2255">
      <w:pPr>
        <w:pStyle w:val="BodyText"/>
        <w:spacing w:before="9"/>
        <w:rPr>
          <w:sz w:val="17"/>
        </w:rPr>
      </w:pPr>
    </w:p>
    <w:p w14:paraId="58CABEDA" w14:textId="77777777" w:rsidR="00AE2255" w:rsidRDefault="00000000">
      <w:pPr>
        <w:pStyle w:val="BodyText"/>
        <w:spacing w:line="249" w:lineRule="auto"/>
        <w:ind w:left="610" w:right="427" w:firstLine="360"/>
        <w:jc w:val="both"/>
      </w:pPr>
      <w:r>
        <w:t xml:space="preserve">Differences between the actual return and expected return on plan assets during the year and changes in the benefit obligation for our qualified defined benefit pension plans and retiree medical and life insurance plans due to changes in the annual valuation assumptions generate actuarial gains or losses. Additionally, the benefit obligation for our qualified defined benefit pension plans and retiree medical and life insurance plans may increase or decrease </w:t>
      </w:r>
      <w:proofErr w:type="gramStart"/>
      <w:r>
        <w:t>as a result of</w:t>
      </w:r>
      <w:proofErr w:type="gramEnd"/>
      <w:r>
        <w:t xml:space="preserve"> plan amendments that affect the benefits to plan participants related to service for periods prior to the effective date of the amendment, which generates prior service costs or credits. Actuarial gains or losses, and prior service costs or credits, are initially deferred in accumulated other comprehensive loss and subsequently amortized for each plan into (expense) or income on a straight-line basis</w:t>
      </w:r>
      <w:r>
        <w:rPr>
          <w:spacing w:val="-1"/>
        </w:rPr>
        <w:t xml:space="preserve"> </w:t>
      </w:r>
      <w:r>
        <w:t>either</w:t>
      </w:r>
      <w:r>
        <w:rPr>
          <w:spacing w:val="-1"/>
        </w:rPr>
        <w:t xml:space="preserve"> </w:t>
      </w:r>
      <w:r>
        <w:t>over</w:t>
      </w:r>
      <w:r>
        <w:rPr>
          <w:spacing w:val="-1"/>
        </w:rPr>
        <w:t xml:space="preserve"> </w:t>
      </w:r>
      <w:r>
        <w:t>the</w:t>
      </w:r>
      <w:r>
        <w:rPr>
          <w:spacing w:val="-1"/>
        </w:rPr>
        <w:t xml:space="preserve"> </w:t>
      </w:r>
      <w:r>
        <w:t>average</w:t>
      </w:r>
      <w:r>
        <w:rPr>
          <w:spacing w:val="-1"/>
        </w:rPr>
        <w:t xml:space="preserve"> </w:t>
      </w:r>
      <w:r>
        <w:t>remaining</w:t>
      </w:r>
      <w:r>
        <w:rPr>
          <w:spacing w:val="-1"/>
        </w:rPr>
        <w:t xml:space="preserve"> </w:t>
      </w:r>
      <w:r>
        <w:t>life</w:t>
      </w:r>
      <w:r>
        <w:rPr>
          <w:spacing w:val="-1"/>
        </w:rPr>
        <w:t xml:space="preserve"> </w:t>
      </w:r>
      <w:r>
        <w:t>expectancy</w:t>
      </w:r>
      <w:r>
        <w:rPr>
          <w:spacing w:val="-1"/>
        </w:rPr>
        <w:t xml:space="preserve"> </w:t>
      </w:r>
      <w:r>
        <w:t>of</w:t>
      </w:r>
      <w:r>
        <w:rPr>
          <w:spacing w:val="-1"/>
        </w:rPr>
        <w:t xml:space="preserve"> </w:t>
      </w:r>
      <w:r>
        <w:t>plan</w:t>
      </w:r>
      <w:r>
        <w:rPr>
          <w:spacing w:val="-1"/>
        </w:rPr>
        <w:t xml:space="preserve"> </w:t>
      </w:r>
      <w:r>
        <w:t>participants</w:t>
      </w:r>
      <w:r>
        <w:rPr>
          <w:spacing w:val="-1"/>
        </w:rPr>
        <w:t xml:space="preserve"> </w:t>
      </w:r>
      <w:r>
        <w:t>or</w:t>
      </w:r>
      <w:r>
        <w:rPr>
          <w:spacing w:val="-1"/>
        </w:rPr>
        <w:t xml:space="preserve"> </w:t>
      </w:r>
      <w:r>
        <w:t>over</w:t>
      </w:r>
      <w:r>
        <w:rPr>
          <w:spacing w:val="-1"/>
        </w:rPr>
        <w:t xml:space="preserve"> </w:t>
      </w:r>
      <w:r>
        <w:t>the</w:t>
      </w:r>
      <w:r>
        <w:rPr>
          <w:spacing w:val="-1"/>
        </w:rPr>
        <w:t xml:space="preserve"> </w:t>
      </w:r>
      <w:r>
        <w:t>average</w:t>
      </w:r>
      <w:r>
        <w:rPr>
          <w:spacing w:val="-1"/>
        </w:rPr>
        <w:t xml:space="preserve"> </w:t>
      </w:r>
      <w:r>
        <w:t>remaining</w:t>
      </w:r>
      <w:r>
        <w:rPr>
          <w:spacing w:val="-1"/>
        </w:rPr>
        <w:t xml:space="preserve"> </w:t>
      </w:r>
      <w:r>
        <w:t>service</w:t>
      </w:r>
      <w:r>
        <w:rPr>
          <w:spacing w:val="-1"/>
        </w:rPr>
        <w:t xml:space="preserve"> </w:t>
      </w:r>
      <w:r>
        <w:t>period</w:t>
      </w:r>
      <w:r>
        <w:rPr>
          <w:spacing w:val="-1"/>
        </w:rPr>
        <w:t xml:space="preserve"> </w:t>
      </w:r>
      <w:r>
        <w:t>of</w:t>
      </w:r>
      <w:r>
        <w:rPr>
          <w:spacing w:val="-1"/>
        </w:rPr>
        <w:t xml:space="preserve"> </w:t>
      </w:r>
      <w:r>
        <w:t>plan participants, subject to certain thresholds.</w:t>
      </w:r>
    </w:p>
    <w:p w14:paraId="750884AA" w14:textId="77777777" w:rsidR="00AE2255" w:rsidRDefault="00AE2255">
      <w:pPr>
        <w:pStyle w:val="BodyText"/>
        <w:spacing w:before="10"/>
        <w:rPr>
          <w:sz w:val="19"/>
        </w:rPr>
      </w:pPr>
    </w:p>
    <w:p w14:paraId="62D654EF" w14:textId="77777777" w:rsidR="00AE2255" w:rsidRDefault="00000000">
      <w:pPr>
        <w:pStyle w:val="BodyText"/>
        <w:spacing w:after="26" w:line="232" w:lineRule="auto"/>
        <w:ind w:left="610" w:right="430" w:firstLine="360"/>
      </w:pPr>
      <w:r>
        <w:t xml:space="preserve">The following table provides the </w:t>
      </w:r>
      <w:proofErr w:type="gramStart"/>
      <w:r>
        <w:t>amount</w:t>
      </w:r>
      <w:proofErr w:type="gramEnd"/>
      <w:r>
        <w:t xml:space="preserve"> of actuarial gains or losses and prior service costs or credits recognized in accumulated</w:t>
      </w:r>
      <w:r>
        <w:rPr>
          <w:spacing w:val="-3"/>
        </w:rPr>
        <w:t xml:space="preserve"> </w:t>
      </w:r>
      <w:r>
        <w:t>other</w:t>
      </w:r>
      <w:r>
        <w:rPr>
          <w:spacing w:val="-3"/>
        </w:rPr>
        <w:t xml:space="preserve"> </w:t>
      </w:r>
      <w:r>
        <w:t>comprehensive</w:t>
      </w:r>
      <w:r>
        <w:rPr>
          <w:spacing w:val="-4"/>
        </w:rPr>
        <w:t xml:space="preserve"> </w:t>
      </w:r>
      <w:r>
        <w:t>loss</w:t>
      </w:r>
      <w:r>
        <w:rPr>
          <w:spacing w:val="-4"/>
        </w:rPr>
        <w:t xml:space="preserve"> </w:t>
      </w:r>
      <w:r>
        <w:t>related</w:t>
      </w:r>
      <w:r>
        <w:rPr>
          <w:spacing w:val="-3"/>
        </w:rPr>
        <w:t xml:space="preserve"> </w:t>
      </w:r>
      <w:r>
        <w:t>to</w:t>
      </w:r>
      <w:r>
        <w:rPr>
          <w:spacing w:val="-3"/>
        </w:rPr>
        <w:t xml:space="preserve"> </w:t>
      </w:r>
      <w:r>
        <w:t>qualified</w:t>
      </w:r>
      <w:r>
        <w:rPr>
          <w:spacing w:val="-3"/>
        </w:rPr>
        <w:t xml:space="preserve"> </w:t>
      </w:r>
      <w:r>
        <w:t>defined</w:t>
      </w:r>
      <w:r>
        <w:rPr>
          <w:spacing w:val="-3"/>
        </w:rPr>
        <w:t xml:space="preserve"> </w:t>
      </w:r>
      <w:r>
        <w:t>benefit</w:t>
      </w:r>
      <w:r>
        <w:rPr>
          <w:spacing w:val="-4"/>
        </w:rPr>
        <w:t xml:space="preserve"> </w:t>
      </w:r>
      <w:r>
        <w:t>pension</w:t>
      </w:r>
      <w:r>
        <w:rPr>
          <w:spacing w:val="-3"/>
        </w:rPr>
        <w:t xml:space="preserve"> </w:t>
      </w:r>
      <w:r>
        <w:t>plans</w:t>
      </w:r>
      <w:r>
        <w:rPr>
          <w:spacing w:val="-4"/>
        </w:rPr>
        <w:t xml:space="preserve"> </w:t>
      </w:r>
      <w:r>
        <w:t>and</w:t>
      </w:r>
      <w:r>
        <w:rPr>
          <w:spacing w:val="-3"/>
        </w:rPr>
        <w:t xml:space="preserve"> </w:t>
      </w:r>
      <w:r>
        <w:t>retiree</w:t>
      </w:r>
      <w:r>
        <w:rPr>
          <w:spacing w:val="-4"/>
        </w:rPr>
        <w:t xml:space="preserve"> </w:t>
      </w:r>
      <w:r>
        <w:t>medical</w:t>
      </w:r>
      <w:r>
        <w:rPr>
          <w:spacing w:val="-4"/>
        </w:rPr>
        <w:t xml:space="preserve"> </w:t>
      </w:r>
      <w:r>
        <w:t>and</w:t>
      </w:r>
      <w:r>
        <w:rPr>
          <w:spacing w:val="-3"/>
        </w:rPr>
        <w:t xml:space="preserve"> </w:t>
      </w:r>
      <w:r>
        <w:t>life</w:t>
      </w:r>
      <w:r>
        <w:rPr>
          <w:spacing w:val="-4"/>
        </w:rPr>
        <w:t xml:space="preserve"> </w:t>
      </w:r>
      <w:r>
        <w:t>insurance plans at December 31 (in millions):</w:t>
      </w:r>
    </w:p>
    <w:tbl>
      <w:tblPr>
        <w:tblW w:w="0" w:type="auto"/>
        <w:tblInd w:w="617" w:type="dxa"/>
        <w:tblLayout w:type="fixed"/>
        <w:tblCellMar>
          <w:left w:w="0" w:type="dxa"/>
          <w:right w:w="0" w:type="dxa"/>
        </w:tblCellMar>
        <w:tblLook w:val="01E0" w:firstRow="1" w:lastRow="1" w:firstColumn="1" w:lastColumn="1" w:noHBand="0" w:noVBand="0"/>
      </w:tblPr>
      <w:tblGrid>
        <w:gridCol w:w="5642"/>
        <w:gridCol w:w="1210"/>
        <w:gridCol w:w="1174"/>
        <w:gridCol w:w="195"/>
        <w:gridCol w:w="998"/>
        <w:gridCol w:w="998"/>
      </w:tblGrid>
      <w:tr w:rsidR="00AE2255" w14:paraId="683D3496" w14:textId="77777777">
        <w:trPr>
          <w:trHeight w:val="575"/>
        </w:trPr>
        <w:tc>
          <w:tcPr>
            <w:tcW w:w="8026" w:type="dxa"/>
            <w:gridSpan w:val="3"/>
            <w:vMerge w:val="restart"/>
            <w:tcBorders>
              <w:bottom w:val="single" w:sz="8" w:space="0" w:color="000000"/>
              <w:right w:val="single" w:sz="8" w:space="0" w:color="000000"/>
            </w:tcBorders>
          </w:tcPr>
          <w:p w14:paraId="5385334F" w14:textId="77777777" w:rsidR="00AE2255" w:rsidRDefault="00000000">
            <w:pPr>
              <w:pStyle w:val="TableParagraph"/>
              <w:spacing w:before="149" w:after="26" w:line="208" w:lineRule="auto"/>
              <w:ind w:left="5910" w:firstLine="138"/>
              <w:jc w:val="left"/>
              <w:rPr>
                <w:b/>
                <w:sz w:val="20"/>
              </w:rPr>
            </w:pPr>
            <w:r>
              <w:rPr>
                <w:b/>
                <w:sz w:val="20"/>
              </w:rPr>
              <w:t>Qualified Defined Benefit</w:t>
            </w:r>
            <w:r>
              <w:rPr>
                <w:b/>
                <w:spacing w:val="-8"/>
                <w:sz w:val="20"/>
              </w:rPr>
              <w:t xml:space="preserve"> </w:t>
            </w:r>
            <w:r>
              <w:rPr>
                <w:b/>
                <w:sz w:val="20"/>
              </w:rPr>
              <w:t>Pension</w:t>
            </w:r>
            <w:r>
              <w:rPr>
                <w:b/>
                <w:spacing w:val="-5"/>
                <w:sz w:val="20"/>
              </w:rPr>
              <w:t xml:space="preserve"> </w:t>
            </w:r>
            <w:r>
              <w:rPr>
                <w:b/>
                <w:spacing w:val="-4"/>
                <w:sz w:val="20"/>
              </w:rPr>
              <w:t>Plans</w:t>
            </w:r>
          </w:p>
          <w:p w14:paraId="380E396A" w14:textId="77777777" w:rsidR="00AE2255" w:rsidRDefault="00000000">
            <w:pPr>
              <w:pStyle w:val="TableParagraph"/>
              <w:spacing w:before="0" w:line="20" w:lineRule="exact"/>
              <w:ind w:left="5825"/>
              <w:jc w:val="left"/>
              <w:rPr>
                <w:sz w:val="2"/>
              </w:rPr>
            </w:pPr>
            <w:r>
              <w:rPr>
                <w:sz w:val="2"/>
              </w:rPr>
            </w:r>
            <w:r>
              <w:rPr>
                <w:sz w:val="2"/>
              </w:rPr>
              <w:pict w14:anchorId="6D20B7ED">
                <v:group id="docshapegroup51" o:spid="_x0000_s2165" style="width:99.75pt;height:1pt;mso-position-horizontal-relative:char;mso-position-vertical-relative:line" coordsize="1995,20">
                  <v:shape id="docshape52" o:spid="_x0000_s2167" style="position:absolute;top:10;width:1995;height:2" coordorigin=",10" coordsize="1995,0" path="m1995,10l,10e" fillcolor="black" stroked="f">
                    <v:fill opacity="0"/>
                    <v:path arrowok="t"/>
                  </v:shape>
                  <v:line id="_x0000_s2166" style="position:absolute" from="0,10" to="1995,10" strokeweight="1pt"/>
                  <w10:wrap type="none"/>
                  <w10:anchorlock/>
                </v:group>
              </w:pict>
            </w:r>
          </w:p>
          <w:p w14:paraId="14BD5793" w14:textId="77777777" w:rsidR="00AE2255" w:rsidRDefault="00000000">
            <w:pPr>
              <w:pStyle w:val="TableParagraph"/>
              <w:tabs>
                <w:tab w:val="left" w:pos="7377"/>
              </w:tabs>
              <w:spacing w:before="15" w:line="230" w:lineRule="exact"/>
              <w:ind w:left="6282"/>
              <w:jc w:val="left"/>
              <w:rPr>
                <w:b/>
                <w:sz w:val="20"/>
              </w:rPr>
            </w:pPr>
            <w:r>
              <w:rPr>
                <w:b/>
                <w:spacing w:val="-4"/>
                <w:sz w:val="20"/>
              </w:rPr>
              <w:t>2022</w:t>
            </w:r>
            <w:r>
              <w:rPr>
                <w:b/>
                <w:sz w:val="20"/>
              </w:rPr>
              <w:tab/>
            </w:r>
            <w:r>
              <w:rPr>
                <w:b/>
                <w:spacing w:val="-4"/>
                <w:sz w:val="20"/>
              </w:rPr>
              <w:t>2021</w:t>
            </w:r>
          </w:p>
        </w:tc>
        <w:tc>
          <w:tcPr>
            <w:tcW w:w="195" w:type="dxa"/>
            <w:vMerge w:val="restart"/>
            <w:tcBorders>
              <w:left w:val="single" w:sz="8" w:space="0" w:color="000000"/>
              <w:bottom w:val="single" w:sz="8" w:space="0" w:color="000000"/>
            </w:tcBorders>
          </w:tcPr>
          <w:p w14:paraId="3ED5617E" w14:textId="77777777" w:rsidR="00AE2255" w:rsidRDefault="00AE2255">
            <w:pPr>
              <w:pStyle w:val="TableParagraph"/>
              <w:spacing w:before="0"/>
              <w:jc w:val="left"/>
              <w:rPr>
                <w:sz w:val="20"/>
              </w:rPr>
            </w:pPr>
          </w:p>
        </w:tc>
        <w:tc>
          <w:tcPr>
            <w:tcW w:w="1996" w:type="dxa"/>
            <w:gridSpan w:val="2"/>
            <w:tcBorders>
              <w:bottom w:val="single" w:sz="8" w:space="0" w:color="000000"/>
            </w:tcBorders>
          </w:tcPr>
          <w:p w14:paraId="1B09F65E" w14:textId="77777777" w:rsidR="00AE2255" w:rsidRDefault="00000000">
            <w:pPr>
              <w:pStyle w:val="TableParagraph"/>
              <w:spacing w:before="149" w:line="208" w:lineRule="auto"/>
              <w:ind w:left="113" w:firstLine="17"/>
              <w:jc w:val="left"/>
              <w:rPr>
                <w:b/>
                <w:sz w:val="20"/>
              </w:rPr>
            </w:pPr>
            <w:r>
              <w:rPr>
                <w:b/>
                <w:sz w:val="20"/>
              </w:rPr>
              <w:t>Retiree</w:t>
            </w:r>
            <w:r>
              <w:rPr>
                <w:b/>
                <w:spacing w:val="-11"/>
                <w:sz w:val="20"/>
              </w:rPr>
              <w:t xml:space="preserve"> </w:t>
            </w:r>
            <w:r>
              <w:rPr>
                <w:b/>
                <w:sz w:val="20"/>
              </w:rPr>
              <w:t>Medical</w:t>
            </w:r>
            <w:r>
              <w:rPr>
                <w:b/>
                <w:spacing w:val="-11"/>
                <w:sz w:val="20"/>
              </w:rPr>
              <w:t xml:space="preserve"> </w:t>
            </w:r>
            <w:r>
              <w:rPr>
                <w:b/>
                <w:sz w:val="20"/>
              </w:rPr>
              <w:t>and Life</w:t>
            </w:r>
            <w:r>
              <w:rPr>
                <w:b/>
                <w:spacing w:val="-8"/>
                <w:sz w:val="20"/>
              </w:rPr>
              <w:t xml:space="preserve"> </w:t>
            </w:r>
            <w:r>
              <w:rPr>
                <w:b/>
                <w:sz w:val="20"/>
              </w:rPr>
              <w:t>Insurance</w:t>
            </w:r>
            <w:r>
              <w:rPr>
                <w:b/>
                <w:spacing w:val="-5"/>
                <w:sz w:val="20"/>
              </w:rPr>
              <w:t xml:space="preserve"> </w:t>
            </w:r>
            <w:r>
              <w:rPr>
                <w:b/>
                <w:spacing w:val="-4"/>
                <w:sz w:val="20"/>
              </w:rPr>
              <w:t>Plans</w:t>
            </w:r>
          </w:p>
        </w:tc>
      </w:tr>
      <w:tr w:rsidR="00AE2255" w14:paraId="42EE5AF2" w14:textId="77777777">
        <w:trPr>
          <w:trHeight w:val="265"/>
        </w:trPr>
        <w:tc>
          <w:tcPr>
            <w:tcW w:w="8026" w:type="dxa"/>
            <w:gridSpan w:val="3"/>
            <w:vMerge/>
            <w:tcBorders>
              <w:top w:val="nil"/>
              <w:bottom w:val="single" w:sz="8" w:space="0" w:color="000000"/>
              <w:right w:val="single" w:sz="8" w:space="0" w:color="000000"/>
            </w:tcBorders>
          </w:tcPr>
          <w:p w14:paraId="0F17406D"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0A0F5896" w14:textId="77777777" w:rsidR="00AE2255" w:rsidRDefault="00AE2255">
            <w:pPr>
              <w:rPr>
                <w:sz w:val="2"/>
                <w:szCs w:val="2"/>
              </w:rPr>
            </w:pPr>
          </w:p>
        </w:tc>
        <w:tc>
          <w:tcPr>
            <w:tcW w:w="998" w:type="dxa"/>
            <w:tcBorders>
              <w:top w:val="single" w:sz="8" w:space="0" w:color="000000"/>
              <w:bottom w:val="single" w:sz="8" w:space="0" w:color="000000"/>
            </w:tcBorders>
          </w:tcPr>
          <w:p w14:paraId="09C634CF" w14:textId="77777777" w:rsidR="00AE2255" w:rsidRDefault="00000000">
            <w:pPr>
              <w:pStyle w:val="TableParagraph"/>
              <w:spacing w:before="15" w:line="230" w:lineRule="exact"/>
              <w:ind w:left="446"/>
              <w:jc w:val="left"/>
              <w:rPr>
                <w:b/>
                <w:sz w:val="20"/>
              </w:rPr>
            </w:pPr>
            <w:r>
              <w:rPr>
                <w:b/>
                <w:spacing w:val="-4"/>
                <w:sz w:val="20"/>
              </w:rPr>
              <w:t>2022</w:t>
            </w:r>
          </w:p>
        </w:tc>
        <w:tc>
          <w:tcPr>
            <w:tcW w:w="998" w:type="dxa"/>
            <w:tcBorders>
              <w:top w:val="single" w:sz="8" w:space="0" w:color="000000"/>
              <w:bottom w:val="single" w:sz="8" w:space="0" w:color="000000"/>
            </w:tcBorders>
          </w:tcPr>
          <w:p w14:paraId="13E49329" w14:textId="77777777" w:rsidR="00AE2255" w:rsidRDefault="00000000">
            <w:pPr>
              <w:pStyle w:val="TableParagraph"/>
              <w:spacing w:before="15" w:line="230" w:lineRule="exact"/>
              <w:ind w:right="52"/>
              <w:rPr>
                <w:b/>
                <w:sz w:val="20"/>
              </w:rPr>
            </w:pPr>
            <w:r>
              <w:rPr>
                <w:b/>
                <w:spacing w:val="-4"/>
                <w:sz w:val="20"/>
              </w:rPr>
              <w:t>2021</w:t>
            </w:r>
          </w:p>
        </w:tc>
      </w:tr>
      <w:tr w:rsidR="00AE2255" w14:paraId="3356FB13" w14:textId="77777777">
        <w:trPr>
          <w:trHeight w:val="275"/>
        </w:trPr>
        <w:tc>
          <w:tcPr>
            <w:tcW w:w="8026" w:type="dxa"/>
            <w:gridSpan w:val="3"/>
            <w:tcBorders>
              <w:top w:val="single" w:sz="8" w:space="0" w:color="000000"/>
              <w:right w:val="single" w:sz="8" w:space="0" w:color="000000"/>
            </w:tcBorders>
            <w:shd w:val="clear" w:color="auto" w:fill="CCEDFF"/>
          </w:tcPr>
          <w:p w14:paraId="4D23C197" w14:textId="77777777" w:rsidR="00AE2255" w:rsidRDefault="00000000">
            <w:pPr>
              <w:pStyle w:val="TableParagraph"/>
              <w:spacing w:before="17"/>
              <w:ind w:left="52"/>
              <w:jc w:val="left"/>
              <w:rPr>
                <w:sz w:val="20"/>
              </w:rPr>
            </w:pPr>
            <w:r>
              <w:rPr>
                <w:sz w:val="20"/>
              </w:rPr>
              <w:t>Accumulated</w:t>
            </w:r>
            <w:r>
              <w:rPr>
                <w:spacing w:val="-7"/>
                <w:sz w:val="20"/>
              </w:rPr>
              <w:t xml:space="preserve"> </w:t>
            </w:r>
            <w:r>
              <w:rPr>
                <w:sz w:val="20"/>
              </w:rPr>
              <w:t>other</w:t>
            </w:r>
            <w:r>
              <w:rPr>
                <w:spacing w:val="-5"/>
                <w:sz w:val="20"/>
              </w:rPr>
              <w:t xml:space="preserve"> </w:t>
            </w:r>
            <w:r>
              <w:rPr>
                <w:sz w:val="20"/>
              </w:rPr>
              <w:t>comprehensive</w:t>
            </w:r>
            <w:r>
              <w:rPr>
                <w:spacing w:val="-5"/>
                <w:sz w:val="20"/>
              </w:rPr>
              <w:t xml:space="preserve"> </w:t>
            </w:r>
            <w:r>
              <w:rPr>
                <w:sz w:val="20"/>
              </w:rPr>
              <w:t>(loss)</w:t>
            </w:r>
            <w:r>
              <w:rPr>
                <w:spacing w:val="-4"/>
                <w:sz w:val="20"/>
              </w:rPr>
              <w:t xml:space="preserve"> </w:t>
            </w:r>
            <w:r>
              <w:rPr>
                <w:sz w:val="20"/>
              </w:rPr>
              <w:t>pre-tax</w:t>
            </w:r>
            <w:r>
              <w:rPr>
                <w:spacing w:val="-5"/>
                <w:sz w:val="20"/>
              </w:rPr>
              <w:t xml:space="preserve"> </w:t>
            </w:r>
            <w:r>
              <w:rPr>
                <w:sz w:val="20"/>
              </w:rPr>
              <w:t>related</w:t>
            </w:r>
            <w:r>
              <w:rPr>
                <w:spacing w:val="-4"/>
                <w:sz w:val="20"/>
              </w:rPr>
              <w:t xml:space="preserve"> </w:t>
            </w:r>
            <w:r>
              <w:rPr>
                <w:spacing w:val="-5"/>
                <w:sz w:val="20"/>
              </w:rPr>
              <w:t>to:</w:t>
            </w:r>
          </w:p>
        </w:tc>
        <w:tc>
          <w:tcPr>
            <w:tcW w:w="2191" w:type="dxa"/>
            <w:gridSpan w:val="3"/>
            <w:tcBorders>
              <w:top w:val="single" w:sz="8" w:space="0" w:color="000000"/>
              <w:left w:val="single" w:sz="8" w:space="0" w:color="000000"/>
            </w:tcBorders>
            <w:shd w:val="clear" w:color="auto" w:fill="CCEDFF"/>
          </w:tcPr>
          <w:p w14:paraId="6FC6A93A" w14:textId="77777777" w:rsidR="00AE2255" w:rsidRDefault="00AE2255">
            <w:pPr>
              <w:pStyle w:val="TableParagraph"/>
              <w:spacing w:before="0"/>
              <w:jc w:val="left"/>
              <w:rPr>
                <w:sz w:val="20"/>
              </w:rPr>
            </w:pPr>
          </w:p>
        </w:tc>
      </w:tr>
      <w:tr w:rsidR="00AE2255" w14:paraId="455E9D03" w14:textId="77777777">
        <w:trPr>
          <w:trHeight w:val="285"/>
        </w:trPr>
        <w:tc>
          <w:tcPr>
            <w:tcW w:w="5642" w:type="dxa"/>
          </w:tcPr>
          <w:p w14:paraId="2AEADC0C" w14:textId="77777777" w:rsidR="00AE2255" w:rsidRDefault="00000000">
            <w:pPr>
              <w:pStyle w:val="TableParagraph"/>
              <w:spacing w:before="27"/>
              <w:ind w:left="292"/>
              <w:jc w:val="left"/>
              <w:rPr>
                <w:sz w:val="20"/>
              </w:rPr>
            </w:pPr>
            <w:r>
              <w:rPr>
                <w:sz w:val="20"/>
              </w:rPr>
              <w:t>Net</w:t>
            </w:r>
            <w:r>
              <w:rPr>
                <w:spacing w:val="-5"/>
                <w:sz w:val="20"/>
              </w:rPr>
              <w:t xml:space="preserve"> </w:t>
            </w:r>
            <w:r>
              <w:rPr>
                <w:sz w:val="20"/>
              </w:rPr>
              <w:t>actuarial</w:t>
            </w:r>
            <w:r>
              <w:rPr>
                <w:spacing w:val="-5"/>
                <w:sz w:val="20"/>
              </w:rPr>
              <w:t xml:space="preserve"> </w:t>
            </w:r>
            <w:r>
              <w:rPr>
                <w:spacing w:val="-2"/>
                <w:sz w:val="20"/>
              </w:rPr>
              <w:t>(losses)</w:t>
            </w:r>
          </w:p>
        </w:tc>
        <w:tc>
          <w:tcPr>
            <w:tcW w:w="1210" w:type="dxa"/>
          </w:tcPr>
          <w:p w14:paraId="0F089187" w14:textId="77777777" w:rsidR="00AE2255" w:rsidRDefault="00000000">
            <w:pPr>
              <w:pStyle w:val="TableParagraph"/>
              <w:ind w:right="131"/>
              <w:rPr>
                <w:b/>
                <w:sz w:val="20"/>
              </w:rPr>
            </w:pPr>
            <w:r>
              <w:rPr>
                <w:b/>
                <w:sz w:val="20"/>
              </w:rPr>
              <w:t>$</w:t>
            </w:r>
            <w:r>
              <w:rPr>
                <w:b/>
                <w:spacing w:val="-1"/>
                <w:sz w:val="20"/>
              </w:rPr>
              <w:t xml:space="preserve"> </w:t>
            </w:r>
            <w:r>
              <w:rPr>
                <w:b/>
                <w:spacing w:val="-2"/>
                <w:sz w:val="20"/>
              </w:rPr>
              <w:t>(10,287)</w:t>
            </w:r>
          </w:p>
        </w:tc>
        <w:tc>
          <w:tcPr>
            <w:tcW w:w="1174" w:type="dxa"/>
            <w:tcBorders>
              <w:right w:val="single" w:sz="8" w:space="0" w:color="000000"/>
            </w:tcBorders>
          </w:tcPr>
          <w:p w14:paraId="56C3A15D" w14:textId="77777777" w:rsidR="00AE2255" w:rsidRDefault="00000000">
            <w:pPr>
              <w:pStyle w:val="TableParagraph"/>
              <w:ind w:left="130"/>
              <w:jc w:val="left"/>
              <w:rPr>
                <w:sz w:val="20"/>
              </w:rPr>
            </w:pPr>
            <w:r>
              <w:rPr>
                <w:sz w:val="20"/>
              </w:rPr>
              <w:t>$</w:t>
            </w:r>
            <w:r>
              <w:rPr>
                <w:spacing w:val="-1"/>
                <w:sz w:val="20"/>
              </w:rPr>
              <w:t xml:space="preserve"> </w:t>
            </w:r>
            <w:r>
              <w:rPr>
                <w:spacing w:val="-2"/>
                <w:sz w:val="20"/>
              </w:rPr>
              <w:t>(14,675)</w:t>
            </w:r>
          </w:p>
        </w:tc>
        <w:tc>
          <w:tcPr>
            <w:tcW w:w="1193" w:type="dxa"/>
            <w:gridSpan w:val="2"/>
            <w:tcBorders>
              <w:left w:val="single" w:sz="8" w:space="0" w:color="000000"/>
            </w:tcBorders>
          </w:tcPr>
          <w:p w14:paraId="2A1244E7" w14:textId="77777777" w:rsidR="00AE2255" w:rsidRDefault="00000000">
            <w:pPr>
              <w:pStyle w:val="TableParagraph"/>
              <w:tabs>
                <w:tab w:val="left" w:pos="702"/>
              </w:tabs>
              <w:ind w:left="236"/>
              <w:jc w:val="left"/>
              <w:rPr>
                <w:b/>
                <w:sz w:val="20"/>
              </w:rPr>
            </w:pPr>
            <w:r>
              <w:rPr>
                <w:b/>
                <w:spacing w:val="-10"/>
                <w:sz w:val="20"/>
              </w:rPr>
              <w:t>$</w:t>
            </w:r>
            <w:r>
              <w:rPr>
                <w:b/>
                <w:sz w:val="20"/>
              </w:rPr>
              <w:tab/>
            </w:r>
            <w:r>
              <w:rPr>
                <w:b/>
                <w:spacing w:val="-5"/>
                <w:sz w:val="20"/>
              </w:rPr>
              <w:t>387</w:t>
            </w:r>
          </w:p>
        </w:tc>
        <w:tc>
          <w:tcPr>
            <w:tcW w:w="998" w:type="dxa"/>
          </w:tcPr>
          <w:p w14:paraId="19EA1CC6" w14:textId="77777777" w:rsidR="00AE2255" w:rsidRDefault="00000000">
            <w:pPr>
              <w:pStyle w:val="TableParagraph"/>
              <w:tabs>
                <w:tab w:val="left" w:pos="465"/>
              </w:tabs>
              <w:ind w:right="81"/>
              <w:rPr>
                <w:sz w:val="20"/>
              </w:rPr>
            </w:pPr>
            <w:r>
              <w:rPr>
                <w:spacing w:val="-10"/>
                <w:sz w:val="20"/>
              </w:rPr>
              <w:t>$</w:t>
            </w:r>
            <w:r>
              <w:rPr>
                <w:sz w:val="20"/>
              </w:rPr>
              <w:tab/>
            </w:r>
            <w:r>
              <w:rPr>
                <w:spacing w:val="-5"/>
                <w:sz w:val="20"/>
              </w:rPr>
              <w:t>554</w:t>
            </w:r>
          </w:p>
        </w:tc>
      </w:tr>
      <w:tr w:rsidR="00AE2255" w14:paraId="22D2CF4D" w14:textId="77777777">
        <w:trPr>
          <w:trHeight w:val="280"/>
        </w:trPr>
        <w:tc>
          <w:tcPr>
            <w:tcW w:w="5642" w:type="dxa"/>
            <w:tcBorders>
              <w:bottom w:val="single" w:sz="4" w:space="0" w:color="000000"/>
            </w:tcBorders>
            <w:shd w:val="clear" w:color="auto" w:fill="CCEDFF"/>
          </w:tcPr>
          <w:p w14:paraId="59BA680F" w14:textId="77777777" w:rsidR="00AE2255" w:rsidRDefault="00000000">
            <w:pPr>
              <w:pStyle w:val="TableParagraph"/>
              <w:spacing w:before="27"/>
              <w:ind w:left="292"/>
              <w:jc w:val="left"/>
              <w:rPr>
                <w:sz w:val="20"/>
              </w:rPr>
            </w:pPr>
            <w:r>
              <w:rPr>
                <w:sz w:val="20"/>
              </w:rPr>
              <w:t>Prior</w:t>
            </w:r>
            <w:r>
              <w:rPr>
                <w:spacing w:val="-4"/>
                <w:sz w:val="20"/>
              </w:rPr>
              <w:t xml:space="preserve"> </w:t>
            </w:r>
            <w:r>
              <w:rPr>
                <w:sz w:val="20"/>
              </w:rPr>
              <w:t>service</w:t>
            </w:r>
            <w:r>
              <w:rPr>
                <w:spacing w:val="-4"/>
                <w:sz w:val="20"/>
              </w:rPr>
              <w:t xml:space="preserve"> </w:t>
            </w:r>
            <w:r>
              <w:rPr>
                <w:sz w:val="20"/>
              </w:rPr>
              <w:t>credit</w:t>
            </w:r>
            <w:r>
              <w:rPr>
                <w:spacing w:val="-3"/>
                <w:sz w:val="20"/>
              </w:rPr>
              <w:t xml:space="preserve"> </w:t>
            </w:r>
            <w:r>
              <w:rPr>
                <w:spacing w:val="-2"/>
                <w:sz w:val="20"/>
              </w:rPr>
              <w:t>(cost)</w:t>
            </w:r>
          </w:p>
        </w:tc>
        <w:tc>
          <w:tcPr>
            <w:tcW w:w="1210" w:type="dxa"/>
            <w:tcBorders>
              <w:bottom w:val="single" w:sz="4" w:space="0" w:color="000000"/>
            </w:tcBorders>
            <w:shd w:val="clear" w:color="auto" w:fill="CCEDFF"/>
          </w:tcPr>
          <w:p w14:paraId="5F36FDD6" w14:textId="77777777" w:rsidR="00AE2255" w:rsidRDefault="00000000">
            <w:pPr>
              <w:pStyle w:val="TableParagraph"/>
              <w:ind w:right="196"/>
              <w:rPr>
                <w:b/>
                <w:sz w:val="20"/>
              </w:rPr>
            </w:pPr>
            <w:r>
              <w:rPr>
                <w:b/>
                <w:spacing w:val="-5"/>
                <w:sz w:val="20"/>
              </w:rPr>
              <w:t>339</w:t>
            </w:r>
          </w:p>
        </w:tc>
        <w:tc>
          <w:tcPr>
            <w:tcW w:w="1174" w:type="dxa"/>
            <w:tcBorders>
              <w:bottom w:val="single" w:sz="4" w:space="0" w:color="000000"/>
              <w:right w:val="single" w:sz="8" w:space="0" w:color="000000"/>
            </w:tcBorders>
            <w:shd w:val="clear" w:color="auto" w:fill="CCEDFF"/>
          </w:tcPr>
          <w:p w14:paraId="5BB4D448" w14:textId="77777777" w:rsidR="00AE2255" w:rsidRDefault="00000000">
            <w:pPr>
              <w:pStyle w:val="TableParagraph"/>
              <w:ind w:left="596"/>
              <w:jc w:val="left"/>
              <w:rPr>
                <w:sz w:val="20"/>
              </w:rPr>
            </w:pPr>
            <w:r>
              <w:rPr>
                <w:spacing w:val="-5"/>
                <w:sz w:val="20"/>
              </w:rPr>
              <w:t>884</w:t>
            </w:r>
          </w:p>
        </w:tc>
        <w:tc>
          <w:tcPr>
            <w:tcW w:w="2191" w:type="dxa"/>
            <w:gridSpan w:val="3"/>
            <w:tcBorders>
              <w:left w:val="single" w:sz="8" w:space="0" w:color="000000"/>
              <w:bottom w:val="single" w:sz="4" w:space="0" w:color="000000"/>
            </w:tcBorders>
            <w:shd w:val="clear" w:color="auto" w:fill="CCEDFF"/>
          </w:tcPr>
          <w:p w14:paraId="4340AA51" w14:textId="77777777" w:rsidR="00AE2255" w:rsidRDefault="00000000">
            <w:pPr>
              <w:pStyle w:val="TableParagraph"/>
              <w:tabs>
                <w:tab w:val="left" w:pos="1830"/>
              </w:tabs>
              <w:ind w:left="735"/>
              <w:jc w:val="left"/>
              <w:rPr>
                <w:sz w:val="20"/>
              </w:rPr>
            </w:pPr>
            <w:r>
              <w:rPr>
                <w:b/>
                <w:spacing w:val="-4"/>
                <w:sz w:val="20"/>
              </w:rPr>
              <w:t>(10)</w:t>
            </w:r>
            <w:r>
              <w:rPr>
                <w:b/>
                <w:sz w:val="20"/>
              </w:rPr>
              <w:tab/>
            </w:r>
            <w:r>
              <w:rPr>
                <w:spacing w:val="-4"/>
                <w:sz w:val="20"/>
              </w:rPr>
              <w:t>(36)</w:t>
            </w:r>
          </w:p>
        </w:tc>
      </w:tr>
      <w:tr w:rsidR="00AE2255" w14:paraId="1C086AB9" w14:textId="77777777">
        <w:trPr>
          <w:trHeight w:val="280"/>
        </w:trPr>
        <w:tc>
          <w:tcPr>
            <w:tcW w:w="5642" w:type="dxa"/>
            <w:tcBorders>
              <w:top w:val="single" w:sz="4" w:space="0" w:color="000000"/>
            </w:tcBorders>
          </w:tcPr>
          <w:p w14:paraId="0C6789B4" w14:textId="77777777" w:rsidR="00AE2255" w:rsidRDefault="00000000">
            <w:pPr>
              <w:pStyle w:val="TableParagraph"/>
              <w:spacing w:before="20"/>
              <w:ind w:left="292"/>
              <w:jc w:val="left"/>
              <w:rPr>
                <w:sz w:val="20"/>
              </w:rPr>
            </w:pPr>
            <w:r>
              <w:rPr>
                <w:spacing w:val="-2"/>
                <w:sz w:val="20"/>
              </w:rPr>
              <w:t>Total</w:t>
            </w:r>
          </w:p>
        </w:tc>
        <w:tc>
          <w:tcPr>
            <w:tcW w:w="1210" w:type="dxa"/>
            <w:tcBorders>
              <w:top w:val="single" w:sz="4" w:space="0" w:color="000000"/>
            </w:tcBorders>
          </w:tcPr>
          <w:p w14:paraId="7B1A71DD" w14:textId="77777777" w:rsidR="00AE2255" w:rsidRDefault="00000000">
            <w:pPr>
              <w:pStyle w:val="TableParagraph"/>
              <w:spacing w:before="20"/>
              <w:ind w:right="131"/>
              <w:rPr>
                <w:b/>
                <w:sz w:val="20"/>
              </w:rPr>
            </w:pPr>
            <w:r>
              <w:rPr>
                <w:b/>
                <w:sz w:val="20"/>
              </w:rPr>
              <w:t>$</w:t>
            </w:r>
            <w:r>
              <w:rPr>
                <w:b/>
                <w:spacing w:val="74"/>
                <w:w w:val="150"/>
                <w:sz w:val="20"/>
              </w:rPr>
              <w:t xml:space="preserve"> </w:t>
            </w:r>
            <w:r>
              <w:rPr>
                <w:b/>
                <w:spacing w:val="-2"/>
                <w:sz w:val="20"/>
              </w:rPr>
              <w:t>(9,948)</w:t>
            </w:r>
          </w:p>
        </w:tc>
        <w:tc>
          <w:tcPr>
            <w:tcW w:w="1174" w:type="dxa"/>
            <w:tcBorders>
              <w:top w:val="single" w:sz="4" w:space="0" w:color="000000"/>
              <w:right w:val="single" w:sz="8" w:space="0" w:color="000000"/>
            </w:tcBorders>
          </w:tcPr>
          <w:p w14:paraId="408F2352" w14:textId="77777777" w:rsidR="00AE2255" w:rsidRDefault="00000000">
            <w:pPr>
              <w:pStyle w:val="TableParagraph"/>
              <w:spacing w:before="20"/>
              <w:ind w:left="130"/>
              <w:jc w:val="left"/>
              <w:rPr>
                <w:sz w:val="20"/>
              </w:rPr>
            </w:pPr>
            <w:r>
              <w:rPr>
                <w:sz w:val="20"/>
              </w:rPr>
              <w:t>$</w:t>
            </w:r>
            <w:r>
              <w:rPr>
                <w:spacing w:val="-1"/>
                <w:sz w:val="20"/>
              </w:rPr>
              <w:t xml:space="preserve"> </w:t>
            </w:r>
            <w:r>
              <w:rPr>
                <w:spacing w:val="-2"/>
                <w:sz w:val="20"/>
              </w:rPr>
              <w:t>(13,791)</w:t>
            </w:r>
          </w:p>
        </w:tc>
        <w:tc>
          <w:tcPr>
            <w:tcW w:w="1193" w:type="dxa"/>
            <w:gridSpan w:val="2"/>
            <w:tcBorders>
              <w:top w:val="single" w:sz="4" w:space="0" w:color="000000"/>
              <w:left w:val="single" w:sz="8" w:space="0" w:color="000000"/>
            </w:tcBorders>
          </w:tcPr>
          <w:p w14:paraId="4E4ADA54" w14:textId="77777777" w:rsidR="00AE2255" w:rsidRDefault="00000000">
            <w:pPr>
              <w:pStyle w:val="TableParagraph"/>
              <w:tabs>
                <w:tab w:val="left" w:pos="702"/>
              </w:tabs>
              <w:spacing w:before="20"/>
              <w:ind w:left="236"/>
              <w:jc w:val="left"/>
              <w:rPr>
                <w:b/>
                <w:sz w:val="20"/>
              </w:rPr>
            </w:pPr>
            <w:r>
              <w:rPr>
                <w:b/>
                <w:spacing w:val="-10"/>
                <w:sz w:val="20"/>
              </w:rPr>
              <w:t>$</w:t>
            </w:r>
            <w:r>
              <w:rPr>
                <w:b/>
                <w:sz w:val="20"/>
              </w:rPr>
              <w:tab/>
            </w:r>
            <w:r>
              <w:rPr>
                <w:b/>
                <w:spacing w:val="-5"/>
                <w:sz w:val="20"/>
              </w:rPr>
              <w:t>377</w:t>
            </w:r>
          </w:p>
        </w:tc>
        <w:tc>
          <w:tcPr>
            <w:tcW w:w="998" w:type="dxa"/>
            <w:tcBorders>
              <w:top w:val="single" w:sz="4" w:space="0" w:color="000000"/>
            </w:tcBorders>
          </w:tcPr>
          <w:p w14:paraId="28A6A4AE" w14:textId="77777777" w:rsidR="00AE2255" w:rsidRDefault="00000000">
            <w:pPr>
              <w:pStyle w:val="TableParagraph"/>
              <w:tabs>
                <w:tab w:val="left" w:pos="465"/>
              </w:tabs>
              <w:spacing w:before="20"/>
              <w:ind w:right="81"/>
              <w:rPr>
                <w:sz w:val="20"/>
              </w:rPr>
            </w:pPr>
            <w:r>
              <w:rPr>
                <w:spacing w:val="-10"/>
                <w:sz w:val="20"/>
              </w:rPr>
              <w:t>$</w:t>
            </w:r>
            <w:r>
              <w:rPr>
                <w:sz w:val="20"/>
              </w:rPr>
              <w:tab/>
            </w:r>
            <w:r>
              <w:rPr>
                <w:spacing w:val="-5"/>
                <w:sz w:val="20"/>
              </w:rPr>
              <w:t>518</w:t>
            </w:r>
          </w:p>
        </w:tc>
      </w:tr>
      <w:tr w:rsidR="00AE2255" w14:paraId="4CCD17EC" w14:textId="77777777">
        <w:trPr>
          <w:trHeight w:val="280"/>
        </w:trPr>
        <w:tc>
          <w:tcPr>
            <w:tcW w:w="5642" w:type="dxa"/>
            <w:tcBorders>
              <w:bottom w:val="single" w:sz="4" w:space="0" w:color="000000"/>
            </w:tcBorders>
            <w:shd w:val="clear" w:color="auto" w:fill="CCEDFF"/>
          </w:tcPr>
          <w:p w14:paraId="09F307F0" w14:textId="77777777" w:rsidR="00AE2255" w:rsidRDefault="00000000">
            <w:pPr>
              <w:pStyle w:val="TableParagraph"/>
              <w:ind w:left="52"/>
              <w:jc w:val="left"/>
              <w:rPr>
                <w:sz w:val="20"/>
              </w:rPr>
            </w:pPr>
            <w:r>
              <w:rPr>
                <w:sz w:val="20"/>
              </w:rPr>
              <w:t>Estimated</w:t>
            </w:r>
            <w:r>
              <w:rPr>
                <w:spacing w:val="-8"/>
                <w:sz w:val="20"/>
              </w:rPr>
              <w:t xml:space="preserve"> </w:t>
            </w:r>
            <w:r>
              <w:rPr>
                <w:spacing w:val="-5"/>
                <w:sz w:val="20"/>
              </w:rPr>
              <w:t>tax</w:t>
            </w:r>
          </w:p>
        </w:tc>
        <w:tc>
          <w:tcPr>
            <w:tcW w:w="1210" w:type="dxa"/>
            <w:tcBorders>
              <w:bottom w:val="single" w:sz="4" w:space="0" w:color="000000"/>
            </w:tcBorders>
            <w:shd w:val="clear" w:color="auto" w:fill="CCEDFF"/>
          </w:tcPr>
          <w:p w14:paraId="4B8435AA" w14:textId="77777777" w:rsidR="00AE2255" w:rsidRDefault="00000000">
            <w:pPr>
              <w:pStyle w:val="TableParagraph"/>
              <w:ind w:right="196"/>
              <w:rPr>
                <w:b/>
                <w:sz w:val="20"/>
              </w:rPr>
            </w:pPr>
            <w:r>
              <w:rPr>
                <w:b/>
                <w:spacing w:val="-2"/>
                <w:sz w:val="20"/>
              </w:rPr>
              <w:t>2,117</w:t>
            </w:r>
          </w:p>
        </w:tc>
        <w:tc>
          <w:tcPr>
            <w:tcW w:w="1174" w:type="dxa"/>
            <w:tcBorders>
              <w:bottom w:val="single" w:sz="4" w:space="0" w:color="000000"/>
              <w:right w:val="single" w:sz="8" w:space="0" w:color="000000"/>
            </w:tcBorders>
            <w:shd w:val="clear" w:color="auto" w:fill="CCEDFF"/>
          </w:tcPr>
          <w:p w14:paraId="2A0B8C6E" w14:textId="77777777" w:rsidR="00AE2255" w:rsidRDefault="00000000">
            <w:pPr>
              <w:pStyle w:val="TableParagraph"/>
              <w:ind w:left="446"/>
              <w:jc w:val="left"/>
              <w:rPr>
                <w:sz w:val="20"/>
              </w:rPr>
            </w:pPr>
            <w:r>
              <w:rPr>
                <w:spacing w:val="-2"/>
                <w:sz w:val="20"/>
              </w:rPr>
              <w:t>2,947</w:t>
            </w:r>
          </w:p>
        </w:tc>
        <w:tc>
          <w:tcPr>
            <w:tcW w:w="2191" w:type="dxa"/>
            <w:gridSpan w:val="3"/>
            <w:tcBorders>
              <w:left w:val="single" w:sz="8" w:space="0" w:color="000000"/>
              <w:bottom w:val="single" w:sz="4" w:space="0" w:color="000000"/>
            </w:tcBorders>
            <w:shd w:val="clear" w:color="auto" w:fill="CCEDFF"/>
          </w:tcPr>
          <w:p w14:paraId="1817315A" w14:textId="77777777" w:rsidR="00AE2255" w:rsidRDefault="00000000">
            <w:pPr>
              <w:pStyle w:val="TableParagraph"/>
              <w:tabs>
                <w:tab w:val="left" w:pos="1730"/>
              </w:tabs>
              <w:ind w:left="735"/>
              <w:jc w:val="left"/>
              <w:rPr>
                <w:sz w:val="20"/>
              </w:rPr>
            </w:pPr>
            <w:r>
              <w:rPr>
                <w:b/>
                <w:spacing w:val="-4"/>
                <w:sz w:val="20"/>
              </w:rPr>
              <w:t>(79)</w:t>
            </w:r>
            <w:r>
              <w:rPr>
                <w:b/>
                <w:sz w:val="20"/>
              </w:rPr>
              <w:tab/>
            </w:r>
            <w:r>
              <w:rPr>
                <w:spacing w:val="-2"/>
                <w:sz w:val="20"/>
              </w:rPr>
              <w:t>(110)</w:t>
            </w:r>
          </w:p>
        </w:tc>
      </w:tr>
      <w:tr w:rsidR="00AE2255" w14:paraId="7F629162" w14:textId="77777777">
        <w:trPr>
          <w:trHeight w:val="257"/>
        </w:trPr>
        <w:tc>
          <w:tcPr>
            <w:tcW w:w="5642" w:type="dxa"/>
            <w:tcBorders>
              <w:top w:val="single" w:sz="4" w:space="0" w:color="000000"/>
              <w:bottom w:val="single" w:sz="18" w:space="0" w:color="000000"/>
            </w:tcBorders>
          </w:tcPr>
          <w:p w14:paraId="731B847C" w14:textId="77777777" w:rsidR="00AE2255" w:rsidRDefault="00000000">
            <w:pPr>
              <w:pStyle w:val="TableParagraph"/>
              <w:spacing w:before="20" w:line="217" w:lineRule="exact"/>
              <w:ind w:left="52"/>
              <w:jc w:val="left"/>
              <w:rPr>
                <w:sz w:val="20"/>
              </w:rPr>
            </w:pPr>
            <w:r>
              <w:rPr>
                <w:sz w:val="20"/>
              </w:rPr>
              <w:t>Net</w:t>
            </w:r>
            <w:r>
              <w:rPr>
                <w:spacing w:val="-7"/>
                <w:sz w:val="20"/>
              </w:rPr>
              <w:t xml:space="preserve"> </w:t>
            </w:r>
            <w:r>
              <w:rPr>
                <w:sz w:val="20"/>
              </w:rPr>
              <w:t>amount</w:t>
            </w:r>
            <w:r>
              <w:rPr>
                <w:spacing w:val="-5"/>
                <w:sz w:val="20"/>
              </w:rPr>
              <w:t xml:space="preserve"> </w:t>
            </w:r>
            <w:r>
              <w:rPr>
                <w:sz w:val="20"/>
              </w:rPr>
              <w:t>recognized</w:t>
            </w:r>
            <w:r>
              <w:rPr>
                <w:spacing w:val="-4"/>
                <w:sz w:val="20"/>
              </w:rPr>
              <w:t xml:space="preserve"> </w:t>
            </w:r>
            <w:r>
              <w:rPr>
                <w:sz w:val="20"/>
              </w:rPr>
              <w:t>in</w:t>
            </w:r>
            <w:r>
              <w:rPr>
                <w:spacing w:val="-3"/>
                <w:sz w:val="20"/>
              </w:rPr>
              <w:t xml:space="preserve"> </w:t>
            </w:r>
            <w:r>
              <w:rPr>
                <w:sz w:val="20"/>
              </w:rPr>
              <w:t>accumulated</w:t>
            </w:r>
            <w:r>
              <w:rPr>
                <w:spacing w:val="-4"/>
                <w:sz w:val="20"/>
              </w:rPr>
              <w:t xml:space="preserve"> </w:t>
            </w:r>
            <w:r>
              <w:rPr>
                <w:sz w:val="20"/>
              </w:rPr>
              <w:t>other</w:t>
            </w:r>
            <w:r>
              <w:rPr>
                <w:spacing w:val="-4"/>
                <w:sz w:val="20"/>
              </w:rPr>
              <w:t xml:space="preserve"> </w:t>
            </w:r>
            <w:r>
              <w:rPr>
                <w:sz w:val="20"/>
              </w:rPr>
              <w:t>comprehensive</w:t>
            </w:r>
            <w:r>
              <w:rPr>
                <w:spacing w:val="-4"/>
                <w:sz w:val="20"/>
              </w:rPr>
              <w:t xml:space="preserve"> </w:t>
            </w:r>
            <w:r>
              <w:rPr>
                <w:spacing w:val="-2"/>
                <w:sz w:val="20"/>
              </w:rPr>
              <w:t>(loss)</w:t>
            </w:r>
          </w:p>
        </w:tc>
        <w:tc>
          <w:tcPr>
            <w:tcW w:w="1210" w:type="dxa"/>
            <w:tcBorders>
              <w:top w:val="single" w:sz="4" w:space="0" w:color="000000"/>
              <w:bottom w:val="single" w:sz="18" w:space="0" w:color="000000"/>
            </w:tcBorders>
          </w:tcPr>
          <w:p w14:paraId="01B67B64" w14:textId="77777777" w:rsidR="00AE2255" w:rsidRDefault="00000000">
            <w:pPr>
              <w:pStyle w:val="TableParagraph"/>
              <w:spacing w:before="20" w:line="217" w:lineRule="exact"/>
              <w:ind w:right="131"/>
              <w:rPr>
                <w:b/>
                <w:sz w:val="20"/>
              </w:rPr>
            </w:pPr>
            <w:r>
              <w:rPr>
                <w:b/>
                <w:sz w:val="20"/>
              </w:rPr>
              <w:t>$</w:t>
            </w:r>
            <w:r>
              <w:rPr>
                <w:b/>
                <w:spacing w:val="74"/>
                <w:w w:val="150"/>
                <w:sz w:val="20"/>
              </w:rPr>
              <w:t xml:space="preserve"> </w:t>
            </w:r>
            <w:r>
              <w:rPr>
                <w:b/>
                <w:spacing w:val="-2"/>
                <w:sz w:val="20"/>
              </w:rPr>
              <w:t>(7,831)</w:t>
            </w:r>
          </w:p>
        </w:tc>
        <w:tc>
          <w:tcPr>
            <w:tcW w:w="1174" w:type="dxa"/>
            <w:tcBorders>
              <w:top w:val="single" w:sz="4" w:space="0" w:color="000000"/>
              <w:bottom w:val="single" w:sz="18" w:space="0" w:color="000000"/>
              <w:right w:val="single" w:sz="8" w:space="0" w:color="000000"/>
            </w:tcBorders>
          </w:tcPr>
          <w:p w14:paraId="50A865FF" w14:textId="77777777" w:rsidR="00AE2255" w:rsidRDefault="00000000">
            <w:pPr>
              <w:pStyle w:val="TableParagraph"/>
              <w:spacing w:before="20" w:line="217" w:lineRule="exact"/>
              <w:ind w:left="130"/>
              <w:jc w:val="left"/>
              <w:rPr>
                <w:sz w:val="20"/>
              </w:rPr>
            </w:pPr>
            <w:r>
              <w:rPr>
                <w:sz w:val="20"/>
              </w:rPr>
              <w:t>$</w:t>
            </w:r>
            <w:r>
              <w:rPr>
                <w:spacing w:val="-1"/>
                <w:sz w:val="20"/>
              </w:rPr>
              <w:t xml:space="preserve"> </w:t>
            </w:r>
            <w:r>
              <w:rPr>
                <w:spacing w:val="-2"/>
                <w:sz w:val="20"/>
              </w:rPr>
              <w:t>(10,844)</w:t>
            </w:r>
          </w:p>
        </w:tc>
        <w:tc>
          <w:tcPr>
            <w:tcW w:w="1193" w:type="dxa"/>
            <w:gridSpan w:val="2"/>
            <w:tcBorders>
              <w:top w:val="single" w:sz="4" w:space="0" w:color="000000"/>
              <w:left w:val="single" w:sz="8" w:space="0" w:color="000000"/>
              <w:bottom w:val="single" w:sz="18" w:space="0" w:color="000000"/>
            </w:tcBorders>
          </w:tcPr>
          <w:p w14:paraId="675DCA18" w14:textId="77777777" w:rsidR="00AE2255" w:rsidRDefault="00000000">
            <w:pPr>
              <w:pStyle w:val="TableParagraph"/>
              <w:tabs>
                <w:tab w:val="left" w:pos="702"/>
              </w:tabs>
              <w:spacing w:before="20" w:line="217" w:lineRule="exact"/>
              <w:ind w:left="236"/>
              <w:jc w:val="left"/>
              <w:rPr>
                <w:b/>
                <w:sz w:val="20"/>
              </w:rPr>
            </w:pPr>
            <w:r>
              <w:rPr>
                <w:b/>
                <w:spacing w:val="-10"/>
                <w:sz w:val="20"/>
              </w:rPr>
              <w:t>$</w:t>
            </w:r>
            <w:r>
              <w:rPr>
                <w:b/>
                <w:sz w:val="20"/>
              </w:rPr>
              <w:tab/>
            </w:r>
            <w:r>
              <w:rPr>
                <w:b/>
                <w:spacing w:val="-5"/>
                <w:sz w:val="20"/>
              </w:rPr>
              <w:t>298</w:t>
            </w:r>
          </w:p>
        </w:tc>
        <w:tc>
          <w:tcPr>
            <w:tcW w:w="998" w:type="dxa"/>
            <w:tcBorders>
              <w:top w:val="single" w:sz="4" w:space="0" w:color="000000"/>
              <w:bottom w:val="single" w:sz="18" w:space="0" w:color="000000"/>
            </w:tcBorders>
          </w:tcPr>
          <w:p w14:paraId="141EDF20" w14:textId="77777777" w:rsidR="00AE2255" w:rsidRDefault="00000000">
            <w:pPr>
              <w:pStyle w:val="TableParagraph"/>
              <w:tabs>
                <w:tab w:val="left" w:pos="465"/>
              </w:tabs>
              <w:spacing w:before="20" w:line="217" w:lineRule="exact"/>
              <w:ind w:right="81"/>
              <w:rPr>
                <w:sz w:val="20"/>
              </w:rPr>
            </w:pPr>
            <w:r>
              <w:rPr>
                <w:spacing w:val="-10"/>
                <w:sz w:val="20"/>
              </w:rPr>
              <w:t>$</w:t>
            </w:r>
            <w:r>
              <w:rPr>
                <w:sz w:val="20"/>
              </w:rPr>
              <w:tab/>
            </w:r>
            <w:r>
              <w:rPr>
                <w:spacing w:val="-5"/>
                <w:sz w:val="20"/>
              </w:rPr>
              <w:t>408</w:t>
            </w:r>
          </w:p>
        </w:tc>
      </w:tr>
    </w:tbl>
    <w:p w14:paraId="037056BD" w14:textId="77777777" w:rsidR="00AE2255" w:rsidRDefault="00AE2255">
      <w:pPr>
        <w:spacing w:line="217" w:lineRule="exact"/>
        <w:rPr>
          <w:sz w:val="20"/>
        </w:rPr>
        <w:sectPr w:rsidR="00AE2255">
          <w:pgSz w:w="12240" w:h="15840"/>
          <w:pgMar w:top="440" w:right="560" w:bottom="720" w:left="380" w:header="230" w:footer="531" w:gutter="0"/>
          <w:cols w:space="720"/>
        </w:sectPr>
      </w:pPr>
    </w:p>
    <w:p w14:paraId="07BC4723" w14:textId="77777777" w:rsidR="00AE2255" w:rsidRDefault="00AE2255">
      <w:pPr>
        <w:pStyle w:val="BodyText"/>
        <w:spacing w:before="10"/>
        <w:rPr>
          <w:sz w:val="22"/>
        </w:rPr>
      </w:pPr>
    </w:p>
    <w:p w14:paraId="5D01BF36" w14:textId="77777777" w:rsidR="00AE2255" w:rsidRDefault="00000000">
      <w:pPr>
        <w:pStyle w:val="BodyText"/>
        <w:spacing w:before="92" w:line="249" w:lineRule="auto"/>
        <w:ind w:left="610" w:right="429" w:firstLine="360"/>
        <w:jc w:val="both"/>
      </w:pPr>
      <w:r>
        <w:t>The following table provides the changes recognized in accumulated other comprehensive loss, net of tax, for actuarial gains or losses and prior service costs or credits due to differences between the actual return and expected return on plan assets and changes in the fair value of the benefit obligation recognized in connection with our annual remeasurement and the amortization</w:t>
      </w:r>
      <w:r>
        <w:rPr>
          <w:spacing w:val="-2"/>
        </w:rPr>
        <w:t xml:space="preserve"> </w:t>
      </w:r>
      <w:r>
        <w:t>during</w:t>
      </w:r>
      <w:r>
        <w:rPr>
          <w:spacing w:val="-2"/>
        </w:rPr>
        <w:t xml:space="preserve"> </w:t>
      </w:r>
      <w:r>
        <w:t>the</w:t>
      </w:r>
      <w:r>
        <w:rPr>
          <w:spacing w:val="-3"/>
        </w:rPr>
        <w:t xml:space="preserve"> </w:t>
      </w:r>
      <w:r>
        <w:t>year</w:t>
      </w:r>
      <w:r>
        <w:rPr>
          <w:spacing w:val="-2"/>
        </w:rPr>
        <w:t xml:space="preserve"> </w:t>
      </w:r>
      <w:r>
        <w:t>for</w:t>
      </w:r>
      <w:r>
        <w:rPr>
          <w:spacing w:val="-2"/>
        </w:rPr>
        <w:t xml:space="preserve"> </w:t>
      </w:r>
      <w:r>
        <w:t>our</w:t>
      </w:r>
      <w:r>
        <w:rPr>
          <w:spacing w:val="-2"/>
        </w:rPr>
        <w:t xml:space="preserve"> </w:t>
      </w:r>
      <w:r>
        <w:t>qualified</w:t>
      </w:r>
      <w:r>
        <w:rPr>
          <w:spacing w:val="-2"/>
        </w:rPr>
        <w:t xml:space="preserve"> </w:t>
      </w:r>
      <w:r>
        <w:t>defined</w:t>
      </w:r>
      <w:r>
        <w:rPr>
          <w:spacing w:val="-2"/>
        </w:rPr>
        <w:t xml:space="preserve"> </w:t>
      </w:r>
      <w:r>
        <w:t>benefit</w:t>
      </w:r>
      <w:r>
        <w:rPr>
          <w:spacing w:val="-3"/>
        </w:rPr>
        <w:t xml:space="preserve"> </w:t>
      </w:r>
      <w:r>
        <w:t>pension</w:t>
      </w:r>
      <w:r>
        <w:rPr>
          <w:spacing w:val="-2"/>
        </w:rPr>
        <w:t xml:space="preserve"> </w:t>
      </w:r>
      <w:r>
        <w:t>plans,</w:t>
      </w:r>
      <w:r>
        <w:rPr>
          <w:spacing w:val="-2"/>
        </w:rPr>
        <w:t xml:space="preserve"> </w:t>
      </w:r>
      <w:r>
        <w:t>retiree</w:t>
      </w:r>
      <w:r>
        <w:rPr>
          <w:spacing w:val="-3"/>
        </w:rPr>
        <w:t xml:space="preserve"> </w:t>
      </w:r>
      <w:r>
        <w:t>medical</w:t>
      </w:r>
      <w:r>
        <w:rPr>
          <w:spacing w:val="-3"/>
        </w:rPr>
        <w:t xml:space="preserve"> </w:t>
      </w:r>
      <w:r>
        <w:t>and</w:t>
      </w:r>
      <w:r>
        <w:rPr>
          <w:spacing w:val="-2"/>
        </w:rPr>
        <w:t xml:space="preserve"> </w:t>
      </w:r>
      <w:r>
        <w:t>life</w:t>
      </w:r>
      <w:r>
        <w:rPr>
          <w:spacing w:val="-3"/>
        </w:rPr>
        <w:t xml:space="preserve"> </w:t>
      </w:r>
      <w:r>
        <w:t>insurance</w:t>
      </w:r>
      <w:r>
        <w:rPr>
          <w:spacing w:val="-3"/>
        </w:rPr>
        <w:t xml:space="preserve"> </w:t>
      </w:r>
      <w:r>
        <w:t>plans,</w:t>
      </w:r>
      <w:r>
        <w:rPr>
          <w:spacing w:val="-2"/>
        </w:rPr>
        <w:t xml:space="preserve"> </w:t>
      </w:r>
      <w:r>
        <w:t>and</w:t>
      </w:r>
      <w:r>
        <w:rPr>
          <w:spacing w:val="-2"/>
        </w:rPr>
        <w:t xml:space="preserve"> </w:t>
      </w:r>
      <w:r>
        <w:t>certain other plans (in millions):</w:t>
      </w:r>
    </w:p>
    <w:p w14:paraId="27116EFC" w14:textId="77777777" w:rsidR="00AE2255" w:rsidRDefault="00AE2255">
      <w:pPr>
        <w:pStyle w:val="BodyText"/>
        <w:spacing w:before="2"/>
      </w:pPr>
    </w:p>
    <w:tbl>
      <w:tblPr>
        <w:tblW w:w="0" w:type="auto"/>
        <w:tblInd w:w="617" w:type="dxa"/>
        <w:tblLayout w:type="fixed"/>
        <w:tblCellMar>
          <w:left w:w="0" w:type="dxa"/>
          <w:right w:w="0" w:type="dxa"/>
        </w:tblCellMar>
        <w:tblLook w:val="01E0" w:firstRow="1" w:lastRow="1" w:firstColumn="1" w:lastColumn="1" w:noHBand="0" w:noVBand="0"/>
      </w:tblPr>
      <w:tblGrid>
        <w:gridCol w:w="3820"/>
        <w:gridCol w:w="1246"/>
        <w:gridCol w:w="975"/>
        <w:gridCol w:w="1114"/>
        <w:gridCol w:w="195"/>
        <w:gridCol w:w="956"/>
        <w:gridCol w:w="975"/>
        <w:gridCol w:w="919"/>
      </w:tblGrid>
      <w:tr w:rsidR="00AE2255" w14:paraId="609E0E59" w14:textId="77777777">
        <w:trPr>
          <w:trHeight w:val="665"/>
        </w:trPr>
        <w:tc>
          <w:tcPr>
            <w:tcW w:w="7155" w:type="dxa"/>
            <w:gridSpan w:val="4"/>
            <w:vMerge w:val="restart"/>
            <w:tcBorders>
              <w:bottom w:val="single" w:sz="8" w:space="0" w:color="000000"/>
              <w:right w:val="single" w:sz="8" w:space="0" w:color="000000"/>
            </w:tcBorders>
          </w:tcPr>
          <w:p w14:paraId="62DB7065" w14:textId="77777777" w:rsidR="00AE2255" w:rsidRDefault="00000000">
            <w:pPr>
              <w:pStyle w:val="TableParagraph"/>
              <w:spacing w:before="39" w:after="26" w:line="208" w:lineRule="auto"/>
              <w:ind w:left="4938" w:right="654" w:hanging="312"/>
              <w:jc w:val="left"/>
              <w:rPr>
                <w:b/>
                <w:sz w:val="20"/>
              </w:rPr>
            </w:pPr>
            <w:r>
              <w:rPr>
                <w:b/>
                <w:sz w:val="20"/>
              </w:rPr>
              <w:t>Incurred</w:t>
            </w:r>
            <w:r>
              <w:rPr>
                <w:b/>
                <w:spacing w:val="-13"/>
                <w:sz w:val="20"/>
              </w:rPr>
              <w:t xml:space="preserve"> </w:t>
            </w:r>
            <w:r>
              <w:rPr>
                <w:b/>
                <w:sz w:val="20"/>
              </w:rPr>
              <w:t>but</w:t>
            </w:r>
            <w:r>
              <w:rPr>
                <w:b/>
                <w:spacing w:val="-12"/>
                <w:sz w:val="20"/>
              </w:rPr>
              <w:t xml:space="preserve"> </w:t>
            </w:r>
            <w:r>
              <w:rPr>
                <w:b/>
                <w:sz w:val="20"/>
              </w:rPr>
              <w:t>Not</w:t>
            </w:r>
            <w:r>
              <w:rPr>
                <w:b/>
                <w:spacing w:val="-13"/>
                <w:sz w:val="20"/>
              </w:rPr>
              <w:t xml:space="preserve"> </w:t>
            </w:r>
            <w:r>
              <w:rPr>
                <w:b/>
                <w:sz w:val="20"/>
              </w:rPr>
              <w:t>Yet Recognized in FAS Expense</w:t>
            </w:r>
          </w:p>
          <w:p w14:paraId="1773AB09" w14:textId="77777777" w:rsidR="00AE2255" w:rsidRDefault="00000000">
            <w:pPr>
              <w:pStyle w:val="TableParagraph"/>
              <w:spacing w:before="0" w:line="20" w:lineRule="exact"/>
              <w:ind w:left="4100"/>
              <w:jc w:val="left"/>
              <w:rPr>
                <w:sz w:val="2"/>
              </w:rPr>
            </w:pPr>
            <w:r>
              <w:rPr>
                <w:sz w:val="2"/>
              </w:rPr>
            </w:r>
            <w:r>
              <w:rPr>
                <w:sz w:val="2"/>
              </w:rPr>
              <w:pict w14:anchorId="0C29B52C">
                <v:group id="docshapegroup53" o:spid="_x0000_s2162" style="width:142.5pt;height:1pt;mso-position-horizontal-relative:char;mso-position-vertical-relative:line" coordsize="2850,20">
                  <v:shape id="docshape54" o:spid="_x0000_s2164" style="position:absolute;top:10;width:2850;height:2" coordorigin=",10" coordsize="2850,0" path="m2850,10l,10e" fillcolor="black" stroked="f">
                    <v:fill opacity="0"/>
                    <v:path arrowok="t"/>
                  </v:shape>
                  <v:line id="_x0000_s2163" style="position:absolute" from="0,10" to="2850,10" strokeweight="1pt"/>
                  <w10:wrap type="none"/>
                  <w10:anchorlock/>
                </v:group>
              </w:pict>
            </w:r>
          </w:p>
          <w:p w14:paraId="4B7531AA" w14:textId="77777777" w:rsidR="00AE2255" w:rsidRDefault="00000000">
            <w:pPr>
              <w:pStyle w:val="TableParagraph"/>
              <w:tabs>
                <w:tab w:val="left" w:pos="5532"/>
                <w:tab w:val="left" w:pos="6507"/>
              </w:tabs>
              <w:spacing w:before="15" w:line="230" w:lineRule="exact"/>
              <w:ind w:left="4557"/>
              <w:jc w:val="left"/>
              <w:rPr>
                <w:b/>
                <w:sz w:val="20"/>
              </w:rPr>
            </w:pPr>
            <w:r>
              <w:rPr>
                <w:b/>
                <w:spacing w:val="-4"/>
                <w:sz w:val="20"/>
              </w:rPr>
              <w:t>2022</w:t>
            </w:r>
            <w:r>
              <w:rPr>
                <w:b/>
                <w:sz w:val="20"/>
              </w:rPr>
              <w:tab/>
            </w:r>
            <w:r>
              <w:rPr>
                <w:b/>
                <w:spacing w:val="-4"/>
                <w:sz w:val="20"/>
              </w:rPr>
              <w:t>2021</w:t>
            </w:r>
            <w:r>
              <w:rPr>
                <w:b/>
                <w:sz w:val="20"/>
              </w:rPr>
              <w:tab/>
            </w:r>
            <w:r>
              <w:rPr>
                <w:b/>
                <w:spacing w:val="-4"/>
                <w:sz w:val="20"/>
              </w:rPr>
              <w:t>2020</w:t>
            </w:r>
          </w:p>
        </w:tc>
        <w:tc>
          <w:tcPr>
            <w:tcW w:w="195" w:type="dxa"/>
            <w:vMerge w:val="restart"/>
            <w:tcBorders>
              <w:left w:val="single" w:sz="8" w:space="0" w:color="000000"/>
              <w:bottom w:val="single" w:sz="8" w:space="0" w:color="000000"/>
            </w:tcBorders>
          </w:tcPr>
          <w:p w14:paraId="69FF25D7" w14:textId="77777777" w:rsidR="00AE2255" w:rsidRDefault="00AE2255">
            <w:pPr>
              <w:pStyle w:val="TableParagraph"/>
              <w:spacing w:before="0"/>
              <w:jc w:val="left"/>
              <w:rPr>
                <w:sz w:val="18"/>
              </w:rPr>
            </w:pPr>
          </w:p>
        </w:tc>
        <w:tc>
          <w:tcPr>
            <w:tcW w:w="2850" w:type="dxa"/>
            <w:gridSpan w:val="3"/>
            <w:tcBorders>
              <w:bottom w:val="single" w:sz="8" w:space="0" w:color="000000"/>
            </w:tcBorders>
          </w:tcPr>
          <w:p w14:paraId="7C5B9633" w14:textId="77777777" w:rsidR="00AE2255" w:rsidRDefault="00000000">
            <w:pPr>
              <w:pStyle w:val="TableParagraph"/>
              <w:spacing w:before="39" w:line="208" w:lineRule="auto"/>
              <w:ind w:left="628" w:right="626"/>
              <w:jc w:val="center"/>
              <w:rPr>
                <w:b/>
                <w:sz w:val="20"/>
              </w:rPr>
            </w:pPr>
            <w:r>
              <w:rPr>
                <w:b/>
                <w:sz w:val="20"/>
              </w:rPr>
              <w:t xml:space="preserve">Recognition of </w:t>
            </w:r>
            <w:r>
              <w:rPr>
                <w:b/>
                <w:spacing w:val="-2"/>
                <w:sz w:val="20"/>
              </w:rPr>
              <w:t xml:space="preserve">Previously </w:t>
            </w:r>
            <w:r>
              <w:rPr>
                <w:b/>
                <w:sz w:val="20"/>
              </w:rPr>
              <w:t>Deferred</w:t>
            </w:r>
            <w:r>
              <w:rPr>
                <w:b/>
                <w:spacing w:val="-13"/>
                <w:sz w:val="20"/>
              </w:rPr>
              <w:t xml:space="preserve"> </w:t>
            </w:r>
            <w:r>
              <w:rPr>
                <w:b/>
                <w:sz w:val="20"/>
              </w:rPr>
              <w:t>Amounts</w:t>
            </w:r>
          </w:p>
        </w:tc>
      </w:tr>
      <w:tr w:rsidR="00AE2255" w14:paraId="28FD7567" w14:textId="77777777">
        <w:trPr>
          <w:trHeight w:val="265"/>
        </w:trPr>
        <w:tc>
          <w:tcPr>
            <w:tcW w:w="7155" w:type="dxa"/>
            <w:gridSpan w:val="4"/>
            <w:vMerge/>
            <w:tcBorders>
              <w:top w:val="nil"/>
              <w:bottom w:val="single" w:sz="8" w:space="0" w:color="000000"/>
              <w:right w:val="single" w:sz="8" w:space="0" w:color="000000"/>
            </w:tcBorders>
          </w:tcPr>
          <w:p w14:paraId="2A9954DC"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57593E4F" w14:textId="77777777" w:rsidR="00AE2255" w:rsidRDefault="00AE2255">
            <w:pPr>
              <w:rPr>
                <w:sz w:val="2"/>
                <w:szCs w:val="2"/>
              </w:rPr>
            </w:pPr>
          </w:p>
        </w:tc>
        <w:tc>
          <w:tcPr>
            <w:tcW w:w="956" w:type="dxa"/>
            <w:tcBorders>
              <w:top w:val="single" w:sz="8" w:space="0" w:color="000000"/>
              <w:bottom w:val="single" w:sz="8" w:space="0" w:color="000000"/>
            </w:tcBorders>
          </w:tcPr>
          <w:p w14:paraId="15B833FE" w14:textId="77777777" w:rsidR="00AE2255" w:rsidRDefault="00000000">
            <w:pPr>
              <w:pStyle w:val="TableParagraph"/>
              <w:spacing w:before="15" w:line="230" w:lineRule="exact"/>
              <w:ind w:left="447"/>
              <w:jc w:val="left"/>
              <w:rPr>
                <w:b/>
                <w:sz w:val="20"/>
              </w:rPr>
            </w:pPr>
            <w:r>
              <w:rPr>
                <w:b/>
                <w:spacing w:val="-4"/>
                <w:sz w:val="20"/>
              </w:rPr>
              <w:t>2022</w:t>
            </w:r>
          </w:p>
        </w:tc>
        <w:tc>
          <w:tcPr>
            <w:tcW w:w="975" w:type="dxa"/>
            <w:tcBorders>
              <w:top w:val="single" w:sz="8" w:space="0" w:color="000000"/>
              <w:bottom w:val="single" w:sz="8" w:space="0" w:color="000000"/>
            </w:tcBorders>
          </w:tcPr>
          <w:p w14:paraId="56AF6233" w14:textId="77777777" w:rsidR="00AE2255" w:rsidRDefault="00000000">
            <w:pPr>
              <w:pStyle w:val="TableParagraph"/>
              <w:spacing w:before="15" w:line="230" w:lineRule="exact"/>
              <w:ind w:right="106"/>
              <w:rPr>
                <w:b/>
                <w:sz w:val="20"/>
              </w:rPr>
            </w:pPr>
            <w:r>
              <w:rPr>
                <w:b/>
                <w:spacing w:val="-4"/>
                <w:sz w:val="20"/>
              </w:rPr>
              <w:t>2021</w:t>
            </w:r>
          </w:p>
        </w:tc>
        <w:tc>
          <w:tcPr>
            <w:tcW w:w="919" w:type="dxa"/>
            <w:tcBorders>
              <w:top w:val="single" w:sz="8" w:space="0" w:color="000000"/>
              <w:bottom w:val="single" w:sz="8" w:space="0" w:color="000000"/>
            </w:tcBorders>
          </w:tcPr>
          <w:p w14:paraId="215730F2" w14:textId="77777777" w:rsidR="00AE2255" w:rsidRDefault="00000000">
            <w:pPr>
              <w:pStyle w:val="TableParagraph"/>
              <w:spacing w:before="15" w:line="230" w:lineRule="exact"/>
              <w:ind w:right="50"/>
              <w:rPr>
                <w:b/>
                <w:sz w:val="20"/>
              </w:rPr>
            </w:pPr>
            <w:r>
              <w:rPr>
                <w:b/>
                <w:spacing w:val="-4"/>
                <w:sz w:val="20"/>
              </w:rPr>
              <w:t>2020</w:t>
            </w:r>
          </w:p>
        </w:tc>
      </w:tr>
      <w:tr w:rsidR="00AE2255" w14:paraId="6C10F678" w14:textId="77777777">
        <w:trPr>
          <w:trHeight w:val="275"/>
        </w:trPr>
        <w:tc>
          <w:tcPr>
            <w:tcW w:w="7155" w:type="dxa"/>
            <w:gridSpan w:val="4"/>
            <w:tcBorders>
              <w:top w:val="single" w:sz="8" w:space="0" w:color="000000"/>
              <w:right w:val="single" w:sz="8" w:space="0" w:color="000000"/>
            </w:tcBorders>
          </w:tcPr>
          <w:p w14:paraId="1E8DC0D2" w14:textId="77777777" w:rsidR="00AE2255" w:rsidRDefault="00000000">
            <w:pPr>
              <w:pStyle w:val="TableParagraph"/>
              <w:spacing w:before="13"/>
              <w:ind w:left="52"/>
              <w:jc w:val="left"/>
              <w:rPr>
                <w:b/>
                <w:sz w:val="20"/>
              </w:rPr>
            </w:pPr>
            <w:r>
              <w:rPr>
                <w:b/>
                <w:sz w:val="20"/>
              </w:rPr>
              <w:t>Actuarial</w:t>
            </w:r>
            <w:r>
              <w:rPr>
                <w:b/>
                <w:spacing w:val="-4"/>
                <w:sz w:val="20"/>
              </w:rPr>
              <w:t xml:space="preserve"> </w:t>
            </w:r>
            <w:r>
              <w:rPr>
                <w:b/>
                <w:sz w:val="20"/>
              </w:rPr>
              <w:t>gains</w:t>
            </w:r>
            <w:r>
              <w:rPr>
                <w:b/>
                <w:spacing w:val="-4"/>
                <w:sz w:val="20"/>
              </w:rPr>
              <w:t xml:space="preserve"> </w:t>
            </w:r>
            <w:r>
              <w:rPr>
                <w:b/>
                <w:sz w:val="20"/>
              </w:rPr>
              <w:t>and</w:t>
            </w:r>
            <w:r>
              <w:rPr>
                <w:b/>
                <w:spacing w:val="-3"/>
                <w:sz w:val="20"/>
              </w:rPr>
              <w:t xml:space="preserve"> </w:t>
            </w:r>
            <w:r>
              <w:rPr>
                <w:b/>
                <w:spacing w:val="-2"/>
                <w:sz w:val="20"/>
              </w:rPr>
              <w:t>(losses)</w:t>
            </w:r>
          </w:p>
        </w:tc>
        <w:tc>
          <w:tcPr>
            <w:tcW w:w="3045" w:type="dxa"/>
            <w:gridSpan w:val="4"/>
            <w:tcBorders>
              <w:top w:val="single" w:sz="8" w:space="0" w:color="000000"/>
              <w:left w:val="single" w:sz="8" w:space="0" w:color="000000"/>
            </w:tcBorders>
          </w:tcPr>
          <w:p w14:paraId="3F2AE7F2" w14:textId="77777777" w:rsidR="00AE2255" w:rsidRDefault="00AE2255">
            <w:pPr>
              <w:pStyle w:val="TableParagraph"/>
              <w:spacing w:before="0"/>
              <w:jc w:val="left"/>
              <w:rPr>
                <w:sz w:val="18"/>
              </w:rPr>
            </w:pPr>
          </w:p>
        </w:tc>
      </w:tr>
      <w:tr w:rsidR="00AE2255" w14:paraId="791D462E" w14:textId="77777777">
        <w:trPr>
          <w:trHeight w:val="285"/>
        </w:trPr>
        <w:tc>
          <w:tcPr>
            <w:tcW w:w="3820" w:type="dxa"/>
            <w:shd w:val="clear" w:color="auto" w:fill="CCEDFF"/>
          </w:tcPr>
          <w:p w14:paraId="61CC4557" w14:textId="77777777" w:rsidR="00AE2255" w:rsidRDefault="00000000">
            <w:pPr>
              <w:pStyle w:val="TableParagraph"/>
              <w:spacing w:before="27"/>
              <w:ind w:right="388"/>
              <w:rPr>
                <w:sz w:val="20"/>
              </w:rPr>
            </w:pPr>
            <w:r>
              <w:rPr>
                <w:sz w:val="20"/>
              </w:rPr>
              <w:t>Qualified</w:t>
            </w:r>
            <w:r>
              <w:rPr>
                <w:spacing w:val="-4"/>
                <w:sz w:val="20"/>
              </w:rPr>
              <w:t xml:space="preserve"> </w:t>
            </w:r>
            <w:r>
              <w:rPr>
                <w:sz w:val="20"/>
              </w:rPr>
              <w:t>defined</w:t>
            </w:r>
            <w:r>
              <w:rPr>
                <w:spacing w:val="-4"/>
                <w:sz w:val="20"/>
              </w:rPr>
              <w:t xml:space="preserve"> </w:t>
            </w:r>
            <w:r>
              <w:rPr>
                <w:sz w:val="20"/>
              </w:rPr>
              <w:t>benefit</w:t>
            </w:r>
            <w:r>
              <w:rPr>
                <w:spacing w:val="-5"/>
                <w:sz w:val="20"/>
              </w:rPr>
              <w:t xml:space="preserve"> </w:t>
            </w:r>
            <w:r>
              <w:rPr>
                <w:sz w:val="20"/>
              </w:rPr>
              <w:t>pension</w:t>
            </w:r>
            <w:r>
              <w:rPr>
                <w:spacing w:val="-3"/>
                <w:sz w:val="20"/>
              </w:rPr>
              <w:t xml:space="preserve"> </w:t>
            </w:r>
            <w:r>
              <w:rPr>
                <w:spacing w:val="-4"/>
                <w:sz w:val="20"/>
              </w:rPr>
              <w:t>plans</w:t>
            </w:r>
          </w:p>
        </w:tc>
        <w:tc>
          <w:tcPr>
            <w:tcW w:w="1246" w:type="dxa"/>
            <w:shd w:val="clear" w:color="auto" w:fill="CCEDFF"/>
          </w:tcPr>
          <w:p w14:paraId="748CFC3C" w14:textId="77777777" w:rsidR="00AE2255" w:rsidRDefault="00000000">
            <w:pPr>
              <w:pStyle w:val="TableParagraph"/>
              <w:tabs>
                <w:tab w:val="left" w:pos="658"/>
              </w:tabs>
              <w:ind w:left="342"/>
              <w:jc w:val="left"/>
              <w:rPr>
                <w:b/>
                <w:sz w:val="20"/>
              </w:rPr>
            </w:pPr>
            <w:r>
              <w:rPr>
                <w:b/>
                <w:spacing w:val="-10"/>
                <w:sz w:val="20"/>
              </w:rPr>
              <w:t>$</w:t>
            </w:r>
            <w:r>
              <w:rPr>
                <w:b/>
                <w:sz w:val="20"/>
              </w:rPr>
              <w:tab/>
            </w:r>
            <w:r>
              <w:rPr>
                <w:b/>
                <w:spacing w:val="-2"/>
                <w:sz w:val="20"/>
              </w:rPr>
              <w:t>1,952</w:t>
            </w:r>
          </w:p>
        </w:tc>
        <w:tc>
          <w:tcPr>
            <w:tcW w:w="975" w:type="dxa"/>
            <w:shd w:val="clear" w:color="auto" w:fill="CCEDFF"/>
          </w:tcPr>
          <w:p w14:paraId="5FB57DA2" w14:textId="77777777" w:rsidR="00AE2255" w:rsidRDefault="00000000">
            <w:pPr>
              <w:pStyle w:val="TableParagraph"/>
              <w:tabs>
                <w:tab w:val="left" w:pos="387"/>
              </w:tabs>
              <w:ind w:left="71"/>
              <w:jc w:val="left"/>
              <w:rPr>
                <w:sz w:val="20"/>
              </w:rPr>
            </w:pPr>
            <w:r>
              <w:rPr>
                <w:spacing w:val="-10"/>
                <w:sz w:val="20"/>
              </w:rPr>
              <w:t>$</w:t>
            </w:r>
            <w:r>
              <w:rPr>
                <w:sz w:val="20"/>
              </w:rPr>
              <w:tab/>
            </w:r>
            <w:r>
              <w:rPr>
                <w:spacing w:val="-2"/>
                <w:sz w:val="20"/>
              </w:rPr>
              <w:t>2,987</w:t>
            </w:r>
          </w:p>
        </w:tc>
        <w:tc>
          <w:tcPr>
            <w:tcW w:w="1114" w:type="dxa"/>
            <w:tcBorders>
              <w:right w:val="single" w:sz="8" w:space="0" w:color="000000"/>
            </w:tcBorders>
            <w:shd w:val="clear" w:color="auto" w:fill="CCEDFF"/>
          </w:tcPr>
          <w:p w14:paraId="50A1A929" w14:textId="77777777" w:rsidR="00AE2255" w:rsidRDefault="00000000">
            <w:pPr>
              <w:pStyle w:val="TableParagraph"/>
              <w:ind w:right="199"/>
              <w:rPr>
                <w:sz w:val="20"/>
              </w:rPr>
            </w:pPr>
            <w:r>
              <w:rPr>
                <w:sz w:val="20"/>
              </w:rPr>
              <w:t>$</w:t>
            </w:r>
            <w:r>
              <w:rPr>
                <w:spacing w:val="74"/>
                <w:w w:val="150"/>
                <w:sz w:val="20"/>
              </w:rPr>
              <w:t xml:space="preserve"> </w:t>
            </w:r>
            <w:r>
              <w:rPr>
                <w:spacing w:val="-2"/>
                <w:sz w:val="20"/>
              </w:rPr>
              <w:t>(1,005)</w:t>
            </w:r>
          </w:p>
        </w:tc>
        <w:tc>
          <w:tcPr>
            <w:tcW w:w="1151" w:type="dxa"/>
            <w:gridSpan w:val="2"/>
            <w:tcBorders>
              <w:left w:val="single" w:sz="8" w:space="0" w:color="000000"/>
            </w:tcBorders>
            <w:shd w:val="clear" w:color="auto" w:fill="CCEDFF"/>
          </w:tcPr>
          <w:p w14:paraId="64E366A7" w14:textId="77777777" w:rsidR="00AE2255" w:rsidRDefault="00000000">
            <w:pPr>
              <w:pStyle w:val="TableParagraph"/>
              <w:ind w:left="237"/>
              <w:jc w:val="left"/>
              <w:rPr>
                <w:b/>
                <w:sz w:val="20"/>
              </w:rPr>
            </w:pPr>
            <w:r>
              <w:rPr>
                <w:b/>
                <w:sz w:val="20"/>
              </w:rPr>
              <w:t>$</w:t>
            </w:r>
            <w:r>
              <w:rPr>
                <w:b/>
                <w:spacing w:val="74"/>
                <w:w w:val="150"/>
                <w:sz w:val="20"/>
              </w:rPr>
              <w:t xml:space="preserve"> </w:t>
            </w:r>
            <w:r>
              <w:rPr>
                <w:b/>
                <w:spacing w:val="-2"/>
                <w:sz w:val="20"/>
              </w:rPr>
              <w:t>(1,490)</w:t>
            </w:r>
          </w:p>
        </w:tc>
        <w:tc>
          <w:tcPr>
            <w:tcW w:w="975" w:type="dxa"/>
            <w:shd w:val="clear" w:color="auto" w:fill="CCEDFF"/>
          </w:tcPr>
          <w:p w14:paraId="02E60FEE" w14:textId="77777777" w:rsidR="00AE2255" w:rsidRDefault="00000000">
            <w:pPr>
              <w:pStyle w:val="TableParagraph"/>
              <w:ind w:right="70"/>
              <w:rPr>
                <w:sz w:val="20"/>
              </w:rPr>
            </w:pPr>
            <w:r>
              <w:rPr>
                <w:sz w:val="20"/>
              </w:rPr>
              <w:t>$</w:t>
            </w:r>
            <w:r>
              <w:rPr>
                <w:spacing w:val="74"/>
                <w:w w:val="150"/>
                <w:sz w:val="20"/>
              </w:rPr>
              <w:t xml:space="preserve"> </w:t>
            </w:r>
            <w:r>
              <w:rPr>
                <w:spacing w:val="-2"/>
                <w:sz w:val="20"/>
              </w:rPr>
              <w:t>(2,019)</w:t>
            </w:r>
          </w:p>
        </w:tc>
        <w:tc>
          <w:tcPr>
            <w:tcW w:w="919" w:type="dxa"/>
            <w:shd w:val="clear" w:color="auto" w:fill="CCEDFF"/>
          </w:tcPr>
          <w:p w14:paraId="4EFDC938" w14:textId="77777777" w:rsidR="00AE2255" w:rsidRDefault="00000000">
            <w:pPr>
              <w:pStyle w:val="TableParagraph"/>
              <w:tabs>
                <w:tab w:val="left" w:pos="399"/>
              </w:tabs>
              <w:ind w:right="14"/>
              <w:rPr>
                <w:sz w:val="20"/>
              </w:rPr>
            </w:pPr>
            <w:r>
              <w:rPr>
                <w:spacing w:val="-10"/>
                <w:sz w:val="20"/>
              </w:rPr>
              <w:t>$</w:t>
            </w:r>
            <w:r>
              <w:rPr>
                <w:sz w:val="20"/>
              </w:rPr>
              <w:tab/>
            </w:r>
            <w:r>
              <w:rPr>
                <w:spacing w:val="-2"/>
                <w:sz w:val="20"/>
              </w:rPr>
              <w:t>(668)</w:t>
            </w:r>
          </w:p>
        </w:tc>
      </w:tr>
      <w:tr w:rsidR="00AE2255" w14:paraId="6C43F759" w14:textId="77777777">
        <w:trPr>
          <w:trHeight w:val="285"/>
        </w:trPr>
        <w:tc>
          <w:tcPr>
            <w:tcW w:w="3820" w:type="dxa"/>
          </w:tcPr>
          <w:p w14:paraId="731A4593" w14:textId="77777777" w:rsidR="00AE2255" w:rsidRDefault="00000000">
            <w:pPr>
              <w:pStyle w:val="TableParagraph"/>
              <w:spacing w:before="27"/>
              <w:ind w:right="339"/>
              <w:rPr>
                <w:sz w:val="20"/>
              </w:rPr>
            </w:pPr>
            <w:r>
              <w:rPr>
                <w:sz w:val="20"/>
              </w:rPr>
              <w:t>Retiree</w:t>
            </w:r>
            <w:r>
              <w:rPr>
                <w:spacing w:val="-5"/>
                <w:sz w:val="20"/>
              </w:rPr>
              <w:t xml:space="preserve"> </w:t>
            </w:r>
            <w:r>
              <w:rPr>
                <w:sz w:val="20"/>
              </w:rPr>
              <w:t>medical</w:t>
            </w:r>
            <w:r>
              <w:rPr>
                <w:spacing w:val="-4"/>
                <w:sz w:val="20"/>
              </w:rPr>
              <w:t xml:space="preserve"> </w:t>
            </w:r>
            <w:r>
              <w:rPr>
                <w:sz w:val="20"/>
              </w:rPr>
              <w:t>and</w:t>
            </w:r>
            <w:r>
              <w:rPr>
                <w:spacing w:val="-4"/>
                <w:sz w:val="20"/>
              </w:rPr>
              <w:t xml:space="preserve"> </w:t>
            </w:r>
            <w:r>
              <w:rPr>
                <w:sz w:val="20"/>
              </w:rPr>
              <w:t>life</w:t>
            </w:r>
            <w:r>
              <w:rPr>
                <w:spacing w:val="-4"/>
                <w:sz w:val="20"/>
              </w:rPr>
              <w:t xml:space="preserve"> </w:t>
            </w:r>
            <w:r>
              <w:rPr>
                <w:sz w:val="20"/>
              </w:rPr>
              <w:t>insurance</w:t>
            </w:r>
            <w:r>
              <w:rPr>
                <w:spacing w:val="-4"/>
                <w:sz w:val="20"/>
              </w:rPr>
              <w:t xml:space="preserve"> plans</w:t>
            </w:r>
          </w:p>
        </w:tc>
        <w:tc>
          <w:tcPr>
            <w:tcW w:w="1246" w:type="dxa"/>
          </w:tcPr>
          <w:p w14:paraId="51EC03C6" w14:textId="77777777" w:rsidR="00AE2255" w:rsidRDefault="00000000">
            <w:pPr>
              <w:pStyle w:val="TableParagraph"/>
              <w:ind w:right="70"/>
              <w:rPr>
                <w:b/>
                <w:sz w:val="20"/>
              </w:rPr>
            </w:pPr>
            <w:r>
              <w:rPr>
                <w:b/>
                <w:spacing w:val="-4"/>
                <w:sz w:val="20"/>
              </w:rPr>
              <w:t>(95)</w:t>
            </w:r>
          </w:p>
        </w:tc>
        <w:tc>
          <w:tcPr>
            <w:tcW w:w="975" w:type="dxa"/>
          </w:tcPr>
          <w:p w14:paraId="6659A802" w14:textId="77777777" w:rsidR="00AE2255" w:rsidRDefault="00000000">
            <w:pPr>
              <w:pStyle w:val="TableParagraph"/>
              <w:ind w:right="135"/>
              <w:rPr>
                <w:sz w:val="20"/>
              </w:rPr>
            </w:pPr>
            <w:r>
              <w:rPr>
                <w:spacing w:val="-5"/>
                <w:sz w:val="20"/>
              </w:rPr>
              <w:t>342</w:t>
            </w:r>
          </w:p>
        </w:tc>
        <w:tc>
          <w:tcPr>
            <w:tcW w:w="1114" w:type="dxa"/>
            <w:tcBorders>
              <w:right w:val="single" w:sz="8" w:space="0" w:color="000000"/>
            </w:tcBorders>
          </w:tcPr>
          <w:p w14:paraId="188F2FD8" w14:textId="77777777" w:rsidR="00AE2255" w:rsidRDefault="00000000">
            <w:pPr>
              <w:pStyle w:val="TableParagraph"/>
              <w:ind w:right="264"/>
              <w:rPr>
                <w:sz w:val="20"/>
              </w:rPr>
            </w:pPr>
            <w:r>
              <w:rPr>
                <w:spacing w:val="-5"/>
                <w:sz w:val="20"/>
              </w:rPr>
              <w:t>43</w:t>
            </w:r>
          </w:p>
        </w:tc>
        <w:tc>
          <w:tcPr>
            <w:tcW w:w="1151" w:type="dxa"/>
            <w:gridSpan w:val="2"/>
            <w:tcBorders>
              <w:left w:val="single" w:sz="8" w:space="0" w:color="000000"/>
            </w:tcBorders>
          </w:tcPr>
          <w:p w14:paraId="482B2026" w14:textId="77777777" w:rsidR="00AE2255" w:rsidRDefault="00000000">
            <w:pPr>
              <w:pStyle w:val="TableParagraph"/>
              <w:ind w:right="135"/>
              <w:rPr>
                <w:b/>
                <w:sz w:val="20"/>
              </w:rPr>
            </w:pPr>
            <w:r>
              <w:rPr>
                <w:b/>
                <w:spacing w:val="-5"/>
                <w:sz w:val="20"/>
              </w:rPr>
              <w:t>36</w:t>
            </w:r>
          </w:p>
        </w:tc>
        <w:tc>
          <w:tcPr>
            <w:tcW w:w="975" w:type="dxa"/>
          </w:tcPr>
          <w:p w14:paraId="397D31DD" w14:textId="77777777" w:rsidR="00AE2255" w:rsidRDefault="00000000">
            <w:pPr>
              <w:pStyle w:val="TableParagraph"/>
              <w:ind w:right="135"/>
              <w:rPr>
                <w:sz w:val="20"/>
              </w:rPr>
            </w:pPr>
            <w:r>
              <w:rPr>
                <w:sz w:val="20"/>
              </w:rPr>
              <w:t>—</w:t>
            </w:r>
          </w:p>
        </w:tc>
        <w:tc>
          <w:tcPr>
            <w:tcW w:w="919" w:type="dxa"/>
          </w:tcPr>
          <w:p w14:paraId="12EEBFE2" w14:textId="77777777" w:rsidR="00AE2255" w:rsidRDefault="00000000">
            <w:pPr>
              <w:pStyle w:val="TableParagraph"/>
              <w:ind w:right="79"/>
              <w:rPr>
                <w:sz w:val="20"/>
              </w:rPr>
            </w:pPr>
            <w:r>
              <w:rPr>
                <w:sz w:val="20"/>
              </w:rPr>
              <w:t>3</w:t>
            </w:r>
          </w:p>
        </w:tc>
      </w:tr>
      <w:tr w:rsidR="00AE2255" w14:paraId="4F1A6C2D" w14:textId="77777777">
        <w:trPr>
          <w:trHeight w:val="275"/>
        </w:trPr>
        <w:tc>
          <w:tcPr>
            <w:tcW w:w="3820" w:type="dxa"/>
            <w:tcBorders>
              <w:bottom w:val="single" w:sz="8" w:space="0" w:color="000000"/>
            </w:tcBorders>
            <w:shd w:val="clear" w:color="auto" w:fill="CCEDFF"/>
          </w:tcPr>
          <w:p w14:paraId="0674FEA8" w14:textId="77777777" w:rsidR="00AE2255" w:rsidRDefault="00000000">
            <w:pPr>
              <w:pStyle w:val="TableParagraph"/>
              <w:spacing w:before="27" w:line="228" w:lineRule="exact"/>
              <w:ind w:left="277"/>
              <w:jc w:val="left"/>
              <w:rPr>
                <w:sz w:val="20"/>
              </w:rPr>
            </w:pPr>
            <w:r>
              <w:rPr>
                <w:sz w:val="20"/>
              </w:rPr>
              <w:t>Other</w:t>
            </w:r>
            <w:r>
              <w:rPr>
                <w:spacing w:val="-3"/>
                <w:sz w:val="20"/>
              </w:rPr>
              <w:t xml:space="preserve"> </w:t>
            </w:r>
            <w:r>
              <w:rPr>
                <w:spacing w:val="-2"/>
                <w:sz w:val="20"/>
              </w:rPr>
              <w:t>plans</w:t>
            </w:r>
          </w:p>
        </w:tc>
        <w:tc>
          <w:tcPr>
            <w:tcW w:w="1246" w:type="dxa"/>
            <w:tcBorders>
              <w:bottom w:val="single" w:sz="8" w:space="0" w:color="000000"/>
            </w:tcBorders>
            <w:shd w:val="clear" w:color="auto" w:fill="CCEDFF"/>
          </w:tcPr>
          <w:p w14:paraId="515A271B" w14:textId="77777777" w:rsidR="00AE2255" w:rsidRDefault="00000000">
            <w:pPr>
              <w:pStyle w:val="TableParagraph"/>
              <w:spacing w:line="230" w:lineRule="exact"/>
              <w:ind w:right="135"/>
              <w:rPr>
                <w:b/>
                <w:sz w:val="20"/>
              </w:rPr>
            </w:pPr>
            <w:r>
              <w:rPr>
                <w:b/>
                <w:spacing w:val="-5"/>
                <w:sz w:val="20"/>
              </w:rPr>
              <w:t>165</w:t>
            </w:r>
          </w:p>
        </w:tc>
        <w:tc>
          <w:tcPr>
            <w:tcW w:w="975" w:type="dxa"/>
            <w:tcBorders>
              <w:bottom w:val="single" w:sz="8" w:space="0" w:color="000000"/>
            </w:tcBorders>
            <w:shd w:val="clear" w:color="auto" w:fill="CCEDFF"/>
          </w:tcPr>
          <w:p w14:paraId="0A9B19DE" w14:textId="77777777" w:rsidR="00AE2255" w:rsidRDefault="00000000">
            <w:pPr>
              <w:pStyle w:val="TableParagraph"/>
              <w:spacing w:line="230" w:lineRule="exact"/>
              <w:ind w:right="135"/>
              <w:rPr>
                <w:sz w:val="20"/>
              </w:rPr>
            </w:pPr>
            <w:r>
              <w:rPr>
                <w:spacing w:val="-5"/>
                <w:sz w:val="20"/>
              </w:rPr>
              <w:t>76</w:t>
            </w:r>
          </w:p>
        </w:tc>
        <w:tc>
          <w:tcPr>
            <w:tcW w:w="1114" w:type="dxa"/>
            <w:tcBorders>
              <w:bottom w:val="single" w:sz="8" w:space="0" w:color="000000"/>
              <w:right w:val="single" w:sz="8" w:space="0" w:color="000000"/>
            </w:tcBorders>
            <w:shd w:val="clear" w:color="auto" w:fill="CCEDFF"/>
          </w:tcPr>
          <w:p w14:paraId="7B3C1211" w14:textId="77777777" w:rsidR="00AE2255" w:rsidRDefault="00000000">
            <w:pPr>
              <w:pStyle w:val="TableParagraph"/>
              <w:spacing w:line="230" w:lineRule="exact"/>
              <w:ind w:right="199"/>
              <w:rPr>
                <w:sz w:val="20"/>
              </w:rPr>
            </w:pPr>
            <w:r>
              <w:rPr>
                <w:spacing w:val="-2"/>
                <w:sz w:val="20"/>
              </w:rPr>
              <w:t>(104)</w:t>
            </w:r>
          </w:p>
        </w:tc>
        <w:tc>
          <w:tcPr>
            <w:tcW w:w="1151" w:type="dxa"/>
            <w:gridSpan w:val="2"/>
            <w:tcBorders>
              <w:left w:val="single" w:sz="8" w:space="0" w:color="000000"/>
              <w:bottom w:val="single" w:sz="8" w:space="0" w:color="000000"/>
            </w:tcBorders>
            <w:shd w:val="clear" w:color="auto" w:fill="CCEDFF"/>
          </w:tcPr>
          <w:p w14:paraId="4A8E0DC3" w14:textId="77777777" w:rsidR="00AE2255" w:rsidRDefault="00000000">
            <w:pPr>
              <w:pStyle w:val="TableParagraph"/>
              <w:spacing w:line="230" w:lineRule="exact"/>
              <w:ind w:left="736"/>
              <w:jc w:val="left"/>
              <w:rPr>
                <w:b/>
                <w:sz w:val="20"/>
              </w:rPr>
            </w:pPr>
            <w:r>
              <w:rPr>
                <w:b/>
                <w:spacing w:val="-4"/>
                <w:sz w:val="20"/>
              </w:rPr>
              <w:t>(39)</w:t>
            </w:r>
          </w:p>
        </w:tc>
        <w:tc>
          <w:tcPr>
            <w:tcW w:w="975" w:type="dxa"/>
            <w:tcBorders>
              <w:bottom w:val="single" w:sz="8" w:space="0" w:color="000000"/>
            </w:tcBorders>
            <w:shd w:val="clear" w:color="auto" w:fill="CCEDFF"/>
          </w:tcPr>
          <w:p w14:paraId="46B2C7C8" w14:textId="77777777" w:rsidR="00AE2255" w:rsidRDefault="00000000">
            <w:pPr>
              <w:pStyle w:val="TableParagraph"/>
              <w:spacing w:line="230" w:lineRule="exact"/>
              <w:ind w:right="70"/>
              <w:rPr>
                <w:sz w:val="20"/>
              </w:rPr>
            </w:pPr>
            <w:r>
              <w:rPr>
                <w:spacing w:val="-4"/>
                <w:sz w:val="20"/>
              </w:rPr>
              <w:t>(24)</w:t>
            </w:r>
          </w:p>
        </w:tc>
        <w:tc>
          <w:tcPr>
            <w:tcW w:w="919" w:type="dxa"/>
            <w:tcBorders>
              <w:bottom w:val="single" w:sz="8" w:space="0" w:color="000000"/>
            </w:tcBorders>
            <w:shd w:val="clear" w:color="auto" w:fill="CCEDFF"/>
          </w:tcPr>
          <w:p w14:paraId="53A72A9B" w14:textId="77777777" w:rsidR="00AE2255" w:rsidRDefault="00000000">
            <w:pPr>
              <w:pStyle w:val="TableParagraph"/>
              <w:spacing w:line="230" w:lineRule="exact"/>
              <w:ind w:right="14"/>
              <w:rPr>
                <w:sz w:val="20"/>
              </w:rPr>
            </w:pPr>
            <w:r>
              <w:rPr>
                <w:spacing w:val="-4"/>
                <w:sz w:val="20"/>
              </w:rPr>
              <w:t>(24)</w:t>
            </w:r>
          </w:p>
        </w:tc>
      </w:tr>
      <w:tr w:rsidR="00AE2255" w14:paraId="6E30EAE2" w14:textId="77777777">
        <w:trPr>
          <w:trHeight w:val="265"/>
        </w:trPr>
        <w:tc>
          <w:tcPr>
            <w:tcW w:w="3820" w:type="dxa"/>
            <w:tcBorders>
              <w:top w:val="single" w:sz="8" w:space="0" w:color="000000"/>
              <w:bottom w:val="single" w:sz="8" w:space="0" w:color="000000"/>
            </w:tcBorders>
          </w:tcPr>
          <w:p w14:paraId="43B4DB74" w14:textId="77777777" w:rsidR="00AE2255" w:rsidRDefault="00AE2255">
            <w:pPr>
              <w:pStyle w:val="TableParagraph"/>
              <w:spacing w:before="0"/>
              <w:jc w:val="left"/>
              <w:rPr>
                <w:sz w:val="18"/>
              </w:rPr>
            </w:pPr>
          </w:p>
        </w:tc>
        <w:tc>
          <w:tcPr>
            <w:tcW w:w="1246" w:type="dxa"/>
            <w:tcBorders>
              <w:top w:val="single" w:sz="8" w:space="0" w:color="000000"/>
              <w:bottom w:val="single" w:sz="8" w:space="0" w:color="000000"/>
            </w:tcBorders>
          </w:tcPr>
          <w:p w14:paraId="0C53DA91" w14:textId="77777777" w:rsidR="00AE2255" w:rsidRDefault="00000000">
            <w:pPr>
              <w:pStyle w:val="TableParagraph"/>
              <w:spacing w:before="15" w:line="230" w:lineRule="exact"/>
              <w:ind w:right="135"/>
              <w:rPr>
                <w:b/>
                <w:sz w:val="20"/>
              </w:rPr>
            </w:pPr>
            <w:r>
              <w:rPr>
                <w:b/>
                <w:spacing w:val="-2"/>
                <w:sz w:val="20"/>
              </w:rPr>
              <w:t>2,022</w:t>
            </w:r>
          </w:p>
        </w:tc>
        <w:tc>
          <w:tcPr>
            <w:tcW w:w="975" w:type="dxa"/>
            <w:tcBorders>
              <w:top w:val="single" w:sz="8" w:space="0" w:color="000000"/>
              <w:bottom w:val="single" w:sz="8" w:space="0" w:color="000000"/>
            </w:tcBorders>
          </w:tcPr>
          <w:p w14:paraId="07F4B5F6" w14:textId="77777777" w:rsidR="00AE2255" w:rsidRDefault="00000000">
            <w:pPr>
              <w:pStyle w:val="TableParagraph"/>
              <w:spacing w:before="15" w:line="230" w:lineRule="exact"/>
              <w:ind w:left="387"/>
              <w:jc w:val="left"/>
              <w:rPr>
                <w:sz w:val="20"/>
              </w:rPr>
            </w:pPr>
            <w:r>
              <w:rPr>
                <w:spacing w:val="-2"/>
                <w:sz w:val="20"/>
              </w:rPr>
              <w:t>3,405</w:t>
            </w:r>
          </w:p>
        </w:tc>
        <w:tc>
          <w:tcPr>
            <w:tcW w:w="1114" w:type="dxa"/>
            <w:tcBorders>
              <w:top w:val="single" w:sz="8" w:space="0" w:color="000000"/>
              <w:bottom w:val="single" w:sz="8" w:space="0" w:color="000000"/>
              <w:right w:val="single" w:sz="8" w:space="0" w:color="000000"/>
            </w:tcBorders>
          </w:tcPr>
          <w:p w14:paraId="51F54435" w14:textId="77777777" w:rsidR="00AE2255" w:rsidRDefault="00000000">
            <w:pPr>
              <w:pStyle w:val="TableParagraph"/>
              <w:spacing w:before="15" w:line="230" w:lineRule="exact"/>
              <w:ind w:right="199"/>
              <w:rPr>
                <w:sz w:val="20"/>
              </w:rPr>
            </w:pPr>
            <w:r>
              <w:rPr>
                <w:spacing w:val="-2"/>
                <w:sz w:val="20"/>
              </w:rPr>
              <w:t>(1,066)</w:t>
            </w:r>
          </w:p>
        </w:tc>
        <w:tc>
          <w:tcPr>
            <w:tcW w:w="1151" w:type="dxa"/>
            <w:gridSpan w:val="2"/>
            <w:tcBorders>
              <w:top w:val="single" w:sz="8" w:space="0" w:color="000000"/>
              <w:left w:val="single" w:sz="8" w:space="0" w:color="000000"/>
              <w:bottom w:val="single" w:sz="8" w:space="0" w:color="000000"/>
            </w:tcBorders>
          </w:tcPr>
          <w:p w14:paraId="494674AD" w14:textId="77777777" w:rsidR="00AE2255" w:rsidRDefault="00000000">
            <w:pPr>
              <w:pStyle w:val="TableParagraph"/>
              <w:spacing w:before="15" w:line="230" w:lineRule="exact"/>
              <w:ind w:left="486"/>
              <w:jc w:val="left"/>
              <w:rPr>
                <w:b/>
                <w:sz w:val="20"/>
              </w:rPr>
            </w:pPr>
            <w:r>
              <w:rPr>
                <w:b/>
                <w:spacing w:val="-2"/>
                <w:sz w:val="20"/>
              </w:rPr>
              <w:t>(1,493)</w:t>
            </w:r>
          </w:p>
        </w:tc>
        <w:tc>
          <w:tcPr>
            <w:tcW w:w="975" w:type="dxa"/>
            <w:tcBorders>
              <w:top w:val="single" w:sz="8" w:space="0" w:color="000000"/>
              <w:bottom w:val="single" w:sz="8" w:space="0" w:color="000000"/>
            </w:tcBorders>
          </w:tcPr>
          <w:p w14:paraId="2EF6FF5E" w14:textId="77777777" w:rsidR="00AE2255" w:rsidRDefault="00000000">
            <w:pPr>
              <w:pStyle w:val="TableParagraph"/>
              <w:spacing w:before="15" w:line="230" w:lineRule="exact"/>
              <w:ind w:right="70"/>
              <w:rPr>
                <w:sz w:val="20"/>
              </w:rPr>
            </w:pPr>
            <w:r>
              <w:rPr>
                <w:spacing w:val="-2"/>
                <w:sz w:val="20"/>
              </w:rPr>
              <w:t>(2,043)</w:t>
            </w:r>
          </w:p>
        </w:tc>
        <w:tc>
          <w:tcPr>
            <w:tcW w:w="919" w:type="dxa"/>
            <w:tcBorders>
              <w:top w:val="single" w:sz="8" w:space="0" w:color="000000"/>
              <w:bottom w:val="single" w:sz="8" w:space="0" w:color="000000"/>
            </w:tcBorders>
          </w:tcPr>
          <w:p w14:paraId="54AF8FEA" w14:textId="77777777" w:rsidR="00AE2255" w:rsidRDefault="00000000">
            <w:pPr>
              <w:pStyle w:val="TableParagraph"/>
              <w:spacing w:before="15" w:line="230" w:lineRule="exact"/>
              <w:ind w:right="14"/>
              <w:rPr>
                <w:sz w:val="20"/>
              </w:rPr>
            </w:pPr>
            <w:r>
              <w:rPr>
                <w:spacing w:val="-2"/>
                <w:sz w:val="20"/>
              </w:rPr>
              <w:t>(689)</w:t>
            </w:r>
          </w:p>
        </w:tc>
      </w:tr>
      <w:tr w:rsidR="00AE2255" w14:paraId="6E2C9C1E" w14:textId="77777777">
        <w:trPr>
          <w:trHeight w:val="275"/>
        </w:trPr>
        <w:tc>
          <w:tcPr>
            <w:tcW w:w="7155" w:type="dxa"/>
            <w:gridSpan w:val="4"/>
            <w:tcBorders>
              <w:top w:val="single" w:sz="8" w:space="0" w:color="000000"/>
              <w:right w:val="single" w:sz="8" w:space="0" w:color="000000"/>
            </w:tcBorders>
          </w:tcPr>
          <w:p w14:paraId="65AFC900" w14:textId="77777777" w:rsidR="00AE2255" w:rsidRDefault="00000000">
            <w:pPr>
              <w:pStyle w:val="TableParagraph"/>
              <w:spacing w:before="13"/>
              <w:ind w:left="52"/>
              <w:jc w:val="left"/>
              <w:rPr>
                <w:b/>
                <w:sz w:val="20"/>
              </w:rPr>
            </w:pPr>
            <w:r>
              <w:rPr>
                <w:b/>
                <w:sz w:val="20"/>
              </w:rPr>
              <w:t>Net</w:t>
            </w:r>
            <w:r>
              <w:rPr>
                <w:b/>
                <w:spacing w:val="-4"/>
                <w:sz w:val="20"/>
              </w:rPr>
              <w:t xml:space="preserve"> </w:t>
            </w:r>
            <w:r>
              <w:rPr>
                <w:b/>
                <w:sz w:val="20"/>
              </w:rPr>
              <w:t>prior</w:t>
            </w:r>
            <w:r>
              <w:rPr>
                <w:b/>
                <w:spacing w:val="-4"/>
                <w:sz w:val="20"/>
              </w:rPr>
              <w:t xml:space="preserve"> </w:t>
            </w:r>
            <w:r>
              <w:rPr>
                <w:b/>
                <w:sz w:val="20"/>
              </w:rPr>
              <w:t>service</w:t>
            </w:r>
            <w:r>
              <w:rPr>
                <w:b/>
                <w:spacing w:val="-4"/>
                <w:sz w:val="20"/>
              </w:rPr>
              <w:t xml:space="preserve"> </w:t>
            </w:r>
            <w:r>
              <w:rPr>
                <w:b/>
                <w:sz w:val="20"/>
              </w:rPr>
              <w:t>credit</w:t>
            </w:r>
            <w:r>
              <w:rPr>
                <w:b/>
                <w:spacing w:val="-3"/>
                <w:sz w:val="20"/>
              </w:rPr>
              <w:t xml:space="preserve"> </w:t>
            </w:r>
            <w:r>
              <w:rPr>
                <w:b/>
                <w:sz w:val="20"/>
              </w:rPr>
              <w:t>and</w:t>
            </w:r>
            <w:r>
              <w:rPr>
                <w:b/>
                <w:spacing w:val="-4"/>
                <w:sz w:val="20"/>
              </w:rPr>
              <w:t xml:space="preserve"> </w:t>
            </w:r>
            <w:r>
              <w:rPr>
                <w:b/>
                <w:spacing w:val="-2"/>
                <w:sz w:val="20"/>
              </w:rPr>
              <w:t>(cost)</w:t>
            </w:r>
          </w:p>
        </w:tc>
        <w:tc>
          <w:tcPr>
            <w:tcW w:w="3045" w:type="dxa"/>
            <w:gridSpan w:val="4"/>
            <w:tcBorders>
              <w:top w:val="single" w:sz="8" w:space="0" w:color="000000"/>
              <w:left w:val="single" w:sz="8" w:space="0" w:color="000000"/>
            </w:tcBorders>
          </w:tcPr>
          <w:p w14:paraId="23BEEA3B" w14:textId="77777777" w:rsidR="00AE2255" w:rsidRDefault="00AE2255">
            <w:pPr>
              <w:pStyle w:val="TableParagraph"/>
              <w:spacing w:before="0"/>
              <w:jc w:val="left"/>
              <w:rPr>
                <w:sz w:val="18"/>
              </w:rPr>
            </w:pPr>
          </w:p>
        </w:tc>
      </w:tr>
      <w:tr w:rsidR="00AE2255" w14:paraId="53060404" w14:textId="77777777">
        <w:trPr>
          <w:trHeight w:val="285"/>
        </w:trPr>
        <w:tc>
          <w:tcPr>
            <w:tcW w:w="3820" w:type="dxa"/>
            <w:shd w:val="clear" w:color="auto" w:fill="CCEDFF"/>
          </w:tcPr>
          <w:p w14:paraId="406E1E10" w14:textId="77777777" w:rsidR="00AE2255" w:rsidRDefault="00000000">
            <w:pPr>
              <w:pStyle w:val="TableParagraph"/>
              <w:spacing w:before="27"/>
              <w:ind w:right="388"/>
              <w:rPr>
                <w:sz w:val="20"/>
              </w:rPr>
            </w:pPr>
            <w:r>
              <w:rPr>
                <w:sz w:val="20"/>
              </w:rPr>
              <w:t>Qualified</w:t>
            </w:r>
            <w:r>
              <w:rPr>
                <w:spacing w:val="-4"/>
                <w:sz w:val="20"/>
              </w:rPr>
              <w:t xml:space="preserve"> </w:t>
            </w:r>
            <w:r>
              <w:rPr>
                <w:sz w:val="20"/>
              </w:rPr>
              <w:t>defined</w:t>
            </w:r>
            <w:r>
              <w:rPr>
                <w:spacing w:val="-4"/>
                <w:sz w:val="20"/>
              </w:rPr>
              <w:t xml:space="preserve"> </w:t>
            </w:r>
            <w:r>
              <w:rPr>
                <w:sz w:val="20"/>
              </w:rPr>
              <w:t>benefit</w:t>
            </w:r>
            <w:r>
              <w:rPr>
                <w:spacing w:val="-5"/>
                <w:sz w:val="20"/>
              </w:rPr>
              <w:t xml:space="preserve"> </w:t>
            </w:r>
            <w:r>
              <w:rPr>
                <w:sz w:val="20"/>
              </w:rPr>
              <w:t>pension</w:t>
            </w:r>
            <w:r>
              <w:rPr>
                <w:spacing w:val="-3"/>
                <w:sz w:val="20"/>
              </w:rPr>
              <w:t xml:space="preserve"> </w:t>
            </w:r>
            <w:r>
              <w:rPr>
                <w:spacing w:val="-4"/>
                <w:sz w:val="20"/>
              </w:rPr>
              <w:t>plans</w:t>
            </w:r>
          </w:p>
        </w:tc>
        <w:tc>
          <w:tcPr>
            <w:tcW w:w="1246" w:type="dxa"/>
            <w:shd w:val="clear" w:color="auto" w:fill="CCEDFF"/>
          </w:tcPr>
          <w:p w14:paraId="5B842CB2" w14:textId="77777777" w:rsidR="00AE2255" w:rsidRDefault="00000000">
            <w:pPr>
              <w:pStyle w:val="TableParagraph"/>
              <w:ind w:right="70"/>
              <w:rPr>
                <w:b/>
                <w:sz w:val="20"/>
              </w:rPr>
            </w:pPr>
            <w:r>
              <w:rPr>
                <w:b/>
                <w:spacing w:val="-2"/>
                <w:sz w:val="20"/>
              </w:rPr>
              <w:t>(146)</w:t>
            </w:r>
          </w:p>
        </w:tc>
        <w:tc>
          <w:tcPr>
            <w:tcW w:w="975" w:type="dxa"/>
            <w:shd w:val="clear" w:color="auto" w:fill="CCEDFF"/>
          </w:tcPr>
          <w:p w14:paraId="78B37D2E" w14:textId="77777777" w:rsidR="00AE2255" w:rsidRDefault="00000000">
            <w:pPr>
              <w:pStyle w:val="TableParagraph"/>
              <w:ind w:right="70"/>
              <w:rPr>
                <w:sz w:val="20"/>
              </w:rPr>
            </w:pPr>
            <w:r>
              <w:rPr>
                <w:spacing w:val="-5"/>
                <w:sz w:val="20"/>
              </w:rPr>
              <w:t>(1)</w:t>
            </w:r>
          </w:p>
        </w:tc>
        <w:tc>
          <w:tcPr>
            <w:tcW w:w="1114" w:type="dxa"/>
            <w:tcBorders>
              <w:right w:val="single" w:sz="8" w:space="0" w:color="000000"/>
            </w:tcBorders>
            <w:shd w:val="clear" w:color="auto" w:fill="CCEDFF"/>
          </w:tcPr>
          <w:p w14:paraId="18D649B8" w14:textId="77777777" w:rsidR="00AE2255" w:rsidRDefault="00000000">
            <w:pPr>
              <w:pStyle w:val="TableParagraph"/>
              <w:ind w:right="199"/>
              <w:rPr>
                <w:sz w:val="20"/>
              </w:rPr>
            </w:pPr>
            <w:r>
              <w:rPr>
                <w:spacing w:val="-5"/>
                <w:sz w:val="20"/>
              </w:rPr>
              <w:t>(7)</w:t>
            </w:r>
          </w:p>
        </w:tc>
        <w:tc>
          <w:tcPr>
            <w:tcW w:w="1151" w:type="dxa"/>
            <w:gridSpan w:val="2"/>
            <w:tcBorders>
              <w:left w:val="single" w:sz="8" w:space="0" w:color="000000"/>
            </w:tcBorders>
            <w:shd w:val="clear" w:color="auto" w:fill="CCEDFF"/>
          </w:tcPr>
          <w:p w14:paraId="6FD6E2FF" w14:textId="77777777" w:rsidR="00AE2255" w:rsidRDefault="00000000">
            <w:pPr>
              <w:pStyle w:val="TableParagraph"/>
              <w:ind w:left="703"/>
              <w:jc w:val="left"/>
              <w:rPr>
                <w:b/>
                <w:sz w:val="20"/>
              </w:rPr>
            </w:pPr>
            <w:r>
              <w:rPr>
                <w:b/>
                <w:spacing w:val="-5"/>
                <w:sz w:val="20"/>
              </w:rPr>
              <w:t>283</w:t>
            </w:r>
          </w:p>
        </w:tc>
        <w:tc>
          <w:tcPr>
            <w:tcW w:w="975" w:type="dxa"/>
            <w:shd w:val="clear" w:color="auto" w:fill="CCEDFF"/>
          </w:tcPr>
          <w:p w14:paraId="21CF3199" w14:textId="77777777" w:rsidR="00AE2255" w:rsidRDefault="00000000">
            <w:pPr>
              <w:pStyle w:val="TableParagraph"/>
              <w:ind w:right="135"/>
              <w:rPr>
                <w:sz w:val="20"/>
              </w:rPr>
            </w:pPr>
            <w:r>
              <w:rPr>
                <w:spacing w:val="-5"/>
                <w:sz w:val="20"/>
              </w:rPr>
              <w:t>274</w:t>
            </w:r>
          </w:p>
        </w:tc>
        <w:tc>
          <w:tcPr>
            <w:tcW w:w="919" w:type="dxa"/>
            <w:shd w:val="clear" w:color="auto" w:fill="CCEDFF"/>
          </w:tcPr>
          <w:p w14:paraId="24AE6FDC" w14:textId="77777777" w:rsidR="00AE2255" w:rsidRDefault="00000000">
            <w:pPr>
              <w:pStyle w:val="TableParagraph"/>
              <w:ind w:right="79"/>
              <w:rPr>
                <w:sz w:val="20"/>
              </w:rPr>
            </w:pPr>
            <w:r>
              <w:rPr>
                <w:spacing w:val="-5"/>
                <w:sz w:val="20"/>
              </w:rPr>
              <w:t>269</w:t>
            </w:r>
          </w:p>
        </w:tc>
      </w:tr>
      <w:tr w:rsidR="00AE2255" w14:paraId="22232569" w14:textId="77777777">
        <w:trPr>
          <w:trHeight w:val="285"/>
        </w:trPr>
        <w:tc>
          <w:tcPr>
            <w:tcW w:w="3820" w:type="dxa"/>
          </w:tcPr>
          <w:p w14:paraId="28D4F707" w14:textId="77777777" w:rsidR="00AE2255" w:rsidRDefault="00000000">
            <w:pPr>
              <w:pStyle w:val="TableParagraph"/>
              <w:spacing w:before="27"/>
              <w:ind w:right="339"/>
              <w:rPr>
                <w:sz w:val="20"/>
              </w:rPr>
            </w:pPr>
            <w:r>
              <w:rPr>
                <w:sz w:val="20"/>
              </w:rPr>
              <w:t>Retiree</w:t>
            </w:r>
            <w:r>
              <w:rPr>
                <w:spacing w:val="-5"/>
                <w:sz w:val="20"/>
              </w:rPr>
              <w:t xml:space="preserve"> </w:t>
            </w:r>
            <w:r>
              <w:rPr>
                <w:sz w:val="20"/>
              </w:rPr>
              <w:t>medical</w:t>
            </w:r>
            <w:r>
              <w:rPr>
                <w:spacing w:val="-4"/>
                <w:sz w:val="20"/>
              </w:rPr>
              <w:t xml:space="preserve"> </w:t>
            </w:r>
            <w:r>
              <w:rPr>
                <w:sz w:val="20"/>
              </w:rPr>
              <w:t>and</w:t>
            </w:r>
            <w:r>
              <w:rPr>
                <w:spacing w:val="-4"/>
                <w:sz w:val="20"/>
              </w:rPr>
              <w:t xml:space="preserve"> </w:t>
            </w:r>
            <w:r>
              <w:rPr>
                <w:sz w:val="20"/>
              </w:rPr>
              <w:t>life</w:t>
            </w:r>
            <w:r>
              <w:rPr>
                <w:spacing w:val="-4"/>
                <w:sz w:val="20"/>
              </w:rPr>
              <w:t xml:space="preserve"> </w:t>
            </w:r>
            <w:r>
              <w:rPr>
                <w:sz w:val="20"/>
              </w:rPr>
              <w:t>insurance</w:t>
            </w:r>
            <w:r>
              <w:rPr>
                <w:spacing w:val="-4"/>
                <w:sz w:val="20"/>
              </w:rPr>
              <w:t xml:space="preserve"> plans</w:t>
            </w:r>
          </w:p>
        </w:tc>
        <w:tc>
          <w:tcPr>
            <w:tcW w:w="1246" w:type="dxa"/>
          </w:tcPr>
          <w:p w14:paraId="0D159EC3" w14:textId="77777777" w:rsidR="00AE2255" w:rsidRDefault="00000000">
            <w:pPr>
              <w:pStyle w:val="TableParagraph"/>
              <w:ind w:right="70"/>
              <w:rPr>
                <w:b/>
                <w:sz w:val="20"/>
              </w:rPr>
            </w:pPr>
            <w:r>
              <w:rPr>
                <w:b/>
                <w:spacing w:val="-5"/>
                <w:sz w:val="20"/>
              </w:rPr>
              <w:t>(1)</w:t>
            </w:r>
          </w:p>
        </w:tc>
        <w:tc>
          <w:tcPr>
            <w:tcW w:w="975" w:type="dxa"/>
          </w:tcPr>
          <w:p w14:paraId="117862CE" w14:textId="77777777" w:rsidR="00AE2255" w:rsidRDefault="00000000">
            <w:pPr>
              <w:pStyle w:val="TableParagraph"/>
              <w:ind w:right="135"/>
              <w:rPr>
                <w:sz w:val="20"/>
              </w:rPr>
            </w:pPr>
            <w:r>
              <w:rPr>
                <w:sz w:val="20"/>
              </w:rPr>
              <w:t>—</w:t>
            </w:r>
          </w:p>
        </w:tc>
        <w:tc>
          <w:tcPr>
            <w:tcW w:w="1114" w:type="dxa"/>
            <w:tcBorders>
              <w:right w:val="single" w:sz="8" w:space="0" w:color="000000"/>
            </w:tcBorders>
          </w:tcPr>
          <w:p w14:paraId="527322A5" w14:textId="77777777" w:rsidR="00AE2255" w:rsidRDefault="00000000">
            <w:pPr>
              <w:pStyle w:val="TableParagraph"/>
              <w:ind w:right="264"/>
              <w:rPr>
                <w:sz w:val="20"/>
              </w:rPr>
            </w:pPr>
            <w:r>
              <w:rPr>
                <w:sz w:val="20"/>
              </w:rPr>
              <w:t>6</w:t>
            </w:r>
          </w:p>
        </w:tc>
        <w:tc>
          <w:tcPr>
            <w:tcW w:w="1151" w:type="dxa"/>
            <w:gridSpan w:val="2"/>
            <w:tcBorders>
              <w:left w:val="single" w:sz="8" w:space="0" w:color="000000"/>
            </w:tcBorders>
          </w:tcPr>
          <w:p w14:paraId="2604FB6B" w14:textId="77777777" w:rsidR="00AE2255" w:rsidRDefault="00000000">
            <w:pPr>
              <w:pStyle w:val="TableParagraph"/>
              <w:ind w:left="736"/>
              <w:jc w:val="left"/>
              <w:rPr>
                <w:b/>
                <w:sz w:val="20"/>
              </w:rPr>
            </w:pPr>
            <w:r>
              <w:rPr>
                <w:b/>
                <w:spacing w:val="-4"/>
                <w:sz w:val="20"/>
              </w:rPr>
              <w:t>(22)</w:t>
            </w:r>
          </w:p>
        </w:tc>
        <w:tc>
          <w:tcPr>
            <w:tcW w:w="975" w:type="dxa"/>
          </w:tcPr>
          <w:p w14:paraId="282E0BCB" w14:textId="77777777" w:rsidR="00AE2255" w:rsidRDefault="00000000">
            <w:pPr>
              <w:pStyle w:val="TableParagraph"/>
              <w:ind w:right="70"/>
              <w:rPr>
                <w:sz w:val="20"/>
              </w:rPr>
            </w:pPr>
            <w:r>
              <w:rPr>
                <w:spacing w:val="-4"/>
                <w:sz w:val="20"/>
              </w:rPr>
              <w:t>(29)</w:t>
            </w:r>
          </w:p>
        </w:tc>
        <w:tc>
          <w:tcPr>
            <w:tcW w:w="919" w:type="dxa"/>
          </w:tcPr>
          <w:p w14:paraId="09872F02" w14:textId="77777777" w:rsidR="00AE2255" w:rsidRDefault="00000000">
            <w:pPr>
              <w:pStyle w:val="TableParagraph"/>
              <w:ind w:right="14"/>
              <w:rPr>
                <w:sz w:val="20"/>
              </w:rPr>
            </w:pPr>
            <w:r>
              <w:rPr>
                <w:spacing w:val="-4"/>
                <w:sz w:val="20"/>
              </w:rPr>
              <w:t>(30)</w:t>
            </w:r>
          </w:p>
        </w:tc>
      </w:tr>
      <w:tr w:rsidR="00AE2255" w14:paraId="178FD901" w14:textId="77777777">
        <w:trPr>
          <w:trHeight w:val="275"/>
        </w:trPr>
        <w:tc>
          <w:tcPr>
            <w:tcW w:w="3820" w:type="dxa"/>
            <w:tcBorders>
              <w:bottom w:val="single" w:sz="8" w:space="0" w:color="000000"/>
            </w:tcBorders>
            <w:shd w:val="clear" w:color="auto" w:fill="CCEDFF"/>
          </w:tcPr>
          <w:p w14:paraId="395F0423" w14:textId="77777777" w:rsidR="00AE2255" w:rsidRDefault="00000000">
            <w:pPr>
              <w:pStyle w:val="TableParagraph"/>
              <w:spacing w:before="27" w:line="228" w:lineRule="exact"/>
              <w:ind w:left="277"/>
              <w:jc w:val="left"/>
              <w:rPr>
                <w:sz w:val="20"/>
              </w:rPr>
            </w:pPr>
            <w:r>
              <w:rPr>
                <w:sz w:val="20"/>
              </w:rPr>
              <w:t>Other</w:t>
            </w:r>
            <w:r>
              <w:rPr>
                <w:spacing w:val="-3"/>
                <w:sz w:val="20"/>
              </w:rPr>
              <w:t xml:space="preserve"> </w:t>
            </w:r>
            <w:r>
              <w:rPr>
                <w:spacing w:val="-2"/>
                <w:sz w:val="20"/>
              </w:rPr>
              <w:t>plans</w:t>
            </w:r>
          </w:p>
        </w:tc>
        <w:tc>
          <w:tcPr>
            <w:tcW w:w="1246" w:type="dxa"/>
            <w:tcBorders>
              <w:bottom w:val="single" w:sz="8" w:space="0" w:color="000000"/>
            </w:tcBorders>
            <w:shd w:val="clear" w:color="auto" w:fill="CCEDFF"/>
          </w:tcPr>
          <w:p w14:paraId="0D2E8823" w14:textId="77777777" w:rsidR="00AE2255" w:rsidRDefault="00000000">
            <w:pPr>
              <w:pStyle w:val="TableParagraph"/>
              <w:spacing w:line="230" w:lineRule="exact"/>
              <w:ind w:right="70"/>
              <w:rPr>
                <w:b/>
                <w:sz w:val="20"/>
              </w:rPr>
            </w:pPr>
            <w:r>
              <w:rPr>
                <w:b/>
                <w:spacing w:val="-5"/>
                <w:sz w:val="20"/>
              </w:rPr>
              <w:t>(2)</w:t>
            </w:r>
          </w:p>
        </w:tc>
        <w:tc>
          <w:tcPr>
            <w:tcW w:w="975" w:type="dxa"/>
            <w:tcBorders>
              <w:bottom w:val="single" w:sz="8" w:space="0" w:color="000000"/>
            </w:tcBorders>
            <w:shd w:val="clear" w:color="auto" w:fill="CCEDFF"/>
          </w:tcPr>
          <w:p w14:paraId="4D295CE3" w14:textId="77777777" w:rsidR="00AE2255" w:rsidRDefault="00000000">
            <w:pPr>
              <w:pStyle w:val="TableParagraph"/>
              <w:spacing w:line="230" w:lineRule="exact"/>
              <w:ind w:right="135"/>
              <w:rPr>
                <w:sz w:val="20"/>
              </w:rPr>
            </w:pPr>
            <w:r>
              <w:rPr>
                <w:sz w:val="20"/>
              </w:rPr>
              <w:t>—</w:t>
            </w:r>
          </w:p>
        </w:tc>
        <w:tc>
          <w:tcPr>
            <w:tcW w:w="1114" w:type="dxa"/>
            <w:tcBorders>
              <w:bottom w:val="single" w:sz="8" w:space="0" w:color="000000"/>
              <w:right w:val="single" w:sz="8" w:space="0" w:color="000000"/>
            </w:tcBorders>
            <w:shd w:val="clear" w:color="auto" w:fill="CCEDFF"/>
          </w:tcPr>
          <w:p w14:paraId="46DD56D1" w14:textId="77777777" w:rsidR="00AE2255" w:rsidRDefault="00000000">
            <w:pPr>
              <w:pStyle w:val="TableParagraph"/>
              <w:spacing w:line="230" w:lineRule="exact"/>
              <w:ind w:right="264"/>
              <w:rPr>
                <w:sz w:val="20"/>
              </w:rPr>
            </w:pPr>
            <w:r>
              <w:rPr>
                <w:sz w:val="20"/>
              </w:rPr>
              <w:t>—</w:t>
            </w:r>
          </w:p>
        </w:tc>
        <w:tc>
          <w:tcPr>
            <w:tcW w:w="1151" w:type="dxa"/>
            <w:gridSpan w:val="2"/>
            <w:tcBorders>
              <w:left w:val="single" w:sz="8" w:space="0" w:color="000000"/>
              <w:bottom w:val="single" w:sz="8" w:space="0" w:color="000000"/>
            </w:tcBorders>
            <w:shd w:val="clear" w:color="auto" w:fill="CCEDFF"/>
          </w:tcPr>
          <w:p w14:paraId="34586E69" w14:textId="77777777" w:rsidR="00AE2255" w:rsidRDefault="00000000">
            <w:pPr>
              <w:pStyle w:val="TableParagraph"/>
              <w:spacing w:line="230" w:lineRule="exact"/>
              <w:ind w:right="135"/>
              <w:rPr>
                <w:b/>
                <w:sz w:val="20"/>
              </w:rPr>
            </w:pPr>
            <w:r>
              <w:rPr>
                <w:b/>
                <w:sz w:val="20"/>
              </w:rPr>
              <w:t>7</w:t>
            </w:r>
          </w:p>
        </w:tc>
        <w:tc>
          <w:tcPr>
            <w:tcW w:w="975" w:type="dxa"/>
            <w:tcBorders>
              <w:bottom w:val="single" w:sz="8" w:space="0" w:color="000000"/>
            </w:tcBorders>
            <w:shd w:val="clear" w:color="auto" w:fill="CCEDFF"/>
          </w:tcPr>
          <w:p w14:paraId="3F908DDB" w14:textId="77777777" w:rsidR="00AE2255" w:rsidRDefault="00000000">
            <w:pPr>
              <w:pStyle w:val="TableParagraph"/>
              <w:spacing w:line="230" w:lineRule="exact"/>
              <w:ind w:right="135"/>
              <w:rPr>
                <w:sz w:val="20"/>
              </w:rPr>
            </w:pPr>
            <w:r>
              <w:rPr>
                <w:spacing w:val="-5"/>
                <w:sz w:val="20"/>
              </w:rPr>
              <w:t>11</w:t>
            </w:r>
          </w:p>
        </w:tc>
        <w:tc>
          <w:tcPr>
            <w:tcW w:w="919" w:type="dxa"/>
            <w:tcBorders>
              <w:bottom w:val="single" w:sz="8" w:space="0" w:color="000000"/>
            </w:tcBorders>
            <w:shd w:val="clear" w:color="auto" w:fill="CCEDFF"/>
          </w:tcPr>
          <w:p w14:paraId="279EF0FD" w14:textId="77777777" w:rsidR="00AE2255" w:rsidRDefault="00000000">
            <w:pPr>
              <w:pStyle w:val="TableParagraph"/>
              <w:spacing w:line="230" w:lineRule="exact"/>
              <w:ind w:right="79"/>
              <w:rPr>
                <w:sz w:val="20"/>
              </w:rPr>
            </w:pPr>
            <w:r>
              <w:rPr>
                <w:spacing w:val="-5"/>
                <w:sz w:val="20"/>
              </w:rPr>
              <w:t>10</w:t>
            </w:r>
          </w:p>
        </w:tc>
      </w:tr>
      <w:tr w:rsidR="00AE2255" w14:paraId="401171B8" w14:textId="77777777">
        <w:trPr>
          <w:trHeight w:val="265"/>
        </w:trPr>
        <w:tc>
          <w:tcPr>
            <w:tcW w:w="3820" w:type="dxa"/>
            <w:tcBorders>
              <w:top w:val="single" w:sz="8" w:space="0" w:color="000000"/>
              <w:bottom w:val="single" w:sz="8" w:space="0" w:color="000000"/>
            </w:tcBorders>
          </w:tcPr>
          <w:p w14:paraId="0484AC98" w14:textId="77777777" w:rsidR="00AE2255" w:rsidRDefault="00AE2255">
            <w:pPr>
              <w:pStyle w:val="TableParagraph"/>
              <w:spacing w:before="0"/>
              <w:jc w:val="left"/>
              <w:rPr>
                <w:sz w:val="18"/>
              </w:rPr>
            </w:pPr>
          </w:p>
        </w:tc>
        <w:tc>
          <w:tcPr>
            <w:tcW w:w="1246" w:type="dxa"/>
            <w:tcBorders>
              <w:top w:val="single" w:sz="8" w:space="0" w:color="000000"/>
              <w:bottom w:val="single" w:sz="8" w:space="0" w:color="000000"/>
            </w:tcBorders>
          </w:tcPr>
          <w:p w14:paraId="70DE03A8" w14:textId="77777777" w:rsidR="00AE2255" w:rsidRDefault="00000000">
            <w:pPr>
              <w:pStyle w:val="TableParagraph"/>
              <w:spacing w:before="15" w:line="230" w:lineRule="exact"/>
              <w:ind w:right="70"/>
              <w:rPr>
                <w:b/>
                <w:sz w:val="20"/>
              </w:rPr>
            </w:pPr>
            <w:r>
              <w:rPr>
                <w:b/>
                <w:spacing w:val="-2"/>
                <w:sz w:val="20"/>
              </w:rPr>
              <w:t>(149)</w:t>
            </w:r>
          </w:p>
        </w:tc>
        <w:tc>
          <w:tcPr>
            <w:tcW w:w="975" w:type="dxa"/>
            <w:tcBorders>
              <w:top w:val="single" w:sz="8" w:space="0" w:color="000000"/>
              <w:bottom w:val="single" w:sz="8" w:space="0" w:color="000000"/>
            </w:tcBorders>
          </w:tcPr>
          <w:p w14:paraId="103F25F7" w14:textId="77777777" w:rsidR="00AE2255" w:rsidRDefault="00000000">
            <w:pPr>
              <w:pStyle w:val="TableParagraph"/>
              <w:spacing w:before="15" w:line="230" w:lineRule="exact"/>
              <w:ind w:right="70"/>
              <w:rPr>
                <w:sz w:val="20"/>
              </w:rPr>
            </w:pPr>
            <w:r>
              <w:rPr>
                <w:spacing w:val="-5"/>
                <w:sz w:val="20"/>
              </w:rPr>
              <w:t>(1)</w:t>
            </w:r>
          </w:p>
        </w:tc>
        <w:tc>
          <w:tcPr>
            <w:tcW w:w="1114" w:type="dxa"/>
            <w:tcBorders>
              <w:top w:val="single" w:sz="8" w:space="0" w:color="000000"/>
              <w:bottom w:val="single" w:sz="8" w:space="0" w:color="000000"/>
              <w:right w:val="single" w:sz="8" w:space="0" w:color="000000"/>
            </w:tcBorders>
          </w:tcPr>
          <w:p w14:paraId="61A037CA" w14:textId="77777777" w:rsidR="00AE2255" w:rsidRDefault="00000000">
            <w:pPr>
              <w:pStyle w:val="TableParagraph"/>
              <w:spacing w:before="15" w:line="230" w:lineRule="exact"/>
              <w:ind w:right="199"/>
              <w:rPr>
                <w:sz w:val="20"/>
              </w:rPr>
            </w:pPr>
            <w:r>
              <w:rPr>
                <w:spacing w:val="-5"/>
                <w:sz w:val="20"/>
              </w:rPr>
              <w:t>(1)</w:t>
            </w:r>
          </w:p>
        </w:tc>
        <w:tc>
          <w:tcPr>
            <w:tcW w:w="1151" w:type="dxa"/>
            <w:gridSpan w:val="2"/>
            <w:tcBorders>
              <w:top w:val="single" w:sz="8" w:space="0" w:color="000000"/>
              <w:left w:val="single" w:sz="8" w:space="0" w:color="000000"/>
              <w:bottom w:val="single" w:sz="8" w:space="0" w:color="000000"/>
            </w:tcBorders>
          </w:tcPr>
          <w:p w14:paraId="5A893006" w14:textId="77777777" w:rsidR="00AE2255" w:rsidRDefault="00000000">
            <w:pPr>
              <w:pStyle w:val="TableParagraph"/>
              <w:spacing w:before="15" w:line="230" w:lineRule="exact"/>
              <w:ind w:left="703"/>
              <w:jc w:val="left"/>
              <w:rPr>
                <w:b/>
                <w:sz w:val="20"/>
              </w:rPr>
            </w:pPr>
            <w:r>
              <w:rPr>
                <w:b/>
                <w:spacing w:val="-5"/>
                <w:sz w:val="20"/>
              </w:rPr>
              <w:t>268</w:t>
            </w:r>
          </w:p>
        </w:tc>
        <w:tc>
          <w:tcPr>
            <w:tcW w:w="975" w:type="dxa"/>
            <w:tcBorders>
              <w:top w:val="single" w:sz="8" w:space="0" w:color="000000"/>
              <w:bottom w:val="single" w:sz="8" w:space="0" w:color="000000"/>
            </w:tcBorders>
          </w:tcPr>
          <w:p w14:paraId="5C0448BE" w14:textId="77777777" w:rsidR="00AE2255" w:rsidRDefault="00000000">
            <w:pPr>
              <w:pStyle w:val="TableParagraph"/>
              <w:spacing w:before="15" w:line="230" w:lineRule="exact"/>
              <w:ind w:right="135"/>
              <w:rPr>
                <w:sz w:val="20"/>
              </w:rPr>
            </w:pPr>
            <w:r>
              <w:rPr>
                <w:spacing w:val="-5"/>
                <w:sz w:val="20"/>
              </w:rPr>
              <w:t>256</w:t>
            </w:r>
          </w:p>
        </w:tc>
        <w:tc>
          <w:tcPr>
            <w:tcW w:w="919" w:type="dxa"/>
            <w:tcBorders>
              <w:top w:val="single" w:sz="8" w:space="0" w:color="000000"/>
              <w:bottom w:val="single" w:sz="8" w:space="0" w:color="000000"/>
            </w:tcBorders>
          </w:tcPr>
          <w:p w14:paraId="2B6796D0" w14:textId="77777777" w:rsidR="00AE2255" w:rsidRDefault="00000000">
            <w:pPr>
              <w:pStyle w:val="TableParagraph"/>
              <w:spacing w:before="15" w:line="230" w:lineRule="exact"/>
              <w:ind w:right="79"/>
              <w:rPr>
                <w:sz w:val="20"/>
              </w:rPr>
            </w:pPr>
            <w:r>
              <w:rPr>
                <w:spacing w:val="-5"/>
                <w:sz w:val="20"/>
              </w:rPr>
              <w:t>249</w:t>
            </w:r>
          </w:p>
        </w:tc>
      </w:tr>
      <w:tr w:rsidR="00AE2255" w14:paraId="011F9258" w14:textId="77777777">
        <w:trPr>
          <w:trHeight w:val="252"/>
        </w:trPr>
        <w:tc>
          <w:tcPr>
            <w:tcW w:w="3820" w:type="dxa"/>
            <w:tcBorders>
              <w:top w:val="single" w:sz="8" w:space="0" w:color="000000"/>
              <w:bottom w:val="single" w:sz="18" w:space="0" w:color="000000"/>
            </w:tcBorders>
            <w:shd w:val="clear" w:color="auto" w:fill="CCEDFF"/>
          </w:tcPr>
          <w:p w14:paraId="7844769C" w14:textId="77777777" w:rsidR="00AE2255" w:rsidRDefault="00000000">
            <w:pPr>
              <w:pStyle w:val="TableParagraph"/>
              <w:spacing w:before="13" w:line="219" w:lineRule="exact"/>
              <w:ind w:left="52"/>
              <w:jc w:val="left"/>
              <w:rPr>
                <w:b/>
                <w:sz w:val="20"/>
              </w:rPr>
            </w:pPr>
            <w:r>
              <w:rPr>
                <w:b/>
                <w:spacing w:val="-2"/>
                <w:sz w:val="20"/>
              </w:rPr>
              <w:t>Total</w:t>
            </w:r>
          </w:p>
        </w:tc>
        <w:tc>
          <w:tcPr>
            <w:tcW w:w="1246" w:type="dxa"/>
            <w:tcBorders>
              <w:top w:val="single" w:sz="8" w:space="0" w:color="000000"/>
              <w:bottom w:val="single" w:sz="18" w:space="0" w:color="000000"/>
            </w:tcBorders>
            <w:shd w:val="clear" w:color="auto" w:fill="CCEDFF"/>
          </w:tcPr>
          <w:p w14:paraId="7587258C" w14:textId="77777777" w:rsidR="00AE2255" w:rsidRDefault="00000000">
            <w:pPr>
              <w:pStyle w:val="TableParagraph"/>
              <w:tabs>
                <w:tab w:val="left" w:pos="658"/>
              </w:tabs>
              <w:spacing w:before="15" w:line="217" w:lineRule="exact"/>
              <w:ind w:left="342"/>
              <w:jc w:val="left"/>
              <w:rPr>
                <w:b/>
                <w:sz w:val="20"/>
              </w:rPr>
            </w:pPr>
            <w:r>
              <w:rPr>
                <w:b/>
                <w:spacing w:val="-10"/>
                <w:sz w:val="20"/>
              </w:rPr>
              <w:t>$</w:t>
            </w:r>
            <w:r>
              <w:rPr>
                <w:b/>
                <w:sz w:val="20"/>
              </w:rPr>
              <w:tab/>
            </w:r>
            <w:r>
              <w:rPr>
                <w:b/>
                <w:spacing w:val="-2"/>
                <w:sz w:val="20"/>
              </w:rPr>
              <w:t>1,873</w:t>
            </w:r>
          </w:p>
        </w:tc>
        <w:tc>
          <w:tcPr>
            <w:tcW w:w="975" w:type="dxa"/>
            <w:tcBorders>
              <w:top w:val="single" w:sz="8" w:space="0" w:color="000000"/>
              <w:bottom w:val="single" w:sz="18" w:space="0" w:color="000000"/>
            </w:tcBorders>
            <w:shd w:val="clear" w:color="auto" w:fill="CCEDFF"/>
          </w:tcPr>
          <w:p w14:paraId="5CB854D5" w14:textId="77777777" w:rsidR="00AE2255" w:rsidRDefault="00000000">
            <w:pPr>
              <w:pStyle w:val="TableParagraph"/>
              <w:tabs>
                <w:tab w:val="left" w:pos="387"/>
              </w:tabs>
              <w:spacing w:before="15" w:line="217" w:lineRule="exact"/>
              <w:ind w:left="71"/>
              <w:jc w:val="left"/>
              <w:rPr>
                <w:sz w:val="20"/>
              </w:rPr>
            </w:pPr>
            <w:r>
              <w:rPr>
                <w:spacing w:val="-10"/>
                <w:sz w:val="20"/>
              </w:rPr>
              <w:t>$</w:t>
            </w:r>
            <w:r>
              <w:rPr>
                <w:sz w:val="20"/>
              </w:rPr>
              <w:tab/>
            </w:r>
            <w:r>
              <w:rPr>
                <w:spacing w:val="-2"/>
                <w:sz w:val="20"/>
              </w:rPr>
              <w:t>3,404</w:t>
            </w:r>
          </w:p>
        </w:tc>
        <w:tc>
          <w:tcPr>
            <w:tcW w:w="1114" w:type="dxa"/>
            <w:tcBorders>
              <w:top w:val="single" w:sz="8" w:space="0" w:color="000000"/>
              <w:bottom w:val="single" w:sz="18" w:space="0" w:color="000000"/>
              <w:right w:val="single" w:sz="8" w:space="0" w:color="000000"/>
            </w:tcBorders>
            <w:shd w:val="clear" w:color="auto" w:fill="CCEDFF"/>
          </w:tcPr>
          <w:p w14:paraId="269B5BA7" w14:textId="77777777" w:rsidR="00AE2255" w:rsidRDefault="00000000">
            <w:pPr>
              <w:pStyle w:val="TableParagraph"/>
              <w:spacing w:before="15" w:line="217" w:lineRule="exact"/>
              <w:ind w:right="199"/>
              <w:rPr>
                <w:sz w:val="20"/>
              </w:rPr>
            </w:pPr>
            <w:r>
              <w:rPr>
                <w:sz w:val="20"/>
              </w:rPr>
              <w:t>$</w:t>
            </w:r>
            <w:r>
              <w:rPr>
                <w:spacing w:val="74"/>
                <w:w w:val="150"/>
                <w:sz w:val="20"/>
              </w:rPr>
              <w:t xml:space="preserve"> </w:t>
            </w:r>
            <w:r>
              <w:rPr>
                <w:spacing w:val="-2"/>
                <w:sz w:val="20"/>
              </w:rPr>
              <w:t>(1,067)</w:t>
            </w:r>
          </w:p>
        </w:tc>
        <w:tc>
          <w:tcPr>
            <w:tcW w:w="1151" w:type="dxa"/>
            <w:gridSpan w:val="2"/>
            <w:tcBorders>
              <w:top w:val="single" w:sz="8" w:space="0" w:color="000000"/>
              <w:left w:val="single" w:sz="8" w:space="0" w:color="000000"/>
              <w:bottom w:val="single" w:sz="18" w:space="0" w:color="000000"/>
            </w:tcBorders>
            <w:shd w:val="clear" w:color="auto" w:fill="CCEDFF"/>
          </w:tcPr>
          <w:p w14:paraId="3117DB34" w14:textId="77777777" w:rsidR="00AE2255" w:rsidRDefault="00000000">
            <w:pPr>
              <w:pStyle w:val="TableParagraph"/>
              <w:spacing w:before="15" w:line="217" w:lineRule="exact"/>
              <w:ind w:left="237"/>
              <w:jc w:val="left"/>
              <w:rPr>
                <w:b/>
                <w:sz w:val="20"/>
              </w:rPr>
            </w:pPr>
            <w:r>
              <w:rPr>
                <w:b/>
                <w:sz w:val="20"/>
              </w:rPr>
              <w:t>$</w:t>
            </w:r>
            <w:r>
              <w:rPr>
                <w:b/>
                <w:spacing w:val="74"/>
                <w:w w:val="150"/>
                <w:sz w:val="20"/>
              </w:rPr>
              <w:t xml:space="preserve"> </w:t>
            </w:r>
            <w:r>
              <w:rPr>
                <w:b/>
                <w:spacing w:val="-2"/>
                <w:sz w:val="20"/>
              </w:rPr>
              <w:t>(1,225)</w:t>
            </w:r>
          </w:p>
        </w:tc>
        <w:tc>
          <w:tcPr>
            <w:tcW w:w="975" w:type="dxa"/>
            <w:tcBorders>
              <w:top w:val="single" w:sz="8" w:space="0" w:color="000000"/>
              <w:bottom w:val="single" w:sz="18" w:space="0" w:color="000000"/>
            </w:tcBorders>
            <w:shd w:val="clear" w:color="auto" w:fill="CCEDFF"/>
          </w:tcPr>
          <w:p w14:paraId="7B4122F1" w14:textId="77777777" w:rsidR="00AE2255" w:rsidRDefault="00000000">
            <w:pPr>
              <w:pStyle w:val="TableParagraph"/>
              <w:spacing w:before="15" w:line="217" w:lineRule="exact"/>
              <w:ind w:right="70"/>
              <w:rPr>
                <w:sz w:val="20"/>
              </w:rPr>
            </w:pPr>
            <w:r>
              <w:rPr>
                <w:sz w:val="20"/>
              </w:rPr>
              <w:t>$</w:t>
            </w:r>
            <w:r>
              <w:rPr>
                <w:spacing w:val="74"/>
                <w:w w:val="150"/>
                <w:sz w:val="20"/>
              </w:rPr>
              <w:t xml:space="preserve"> </w:t>
            </w:r>
            <w:r>
              <w:rPr>
                <w:spacing w:val="-2"/>
                <w:sz w:val="20"/>
              </w:rPr>
              <w:t>(1,787)</w:t>
            </w:r>
          </w:p>
        </w:tc>
        <w:tc>
          <w:tcPr>
            <w:tcW w:w="919" w:type="dxa"/>
            <w:tcBorders>
              <w:top w:val="single" w:sz="8" w:space="0" w:color="000000"/>
              <w:bottom w:val="single" w:sz="18" w:space="0" w:color="000000"/>
            </w:tcBorders>
            <w:shd w:val="clear" w:color="auto" w:fill="CCEDFF"/>
          </w:tcPr>
          <w:p w14:paraId="0CE67B94" w14:textId="77777777" w:rsidR="00AE2255" w:rsidRDefault="00000000">
            <w:pPr>
              <w:pStyle w:val="TableParagraph"/>
              <w:tabs>
                <w:tab w:val="left" w:pos="399"/>
              </w:tabs>
              <w:spacing w:before="15" w:line="217" w:lineRule="exact"/>
              <w:ind w:right="14"/>
              <w:rPr>
                <w:sz w:val="20"/>
              </w:rPr>
            </w:pPr>
            <w:r>
              <w:rPr>
                <w:spacing w:val="-10"/>
                <w:sz w:val="20"/>
              </w:rPr>
              <w:t>$</w:t>
            </w:r>
            <w:r>
              <w:rPr>
                <w:sz w:val="20"/>
              </w:rPr>
              <w:tab/>
            </w:r>
            <w:r>
              <w:rPr>
                <w:spacing w:val="-2"/>
                <w:sz w:val="20"/>
              </w:rPr>
              <w:t>(440)</w:t>
            </w:r>
          </w:p>
        </w:tc>
      </w:tr>
    </w:tbl>
    <w:p w14:paraId="333DE893" w14:textId="77777777" w:rsidR="00AE2255" w:rsidRDefault="00AE2255">
      <w:pPr>
        <w:pStyle w:val="BodyText"/>
        <w:spacing w:before="5"/>
        <w:rPr>
          <w:sz w:val="21"/>
        </w:rPr>
      </w:pPr>
    </w:p>
    <w:p w14:paraId="6910287E" w14:textId="77777777" w:rsidR="00AE2255" w:rsidRDefault="00000000">
      <w:pPr>
        <w:pStyle w:val="Heading3"/>
      </w:pPr>
      <w:r>
        <w:t>Assumptions</w:t>
      </w:r>
      <w:r>
        <w:rPr>
          <w:spacing w:val="-8"/>
        </w:rPr>
        <w:t xml:space="preserve"> </w:t>
      </w:r>
      <w:r>
        <w:t>Used</w:t>
      </w:r>
      <w:r>
        <w:rPr>
          <w:spacing w:val="-4"/>
        </w:rPr>
        <w:t xml:space="preserve"> </w:t>
      </w:r>
      <w:r>
        <w:t>to</w:t>
      </w:r>
      <w:r>
        <w:rPr>
          <w:spacing w:val="-5"/>
        </w:rPr>
        <w:t xml:space="preserve"> </w:t>
      </w:r>
      <w:r>
        <w:t>Determine</w:t>
      </w:r>
      <w:r>
        <w:rPr>
          <w:spacing w:val="-5"/>
        </w:rPr>
        <w:t xml:space="preserve"> </w:t>
      </w:r>
      <w:r>
        <w:t>Benefit</w:t>
      </w:r>
      <w:r>
        <w:rPr>
          <w:spacing w:val="-5"/>
        </w:rPr>
        <w:t xml:space="preserve"> </w:t>
      </w:r>
      <w:r>
        <w:t>Obligations</w:t>
      </w:r>
      <w:r>
        <w:rPr>
          <w:spacing w:val="-5"/>
        </w:rPr>
        <w:t xml:space="preserve"> </w:t>
      </w:r>
      <w:r>
        <w:t>and</w:t>
      </w:r>
      <w:r>
        <w:rPr>
          <w:spacing w:val="-5"/>
        </w:rPr>
        <w:t xml:space="preserve"> </w:t>
      </w:r>
      <w:r>
        <w:t>FAS</w:t>
      </w:r>
      <w:r>
        <w:rPr>
          <w:spacing w:val="-5"/>
        </w:rPr>
        <w:t xml:space="preserve"> </w:t>
      </w:r>
      <w:r>
        <w:t>(Expense)</w:t>
      </w:r>
      <w:r>
        <w:rPr>
          <w:spacing w:val="-4"/>
        </w:rPr>
        <w:t xml:space="preserve"> </w:t>
      </w:r>
      <w:r>
        <w:rPr>
          <w:spacing w:val="-2"/>
        </w:rPr>
        <w:t>Income</w:t>
      </w:r>
    </w:p>
    <w:p w14:paraId="2BEE4DFE" w14:textId="77777777" w:rsidR="00AE2255" w:rsidRDefault="00AE2255">
      <w:pPr>
        <w:pStyle w:val="BodyText"/>
        <w:spacing w:before="3"/>
        <w:rPr>
          <w:b/>
          <w:i/>
          <w:sz w:val="24"/>
        </w:rPr>
      </w:pPr>
    </w:p>
    <w:p w14:paraId="7032CDC1" w14:textId="77777777" w:rsidR="00AE2255" w:rsidRDefault="00000000">
      <w:pPr>
        <w:pStyle w:val="BodyText"/>
        <w:spacing w:line="232" w:lineRule="auto"/>
        <w:ind w:left="610" w:right="157" w:firstLine="360"/>
      </w:pPr>
      <w:r>
        <w:t>We</w:t>
      </w:r>
      <w:r>
        <w:rPr>
          <w:spacing w:val="-1"/>
        </w:rPr>
        <w:t xml:space="preserve"> </w:t>
      </w:r>
      <w:r>
        <w:t>measure</w:t>
      </w:r>
      <w:r>
        <w:rPr>
          <w:spacing w:val="-1"/>
        </w:rPr>
        <w:t xml:space="preserve"> </w:t>
      </w:r>
      <w:r>
        <w:t>the</w:t>
      </w:r>
      <w:r>
        <w:rPr>
          <w:spacing w:val="-1"/>
        </w:rPr>
        <w:t xml:space="preserve"> </w:t>
      </w:r>
      <w:r>
        <w:t>fair value</w:t>
      </w:r>
      <w:r>
        <w:rPr>
          <w:spacing w:val="-1"/>
        </w:rPr>
        <w:t xml:space="preserve"> </w:t>
      </w:r>
      <w:r>
        <w:t>of each plan’s</w:t>
      </w:r>
      <w:r>
        <w:rPr>
          <w:spacing w:val="-1"/>
        </w:rPr>
        <w:t xml:space="preserve"> </w:t>
      </w:r>
      <w:r>
        <w:t>assets</w:t>
      </w:r>
      <w:r>
        <w:rPr>
          <w:spacing w:val="-1"/>
        </w:rPr>
        <w:t xml:space="preserve"> </w:t>
      </w:r>
      <w:r>
        <w:t>and benefit</w:t>
      </w:r>
      <w:r>
        <w:rPr>
          <w:spacing w:val="-1"/>
        </w:rPr>
        <w:t xml:space="preserve"> </w:t>
      </w:r>
      <w:r>
        <w:t>obligation on December 31, consistent</w:t>
      </w:r>
      <w:r>
        <w:rPr>
          <w:spacing w:val="-1"/>
        </w:rPr>
        <w:t xml:space="preserve"> </w:t>
      </w:r>
      <w:r>
        <w:t>with our fiscal</w:t>
      </w:r>
      <w:r>
        <w:rPr>
          <w:spacing w:val="-1"/>
        </w:rPr>
        <w:t xml:space="preserve"> </w:t>
      </w:r>
      <w:r>
        <w:t>year end. Benefit</w:t>
      </w:r>
      <w:r>
        <w:rPr>
          <w:spacing w:val="-3"/>
        </w:rPr>
        <w:t xml:space="preserve"> </w:t>
      </w:r>
      <w:r>
        <w:t>obligations</w:t>
      </w:r>
      <w:r>
        <w:rPr>
          <w:spacing w:val="-3"/>
        </w:rPr>
        <w:t xml:space="preserve"> </w:t>
      </w:r>
      <w:r>
        <w:t>as</w:t>
      </w:r>
      <w:r>
        <w:rPr>
          <w:spacing w:val="-3"/>
        </w:rPr>
        <w:t xml:space="preserve"> </w:t>
      </w:r>
      <w:r>
        <w:t>of</w:t>
      </w:r>
      <w:r>
        <w:rPr>
          <w:spacing w:val="-2"/>
        </w:rPr>
        <w:t xml:space="preserve"> </w:t>
      </w:r>
      <w:r>
        <w:t>the</w:t>
      </w:r>
      <w:r>
        <w:rPr>
          <w:spacing w:val="-3"/>
        </w:rPr>
        <w:t xml:space="preserve"> </w:t>
      </w:r>
      <w:r>
        <w:t>end</w:t>
      </w:r>
      <w:r>
        <w:rPr>
          <w:spacing w:val="-2"/>
        </w:rPr>
        <w:t xml:space="preserve"> </w:t>
      </w:r>
      <w:r>
        <w:t>of</w:t>
      </w:r>
      <w:r>
        <w:rPr>
          <w:spacing w:val="-2"/>
        </w:rPr>
        <w:t xml:space="preserve"> </w:t>
      </w:r>
      <w:r>
        <w:t>each</w:t>
      </w:r>
      <w:r>
        <w:rPr>
          <w:spacing w:val="-2"/>
        </w:rPr>
        <w:t xml:space="preserve"> </w:t>
      </w:r>
      <w:r>
        <w:t>year</w:t>
      </w:r>
      <w:r>
        <w:rPr>
          <w:spacing w:val="-2"/>
        </w:rPr>
        <w:t xml:space="preserve"> </w:t>
      </w:r>
      <w:r>
        <w:t>reflect</w:t>
      </w:r>
      <w:r>
        <w:rPr>
          <w:spacing w:val="-3"/>
        </w:rPr>
        <w:t xml:space="preserve"> </w:t>
      </w:r>
      <w:r>
        <w:t>assumptions</w:t>
      </w:r>
      <w:r>
        <w:rPr>
          <w:spacing w:val="-3"/>
        </w:rPr>
        <w:t xml:space="preserve"> </w:t>
      </w:r>
      <w:r>
        <w:t>in</w:t>
      </w:r>
      <w:r>
        <w:rPr>
          <w:spacing w:val="-2"/>
        </w:rPr>
        <w:t xml:space="preserve"> </w:t>
      </w:r>
      <w:r>
        <w:t>effect</w:t>
      </w:r>
      <w:r>
        <w:rPr>
          <w:spacing w:val="-3"/>
        </w:rPr>
        <w:t xml:space="preserve"> </w:t>
      </w:r>
      <w:r>
        <w:t>as</w:t>
      </w:r>
      <w:r>
        <w:rPr>
          <w:spacing w:val="-3"/>
        </w:rPr>
        <w:t xml:space="preserve"> </w:t>
      </w:r>
      <w:r>
        <w:t>of</w:t>
      </w:r>
      <w:r>
        <w:rPr>
          <w:spacing w:val="-2"/>
        </w:rPr>
        <w:t xml:space="preserve"> </w:t>
      </w:r>
      <w:r>
        <w:t>those</w:t>
      </w:r>
      <w:r>
        <w:rPr>
          <w:spacing w:val="-3"/>
        </w:rPr>
        <w:t xml:space="preserve"> </w:t>
      </w:r>
      <w:r>
        <w:t>dates.</w:t>
      </w:r>
      <w:r>
        <w:rPr>
          <w:spacing w:val="-2"/>
        </w:rPr>
        <w:t xml:space="preserve"> </w:t>
      </w:r>
      <w:r>
        <w:t>Expense</w:t>
      </w:r>
      <w:r>
        <w:rPr>
          <w:spacing w:val="-3"/>
        </w:rPr>
        <w:t xml:space="preserve"> </w:t>
      </w:r>
      <w:r>
        <w:t>is</w:t>
      </w:r>
      <w:r>
        <w:rPr>
          <w:spacing w:val="-3"/>
        </w:rPr>
        <w:t xml:space="preserve"> </w:t>
      </w:r>
      <w:r>
        <w:t>based</w:t>
      </w:r>
      <w:r>
        <w:rPr>
          <w:spacing w:val="-2"/>
        </w:rPr>
        <w:t xml:space="preserve"> </w:t>
      </w:r>
      <w:r>
        <w:t>on</w:t>
      </w:r>
      <w:r>
        <w:rPr>
          <w:spacing w:val="-2"/>
        </w:rPr>
        <w:t xml:space="preserve"> </w:t>
      </w:r>
      <w:r>
        <w:t>assumptions</w:t>
      </w:r>
      <w:r>
        <w:rPr>
          <w:spacing w:val="-3"/>
        </w:rPr>
        <w:t xml:space="preserve"> </w:t>
      </w:r>
      <w:r>
        <w:t xml:space="preserve">in effect at the end of the preceding year or from the most recent interim remeasurement. The assumptions used to determine the benefit obligations </w:t>
      </w:r>
      <w:proofErr w:type="gramStart"/>
      <w:r>
        <w:t>at</w:t>
      </w:r>
      <w:proofErr w:type="gramEnd"/>
      <w:r>
        <w:t xml:space="preserve"> December 31 of each year and FAS expense for each subsequent year were as follows:</w:t>
      </w:r>
    </w:p>
    <w:p w14:paraId="680C6610" w14:textId="77777777" w:rsidR="00AE2255" w:rsidRDefault="00AE2255">
      <w:pPr>
        <w:pStyle w:val="BodyText"/>
        <w:rPr>
          <w:sz w:val="14"/>
        </w:rPr>
      </w:pPr>
    </w:p>
    <w:tbl>
      <w:tblPr>
        <w:tblW w:w="0" w:type="auto"/>
        <w:tblInd w:w="617" w:type="dxa"/>
        <w:tblLayout w:type="fixed"/>
        <w:tblCellMar>
          <w:left w:w="0" w:type="dxa"/>
          <w:right w:w="0" w:type="dxa"/>
        </w:tblCellMar>
        <w:tblLook w:val="01E0" w:firstRow="1" w:lastRow="1" w:firstColumn="1" w:lastColumn="1" w:noHBand="0" w:noVBand="0"/>
      </w:tblPr>
      <w:tblGrid>
        <w:gridCol w:w="3974"/>
        <w:gridCol w:w="1167"/>
        <w:gridCol w:w="975"/>
        <w:gridCol w:w="1039"/>
        <w:gridCol w:w="195"/>
        <w:gridCol w:w="1031"/>
        <w:gridCol w:w="975"/>
        <w:gridCol w:w="844"/>
      </w:tblGrid>
      <w:tr w:rsidR="00AE2255" w14:paraId="2DA5819C" w14:textId="77777777">
        <w:trPr>
          <w:trHeight w:val="470"/>
        </w:trPr>
        <w:tc>
          <w:tcPr>
            <w:tcW w:w="7155" w:type="dxa"/>
            <w:gridSpan w:val="4"/>
            <w:vMerge w:val="restart"/>
            <w:tcBorders>
              <w:bottom w:val="single" w:sz="8" w:space="0" w:color="000000"/>
              <w:right w:val="single" w:sz="8" w:space="0" w:color="000000"/>
            </w:tcBorders>
          </w:tcPr>
          <w:p w14:paraId="3EB464E1" w14:textId="77777777" w:rsidR="00AE2255" w:rsidRDefault="00000000">
            <w:pPr>
              <w:pStyle w:val="TableParagraph"/>
              <w:spacing w:before="44" w:after="26" w:line="208" w:lineRule="auto"/>
              <w:ind w:left="4943" w:hanging="497"/>
              <w:jc w:val="left"/>
              <w:rPr>
                <w:b/>
                <w:sz w:val="20"/>
              </w:rPr>
            </w:pPr>
            <w:r>
              <w:rPr>
                <w:b/>
                <w:sz w:val="20"/>
              </w:rPr>
              <w:t>Qualified</w:t>
            </w:r>
            <w:r>
              <w:rPr>
                <w:b/>
                <w:spacing w:val="-13"/>
                <w:sz w:val="20"/>
              </w:rPr>
              <w:t xml:space="preserve"> </w:t>
            </w:r>
            <w:r>
              <w:rPr>
                <w:b/>
                <w:sz w:val="20"/>
              </w:rPr>
              <w:t>Defined</w:t>
            </w:r>
            <w:r>
              <w:rPr>
                <w:b/>
                <w:spacing w:val="-12"/>
                <w:sz w:val="20"/>
              </w:rPr>
              <w:t xml:space="preserve"> </w:t>
            </w:r>
            <w:r>
              <w:rPr>
                <w:b/>
                <w:sz w:val="20"/>
              </w:rPr>
              <w:t>Benefit Pension Plans</w:t>
            </w:r>
          </w:p>
          <w:p w14:paraId="298EE940" w14:textId="77777777" w:rsidR="00AE2255" w:rsidRDefault="00000000">
            <w:pPr>
              <w:pStyle w:val="TableParagraph"/>
              <w:spacing w:before="0" w:line="20" w:lineRule="exact"/>
              <w:ind w:left="4100"/>
              <w:jc w:val="left"/>
              <w:rPr>
                <w:sz w:val="2"/>
              </w:rPr>
            </w:pPr>
            <w:r>
              <w:rPr>
                <w:sz w:val="2"/>
              </w:rPr>
            </w:r>
            <w:r>
              <w:rPr>
                <w:sz w:val="2"/>
              </w:rPr>
              <w:pict w14:anchorId="304400CF">
                <v:group id="docshapegroup55" o:spid="_x0000_s2159" style="width:142.5pt;height:1pt;mso-position-horizontal-relative:char;mso-position-vertical-relative:line" coordsize="2850,20">
                  <v:shape id="docshape56" o:spid="_x0000_s2161" style="position:absolute;top:10;width:2850;height:2" coordorigin=",10" coordsize="2850,0" path="m2850,10l,10e" fillcolor="black" stroked="f">
                    <v:fill opacity="0"/>
                    <v:path arrowok="t"/>
                  </v:shape>
                  <v:line id="_x0000_s2160" style="position:absolute" from="0,10" to="2850,10" strokeweight="1pt"/>
                  <w10:wrap type="none"/>
                  <w10:anchorlock/>
                </v:group>
              </w:pict>
            </w:r>
          </w:p>
          <w:p w14:paraId="6A970A19" w14:textId="77777777" w:rsidR="00AE2255" w:rsidRDefault="00000000">
            <w:pPr>
              <w:pStyle w:val="TableParagraph"/>
              <w:tabs>
                <w:tab w:val="left" w:pos="5532"/>
                <w:tab w:val="left" w:pos="6507"/>
              </w:tabs>
              <w:spacing w:before="15" w:line="230" w:lineRule="exact"/>
              <w:ind w:left="4557"/>
              <w:jc w:val="left"/>
              <w:rPr>
                <w:b/>
                <w:sz w:val="20"/>
              </w:rPr>
            </w:pPr>
            <w:r>
              <w:rPr>
                <w:b/>
                <w:spacing w:val="-4"/>
                <w:sz w:val="20"/>
              </w:rPr>
              <w:t>2022</w:t>
            </w:r>
            <w:r>
              <w:rPr>
                <w:b/>
                <w:sz w:val="20"/>
              </w:rPr>
              <w:tab/>
            </w:r>
            <w:r>
              <w:rPr>
                <w:b/>
                <w:spacing w:val="-4"/>
                <w:sz w:val="20"/>
              </w:rPr>
              <w:t>2021</w:t>
            </w:r>
            <w:r>
              <w:rPr>
                <w:b/>
                <w:sz w:val="20"/>
              </w:rPr>
              <w:tab/>
            </w:r>
            <w:r>
              <w:rPr>
                <w:b/>
                <w:spacing w:val="-4"/>
                <w:sz w:val="20"/>
              </w:rPr>
              <w:t>2020</w:t>
            </w:r>
          </w:p>
        </w:tc>
        <w:tc>
          <w:tcPr>
            <w:tcW w:w="195" w:type="dxa"/>
            <w:vMerge w:val="restart"/>
            <w:tcBorders>
              <w:left w:val="single" w:sz="8" w:space="0" w:color="000000"/>
              <w:bottom w:val="single" w:sz="8" w:space="0" w:color="000000"/>
            </w:tcBorders>
          </w:tcPr>
          <w:p w14:paraId="3F6B56B8" w14:textId="77777777" w:rsidR="00AE2255" w:rsidRDefault="00AE2255">
            <w:pPr>
              <w:pStyle w:val="TableParagraph"/>
              <w:spacing w:before="0"/>
              <w:jc w:val="left"/>
              <w:rPr>
                <w:sz w:val="18"/>
              </w:rPr>
            </w:pPr>
          </w:p>
        </w:tc>
        <w:tc>
          <w:tcPr>
            <w:tcW w:w="2850" w:type="dxa"/>
            <w:gridSpan w:val="3"/>
            <w:tcBorders>
              <w:bottom w:val="single" w:sz="8" w:space="0" w:color="000000"/>
            </w:tcBorders>
          </w:tcPr>
          <w:p w14:paraId="13EAB16E" w14:textId="77777777" w:rsidR="00AE2255" w:rsidRDefault="00000000">
            <w:pPr>
              <w:pStyle w:val="TableParagraph"/>
              <w:spacing w:before="44" w:line="208" w:lineRule="auto"/>
              <w:ind w:left="542" w:right="256" w:firstLine="17"/>
              <w:jc w:val="left"/>
              <w:rPr>
                <w:b/>
                <w:sz w:val="20"/>
              </w:rPr>
            </w:pPr>
            <w:r>
              <w:rPr>
                <w:b/>
                <w:sz w:val="20"/>
              </w:rPr>
              <w:t>Retiree</w:t>
            </w:r>
            <w:r>
              <w:rPr>
                <w:b/>
                <w:spacing w:val="-11"/>
                <w:sz w:val="20"/>
              </w:rPr>
              <w:t xml:space="preserve"> </w:t>
            </w:r>
            <w:r>
              <w:rPr>
                <w:b/>
                <w:sz w:val="20"/>
              </w:rPr>
              <w:t>Medical</w:t>
            </w:r>
            <w:r>
              <w:rPr>
                <w:b/>
                <w:spacing w:val="-12"/>
                <w:sz w:val="20"/>
              </w:rPr>
              <w:t xml:space="preserve"> </w:t>
            </w:r>
            <w:r>
              <w:rPr>
                <w:b/>
                <w:sz w:val="20"/>
              </w:rPr>
              <w:t>and Life</w:t>
            </w:r>
            <w:r>
              <w:rPr>
                <w:b/>
                <w:spacing w:val="-8"/>
                <w:sz w:val="20"/>
              </w:rPr>
              <w:t xml:space="preserve"> </w:t>
            </w:r>
            <w:r>
              <w:rPr>
                <w:b/>
                <w:sz w:val="20"/>
              </w:rPr>
              <w:t>Insurance</w:t>
            </w:r>
            <w:r>
              <w:rPr>
                <w:b/>
                <w:spacing w:val="-5"/>
                <w:sz w:val="20"/>
              </w:rPr>
              <w:t xml:space="preserve"> </w:t>
            </w:r>
            <w:r>
              <w:rPr>
                <w:b/>
                <w:spacing w:val="-4"/>
                <w:sz w:val="20"/>
              </w:rPr>
              <w:t>Plans</w:t>
            </w:r>
          </w:p>
        </w:tc>
      </w:tr>
      <w:tr w:rsidR="00AE2255" w14:paraId="28DEF9D8" w14:textId="77777777">
        <w:trPr>
          <w:trHeight w:val="265"/>
        </w:trPr>
        <w:tc>
          <w:tcPr>
            <w:tcW w:w="7155" w:type="dxa"/>
            <w:gridSpan w:val="4"/>
            <w:vMerge/>
            <w:tcBorders>
              <w:top w:val="nil"/>
              <w:bottom w:val="single" w:sz="8" w:space="0" w:color="000000"/>
              <w:right w:val="single" w:sz="8" w:space="0" w:color="000000"/>
            </w:tcBorders>
          </w:tcPr>
          <w:p w14:paraId="4169FD70" w14:textId="77777777" w:rsidR="00AE2255" w:rsidRDefault="00AE2255">
            <w:pPr>
              <w:rPr>
                <w:sz w:val="2"/>
                <w:szCs w:val="2"/>
              </w:rPr>
            </w:pPr>
          </w:p>
        </w:tc>
        <w:tc>
          <w:tcPr>
            <w:tcW w:w="195" w:type="dxa"/>
            <w:vMerge/>
            <w:tcBorders>
              <w:top w:val="nil"/>
              <w:left w:val="single" w:sz="8" w:space="0" w:color="000000"/>
              <w:bottom w:val="single" w:sz="8" w:space="0" w:color="000000"/>
            </w:tcBorders>
          </w:tcPr>
          <w:p w14:paraId="1A2C7B45" w14:textId="77777777" w:rsidR="00AE2255" w:rsidRDefault="00AE2255">
            <w:pPr>
              <w:rPr>
                <w:sz w:val="2"/>
                <w:szCs w:val="2"/>
              </w:rPr>
            </w:pPr>
          </w:p>
        </w:tc>
        <w:tc>
          <w:tcPr>
            <w:tcW w:w="1031" w:type="dxa"/>
            <w:tcBorders>
              <w:top w:val="single" w:sz="8" w:space="0" w:color="000000"/>
              <w:bottom w:val="single" w:sz="8" w:space="0" w:color="000000"/>
            </w:tcBorders>
          </w:tcPr>
          <w:p w14:paraId="3781C7C8" w14:textId="77777777" w:rsidR="00AE2255" w:rsidRDefault="00000000">
            <w:pPr>
              <w:pStyle w:val="TableParagraph"/>
              <w:spacing w:before="15" w:line="230" w:lineRule="exact"/>
              <w:ind w:right="181"/>
              <w:rPr>
                <w:b/>
                <w:sz w:val="20"/>
              </w:rPr>
            </w:pPr>
            <w:r>
              <w:rPr>
                <w:b/>
                <w:spacing w:val="-4"/>
                <w:sz w:val="20"/>
              </w:rPr>
              <w:t>2022</w:t>
            </w:r>
          </w:p>
        </w:tc>
        <w:tc>
          <w:tcPr>
            <w:tcW w:w="975" w:type="dxa"/>
            <w:tcBorders>
              <w:top w:val="single" w:sz="8" w:space="0" w:color="000000"/>
              <w:bottom w:val="single" w:sz="8" w:space="0" w:color="000000"/>
            </w:tcBorders>
          </w:tcPr>
          <w:p w14:paraId="08DA029A" w14:textId="77777777" w:rsidR="00AE2255" w:rsidRDefault="00000000">
            <w:pPr>
              <w:pStyle w:val="TableParagraph"/>
              <w:spacing w:before="15" w:line="230" w:lineRule="exact"/>
              <w:ind w:right="181"/>
              <w:rPr>
                <w:b/>
                <w:sz w:val="20"/>
              </w:rPr>
            </w:pPr>
            <w:r>
              <w:rPr>
                <w:b/>
                <w:spacing w:val="-4"/>
                <w:sz w:val="20"/>
              </w:rPr>
              <w:t>2021</w:t>
            </w:r>
          </w:p>
        </w:tc>
        <w:tc>
          <w:tcPr>
            <w:tcW w:w="844" w:type="dxa"/>
            <w:tcBorders>
              <w:top w:val="single" w:sz="8" w:space="0" w:color="000000"/>
              <w:bottom w:val="single" w:sz="8" w:space="0" w:color="000000"/>
            </w:tcBorders>
          </w:tcPr>
          <w:p w14:paraId="2EA2713D" w14:textId="77777777" w:rsidR="00AE2255" w:rsidRDefault="00000000">
            <w:pPr>
              <w:pStyle w:val="TableParagraph"/>
              <w:spacing w:before="15" w:line="230" w:lineRule="exact"/>
              <w:ind w:right="50"/>
              <w:rPr>
                <w:b/>
                <w:sz w:val="20"/>
              </w:rPr>
            </w:pPr>
            <w:r>
              <w:rPr>
                <w:b/>
                <w:spacing w:val="-4"/>
                <w:sz w:val="20"/>
              </w:rPr>
              <w:t>2020</w:t>
            </w:r>
          </w:p>
        </w:tc>
      </w:tr>
      <w:tr w:rsidR="00AE2255" w14:paraId="3A156CBA" w14:textId="77777777">
        <w:trPr>
          <w:trHeight w:val="275"/>
        </w:trPr>
        <w:tc>
          <w:tcPr>
            <w:tcW w:w="3974" w:type="dxa"/>
            <w:tcBorders>
              <w:top w:val="single" w:sz="8" w:space="0" w:color="000000"/>
            </w:tcBorders>
            <w:shd w:val="clear" w:color="auto" w:fill="CCEDFF"/>
          </w:tcPr>
          <w:p w14:paraId="0D238E4A" w14:textId="77777777" w:rsidR="00AE2255" w:rsidRDefault="00000000">
            <w:pPr>
              <w:pStyle w:val="TableParagraph"/>
              <w:spacing w:before="17"/>
              <w:ind w:left="52"/>
              <w:jc w:val="left"/>
              <w:rPr>
                <w:sz w:val="20"/>
              </w:rPr>
            </w:pPr>
            <w:r>
              <w:rPr>
                <w:sz w:val="20"/>
              </w:rPr>
              <w:t>Weighted</w:t>
            </w:r>
            <w:r>
              <w:rPr>
                <w:spacing w:val="-6"/>
                <w:sz w:val="20"/>
              </w:rPr>
              <w:t xml:space="preserve"> </w:t>
            </w:r>
            <w:r>
              <w:rPr>
                <w:sz w:val="20"/>
              </w:rPr>
              <w:t>average</w:t>
            </w:r>
            <w:r>
              <w:rPr>
                <w:spacing w:val="-5"/>
                <w:sz w:val="20"/>
              </w:rPr>
              <w:t xml:space="preserve"> </w:t>
            </w:r>
            <w:r>
              <w:rPr>
                <w:sz w:val="20"/>
              </w:rPr>
              <w:t>discount</w:t>
            </w:r>
            <w:r>
              <w:rPr>
                <w:spacing w:val="-4"/>
                <w:sz w:val="20"/>
              </w:rPr>
              <w:t xml:space="preserve"> </w:t>
            </w:r>
            <w:r>
              <w:rPr>
                <w:sz w:val="20"/>
              </w:rPr>
              <w:t>rate</w:t>
            </w:r>
            <w:r>
              <w:rPr>
                <w:spacing w:val="-18"/>
                <w:sz w:val="20"/>
              </w:rPr>
              <w:t xml:space="preserve"> </w:t>
            </w:r>
            <w:r>
              <w:rPr>
                <w:spacing w:val="-5"/>
                <w:sz w:val="20"/>
                <w:vertAlign w:val="superscript"/>
              </w:rPr>
              <w:t>(a)</w:t>
            </w:r>
          </w:p>
        </w:tc>
        <w:tc>
          <w:tcPr>
            <w:tcW w:w="1167" w:type="dxa"/>
            <w:tcBorders>
              <w:top w:val="single" w:sz="8" w:space="0" w:color="000000"/>
            </w:tcBorders>
            <w:shd w:val="clear" w:color="auto" w:fill="CCEDFF"/>
          </w:tcPr>
          <w:p w14:paraId="281676EA" w14:textId="77777777" w:rsidR="00AE2255" w:rsidRDefault="00000000">
            <w:pPr>
              <w:pStyle w:val="TableParagraph"/>
              <w:spacing w:before="15"/>
              <w:ind w:right="145"/>
              <w:rPr>
                <w:b/>
                <w:sz w:val="20"/>
              </w:rPr>
            </w:pPr>
            <w:r>
              <w:rPr>
                <w:b/>
                <w:sz w:val="20"/>
              </w:rPr>
              <w:t>5.250</w:t>
            </w:r>
            <w:r>
              <w:rPr>
                <w:b/>
                <w:spacing w:val="16"/>
                <w:sz w:val="20"/>
              </w:rPr>
              <w:t xml:space="preserve"> </w:t>
            </w:r>
            <w:r>
              <w:rPr>
                <w:b/>
                <w:spacing w:val="-10"/>
                <w:sz w:val="20"/>
              </w:rPr>
              <w:t>%</w:t>
            </w:r>
          </w:p>
        </w:tc>
        <w:tc>
          <w:tcPr>
            <w:tcW w:w="975" w:type="dxa"/>
            <w:tcBorders>
              <w:top w:val="single" w:sz="8" w:space="0" w:color="000000"/>
            </w:tcBorders>
            <w:shd w:val="clear" w:color="auto" w:fill="CCEDFF"/>
          </w:tcPr>
          <w:p w14:paraId="00DCB42C" w14:textId="77777777" w:rsidR="00AE2255" w:rsidRDefault="00000000">
            <w:pPr>
              <w:pStyle w:val="TableParagraph"/>
              <w:spacing w:before="15"/>
              <w:ind w:right="145"/>
              <w:rPr>
                <w:sz w:val="20"/>
              </w:rPr>
            </w:pPr>
            <w:r>
              <w:rPr>
                <w:sz w:val="20"/>
              </w:rPr>
              <w:t>2.875</w:t>
            </w:r>
            <w:r>
              <w:rPr>
                <w:spacing w:val="16"/>
                <w:sz w:val="20"/>
              </w:rPr>
              <w:t xml:space="preserve"> </w:t>
            </w:r>
            <w:r>
              <w:rPr>
                <w:spacing w:val="-10"/>
                <w:sz w:val="20"/>
              </w:rPr>
              <w:t>%</w:t>
            </w:r>
          </w:p>
        </w:tc>
        <w:tc>
          <w:tcPr>
            <w:tcW w:w="1039" w:type="dxa"/>
            <w:tcBorders>
              <w:top w:val="single" w:sz="8" w:space="0" w:color="000000"/>
              <w:right w:val="single" w:sz="8" w:space="0" w:color="000000"/>
            </w:tcBorders>
            <w:shd w:val="clear" w:color="auto" w:fill="CCEDFF"/>
          </w:tcPr>
          <w:p w14:paraId="2DF8A233" w14:textId="77777777" w:rsidR="00AE2255" w:rsidRDefault="00000000">
            <w:pPr>
              <w:pStyle w:val="TableParagraph"/>
              <w:spacing w:before="15"/>
              <w:ind w:right="199"/>
              <w:rPr>
                <w:sz w:val="20"/>
              </w:rPr>
            </w:pPr>
            <w:r>
              <w:rPr>
                <w:sz w:val="20"/>
              </w:rPr>
              <w:t>2.500</w:t>
            </w:r>
            <w:r>
              <w:rPr>
                <w:spacing w:val="16"/>
                <w:sz w:val="20"/>
              </w:rPr>
              <w:t xml:space="preserve"> </w:t>
            </w:r>
            <w:r>
              <w:rPr>
                <w:spacing w:val="-10"/>
                <w:sz w:val="20"/>
              </w:rPr>
              <w:t>%</w:t>
            </w:r>
          </w:p>
        </w:tc>
        <w:tc>
          <w:tcPr>
            <w:tcW w:w="195" w:type="dxa"/>
            <w:tcBorders>
              <w:top w:val="single" w:sz="8" w:space="0" w:color="000000"/>
              <w:left w:val="single" w:sz="8" w:space="0" w:color="000000"/>
            </w:tcBorders>
            <w:shd w:val="clear" w:color="auto" w:fill="CCEDFF"/>
          </w:tcPr>
          <w:p w14:paraId="36734A6F" w14:textId="77777777" w:rsidR="00AE2255" w:rsidRDefault="00AE2255">
            <w:pPr>
              <w:pStyle w:val="TableParagraph"/>
              <w:spacing w:before="0"/>
              <w:jc w:val="left"/>
              <w:rPr>
                <w:sz w:val="18"/>
              </w:rPr>
            </w:pPr>
          </w:p>
        </w:tc>
        <w:tc>
          <w:tcPr>
            <w:tcW w:w="1031" w:type="dxa"/>
            <w:tcBorders>
              <w:top w:val="single" w:sz="8" w:space="0" w:color="000000"/>
            </w:tcBorders>
            <w:shd w:val="clear" w:color="auto" w:fill="CCEDFF"/>
          </w:tcPr>
          <w:p w14:paraId="7FFB435F" w14:textId="77777777" w:rsidR="00AE2255" w:rsidRDefault="00000000">
            <w:pPr>
              <w:pStyle w:val="TableParagraph"/>
              <w:spacing w:before="15"/>
              <w:ind w:right="145"/>
              <w:rPr>
                <w:b/>
                <w:sz w:val="20"/>
              </w:rPr>
            </w:pPr>
            <w:r>
              <w:rPr>
                <w:b/>
                <w:sz w:val="20"/>
              </w:rPr>
              <w:t>5.250</w:t>
            </w:r>
            <w:r>
              <w:rPr>
                <w:b/>
                <w:spacing w:val="16"/>
                <w:sz w:val="20"/>
              </w:rPr>
              <w:t xml:space="preserve"> </w:t>
            </w:r>
            <w:r>
              <w:rPr>
                <w:b/>
                <w:spacing w:val="-10"/>
                <w:sz w:val="20"/>
              </w:rPr>
              <w:t>%</w:t>
            </w:r>
          </w:p>
        </w:tc>
        <w:tc>
          <w:tcPr>
            <w:tcW w:w="975" w:type="dxa"/>
            <w:tcBorders>
              <w:top w:val="single" w:sz="8" w:space="0" w:color="000000"/>
            </w:tcBorders>
            <w:shd w:val="clear" w:color="auto" w:fill="CCEDFF"/>
          </w:tcPr>
          <w:p w14:paraId="6554A120" w14:textId="77777777" w:rsidR="00AE2255" w:rsidRDefault="00000000">
            <w:pPr>
              <w:pStyle w:val="TableParagraph"/>
              <w:spacing w:before="15"/>
              <w:ind w:right="145"/>
              <w:rPr>
                <w:sz w:val="20"/>
              </w:rPr>
            </w:pPr>
            <w:r>
              <w:rPr>
                <w:sz w:val="20"/>
              </w:rPr>
              <w:t>2.750</w:t>
            </w:r>
            <w:r>
              <w:rPr>
                <w:spacing w:val="16"/>
                <w:sz w:val="20"/>
              </w:rPr>
              <w:t xml:space="preserve"> </w:t>
            </w:r>
            <w:r>
              <w:rPr>
                <w:spacing w:val="-10"/>
                <w:sz w:val="20"/>
              </w:rPr>
              <w:t>%</w:t>
            </w:r>
          </w:p>
        </w:tc>
        <w:tc>
          <w:tcPr>
            <w:tcW w:w="844" w:type="dxa"/>
            <w:tcBorders>
              <w:top w:val="single" w:sz="8" w:space="0" w:color="000000"/>
            </w:tcBorders>
            <w:shd w:val="clear" w:color="auto" w:fill="CCEDFF"/>
          </w:tcPr>
          <w:p w14:paraId="7AB62E26" w14:textId="77777777" w:rsidR="00AE2255" w:rsidRDefault="00000000">
            <w:pPr>
              <w:pStyle w:val="TableParagraph"/>
              <w:spacing w:before="15"/>
              <w:ind w:right="14"/>
              <w:rPr>
                <w:sz w:val="20"/>
              </w:rPr>
            </w:pPr>
            <w:r>
              <w:rPr>
                <w:sz w:val="20"/>
              </w:rPr>
              <w:t>2.375</w:t>
            </w:r>
            <w:r>
              <w:rPr>
                <w:spacing w:val="16"/>
                <w:sz w:val="20"/>
              </w:rPr>
              <w:t xml:space="preserve"> </w:t>
            </w:r>
            <w:r>
              <w:rPr>
                <w:spacing w:val="-10"/>
                <w:sz w:val="20"/>
              </w:rPr>
              <w:t>%</w:t>
            </w:r>
          </w:p>
        </w:tc>
      </w:tr>
      <w:tr w:rsidR="00AE2255" w14:paraId="5C71D186" w14:textId="77777777">
        <w:trPr>
          <w:trHeight w:val="285"/>
        </w:trPr>
        <w:tc>
          <w:tcPr>
            <w:tcW w:w="3974" w:type="dxa"/>
          </w:tcPr>
          <w:p w14:paraId="62F8FE66" w14:textId="77777777" w:rsidR="00AE2255" w:rsidRDefault="00000000">
            <w:pPr>
              <w:pStyle w:val="TableParagraph"/>
              <w:spacing w:before="27"/>
              <w:ind w:left="52"/>
              <w:jc w:val="left"/>
              <w:rPr>
                <w:sz w:val="20"/>
              </w:rPr>
            </w:pPr>
            <w:r>
              <w:rPr>
                <w:sz w:val="20"/>
              </w:rPr>
              <w:t>Expected</w:t>
            </w:r>
            <w:r>
              <w:rPr>
                <w:spacing w:val="-5"/>
                <w:sz w:val="20"/>
              </w:rPr>
              <w:t xml:space="preserve"> </w:t>
            </w:r>
            <w:r>
              <w:rPr>
                <w:sz w:val="20"/>
              </w:rPr>
              <w:t>long-term</w:t>
            </w:r>
            <w:r>
              <w:rPr>
                <w:spacing w:val="-3"/>
                <w:sz w:val="20"/>
              </w:rPr>
              <w:t xml:space="preserve"> </w:t>
            </w:r>
            <w:r>
              <w:rPr>
                <w:sz w:val="20"/>
              </w:rPr>
              <w:t>rate</w:t>
            </w:r>
            <w:r>
              <w:rPr>
                <w:spacing w:val="-4"/>
                <w:sz w:val="20"/>
              </w:rPr>
              <w:t xml:space="preserve"> </w:t>
            </w:r>
            <w:r>
              <w:rPr>
                <w:sz w:val="20"/>
              </w:rPr>
              <w:t>of</w:t>
            </w:r>
            <w:r>
              <w:rPr>
                <w:spacing w:val="-2"/>
                <w:sz w:val="20"/>
              </w:rPr>
              <w:t xml:space="preserve"> </w:t>
            </w:r>
            <w:r>
              <w:rPr>
                <w:sz w:val="20"/>
              </w:rPr>
              <w:t>return</w:t>
            </w:r>
            <w:r>
              <w:rPr>
                <w:spacing w:val="-3"/>
                <w:sz w:val="20"/>
              </w:rPr>
              <w:t xml:space="preserve"> </w:t>
            </w:r>
            <w:r>
              <w:rPr>
                <w:sz w:val="20"/>
              </w:rPr>
              <w:t>on</w:t>
            </w:r>
            <w:r>
              <w:rPr>
                <w:spacing w:val="-2"/>
                <w:sz w:val="20"/>
              </w:rPr>
              <w:t xml:space="preserve"> </w:t>
            </w:r>
            <w:r>
              <w:rPr>
                <w:sz w:val="20"/>
              </w:rPr>
              <w:t>assets</w:t>
            </w:r>
            <w:r>
              <w:rPr>
                <w:spacing w:val="-18"/>
                <w:sz w:val="20"/>
              </w:rPr>
              <w:t xml:space="preserve"> </w:t>
            </w:r>
            <w:r>
              <w:rPr>
                <w:spacing w:val="-5"/>
                <w:sz w:val="20"/>
                <w:vertAlign w:val="superscript"/>
              </w:rPr>
              <w:t>(a)</w:t>
            </w:r>
          </w:p>
        </w:tc>
        <w:tc>
          <w:tcPr>
            <w:tcW w:w="1167" w:type="dxa"/>
          </w:tcPr>
          <w:p w14:paraId="05447F4D" w14:textId="77777777" w:rsidR="00AE2255" w:rsidRDefault="00000000">
            <w:pPr>
              <w:pStyle w:val="TableParagraph"/>
              <w:ind w:right="145"/>
              <w:rPr>
                <w:b/>
                <w:sz w:val="20"/>
              </w:rPr>
            </w:pPr>
            <w:r>
              <w:rPr>
                <w:b/>
                <w:sz w:val="20"/>
              </w:rPr>
              <w:t>6.50</w:t>
            </w:r>
            <w:r>
              <w:rPr>
                <w:b/>
                <w:spacing w:val="16"/>
                <w:sz w:val="20"/>
              </w:rPr>
              <w:t xml:space="preserve"> </w:t>
            </w:r>
            <w:r>
              <w:rPr>
                <w:b/>
                <w:spacing w:val="-10"/>
                <w:sz w:val="20"/>
              </w:rPr>
              <w:t>%</w:t>
            </w:r>
          </w:p>
        </w:tc>
        <w:tc>
          <w:tcPr>
            <w:tcW w:w="975" w:type="dxa"/>
          </w:tcPr>
          <w:p w14:paraId="2FD46432" w14:textId="77777777" w:rsidR="00AE2255" w:rsidRDefault="00000000">
            <w:pPr>
              <w:pStyle w:val="TableParagraph"/>
              <w:ind w:right="145"/>
              <w:rPr>
                <w:sz w:val="20"/>
              </w:rPr>
            </w:pPr>
            <w:r>
              <w:rPr>
                <w:sz w:val="20"/>
              </w:rPr>
              <w:t>6.50</w:t>
            </w:r>
            <w:r>
              <w:rPr>
                <w:spacing w:val="16"/>
                <w:sz w:val="20"/>
              </w:rPr>
              <w:t xml:space="preserve"> </w:t>
            </w:r>
            <w:r>
              <w:rPr>
                <w:spacing w:val="-10"/>
                <w:sz w:val="20"/>
              </w:rPr>
              <w:t>%</w:t>
            </w:r>
          </w:p>
        </w:tc>
        <w:tc>
          <w:tcPr>
            <w:tcW w:w="1039" w:type="dxa"/>
            <w:tcBorders>
              <w:right w:val="single" w:sz="8" w:space="0" w:color="000000"/>
            </w:tcBorders>
          </w:tcPr>
          <w:p w14:paraId="0214A6FD" w14:textId="77777777" w:rsidR="00AE2255" w:rsidRDefault="00000000">
            <w:pPr>
              <w:pStyle w:val="TableParagraph"/>
              <w:ind w:right="199"/>
              <w:rPr>
                <w:sz w:val="20"/>
              </w:rPr>
            </w:pPr>
            <w:r>
              <w:rPr>
                <w:sz w:val="20"/>
              </w:rPr>
              <w:t>7.00</w:t>
            </w:r>
            <w:r>
              <w:rPr>
                <w:spacing w:val="16"/>
                <w:sz w:val="20"/>
              </w:rPr>
              <w:t xml:space="preserve"> </w:t>
            </w:r>
            <w:r>
              <w:rPr>
                <w:spacing w:val="-10"/>
                <w:sz w:val="20"/>
              </w:rPr>
              <w:t>%</w:t>
            </w:r>
          </w:p>
        </w:tc>
        <w:tc>
          <w:tcPr>
            <w:tcW w:w="195" w:type="dxa"/>
            <w:tcBorders>
              <w:left w:val="single" w:sz="8" w:space="0" w:color="000000"/>
            </w:tcBorders>
          </w:tcPr>
          <w:p w14:paraId="6D56DCB3" w14:textId="77777777" w:rsidR="00AE2255" w:rsidRDefault="00AE2255">
            <w:pPr>
              <w:pStyle w:val="TableParagraph"/>
              <w:spacing w:before="0"/>
              <w:jc w:val="left"/>
              <w:rPr>
                <w:sz w:val="18"/>
              </w:rPr>
            </w:pPr>
          </w:p>
        </w:tc>
        <w:tc>
          <w:tcPr>
            <w:tcW w:w="1031" w:type="dxa"/>
          </w:tcPr>
          <w:p w14:paraId="385D9FFD" w14:textId="77777777" w:rsidR="00AE2255" w:rsidRDefault="00000000">
            <w:pPr>
              <w:pStyle w:val="TableParagraph"/>
              <w:ind w:right="145"/>
              <w:rPr>
                <w:b/>
                <w:sz w:val="20"/>
              </w:rPr>
            </w:pPr>
            <w:r>
              <w:rPr>
                <w:b/>
                <w:sz w:val="20"/>
              </w:rPr>
              <w:t>6.50</w:t>
            </w:r>
            <w:r>
              <w:rPr>
                <w:b/>
                <w:spacing w:val="16"/>
                <w:sz w:val="20"/>
              </w:rPr>
              <w:t xml:space="preserve"> </w:t>
            </w:r>
            <w:r>
              <w:rPr>
                <w:b/>
                <w:spacing w:val="-10"/>
                <w:sz w:val="20"/>
              </w:rPr>
              <w:t>%</w:t>
            </w:r>
          </w:p>
        </w:tc>
        <w:tc>
          <w:tcPr>
            <w:tcW w:w="975" w:type="dxa"/>
          </w:tcPr>
          <w:p w14:paraId="7ACF791C" w14:textId="77777777" w:rsidR="00AE2255" w:rsidRDefault="00000000">
            <w:pPr>
              <w:pStyle w:val="TableParagraph"/>
              <w:ind w:right="145"/>
              <w:rPr>
                <w:sz w:val="20"/>
              </w:rPr>
            </w:pPr>
            <w:r>
              <w:rPr>
                <w:sz w:val="20"/>
              </w:rPr>
              <w:t>6.50</w:t>
            </w:r>
            <w:r>
              <w:rPr>
                <w:spacing w:val="16"/>
                <w:sz w:val="20"/>
              </w:rPr>
              <w:t xml:space="preserve"> </w:t>
            </w:r>
            <w:r>
              <w:rPr>
                <w:spacing w:val="-10"/>
                <w:sz w:val="20"/>
              </w:rPr>
              <w:t>%</w:t>
            </w:r>
          </w:p>
        </w:tc>
        <w:tc>
          <w:tcPr>
            <w:tcW w:w="844" w:type="dxa"/>
          </w:tcPr>
          <w:p w14:paraId="04661CF7" w14:textId="77777777" w:rsidR="00AE2255" w:rsidRDefault="00000000">
            <w:pPr>
              <w:pStyle w:val="TableParagraph"/>
              <w:ind w:right="14"/>
              <w:rPr>
                <w:sz w:val="20"/>
              </w:rPr>
            </w:pPr>
            <w:r>
              <w:rPr>
                <w:sz w:val="20"/>
              </w:rPr>
              <w:t>7.00</w:t>
            </w:r>
            <w:r>
              <w:rPr>
                <w:spacing w:val="16"/>
                <w:sz w:val="20"/>
              </w:rPr>
              <w:t xml:space="preserve"> </w:t>
            </w:r>
            <w:r>
              <w:rPr>
                <w:spacing w:val="-10"/>
                <w:sz w:val="20"/>
              </w:rPr>
              <w:t>%</w:t>
            </w:r>
          </w:p>
        </w:tc>
      </w:tr>
      <w:tr w:rsidR="00AE2255" w14:paraId="0AF523F9" w14:textId="77777777">
        <w:trPr>
          <w:trHeight w:val="285"/>
        </w:trPr>
        <w:tc>
          <w:tcPr>
            <w:tcW w:w="7155" w:type="dxa"/>
            <w:gridSpan w:val="4"/>
            <w:tcBorders>
              <w:right w:val="single" w:sz="8" w:space="0" w:color="000000"/>
            </w:tcBorders>
            <w:shd w:val="clear" w:color="auto" w:fill="CCEDFF"/>
          </w:tcPr>
          <w:p w14:paraId="157FD873" w14:textId="77777777" w:rsidR="00AE2255" w:rsidRDefault="00000000">
            <w:pPr>
              <w:pStyle w:val="TableParagraph"/>
              <w:spacing w:before="27"/>
              <w:ind w:left="52"/>
              <w:jc w:val="left"/>
              <w:rPr>
                <w:sz w:val="20"/>
              </w:rPr>
            </w:pPr>
            <w:r>
              <w:rPr>
                <w:sz w:val="20"/>
              </w:rPr>
              <w:t>Health</w:t>
            </w:r>
            <w:r>
              <w:rPr>
                <w:spacing w:val="-3"/>
                <w:sz w:val="20"/>
              </w:rPr>
              <w:t xml:space="preserve"> </w:t>
            </w:r>
            <w:r>
              <w:rPr>
                <w:sz w:val="20"/>
              </w:rPr>
              <w:t>care</w:t>
            </w:r>
            <w:r>
              <w:rPr>
                <w:spacing w:val="-3"/>
                <w:sz w:val="20"/>
              </w:rPr>
              <w:t xml:space="preserve"> </w:t>
            </w:r>
            <w:r>
              <w:rPr>
                <w:sz w:val="20"/>
              </w:rPr>
              <w:t>trend</w:t>
            </w:r>
            <w:r>
              <w:rPr>
                <w:spacing w:val="-3"/>
                <w:sz w:val="20"/>
              </w:rPr>
              <w:t xml:space="preserve"> </w:t>
            </w:r>
            <w:r>
              <w:rPr>
                <w:sz w:val="20"/>
              </w:rPr>
              <w:t>rate</w:t>
            </w:r>
            <w:r>
              <w:rPr>
                <w:spacing w:val="-3"/>
                <w:sz w:val="20"/>
              </w:rPr>
              <w:t xml:space="preserve"> </w:t>
            </w:r>
            <w:r>
              <w:rPr>
                <w:sz w:val="20"/>
              </w:rPr>
              <w:t>assumed</w:t>
            </w:r>
            <w:r>
              <w:rPr>
                <w:spacing w:val="-3"/>
                <w:sz w:val="20"/>
              </w:rPr>
              <w:t xml:space="preserve"> </w:t>
            </w:r>
            <w:r>
              <w:rPr>
                <w:sz w:val="20"/>
              </w:rPr>
              <w:t>for</w:t>
            </w:r>
            <w:r>
              <w:rPr>
                <w:spacing w:val="-2"/>
                <w:sz w:val="20"/>
              </w:rPr>
              <w:t xml:space="preserve"> </w:t>
            </w:r>
            <w:r>
              <w:rPr>
                <w:sz w:val="20"/>
              </w:rPr>
              <w:t>next</w:t>
            </w:r>
            <w:r>
              <w:rPr>
                <w:spacing w:val="-3"/>
                <w:sz w:val="20"/>
              </w:rPr>
              <w:t xml:space="preserve"> </w:t>
            </w:r>
            <w:r>
              <w:rPr>
                <w:spacing w:val="-4"/>
                <w:sz w:val="20"/>
              </w:rPr>
              <w:t>year</w:t>
            </w:r>
          </w:p>
        </w:tc>
        <w:tc>
          <w:tcPr>
            <w:tcW w:w="195" w:type="dxa"/>
            <w:tcBorders>
              <w:left w:val="single" w:sz="8" w:space="0" w:color="000000"/>
            </w:tcBorders>
            <w:shd w:val="clear" w:color="auto" w:fill="CCEDFF"/>
          </w:tcPr>
          <w:p w14:paraId="649F744A" w14:textId="77777777" w:rsidR="00AE2255" w:rsidRDefault="00AE2255">
            <w:pPr>
              <w:pStyle w:val="TableParagraph"/>
              <w:spacing w:before="0"/>
              <w:jc w:val="left"/>
              <w:rPr>
                <w:sz w:val="18"/>
              </w:rPr>
            </w:pPr>
          </w:p>
        </w:tc>
        <w:tc>
          <w:tcPr>
            <w:tcW w:w="1031" w:type="dxa"/>
            <w:shd w:val="clear" w:color="auto" w:fill="CCEDFF"/>
          </w:tcPr>
          <w:p w14:paraId="543D23C8" w14:textId="77777777" w:rsidR="00AE2255" w:rsidRDefault="00000000">
            <w:pPr>
              <w:pStyle w:val="TableParagraph"/>
              <w:ind w:right="145"/>
              <w:rPr>
                <w:b/>
                <w:sz w:val="20"/>
              </w:rPr>
            </w:pPr>
            <w:r>
              <w:rPr>
                <w:b/>
                <w:sz w:val="20"/>
              </w:rPr>
              <w:t>7.25</w:t>
            </w:r>
            <w:r>
              <w:rPr>
                <w:b/>
                <w:spacing w:val="16"/>
                <w:sz w:val="20"/>
              </w:rPr>
              <w:t xml:space="preserve"> </w:t>
            </w:r>
            <w:r>
              <w:rPr>
                <w:b/>
                <w:spacing w:val="-10"/>
                <w:sz w:val="20"/>
              </w:rPr>
              <w:t>%</w:t>
            </w:r>
          </w:p>
        </w:tc>
        <w:tc>
          <w:tcPr>
            <w:tcW w:w="975" w:type="dxa"/>
            <w:shd w:val="clear" w:color="auto" w:fill="CCEDFF"/>
          </w:tcPr>
          <w:p w14:paraId="489294E2" w14:textId="77777777" w:rsidR="00AE2255" w:rsidRDefault="00000000">
            <w:pPr>
              <w:pStyle w:val="TableParagraph"/>
              <w:ind w:right="145"/>
              <w:rPr>
                <w:sz w:val="20"/>
              </w:rPr>
            </w:pPr>
            <w:r>
              <w:rPr>
                <w:sz w:val="20"/>
              </w:rPr>
              <w:t>7.50</w:t>
            </w:r>
            <w:r>
              <w:rPr>
                <w:spacing w:val="16"/>
                <w:sz w:val="20"/>
              </w:rPr>
              <w:t xml:space="preserve"> </w:t>
            </w:r>
            <w:r>
              <w:rPr>
                <w:spacing w:val="-10"/>
                <w:sz w:val="20"/>
              </w:rPr>
              <w:t>%</w:t>
            </w:r>
          </w:p>
        </w:tc>
        <w:tc>
          <w:tcPr>
            <w:tcW w:w="844" w:type="dxa"/>
            <w:shd w:val="clear" w:color="auto" w:fill="CCEDFF"/>
          </w:tcPr>
          <w:p w14:paraId="3A668B27" w14:textId="77777777" w:rsidR="00AE2255" w:rsidRDefault="00000000">
            <w:pPr>
              <w:pStyle w:val="TableParagraph"/>
              <w:ind w:right="14"/>
              <w:rPr>
                <w:sz w:val="20"/>
              </w:rPr>
            </w:pPr>
            <w:r>
              <w:rPr>
                <w:sz w:val="20"/>
              </w:rPr>
              <w:t>7.75</w:t>
            </w:r>
            <w:r>
              <w:rPr>
                <w:spacing w:val="16"/>
                <w:sz w:val="20"/>
              </w:rPr>
              <w:t xml:space="preserve"> </w:t>
            </w:r>
            <w:r>
              <w:rPr>
                <w:spacing w:val="-10"/>
                <w:sz w:val="20"/>
              </w:rPr>
              <w:t>%</w:t>
            </w:r>
          </w:p>
        </w:tc>
      </w:tr>
      <w:tr w:rsidR="00AE2255" w14:paraId="5ED226C4" w14:textId="77777777">
        <w:trPr>
          <w:trHeight w:val="285"/>
        </w:trPr>
        <w:tc>
          <w:tcPr>
            <w:tcW w:w="7155" w:type="dxa"/>
            <w:gridSpan w:val="4"/>
            <w:tcBorders>
              <w:right w:val="single" w:sz="8" w:space="0" w:color="000000"/>
            </w:tcBorders>
          </w:tcPr>
          <w:p w14:paraId="7971C1E6" w14:textId="77777777" w:rsidR="00AE2255" w:rsidRDefault="00000000">
            <w:pPr>
              <w:pStyle w:val="TableParagraph"/>
              <w:spacing w:before="27"/>
              <w:ind w:left="52"/>
              <w:jc w:val="left"/>
              <w:rPr>
                <w:sz w:val="20"/>
              </w:rPr>
            </w:pPr>
            <w:r>
              <w:rPr>
                <w:sz w:val="20"/>
              </w:rPr>
              <w:t>Ultimate</w:t>
            </w:r>
            <w:r>
              <w:rPr>
                <w:spacing w:val="-5"/>
                <w:sz w:val="20"/>
              </w:rPr>
              <w:t xml:space="preserve"> </w:t>
            </w:r>
            <w:r>
              <w:rPr>
                <w:sz w:val="20"/>
              </w:rPr>
              <w:t>health</w:t>
            </w:r>
            <w:r>
              <w:rPr>
                <w:spacing w:val="-4"/>
                <w:sz w:val="20"/>
              </w:rPr>
              <w:t xml:space="preserve"> </w:t>
            </w:r>
            <w:r>
              <w:rPr>
                <w:sz w:val="20"/>
              </w:rPr>
              <w:t>care</w:t>
            </w:r>
            <w:r>
              <w:rPr>
                <w:spacing w:val="-5"/>
                <w:sz w:val="20"/>
              </w:rPr>
              <w:t xml:space="preserve"> </w:t>
            </w:r>
            <w:r>
              <w:rPr>
                <w:sz w:val="20"/>
              </w:rPr>
              <w:t>trend</w:t>
            </w:r>
            <w:r>
              <w:rPr>
                <w:spacing w:val="-3"/>
                <w:sz w:val="20"/>
              </w:rPr>
              <w:t xml:space="preserve"> </w:t>
            </w:r>
            <w:r>
              <w:rPr>
                <w:spacing w:val="-4"/>
                <w:sz w:val="20"/>
              </w:rPr>
              <w:t>rate</w:t>
            </w:r>
          </w:p>
        </w:tc>
        <w:tc>
          <w:tcPr>
            <w:tcW w:w="195" w:type="dxa"/>
            <w:tcBorders>
              <w:left w:val="single" w:sz="8" w:space="0" w:color="000000"/>
            </w:tcBorders>
          </w:tcPr>
          <w:p w14:paraId="1C288879" w14:textId="77777777" w:rsidR="00AE2255" w:rsidRDefault="00AE2255">
            <w:pPr>
              <w:pStyle w:val="TableParagraph"/>
              <w:spacing w:before="0"/>
              <w:jc w:val="left"/>
              <w:rPr>
                <w:sz w:val="18"/>
              </w:rPr>
            </w:pPr>
          </w:p>
        </w:tc>
        <w:tc>
          <w:tcPr>
            <w:tcW w:w="1031" w:type="dxa"/>
          </w:tcPr>
          <w:p w14:paraId="5A083D6E" w14:textId="77777777" w:rsidR="00AE2255" w:rsidRDefault="00000000">
            <w:pPr>
              <w:pStyle w:val="TableParagraph"/>
              <w:ind w:right="145"/>
              <w:rPr>
                <w:b/>
                <w:sz w:val="20"/>
              </w:rPr>
            </w:pPr>
            <w:r>
              <w:rPr>
                <w:b/>
                <w:sz w:val="20"/>
              </w:rPr>
              <w:t>4.50</w:t>
            </w:r>
            <w:r>
              <w:rPr>
                <w:b/>
                <w:spacing w:val="16"/>
                <w:sz w:val="20"/>
              </w:rPr>
              <w:t xml:space="preserve"> </w:t>
            </w:r>
            <w:r>
              <w:rPr>
                <w:b/>
                <w:spacing w:val="-10"/>
                <w:sz w:val="20"/>
              </w:rPr>
              <w:t>%</w:t>
            </w:r>
          </w:p>
        </w:tc>
        <w:tc>
          <w:tcPr>
            <w:tcW w:w="975" w:type="dxa"/>
          </w:tcPr>
          <w:p w14:paraId="09299D00" w14:textId="77777777" w:rsidR="00AE2255" w:rsidRDefault="00000000">
            <w:pPr>
              <w:pStyle w:val="TableParagraph"/>
              <w:ind w:right="145"/>
              <w:rPr>
                <w:sz w:val="20"/>
              </w:rPr>
            </w:pPr>
            <w:r>
              <w:rPr>
                <w:sz w:val="20"/>
              </w:rPr>
              <w:t>4.50</w:t>
            </w:r>
            <w:r>
              <w:rPr>
                <w:spacing w:val="16"/>
                <w:sz w:val="20"/>
              </w:rPr>
              <w:t xml:space="preserve"> </w:t>
            </w:r>
            <w:r>
              <w:rPr>
                <w:spacing w:val="-10"/>
                <w:sz w:val="20"/>
              </w:rPr>
              <w:t>%</w:t>
            </w:r>
          </w:p>
        </w:tc>
        <w:tc>
          <w:tcPr>
            <w:tcW w:w="844" w:type="dxa"/>
          </w:tcPr>
          <w:p w14:paraId="1C78BC07" w14:textId="77777777" w:rsidR="00AE2255" w:rsidRDefault="00000000">
            <w:pPr>
              <w:pStyle w:val="TableParagraph"/>
              <w:ind w:right="14"/>
              <w:rPr>
                <w:sz w:val="20"/>
              </w:rPr>
            </w:pPr>
            <w:r>
              <w:rPr>
                <w:sz w:val="20"/>
              </w:rPr>
              <w:t>4.50</w:t>
            </w:r>
            <w:r>
              <w:rPr>
                <w:spacing w:val="16"/>
                <w:sz w:val="20"/>
              </w:rPr>
              <w:t xml:space="preserve"> </w:t>
            </w:r>
            <w:r>
              <w:rPr>
                <w:spacing w:val="-10"/>
                <w:sz w:val="20"/>
              </w:rPr>
              <w:t>%</w:t>
            </w:r>
          </w:p>
        </w:tc>
      </w:tr>
      <w:tr w:rsidR="00AE2255" w14:paraId="76A33BDF" w14:textId="77777777">
        <w:trPr>
          <w:trHeight w:val="292"/>
        </w:trPr>
        <w:tc>
          <w:tcPr>
            <w:tcW w:w="7155" w:type="dxa"/>
            <w:gridSpan w:val="4"/>
            <w:tcBorders>
              <w:bottom w:val="single" w:sz="18" w:space="0" w:color="000000"/>
              <w:right w:val="single" w:sz="8" w:space="0" w:color="000000"/>
            </w:tcBorders>
            <w:shd w:val="clear" w:color="auto" w:fill="CCEDFF"/>
          </w:tcPr>
          <w:p w14:paraId="3F261F52" w14:textId="77777777" w:rsidR="00AE2255" w:rsidRDefault="00000000">
            <w:pPr>
              <w:pStyle w:val="TableParagraph"/>
              <w:spacing w:before="27"/>
              <w:ind w:left="52"/>
              <w:jc w:val="left"/>
              <w:rPr>
                <w:sz w:val="20"/>
              </w:rPr>
            </w:pPr>
            <w:r>
              <w:rPr>
                <w:sz w:val="20"/>
              </w:rPr>
              <w:t>Year</w:t>
            </w:r>
            <w:r>
              <w:rPr>
                <w:spacing w:val="-3"/>
                <w:sz w:val="20"/>
              </w:rPr>
              <w:t xml:space="preserve"> </w:t>
            </w:r>
            <w:r>
              <w:rPr>
                <w:sz w:val="20"/>
              </w:rPr>
              <w:t>ultimate</w:t>
            </w:r>
            <w:r>
              <w:rPr>
                <w:spacing w:val="-4"/>
                <w:sz w:val="20"/>
              </w:rPr>
              <w:t xml:space="preserve"> </w:t>
            </w:r>
            <w:r>
              <w:rPr>
                <w:sz w:val="20"/>
              </w:rPr>
              <w:t>health</w:t>
            </w:r>
            <w:r>
              <w:rPr>
                <w:spacing w:val="-3"/>
                <w:sz w:val="20"/>
              </w:rPr>
              <w:t xml:space="preserve"> </w:t>
            </w:r>
            <w:r>
              <w:rPr>
                <w:sz w:val="20"/>
              </w:rPr>
              <w:t>care</w:t>
            </w:r>
            <w:r>
              <w:rPr>
                <w:spacing w:val="-4"/>
                <w:sz w:val="20"/>
              </w:rPr>
              <w:t xml:space="preserve"> </w:t>
            </w:r>
            <w:r>
              <w:rPr>
                <w:sz w:val="20"/>
              </w:rPr>
              <w:t>trend</w:t>
            </w:r>
            <w:r>
              <w:rPr>
                <w:spacing w:val="-3"/>
                <w:sz w:val="20"/>
              </w:rPr>
              <w:t xml:space="preserve"> </w:t>
            </w:r>
            <w:r>
              <w:rPr>
                <w:sz w:val="20"/>
              </w:rPr>
              <w:t>rate</w:t>
            </w:r>
            <w:r>
              <w:rPr>
                <w:spacing w:val="-4"/>
                <w:sz w:val="20"/>
              </w:rPr>
              <w:t xml:space="preserve"> </w:t>
            </w:r>
            <w:r>
              <w:rPr>
                <w:sz w:val="20"/>
              </w:rPr>
              <w:t>is</w:t>
            </w:r>
            <w:r>
              <w:rPr>
                <w:spacing w:val="-3"/>
                <w:sz w:val="20"/>
              </w:rPr>
              <w:t xml:space="preserve"> </w:t>
            </w:r>
            <w:r>
              <w:rPr>
                <w:spacing w:val="-2"/>
                <w:sz w:val="20"/>
              </w:rPr>
              <w:t>reached</w:t>
            </w:r>
          </w:p>
        </w:tc>
        <w:tc>
          <w:tcPr>
            <w:tcW w:w="195" w:type="dxa"/>
            <w:tcBorders>
              <w:left w:val="single" w:sz="8" w:space="0" w:color="000000"/>
              <w:bottom w:val="single" w:sz="18" w:space="0" w:color="000000"/>
            </w:tcBorders>
            <w:shd w:val="clear" w:color="auto" w:fill="CCEDFF"/>
          </w:tcPr>
          <w:p w14:paraId="348C58C4" w14:textId="77777777" w:rsidR="00AE2255" w:rsidRDefault="00AE2255">
            <w:pPr>
              <w:pStyle w:val="TableParagraph"/>
              <w:spacing w:before="0"/>
              <w:jc w:val="left"/>
              <w:rPr>
                <w:sz w:val="18"/>
              </w:rPr>
            </w:pPr>
          </w:p>
        </w:tc>
        <w:tc>
          <w:tcPr>
            <w:tcW w:w="1031" w:type="dxa"/>
            <w:tcBorders>
              <w:bottom w:val="single" w:sz="18" w:space="0" w:color="000000"/>
            </w:tcBorders>
            <w:shd w:val="clear" w:color="auto" w:fill="CCEDFF"/>
          </w:tcPr>
          <w:p w14:paraId="07363817" w14:textId="77777777" w:rsidR="00AE2255" w:rsidRDefault="00000000">
            <w:pPr>
              <w:pStyle w:val="TableParagraph"/>
              <w:spacing w:before="55" w:line="217" w:lineRule="exact"/>
              <w:ind w:right="181"/>
              <w:rPr>
                <w:b/>
                <w:sz w:val="20"/>
              </w:rPr>
            </w:pPr>
            <w:r>
              <w:rPr>
                <w:b/>
                <w:spacing w:val="-4"/>
                <w:sz w:val="20"/>
              </w:rPr>
              <w:t>2034</w:t>
            </w:r>
          </w:p>
        </w:tc>
        <w:tc>
          <w:tcPr>
            <w:tcW w:w="975" w:type="dxa"/>
            <w:tcBorders>
              <w:bottom w:val="single" w:sz="18" w:space="0" w:color="000000"/>
            </w:tcBorders>
            <w:shd w:val="clear" w:color="auto" w:fill="CCEDFF"/>
          </w:tcPr>
          <w:p w14:paraId="46127883" w14:textId="77777777" w:rsidR="00AE2255" w:rsidRDefault="00000000">
            <w:pPr>
              <w:pStyle w:val="TableParagraph"/>
              <w:spacing w:before="55" w:line="217" w:lineRule="exact"/>
              <w:ind w:right="181"/>
              <w:rPr>
                <w:sz w:val="20"/>
              </w:rPr>
            </w:pPr>
            <w:r>
              <w:rPr>
                <w:spacing w:val="-4"/>
                <w:sz w:val="20"/>
              </w:rPr>
              <w:t>2034</w:t>
            </w:r>
          </w:p>
        </w:tc>
        <w:tc>
          <w:tcPr>
            <w:tcW w:w="844" w:type="dxa"/>
            <w:tcBorders>
              <w:bottom w:val="single" w:sz="18" w:space="0" w:color="000000"/>
            </w:tcBorders>
            <w:shd w:val="clear" w:color="auto" w:fill="CCEDFF"/>
          </w:tcPr>
          <w:p w14:paraId="4DA60F3B" w14:textId="77777777" w:rsidR="00AE2255" w:rsidRDefault="00000000">
            <w:pPr>
              <w:pStyle w:val="TableParagraph"/>
              <w:spacing w:before="55" w:line="217" w:lineRule="exact"/>
              <w:ind w:right="50"/>
              <w:rPr>
                <w:sz w:val="20"/>
              </w:rPr>
            </w:pPr>
            <w:r>
              <w:rPr>
                <w:spacing w:val="-4"/>
                <w:sz w:val="20"/>
              </w:rPr>
              <w:t>2034</w:t>
            </w:r>
          </w:p>
        </w:tc>
      </w:tr>
    </w:tbl>
    <w:p w14:paraId="6F3CDA5D" w14:textId="77777777" w:rsidR="00AE2255" w:rsidRDefault="00000000">
      <w:pPr>
        <w:spacing w:before="59" w:line="232" w:lineRule="auto"/>
        <w:ind w:left="970" w:right="430" w:hanging="360"/>
        <w:rPr>
          <w:sz w:val="18"/>
        </w:rPr>
      </w:pPr>
      <w:r>
        <w:rPr>
          <w:sz w:val="18"/>
        </w:rPr>
        <w:t>(a)</w:t>
      </w:r>
      <w:r>
        <w:rPr>
          <w:spacing w:val="80"/>
          <w:sz w:val="18"/>
        </w:rPr>
        <w:t xml:space="preserve"> </w:t>
      </w:r>
      <w:r>
        <w:rPr>
          <w:sz w:val="18"/>
        </w:rPr>
        <w:t>A</w:t>
      </w:r>
      <w:r>
        <w:rPr>
          <w:spacing w:val="-3"/>
          <w:sz w:val="18"/>
        </w:rPr>
        <w:t xml:space="preserve"> </w:t>
      </w:r>
      <w:r>
        <w:rPr>
          <w:sz w:val="18"/>
        </w:rPr>
        <w:t>pension</w:t>
      </w:r>
      <w:r>
        <w:rPr>
          <w:spacing w:val="-2"/>
          <w:sz w:val="18"/>
        </w:rPr>
        <w:t xml:space="preserve"> </w:t>
      </w:r>
      <w:r>
        <w:rPr>
          <w:sz w:val="18"/>
        </w:rPr>
        <w:t>discount</w:t>
      </w:r>
      <w:r>
        <w:rPr>
          <w:spacing w:val="-2"/>
          <w:sz w:val="18"/>
        </w:rPr>
        <w:t xml:space="preserve"> </w:t>
      </w:r>
      <w:r>
        <w:rPr>
          <w:sz w:val="18"/>
        </w:rPr>
        <w:t>rate</w:t>
      </w:r>
      <w:r>
        <w:rPr>
          <w:spacing w:val="-2"/>
          <w:sz w:val="18"/>
        </w:rPr>
        <w:t xml:space="preserve"> </w:t>
      </w:r>
      <w:r>
        <w:rPr>
          <w:sz w:val="18"/>
        </w:rPr>
        <w:t>of</w:t>
      </w:r>
      <w:r>
        <w:rPr>
          <w:spacing w:val="-4"/>
          <w:sz w:val="18"/>
        </w:rPr>
        <w:t xml:space="preserve"> </w:t>
      </w:r>
      <w:r>
        <w:rPr>
          <w:sz w:val="18"/>
        </w:rPr>
        <w:t>4.75%,</w:t>
      </w:r>
      <w:r>
        <w:rPr>
          <w:spacing w:val="-2"/>
          <w:sz w:val="18"/>
        </w:rPr>
        <w:t xml:space="preserve"> </w:t>
      </w:r>
      <w:r>
        <w:rPr>
          <w:sz w:val="18"/>
        </w:rPr>
        <w:t>and</w:t>
      </w:r>
      <w:r>
        <w:rPr>
          <w:spacing w:val="-3"/>
          <w:sz w:val="18"/>
        </w:rPr>
        <w:t xml:space="preserve"> </w:t>
      </w:r>
      <w:r>
        <w:rPr>
          <w:sz w:val="18"/>
        </w:rPr>
        <w:t>2.75%,</w:t>
      </w:r>
      <w:r>
        <w:rPr>
          <w:spacing w:val="-2"/>
          <w:sz w:val="18"/>
        </w:rPr>
        <w:t xml:space="preserve"> </w:t>
      </w:r>
      <w:r>
        <w:rPr>
          <w:sz w:val="18"/>
        </w:rPr>
        <w:t>was</w:t>
      </w:r>
      <w:r>
        <w:rPr>
          <w:spacing w:val="-3"/>
          <w:sz w:val="18"/>
        </w:rPr>
        <w:t xml:space="preserve"> </w:t>
      </w:r>
      <w:r>
        <w:rPr>
          <w:sz w:val="18"/>
        </w:rPr>
        <w:t>used</w:t>
      </w:r>
      <w:r>
        <w:rPr>
          <w:spacing w:val="-2"/>
          <w:sz w:val="18"/>
        </w:rPr>
        <w:t xml:space="preserve"> </w:t>
      </w:r>
      <w:r>
        <w:rPr>
          <w:sz w:val="18"/>
        </w:rPr>
        <w:t>for</w:t>
      </w:r>
      <w:r>
        <w:rPr>
          <w:spacing w:val="-2"/>
          <w:sz w:val="18"/>
        </w:rPr>
        <w:t xml:space="preserve"> </w:t>
      </w:r>
      <w:r>
        <w:rPr>
          <w:sz w:val="18"/>
        </w:rPr>
        <w:t>the</w:t>
      </w:r>
      <w:r>
        <w:rPr>
          <w:spacing w:val="-2"/>
          <w:sz w:val="18"/>
        </w:rPr>
        <w:t xml:space="preserve"> </w:t>
      </w:r>
      <w:r>
        <w:rPr>
          <w:sz w:val="18"/>
        </w:rPr>
        <w:t>applicable</w:t>
      </w:r>
      <w:r>
        <w:rPr>
          <w:spacing w:val="-2"/>
          <w:sz w:val="18"/>
        </w:rPr>
        <w:t xml:space="preserve"> </w:t>
      </w:r>
      <w:r>
        <w:rPr>
          <w:sz w:val="18"/>
        </w:rPr>
        <w:t>plans</w:t>
      </w:r>
      <w:r>
        <w:rPr>
          <w:spacing w:val="-3"/>
          <w:sz w:val="18"/>
        </w:rPr>
        <w:t xml:space="preserve"> </w:t>
      </w:r>
      <w:r>
        <w:rPr>
          <w:sz w:val="18"/>
        </w:rPr>
        <w:t>following</w:t>
      </w:r>
      <w:r>
        <w:rPr>
          <w:spacing w:val="-2"/>
          <w:sz w:val="18"/>
        </w:rPr>
        <w:t xml:space="preserve"> </w:t>
      </w:r>
      <w:r>
        <w:rPr>
          <w:sz w:val="18"/>
        </w:rPr>
        <w:t>the</w:t>
      </w:r>
      <w:r>
        <w:rPr>
          <w:spacing w:val="-2"/>
          <w:sz w:val="18"/>
        </w:rPr>
        <w:t xml:space="preserve"> </w:t>
      </w:r>
      <w:r>
        <w:rPr>
          <w:sz w:val="18"/>
        </w:rPr>
        <w:t>transaction</w:t>
      </w:r>
      <w:r>
        <w:rPr>
          <w:spacing w:val="-2"/>
          <w:sz w:val="18"/>
        </w:rPr>
        <w:t xml:space="preserve"> </w:t>
      </w:r>
      <w:r>
        <w:rPr>
          <w:sz w:val="18"/>
        </w:rPr>
        <w:t>and</w:t>
      </w:r>
      <w:r>
        <w:rPr>
          <w:spacing w:val="-2"/>
          <w:sz w:val="18"/>
        </w:rPr>
        <w:t xml:space="preserve"> </w:t>
      </w:r>
      <w:r>
        <w:rPr>
          <w:sz w:val="18"/>
        </w:rPr>
        <w:t>remeasurement</w:t>
      </w:r>
      <w:r>
        <w:rPr>
          <w:spacing w:val="-2"/>
          <w:sz w:val="18"/>
        </w:rPr>
        <w:t xml:space="preserve"> </w:t>
      </w:r>
      <w:r>
        <w:rPr>
          <w:sz w:val="18"/>
        </w:rPr>
        <w:t>recognized in the second quarter of 2022, and third quarter of 2021, respectively. We lowered our expected long-term rate of return on plan assets from</w:t>
      </w:r>
      <w:r>
        <w:rPr>
          <w:spacing w:val="-2"/>
          <w:sz w:val="18"/>
        </w:rPr>
        <w:t xml:space="preserve"> </w:t>
      </w:r>
      <w:r>
        <w:rPr>
          <w:sz w:val="18"/>
        </w:rPr>
        <w:t>7.00%</w:t>
      </w:r>
      <w:r>
        <w:rPr>
          <w:spacing w:val="-2"/>
          <w:sz w:val="18"/>
        </w:rPr>
        <w:t xml:space="preserve"> </w:t>
      </w:r>
      <w:r>
        <w:rPr>
          <w:sz w:val="18"/>
        </w:rPr>
        <w:t>to</w:t>
      </w:r>
      <w:r>
        <w:rPr>
          <w:spacing w:val="-2"/>
          <w:sz w:val="18"/>
        </w:rPr>
        <w:t xml:space="preserve"> </w:t>
      </w:r>
      <w:r>
        <w:rPr>
          <w:sz w:val="18"/>
        </w:rPr>
        <w:t>6.50%</w:t>
      </w:r>
      <w:r>
        <w:rPr>
          <w:spacing w:val="-2"/>
          <w:sz w:val="18"/>
        </w:rPr>
        <w:t xml:space="preserve"> </w:t>
      </w:r>
      <w:r>
        <w:rPr>
          <w:sz w:val="18"/>
        </w:rPr>
        <w:t>in</w:t>
      </w:r>
      <w:r>
        <w:rPr>
          <w:spacing w:val="-1"/>
          <w:sz w:val="18"/>
        </w:rPr>
        <w:t xml:space="preserve"> </w:t>
      </w:r>
      <w:r>
        <w:rPr>
          <w:sz w:val="18"/>
        </w:rPr>
        <w:t>connection</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third</w:t>
      </w:r>
      <w:r>
        <w:rPr>
          <w:spacing w:val="-1"/>
          <w:sz w:val="18"/>
        </w:rPr>
        <w:t xml:space="preserve"> </w:t>
      </w:r>
      <w:r>
        <w:rPr>
          <w:sz w:val="18"/>
        </w:rPr>
        <w:t>quarter</w:t>
      </w:r>
      <w:r>
        <w:rPr>
          <w:spacing w:val="-1"/>
          <w:sz w:val="18"/>
        </w:rPr>
        <w:t xml:space="preserve"> </w:t>
      </w:r>
      <w:r>
        <w:rPr>
          <w:sz w:val="18"/>
        </w:rPr>
        <w:t>of</w:t>
      </w:r>
      <w:r>
        <w:rPr>
          <w:spacing w:val="-1"/>
          <w:sz w:val="18"/>
        </w:rPr>
        <w:t xml:space="preserve"> </w:t>
      </w:r>
      <w:r>
        <w:rPr>
          <w:sz w:val="18"/>
        </w:rPr>
        <w:t>2021</w:t>
      </w:r>
      <w:r>
        <w:rPr>
          <w:spacing w:val="-1"/>
          <w:sz w:val="18"/>
        </w:rPr>
        <w:t xml:space="preserve"> </w:t>
      </w:r>
      <w:r>
        <w:rPr>
          <w:sz w:val="18"/>
        </w:rPr>
        <w:t>remeasurement,</w:t>
      </w:r>
      <w:r>
        <w:rPr>
          <w:spacing w:val="-1"/>
          <w:sz w:val="18"/>
        </w:rPr>
        <w:t xml:space="preserve"> </w:t>
      </w:r>
      <w:r>
        <w:rPr>
          <w:sz w:val="18"/>
        </w:rPr>
        <w:t>applicable</w:t>
      </w:r>
      <w:r>
        <w:rPr>
          <w:spacing w:val="-1"/>
          <w:sz w:val="18"/>
        </w:rPr>
        <w:t xml:space="preserve"> </w:t>
      </w:r>
      <w:r>
        <w:rPr>
          <w:sz w:val="18"/>
        </w:rPr>
        <w:t>to</w:t>
      </w:r>
      <w:r>
        <w:rPr>
          <w:spacing w:val="-1"/>
          <w:sz w:val="18"/>
        </w:rPr>
        <w:t xml:space="preserve"> </w:t>
      </w:r>
      <w:r>
        <w:rPr>
          <w:sz w:val="18"/>
        </w:rPr>
        <w:t>all</w:t>
      </w:r>
      <w:r>
        <w:rPr>
          <w:spacing w:val="-1"/>
          <w:sz w:val="18"/>
        </w:rPr>
        <w:t xml:space="preserve"> </w:t>
      </w:r>
      <w:r>
        <w:rPr>
          <w:sz w:val="18"/>
        </w:rPr>
        <w:t>qualified</w:t>
      </w:r>
      <w:r>
        <w:rPr>
          <w:spacing w:val="-1"/>
          <w:sz w:val="18"/>
        </w:rPr>
        <w:t xml:space="preserve"> </w:t>
      </w:r>
      <w:r>
        <w:rPr>
          <w:sz w:val="18"/>
        </w:rPr>
        <w:t>defined</w:t>
      </w:r>
      <w:r>
        <w:rPr>
          <w:spacing w:val="-1"/>
          <w:sz w:val="18"/>
        </w:rPr>
        <w:t xml:space="preserve"> </w:t>
      </w:r>
      <w:r>
        <w:rPr>
          <w:sz w:val="18"/>
        </w:rPr>
        <w:t>benefit</w:t>
      </w:r>
      <w:r>
        <w:rPr>
          <w:spacing w:val="-1"/>
          <w:sz w:val="18"/>
        </w:rPr>
        <w:t xml:space="preserve"> </w:t>
      </w:r>
      <w:r>
        <w:rPr>
          <w:sz w:val="18"/>
        </w:rPr>
        <w:t>pension</w:t>
      </w:r>
      <w:r>
        <w:rPr>
          <w:spacing w:val="-1"/>
          <w:sz w:val="18"/>
        </w:rPr>
        <w:t xml:space="preserve"> </w:t>
      </w:r>
      <w:r>
        <w:rPr>
          <w:sz w:val="18"/>
        </w:rPr>
        <w:t xml:space="preserve">and retiree medical and life insurance plans as of the December 31, </w:t>
      </w:r>
      <w:proofErr w:type="gramStart"/>
      <w:r>
        <w:rPr>
          <w:sz w:val="18"/>
        </w:rPr>
        <w:t>2021</w:t>
      </w:r>
      <w:proofErr w:type="gramEnd"/>
      <w:r>
        <w:rPr>
          <w:sz w:val="18"/>
        </w:rPr>
        <w:t xml:space="preserve"> remeasurement.</w:t>
      </w:r>
    </w:p>
    <w:p w14:paraId="0C920179" w14:textId="77777777" w:rsidR="00AE2255" w:rsidRDefault="00AE2255">
      <w:pPr>
        <w:pStyle w:val="BodyText"/>
        <w:spacing w:before="4"/>
        <w:rPr>
          <w:sz w:val="17"/>
        </w:rPr>
      </w:pPr>
    </w:p>
    <w:p w14:paraId="584F30C8" w14:textId="77777777" w:rsidR="00AE2255" w:rsidRDefault="00000000">
      <w:pPr>
        <w:pStyle w:val="BodyText"/>
        <w:spacing w:line="232" w:lineRule="auto"/>
        <w:ind w:left="610" w:right="428" w:firstLine="360"/>
        <w:jc w:val="both"/>
      </w:pPr>
      <w:r>
        <w:t>The long-term rate of return assumption represents the expected long-term rate of earnings on the funds invested, or to be invested, to provide for the benefits included in the benefit obligations. That assumption is based on several factors including historical market index returns, the anticipated long-term allocation of plan assets, the historical return data for the trust funds, plan expenses and the potential to outperform market index returns. The actual investment losses for our qualified defined benefit plans during 2022 of $(5.9) billion based on an actual rate of return of approximately (</w:t>
      </w:r>
      <w:proofErr w:type="gramStart"/>
      <w:r>
        <w:t>18)%</w:t>
      </w:r>
      <w:proofErr w:type="gramEnd"/>
      <w:r>
        <w:t xml:space="preserve"> reduced plan assets more than the $1.9 billion expected return based on our long-term rate of return assumption.</w:t>
      </w:r>
    </w:p>
    <w:p w14:paraId="710F60D7" w14:textId="77777777" w:rsidR="00AE2255" w:rsidRDefault="00AE2255">
      <w:pPr>
        <w:spacing w:line="232" w:lineRule="auto"/>
        <w:jc w:val="both"/>
        <w:sectPr w:rsidR="00AE2255">
          <w:pgSz w:w="12240" w:h="15840"/>
          <w:pgMar w:top="440" w:right="560" w:bottom="720" w:left="380" w:header="230" w:footer="531" w:gutter="0"/>
          <w:cols w:space="720"/>
        </w:sectPr>
      </w:pPr>
    </w:p>
    <w:p w14:paraId="7602FF6E" w14:textId="77777777" w:rsidR="00AE2255" w:rsidRDefault="00AE2255">
      <w:pPr>
        <w:pStyle w:val="BodyText"/>
        <w:spacing w:before="7"/>
        <w:rPr>
          <w:sz w:val="22"/>
        </w:rPr>
      </w:pPr>
    </w:p>
    <w:p w14:paraId="6C0E0B61" w14:textId="77777777" w:rsidR="00AE2255" w:rsidRDefault="00000000">
      <w:pPr>
        <w:pStyle w:val="Heading3"/>
        <w:spacing w:before="92"/>
      </w:pPr>
      <w:r>
        <w:t>Plan</w:t>
      </w:r>
      <w:r>
        <w:rPr>
          <w:spacing w:val="-3"/>
        </w:rPr>
        <w:t xml:space="preserve"> </w:t>
      </w:r>
      <w:r>
        <w:rPr>
          <w:spacing w:val="-2"/>
        </w:rPr>
        <w:t>Assets</w:t>
      </w:r>
    </w:p>
    <w:p w14:paraId="71D78225" w14:textId="77777777" w:rsidR="00AE2255" w:rsidRDefault="00AE2255">
      <w:pPr>
        <w:pStyle w:val="BodyText"/>
        <w:spacing w:before="6"/>
        <w:rPr>
          <w:b/>
          <w:i/>
          <w:sz w:val="18"/>
        </w:rPr>
      </w:pPr>
    </w:p>
    <w:p w14:paraId="73A8B3A8" w14:textId="77777777" w:rsidR="00AE2255" w:rsidRDefault="00000000">
      <w:pPr>
        <w:pStyle w:val="BodyText"/>
        <w:spacing w:line="249" w:lineRule="auto"/>
        <w:ind w:left="610" w:right="428" w:firstLine="360"/>
        <w:jc w:val="both"/>
      </w:pPr>
      <w:r>
        <w:t xml:space="preserve">Our </w:t>
      </w:r>
      <w:proofErr w:type="gramStart"/>
      <w:r>
        <w:t>wholly-owned</w:t>
      </w:r>
      <w:proofErr w:type="gramEnd"/>
      <w:r>
        <w:t xml:space="preserve"> subsidiary, Lockheed Martin Investment Management Company (</w:t>
      </w:r>
      <w:proofErr w:type="spellStart"/>
      <w:r>
        <w:t>LMIMCo</w:t>
      </w:r>
      <w:proofErr w:type="spellEnd"/>
      <w:r>
        <w:t xml:space="preserve">), has the fiduciary responsibility for making investment decisions related to the assets of our postretirement benefit plans. </w:t>
      </w:r>
      <w:proofErr w:type="spellStart"/>
      <w:r>
        <w:t>LMIMCo’s</w:t>
      </w:r>
      <w:proofErr w:type="spellEnd"/>
      <w:r>
        <w:t xml:space="preserve"> investment objectives for the assets of these plans are (1) to minimize the net present value of expected funding contributions; (2) to ensure there is a high probability that each plan meets or exceeds our actuarial long-term rate of return assumptions; and (3) to</w:t>
      </w:r>
      <w:r>
        <w:rPr>
          <w:spacing w:val="40"/>
        </w:rPr>
        <w:t xml:space="preserve"> </w:t>
      </w:r>
      <w:r>
        <w:t>diversify assets to minimize the risk of large losses. The nature and duration of benefit obligations, along with assumptions concerning asset class returns and return correlations, are considered when determining an appropriate asset allocation to achieve the investment objectives. Investment policies and strategies governing the assets of the plans are designed to achieve investment objectives within prudent risk parameters. Risk management practices include the use of external investment managers; the maintenance of a portfolio diversified by asset class, investment approach and security holdings; and the maintenance of sufficient liquidity to meet benefit obligations as they come due.</w:t>
      </w:r>
    </w:p>
    <w:p w14:paraId="2A013BBA" w14:textId="77777777" w:rsidR="00AE2255" w:rsidRDefault="00AE2255">
      <w:pPr>
        <w:pStyle w:val="BodyText"/>
        <w:spacing w:before="1"/>
        <w:rPr>
          <w:sz w:val="18"/>
        </w:rPr>
      </w:pPr>
    </w:p>
    <w:p w14:paraId="0C5D269D" w14:textId="77777777" w:rsidR="00AE2255" w:rsidRDefault="00000000">
      <w:pPr>
        <w:pStyle w:val="BodyText"/>
        <w:spacing w:line="249" w:lineRule="auto"/>
        <w:ind w:left="610" w:right="430" w:firstLine="360"/>
      </w:pPr>
      <w:proofErr w:type="spellStart"/>
      <w:r>
        <w:t>LMIMCo’s</w:t>
      </w:r>
      <w:proofErr w:type="spellEnd"/>
      <w:r>
        <w:rPr>
          <w:spacing w:val="-4"/>
        </w:rPr>
        <w:t xml:space="preserve"> </w:t>
      </w:r>
      <w:r>
        <w:t>investment</w:t>
      </w:r>
      <w:r>
        <w:rPr>
          <w:spacing w:val="-4"/>
        </w:rPr>
        <w:t xml:space="preserve"> </w:t>
      </w:r>
      <w:r>
        <w:t>policies</w:t>
      </w:r>
      <w:r>
        <w:rPr>
          <w:spacing w:val="-4"/>
        </w:rPr>
        <w:t xml:space="preserve"> </w:t>
      </w:r>
      <w:r>
        <w:t>require</w:t>
      </w:r>
      <w:r>
        <w:rPr>
          <w:spacing w:val="-4"/>
        </w:rPr>
        <w:t xml:space="preserve"> </w:t>
      </w:r>
      <w:r>
        <w:t>that</w:t>
      </w:r>
      <w:r>
        <w:rPr>
          <w:spacing w:val="-4"/>
        </w:rPr>
        <w:t xml:space="preserve"> </w:t>
      </w:r>
      <w:r>
        <w:t>asset</w:t>
      </w:r>
      <w:r>
        <w:rPr>
          <w:spacing w:val="-4"/>
        </w:rPr>
        <w:t xml:space="preserve"> </w:t>
      </w:r>
      <w:r>
        <w:t>allocations</w:t>
      </w:r>
      <w:r>
        <w:rPr>
          <w:spacing w:val="-4"/>
        </w:rPr>
        <w:t xml:space="preserve"> </w:t>
      </w:r>
      <w:r>
        <w:t>of</w:t>
      </w:r>
      <w:r>
        <w:rPr>
          <w:spacing w:val="-3"/>
        </w:rPr>
        <w:t xml:space="preserve"> </w:t>
      </w:r>
      <w:r>
        <w:t>postretirement</w:t>
      </w:r>
      <w:r>
        <w:rPr>
          <w:spacing w:val="-4"/>
        </w:rPr>
        <w:t xml:space="preserve"> </w:t>
      </w:r>
      <w:r>
        <w:t>benefit</w:t>
      </w:r>
      <w:r>
        <w:rPr>
          <w:spacing w:val="-4"/>
        </w:rPr>
        <w:t xml:space="preserve"> </w:t>
      </w:r>
      <w:r>
        <w:t>plans</w:t>
      </w:r>
      <w:r>
        <w:rPr>
          <w:spacing w:val="-4"/>
        </w:rPr>
        <w:t xml:space="preserve"> </w:t>
      </w:r>
      <w:r>
        <w:t>be</w:t>
      </w:r>
      <w:r>
        <w:rPr>
          <w:spacing w:val="-4"/>
        </w:rPr>
        <w:t xml:space="preserve"> </w:t>
      </w:r>
      <w:r>
        <w:t>maintained</w:t>
      </w:r>
      <w:r>
        <w:rPr>
          <w:spacing w:val="-3"/>
        </w:rPr>
        <w:t xml:space="preserve"> </w:t>
      </w:r>
      <w:r>
        <w:t>within</w:t>
      </w:r>
      <w:r>
        <w:rPr>
          <w:spacing w:val="-3"/>
        </w:rPr>
        <w:t xml:space="preserve"> </w:t>
      </w:r>
      <w:r>
        <w:t>the following approximate ranges:</w:t>
      </w:r>
    </w:p>
    <w:p w14:paraId="6C9F18EB" w14:textId="77777777" w:rsidR="00AE2255" w:rsidRDefault="00000000">
      <w:pPr>
        <w:pStyle w:val="Heading2"/>
        <w:spacing w:before="70"/>
        <w:ind w:left="0" w:right="651"/>
        <w:jc w:val="right"/>
      </w:pPr>
      <w:r>
        <w:pict w14:anchorId="3BDFCD22">
          <v:shape id="docshape57" o:spid="_x0000_s2158" type="#_x0000_t202" style="position:absolute;left:0;text-align:left;margin-left:46.5pt;margin-top:13.9pt;width:518.25pt;height:127.65pt;z-index:15749632;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660"/>
                    <w:gridCol w:w="4586"/>
                  </w:tblGrid>
                  <w:tr w:rsidR="00AE2255" w14:paraId="4183E644" w14:textId="77777777">
                    <w:trPr>
                      <w:trHeight w:val="241"/>
                    </w:trPr>
                    <w:tc>
                      <w:tcPr>
                        <w:tcW w:w="5660" w:type="dxa"/>
                        <w:tcBorders>
                          <w:bottom w:val="single" w:sz="8" w:space="0" w:color="auto"/>
                        </w:tcBorders>
                      </w:tcPr>
                      <w:p w14:paraId="44E2E84C" w14:textId="77777777" w:rsidR="00AE2255" w:rsidRDefault="00000000">
                        <w:pPr>
                          <w:pStyle w:val="TableParagraph"/>
                          <w:spacing w:before="0" w:line="221" w:lineRule="exact"/>
                          <w:ind w:left="52"/>
                          <w:jc w:val="left"/>
                          <w:rPr>
                            <w:b/>
                            <w:sz w:val="20"/>
                          </w:rPr>
                        </w:pPr>
                        <w:r>
                          <w:rPr>
                            <w:b/>
                            <w:sz w:val="20"/>
                          </w:rPr>
                          <w:t>Asset</w:t>
                        </w:r>
                        <w:r>
                          <w:rPr>
                            <w:b/>
                            <w:spacing w:val="-4"/>
                            <w:sz w:val="20"/>
                          </w:rPr>
                          <w:t xml:space="preserve"> </w:t>
                        </w:r>
                        <w:r>
                          <w:rPr>
                            <w:b/>
                            <w:spacing w:val="-2"/>
                            <w:sz w:val="20"/>
                          </w:rPr>
                          <w:t>Class</w:t>
                        </w:r>
                      </w:p>
                    </w:tc>
                    <w:tc>
                      <w:tcPr>
                        <w:tcW w:w="4586" w:type="dxa"/>
                        <w:tcBorders>
                          <w:bottom w:val="single" w:sz="8" w:space="0" w:color="auto"/>
                        </w:tcBorders>
                      </w:tcPr>
                      <w:p w14:paraId="4FF69376" w14:textId="77777777" w:rsidR="00AE2255" w:rsidRDefault="00000000">
                        <w:pPr>
                          <w:pStyle w:val="TableParagraph"/>
                          <w:spacing w:before="0" w:line="221" w:lineRule="exact"/>
                          <w:ind w:right="587"/>
                          <w:rPr>
                            <w:b/>
                            <w:sz w:val="20"/>
                          </w:rPr>
                        </w:pPr>
                        <w:r>
                          <w:rPr>
                            <w:b/>
                            <w:spacing w:val="-2"/>
                            <w:sz w:val="20"/>
                          </w:rPr>
                          <w:t>Ranges</w:t>
                        </w:r>
                      </w:p>
                    </w:tc>
                  </w:tr>
                  <w:tr w:rsidR="00AE2255" w14:paraId="1FA5D8AA" w14:textId="77777777">
                    <w:trPr>
                      <w:trHeight w:val="275"/>
                    </w:trPr>
                    <w:tc>
                      <w:tcPr>
                        <w:tcW w:w="5660" w:type="dxa"/>
                        <w:tcBorders>
                          <w:top w:val="single" w:sz="8" w:space="0" w:color="CCEDFF"/>
                        </w:tcBorders>
                        <w:shd w:val="clear" w:color="auto" w:fill="CCEDFF"/>
                      </w:tcPr>
                      <w:p w14:paraId="7C2594B8" w14:textId="77777777" w:rsidR="00AE2255" w:rsidRDefault="00000000">
                        <w:pPr>
                          <w:pStyle w:val="TableParagraph"/>
                          <w:spacing w:before="17"/>
                          <w:ind w:left="187"/>
                          <w:jc w:val="left"/>
                          <w:rPr>
                            <w:sz w:val="20"/>
                          </w:rPr>
                        </w:pPr>
                        <w:r>
                          <w:rPr>
                            <w:sz w:val="20"/>
                          </w:rPr>
                          <w:t>Cash</w:t>
                        </w:r>
                        <w:r>
                          <w:rPr>
                            <w:spacing w:val="-3"/>
                            <w:sz w:val="20"/>
                          </w:rPr>
                          <w:t xml:space="preserve"> </w:t>
                        </w:r>
                        <w:r>
                          <w:rPr>
                            <w:sz w:val="20"/>
                          </w:rPr>
                          <w:t>and</w:t>
                        </w:r>
                        <w:r>
                          <w:rPr>
                            <w:spacing w:val="-2"/>
                            <w:sz w:val="20"/>
                          </w:rPr>
                          <w:t xml:space="preserve"> </w:t>
                        </w:r>
                        <w:r>
                          <w:rPr>
                            <w:sz w:val="20"/>
                          </w:rPr>
                          <w:t>cash</w:t>
                        </w:r>
                        <w:r>
                          <w:rPr>
                            <w:spacing w:val="-2"/>
                            <w:sz w:val="20"/>
                          </w:rPr>
                          <w:t xml:space="preserve"> equivalents</w:t>
                        </w:r>
                      </w:p>
                    </w:tc>
                    <w:tc>
                      <w:tcPr>
                        <w:tcW w:w="4586" w:type="dxa"/>
                        <w:tcBorders>
                          <w:top w:val="single" w:sz="8" w:space="0" w:color="CCEDFF"/>
                        </w:tcBorders>
                        <w:shd w:val="clear" w:color="auto" w:fill="CCEDFF"/>
                      </w:tcPr>
                      <w:p w14:paraId="48C744C3" w14:textId="77777777" w:rsidR="00AE2255" w:rsidRDefault="00000000">
                        <w:pPr>
                          <w:pStyle w:val="TableParagraph"/>
                          <w:spacing w:before="15"/>
                          <w:ind w:right="632"/>
                          <w:rPr>
                            <w:sz w:val="20"/>
                          </w:rPr>
                        </w:pPr>
                        <w:r>
                          <w:rPr>
                            <w:sz w:val="20"/>
                          </w:rPr>
                          <w:t>0-</w:t>
                        </w:r>
                        <w:r>
                          <w:rPr>
                            <w:spacing w:val="-5"/>
                            <w:sz w:val="20"/>
                          </w:rPr>
                          <w:t>20%</w:t>
                        </w:r>
                      </w:p>
                    </w:tc>
                  </w:tr>
                  <w:tr w:rsidR="00AE2255" w14:paraId="78973DA9" w14:textId="77777777">
                    <w:trPr>
                      <w:trHeight w:val="285"/>
                    </w:trPr>
                    <w:tc>
                      <w:tcPr>
                        <w:tcW w:w="5660" w:type="dxa"/>
                      </w:tcPr>
                      <w:p w14:paraId="3875B3D8" w14:textId="77777777" w:rsidR="00AE2255" w:rsidRDefault="00000000">
                        <w:pPr>
                          <w:pStyle w:val="TableParagraph"/>
                          <w:spacing w:before="27"/>
                          <w:ind w:left="187"/>
                          <w:jc w:val="left"/>
                          <w:rPr>
                            <w:sz w:val="20"/>
                          </w:rPr>
                        </w:pPr>
                        <w:r>
                          <w:rPr>
                            <w:sz w:val="20"/>
                          </w:rPr>
                          <w:t>Global</w:t>
                        </w:r>
                        <w:r>
                          <w:rPr>
                            <w:spacing w:val="-6"/>
                            <w:sz w:val="20"/>
                          </w:rPr>
                          <w:t xml:space="preserve"> </w:t>
                        </w:r>
                        <w:r>
                          <w:rPr>
                            <w:spacing w:val="-2"/>
                            <w:sz w:val="20"/>
                          </w:rPr>
                          <w:t>Equity</w:t>
                        </w:r>
                      </w:p>
                    </w:tc>
                    <w:tc>
                      <w:tcPr>
                        <w:tcW w:w="4586" w:type="dxa"/>
                      </w:tcPr>
                      <w:p w14:paraId="16814741" w14:textId="77777777" w:rsidR="00AE2255" w:rsidRDefault="00000000">
                        <w:pPr>
                          <w:pStyle w:val="TableParagraph"/>
                          <w:ind w:right="582"/>
                          <w:rPr>
                            <w:sz w:val="20"/>
                          </w:rPr>
                        </w:pPr>
                        <w:r>
                          <w:rPr>
                            <w:sz w:val="20"/>
                          </w:rPr>
                          <w:t>15-</w:t>
                        </w:r>
                        <w:r>
                          <w:rPr>
                            <w:spacing w:val="-5"/>
                            <w:sz w:val="20"/>
                          </w:rPr>
                          <w:t>65%</w:t>
                        </w:r>
                      </w:p>
                    </w:tc>
                  </w:tr>
                  <w:tr w:rsidR="00AE2255" w14:paraId="384DD42E" w14:textId="77777777">
                    <w:trPr>
                      <w:trHeight w:val="285"/>
                    </w:trPr>
                    <w:tc>
                      <w:tcPr>
                        <w:tcW w:w="5660" w:type="dxa"/>
                        <w:shd w:val="clear" w:color="auto" w:fill="CCEDFF"/>
                      </w:tcPr>
                      <w:p w14:paraId="5D256D4F" w14:textId="77777777" w:rsidR="00AE2255" w:rsidRDefault="00000000">
                        <w:pPr>
                          <w:pStyle w:val="TableParagraph"/>
                          <w:spacing w:before="27"/>
                          <w:ind w:left="187"/>
                          <w:jc w:val="left"/>
                          <w:rPr>
                            <w:sz w:val="20"/>
                          </w:rPr>
                        </w:pPr>
                        <w:r>
                          <w:rPr>
                            <w:sz w:val="20"/>
                          </w:rPr>
                          <w:t>Fixed</w:t>
                        </w:r>
                        <w:r>
                          <w:rPr>
                            <w:spacing w:val="-5"/>
                            <w:sz w:val="20"/>
                          </w:rPr>
                          <w:t xml:space="preserve"> </w:t>
                        </w:r>
                        <w:r>
                          <w:rPr>
                            <w:spacing w:val="-2"/>
                            <w:sz w:val="20"/>
                          </w:rPr>
                          <w:t>income</w:t>
                        </w:r>
                      </w:p>
                    </w:tc>
                    <w:tc>
                      <w:tcPr>
                        <w:tcW w:w="4586" w:type="dxa"/>
                        <w:shd w:val="clear" w:color="auto" w:fill="CCEDFF"/>
                      </w:tcPr>
                      <w:p w14:paraId="7FDF65B5" w14:textId="77777777" w:rsidR="00AE2255" w:rsidRDefault="00000000">
                        <w:pPr>
                          <w:pStyle w:val="TableParagraph"/>
                          <w:ind w:right="582"/>
                          <w:rPr>
                            <w:sz w:val="20"/>
                          </w:rPr>
                        </w:pPr>
                        <w:r>
                          <w:rPr>
                            <w:sz w:val="20"/>
                          </w:rPr>
                          <w:t>10-</w:t>
                        </w:r>
                        <w:r>
                          <w:rPr>
                            <w:spacing w:val="-5"/>
                            <w:sz w:val="20"/>
                          </w:rPr>
                          <w:t>60%</w:t>
                        </w:r>
                      </w:p>
                    </w:tc>
                  </w:tr>
                  <w:tr w:rsidR="00AE2255" w14:paraId="5B3F04E2" w14:textId="77777777">
                    <w:trPr>
                      <w:trHeight w:val="285"/>
                    </w:trPr>
                    <w:tc>
                      <w:tcPr>
                        <w:tcW w:w="5660" w:type="dxa"/>
                      </w:tcPr>
                      <w:p w14:paraId="1CD1B344" w14:textId="77777777" w:rsidR="00AE2255" w:rsidRDefault="00000000">
                        <w:pPr>
                          <w:pStyle w:val="TableParagraph"/>
                          <w:spacing w:before="27"/>
                          <w:ind w:left="187"/>
                          <w:jc w:val="left"/>
                          <w:rPr>
                            <w:sz w:val="20"/>
                          </w:rPr>
                        </w:pPr>
                        <w:r>
                          <w:rPr>
                            <w:sz w:val="20"/>
                          </w:rPr>
                          <w:t>Alternative</w:t>
                        </w:r>
                        <w:r>
                          <w:rPr>
                            <w:spacing w:val="-8"/>
                            <w:sz w:val="20"/>
                          </w:rPr>
                          <w:t xml:space="preserve"> </w:t>
                        </w:r>
                        <w:r>
                          <w:rPr>
                            <w:spacing w:val="-2"/>
                            <w:sz w:val="20"/>
                          </w:rPr>
                          <w:t>investments:</w:t>
                        </w:r>
                      </w:p>
                    </w:tc>
                    <w:tc>
                      <w:tcPr>
                        <w:tcW w:w="4586" w:type="dxa"/>
                      </w:tcPr>
                      <w:p w14:paraId="33D70747" w14:textId="77777777" w:rsidR="00AE2255" w:rsidRDefault="00AE2255">
                        <w:pPr>
                          <w:pStyle w:val="TableParagraph"/>
                          <w:spacing w:before="0"/>
                          <w:jc w:val="left"/>
                          <w:rPr>
                            <w:sz w:val="20"/>
                          </w:rPr>
                        </w:pPr>
                      </w:p>
                    </w:tc>
                  </w:tr>
                  <w:tr w:rsidR="00AE2255" w14:paraId="6DC54CA0" w14:textId="77777777">
                    <w:trPr>
                      <w:trHeight w:val="285"/>
                    </w:trPr>
                    <w:tc>
                      <w:tcPr>
                        <w:tcW w:w="5660" w:type="dxa"/>
                        <w:shd w:val="clear" w:color="auto" w:fill="CCEDFF"/>
                      </w:tcPr>
                      <w:p w14:paraId="1BAB46FE" w14:textId="77777777" w:rsidR="00AE2255" w:rsidRDefault="00000000">
                        <w:pPr>
                          <w:pStyle w:val="TableParagraph"/>
                          <w:spacing w:before="27"/>
                          <w:ind w:left="412"/>
                          <w:jc w:val="left"/>
                          <w:rPr>
                            <w:sz w:val="20"/>
                          </w:rPr>
                        </w:pPr>
                        <w:r>
                          <w:rPr>
                            <w:sz w:val="20"/>
                          </w:rPr>
                          <w:t>Private</w:t>
                        </w:r>
                        <w:r>
                          <w:rPr>
                            <w:spacing w:val="-5"/>
                            <w:sz w:val="20"/>
                          </w:rPr>
                          <w:t xml:space="preserve"> </w:t>
                        </w:r>
                        <w:r>
                          <w:rPr>
                            <w:sz w:val="20"/>
                          </w:rPr>
                          <w:t>equity</w:t>
                        </w:r>
                        <w:r>
                          <w:rPr>
                            <w:spacing w:val="-3"/>
                            <w:sz w:val="20"/>
                          </w:rPr>
                          <w:t xml:space="preserve"> </w:t>
                        </w:r>
                        <w:r>
                          <w:rPr>
                            <w:spacing w:val="-2"/>
                            <w:sz w:val="20"/>
                          </w:rPr>
                          <w:t>funds</w:t>
                        </w:r>
                      </w:p>
                    </w:tc>
                    <w:tc>
                      <w:tcPr>
                        <w:tcW w:w="4586" w:type="dxa"/>
                        <w:shd w:val="clear" w:color="auto" w:fill="CCEDFF"/>
                      </w:tcPr>
                      <w:p w14:paraId="14CF3F8A" w14:textId="77777777" w:rsidR="00AE2255" w:rsidRDefault="00000000">
                        <w:pPr>
                          <w:pStyle w:val="TableParagraph"/>
                          <w:ind w:right="632"/>
                          <w:rPr>
                            <w:sz w:val="20"/>
                          </w:rPr>
                        </w:pPr>
                        <w:r>
                          <w:rPr>
                            <w:sz w:val="20"/>
                          </w:rPr>
                          <w:t>5-</w:t>
                        </w:r>
                        <w:r>
                          <w:rPr>
                            <w:spacing w:val="-5"/>
                            <w:sz w:val="20"/>
                          </w:rPr>
                          <w:t>25%</w:t>
                        </w:r>
                      </w:p>
                    </w:tc>
                  </w:tr>
                  <w:tr w:rsidR="00AE2255" w14:paraId="561DD836" w14:textId="77777777">
                    <w:trPr>
                      <w:trHeight w:val="285"/>
                    </w:trPr>
                    <w:tc>
                      <w:tcPr>
                        <w:tcW w:w="5660" w:type="dxa"/>
                      </w:tcPr>
                      <w:p w14:paraId="45197882" w14:textId="77777777" w:rsidR="00AE2255" w:rsidRDefault="00000000">
                        <w:pPr>
                          <w:pStyle w:val="TableParagraph"/>
                          <w:spacing w:before="27"/>
                          <w:ind w:left="412"/>
                          <w:jc w:val="left"/>
                          <w:rPr>
                            <w:sz w:val="20"/>
                          </w:rPr>
                        </w:pPr>
                        <w:r>
                          <w:rPr>
                            <w:sz w:val="20"/>
                          </w:rPr>
                          <w:t>Real</w:t>
                        </w:r>
                        <w:r>
                          <w:rPr>
                            <w:spacing w:val="-5"/>
                            <w:sz w:val="20"/>
                          </w:rPr>
                          <w:t xml:space="preserve"> </w:t>
                        </w:r>
                        <w:r>
                          <w:rPr>
                            <w:sz w:val="20"/>
                          </w:rPr>
                          <w:t>estate</w:t>
                        </w:r>
                        <w:r>
                          <w:rPr>
                            <w:spacing w:val="-5"/>
                            <w:sz w:val="20"/>
                          </w:rPr>
                          <w:t xml:space="preserve"> </w:t>
                        </w:r>
                        <w:r>
                          <w:rPr>
                            <w:spacing w:val="-2"/>
                            <w:sz w:val="20"/>
                          </w:rPr>
                          <w:t>funds</w:t>
                        </w:r>
                      </w:p>
                    </w:tc>
                    <w:tc>
                      <w:tcPr>
                        <w:tcW w:w="4586" w:type="dxa"/>
                      </w:tcPr>
                      <w:p w14:paraId="7D30D9BB" w14:textId="77777777" w:rsidR="00AE2255" w:rsidRDefault="00000000">
                        <w:pPr>
                          <w:pStyle w:val="TableParagraph"/>
                          <w:ind w:right="632"/>
                          <w:rPr>
                            <w:sz w:val="20"/>
                          </w:rPr>
                        </w:pPr>
                        <w:r>
                          <w:rPr>
                            <w:sz w:val="20"/>
                          </w:rPr>
                          <w:t>5-</w:t>
                        </w:r>
                        <w:r>
                          <w:rPr>
                            <w:spacing w:val="-5"/>
                            <w:sz w:val="20"/>
                          </w:rPr>
                          <w:t>15%</w:t>
                        </w:r>
                      </w:p>
                    </w:tc>
                  </w:tr>
                  <w:tr w:rsidR="00AE2255" w14:paraId="192EA361" w14:textId="77777777">
                    <w:trPr>
                      <w:trHeight w:val="285"/>
                    </w:trPr>
                    <w:tc>
                      <w:tcPr>
                        <w:tcW w:w="5660" w:type="dxa"/>
                        <w:shd w:val="clear" w:color="auto" w:fill="CCEDFF"/>
                      </w:tcPr>
                      <w:p w14:paraId="51FC846E" w14:textId="77777777" w:rsidR="00AE2255" w:rsidRDefault="00000000">
                        <w:pPr>
                          <w:pStyle w:val="TableParagraph"/>
                          <w:spacing w:before="27"/>
                          <w:ind w:left="412"/>
                          <w:jc w:val="left"/>
                          <w:rPr>
                            <w:sz w:val="20"/>
                          </w:rPr>
                        </w:pPr>
                        <w:r>
                          <w:rPr>
                            <w:sz w:val="20"/>
                          </w:rPr>
                          <w:t>Hedge</w:t>
                        </w:r>
                        <w:r>
                          <w:rPr>
                            <w:spacing w:val="-5"/>
                            <w:sz w:val="20"/>
                          </w:rPr>
                          <w:t xml:space="preserve"> </w:t>
                        </w:r>
                        <w:r>
                          <w:rPr>
                            <w:spacing w:val="-2"/>
                            <w:sz w:val="20"/>
                          </w:rPr>
                          <w:t>funds</w:t>
                        </w:r>
                      </w:p>
                    </w:tc>
                    <w:tc>
                      <w:tcPr>
                        <w:tcW w:w="4586" w:type="dxa"/>
                        <w:shd w:val="clear" w:color="auto" w:fill="CCEDFF"/>
                      </w:tcPr>
                      <w:p w14:paraId="5F71509E" w14:textId="77777777" w:rsidR="00AE2255" w:rsidRDefault="00000000">
                        <w:pPr>
                          <w:pStyle w:val="TableParagraph"/>
                          <w:ind w:right="632"/>
                          <w:rPr>
                            <w:sz w:val="20"/>
                          </w:rPr>
                        </w:pPr>
                        <w:r>
                          <w:rPr>
                            <w:sz w:val="20"/>
                          </w:rPr>
                          <w:t>0-</w:t>
                        </w:r>
                        <w:r>
                          <w:rPr>
                            <w:spacing w:val="-5"/>
                            <w:sz w:val="20"/>
                          </w:rPr>
                          <w:t>20%</w:t>
                        </w:r>
                      </w:p>
                    </w:tc>
                  </w:tr>
                  <w:tr w:rsidR="00AE2255" w14:paraId="53CF98A4" w14:textId="77777777">
                    <w:trPr>
                      <w:trHeight w:val="262"/>
                    </w:trPr>
                    <w:tc>
                      <w:tcPr>
                        <w:tcW w:w="5660" w:type="dxa"/>
                        <w:tcBorders>
                          <w:bottom w:val="single" w:sz="18" w:space="0" w:color="000000"/>
                        </w:tcBorders>
                      </w:tcPr>
                      <w:p w14:paraId="2D3E7BE2" w14:textId="77777777" w:rsidR="00AE2255" w:rsidRDefault="00000000">
                        <w:pPr>
                          <w:pStyle w:val="TableParagraph"/>
                          <w:spacing w:before="27" w:line="216" w:lineRule="exact"/>
                          <w:ind w:left="412"/>
                          <w:jc w:val="left"/>
                          <w:rPr>
                            <w:sz w:val="20"/>
                          </w:rPr>
                        </w:pPr>
                        <w:r>
                          <w:rPr>
                            <w:spacing w:val="-2"/>
                            <w:sz w:val="20"/>
                          </w:rPr>
                          <w:t>Commodities</w:t>
                        </w:r>
                      </w:p>
                    </w:tc>
                    <w:tc>
                      <w:tcPr>
                        <w:tcW w:w="4586" w:type="dxa"/>
                        <w:tcBorders>
                          <w:bottom w:val="single" w:sz="18" w:space="0" w:color="000000"/>
                        </w:tcBorders>
                      </w:tcPr>
                      <w:p w14:paraId="5123570E" w14:textId="77777777" w:rsidR="00AE2255" w:rsidRDefault="00000000">
                        <w:pPr>
                          <w:pStyle w:val="TableParagraph"/>
                          <w:spacing w:line="217" w:lineRule="exact"/>
                          <w:ind w:right="632"/>
                          <w:rPr>
                            <w:sz w:val="20"/>
                          </w:rPr>
                        </w:pPr>
                        <w:r>
                          <w:rPr>
                            <w:sz w:val="20"/>
                          </w:rPr>
                          <w:t>0-</w:t>
                        </w:r>
                        <w:r>
                          <w:rPr>
                            <w:spacing w:val="-5"/>
                            <w:sz w:val="20"/>
                          </w:rPr>
                          <w:t>10%</w:t>
                        </w:r>
                      </w:p>
                    </w:tc>
                  </w:tr>
                </w:tbl>
                <w:p w14:paraId="5E1F9C46" w14:textId="77777777" w:rsidR="00AE2255" w:rsidRDefault="00AE2255">
                  <w:pPr>
                    <w:pStyle w:val="BodyText"/>
                  </w:pPr>
                </w:p>
              </w:txbxContent>
            </v:textbox>
            <w10:wrap anchorx="page"/>
          </v:shape>
        </w:pict>
      </w:r>
      <w:r>
        <w:t>Asset</w:t>
      </w:r>
      <w:r>
        <w:rPr>
          <w:spacing w:val="-4"/>
        </w:rPr>
        <w:t xml:space="preserve"> </w:t>
      </w:r>
      <w:r>
        <w:rPr>
          <w:spacing w:val="-2"/>
        </w:rPr>
        <w:t>Allocation</w:t>
      </w:r>
    </w:p>
    <w:p w14:paraId="2E8BDEF1" w14:textId="77777777" w:rsidR="00AE2255" w:rsidRDefault="00AE2255">
      <w:pPr>
        <w:jc w:val="right"/>
        <w:sectPr w:rsidR="00AE2255">
          <w:pgSz w:w="12240" w:h="15840"/>
          <w:pgMar w:top="440" w:right="560" w:bottom="720" w:left="380" w:header="230" w:footer="531" w:gutter="0"/>
          <w:cols w:space="720"/>
        </w:sectPr>
      </w:pPr>
    </w:p>
    <w:p w14:paraId="46F488DC" w14:textId="77777777" w:rsidR="00AE2255" w:rsidRDefault="00AE2255">
      <w:pPr>
        <w:pStyle w:val="BodyText"/>
        <w:spacing w:before="10"/>
        <w:rPr>
          <w:b/>
          <w:sz w:val="22"/>
        </w:rPr>
      </w:pPr>
    </w:p>
    <w:p w14:paraId="2E333A70" w14:textId="77777777" w:rsidR="00AE2255" w:rsidRDefault="00000000">
      <w:pPr>
        <w:pStyle w:val="BodyText"/>
        <w:spacing w:before="92" w:line="249" w:lineRule="auto"/>
        <w:ind w:left="610" w:right="428" w:firstLine="360"/>
        <w:jc w:val="both"/>
      </w:pPr>
      <w:r>
        <w:pict w14:anchorId="13CD5337">
          <v:group id="docshapegroup58" o:spid="_x0000_s2155" style="position:absolute;left:0;text-align:left;margin-left:388.5pt;margin-top:113.75pt;width:174pt;height:1pt;z-index:-22631424;mso-position-horizontal-relative:page" coordorigin="7770,2275" coordsize="3480,20">
            <v:shape id="docshape59" o:spid="_x0000_s2157" style="position:absolute;left:7770;top:2285;width:3480;height:2" coordorigin="7770,2285" coordsize="3480,0" path="m11250,2285r-3480,e" fillcolor="black" stroked="f">
              <v:fill opacity="0"/>
              <v:path arrowok="t"/>
            </v:shape>
            <v:line id="_x0000_s2156" style="position:absolute" from="7770,2285" to="11250,2285" strokeweight="1pt"/>
            <w10:wrap anchorx="page"/>
          </v:group>
        </w:pict>
      </w:r>
      <w:r>
        <w:t>The following table presents the fair value of the assets of our qualified defined benefit pension plans and retiree medical and life insurance plans by asset category and their level within the fair value hierarchy (see “Note 1 – Organization and Significant Accounting Policies - Investments” for definition of these levels), which we are required to disclose even though these assets are not separately recorded on our consolidated balance sheet. Certain investments are measured at their Net Asset Value (NAV) per share because such investments do not have readily determinable fair values and, therefore, are not required</w:t>
      </w:r>
      <w:r>
        <w:rPr>
          <w:spacing w:val="40"/>
        </w:rPr>
        <w:t xml:space="preserve"> </w:t>
      </w:r>
      <w:r>
        <w:t>to be categorized in the fair value hierarchy. Assets measured at NAV have been included in the table below to permit reconciliation of the fair value hierarchy to amounts presented in the funded status table above.</w:t>
      </w:r>
    </w:p>
    <w:p w14:paraId="7E559E58" w14:textId="77777777" w:rsidR="00AE2255" w:rsidRDefault="00AE2255">
      <w:pPr>
        <w:pStyle w:val="BodyText"/>
        <w:spacing w:before="4"/>
        <w:rPr>
          <w:sz w:val="13"/>
        </w:rPr>
      </w:pPr>
    </w:p>
    <w:tbl>
      <w:tblPr>
        <w:tblW w:w="0" w:type="auto"/>
        <w:tblInd w:w="617" w:type="dxa"/>
        <w:tblLayout w:type="fixed"/>
        <w:tblCellMar>
          <w:left w:w="0" w:type="dxa"/>
          <w:right w:w="0" w:type="dxa"/>
        </w:tblCellMar>
        <w:tblLook w:val="01E0" w:firstRow="1" w:lastRow="1" w:firstColumn="1" w:lastColumn="1" w:noHBand="0" w:noVBand="0"/>
      </w:tblPr>
      <w:tblGrid>
        <w:gridCol w:w="3072"/>
        <w:gridCol w:w="3648"/>
        <w:gridCol w:w="920"/>
        <w:gridCol w:w="896"/>
        <w:gridCol w:w="900"/>
        <w:gridCol w:w="826"/>
      </w:tblGrid>
      <w:tr w:rsidR="00AE2255" w14:paraId="16A95CFD" w14:textId="77777777">
        <w:trPr>
          <w:trHeight w:val="635"/>
        </w:trPr>
        <w:tc>
          <w:tcPr>
            <w:tcW w:w="6720" w:type="dxa"/>
            <w:gridSpan w:val="2"/>
            <w:tcBorders>
              <w:bottom w:val="single" w:sz="8" w:space="0" w:color="000000"/>
              <w:right w:val="single" w:sz="8" w:space="0" w:color="000000"/>
            </w:tcBorders>
          </w:tcPr>
          <w:p w14:paraId="35A896FF" w14:textId="77777777" w:rsidR="00AE2255" w:rsidRDefault="00000000">
            <w:pPr>
              <w:pStyle w:val="TableParagraph"/>
              <w:spacing w:before="85" w:after="20"/>
              <w:ind w:left="4082"/>
              <w:jc w:val="left"/>
              <w:rPr>
                <w:b/>
                <w:sz w:val="20"/>
              </w:rPr>
            </w:pPr>
            <w:r>
              <w:rPr>
                <w:b/>
                <w:sz w:val="20"/>
              </w:rPr>
              <w:t>December</w:t>
            </w:r>
            <w:r>
              <w:rPr>
                <w:b/>
                <w:spacing w:val="-4"/>
                <w:sz w:val="20"/>
              </w:rPr>
              <w:t xml:space="preserve"> </w:t>
            </w:r>
            <w:r>
              <w:rPr>
                <w:b/>
                <w:sz w:val="20"/>
              </w:rPr>
              <w:t>31,</w:t>
            </w:r>
            <w:r>
              <w:rPr>
                <w:b/>
                <w:spacing w:val="-3"/>
                <w:sz w:val="20"/>
              </w:rPr>
              <w:t xml:space="preserve"> </w:t>
            </w:r>
            <w:r>
              <w:rPr>
                <w:b/>
                <w:spacing w:val="-4"/>
                <w:sz w:val="20"/>
              </w:rPr>
              <w:t>2022</w:t>
            </w:r>
          </w:p>
          <w:p w14:paraId="1FB58663" w14:textId="77777777" w:rsidR="00AE2255" w:rsidRDefault="00000000">
            <w:pPr>
              <w:pStyle w:val="TableParagraph"/>
              <w:spacing w:before="0" w:line="20" w:lineRule="exact"/>
              <w:ind w:left="3110" w:right="-15"/>
              <w:jc w:val="left"/>
              <w:rPr>
                <w:sz w:val="2"/>
              </w:rPr>
            </w:pPr>
            <w:r>
              <w:rPr>
                <w:sz w:val="2"/>
              </w:rPr>
            </w:r>
            <w:r>
              <w:rPr>
                <w:sz w:val="2"/>
              </w:rPr>
              <w:pict w14:anchorId="20CB8656">
                <v:group id="docshapegroup60" o:spid="_x0000_s2152" style="width:177pt;height:1pt;mso-position-horizontal-relative:char;mso-position-vertical-relative:line" coordsize="3540,20">
                  <v:shape id="docshape61" o:spid="_x0000_s2154" style="position:absolute;top:10;width:3540;height:2" coordorigin=",10" coordsize="3540,0" path="m3540,10l,10e" fillcolor="black" stroked="f">
                    <v:fill opacity="0"/>
                    <v:path arrowok="t"/>
                  </v:shape>
                  <v:line id="_x0000_s2153" style="position:absolute" from="0,10" to="3540,10" strokeweight="1pt"/>
                  <w10:wrap type="none"/>
                  <w10:anchorlock/>
                </v:group>
              </w:pict>
            </w:r>
          </w:p>
          <w:p w14:paraId="11F13DF6" w14:textId="77777777" w:rsidR="00AE2255" w:rsidRDefault="00000000">
            <w:pPr>
              <w:pStyle w:val="TableParagraph"/>
              <w:tabs>
                <w:tab w:val="left" w:pos="3452"/>
                <w:tab w:val="left" w:pos="4191"/>
                <w:tab w:val="left" w:pos="5091"/>
                <w:tab w:val="left" w:pos="5991"/>
              </w:tabs>
              <w:spacing w:before="30" w:line="230" w:lineRule="exact"/>
              <w:ind w:left="52"/>
              <w:jc w:val="left"/>
              <w:rPr>
                <w:b/>
                <w:sz w:val="20"/>
              </w:rPr>
            </w:pPr>
            <w:r>
              <w:rPr>
                <w:sz w:val="20"/>
              </w:rPr>
              <w:t>(</w:t>
            </w:r>
            <w:proofErr w:type="gramStart"/>
            <w:r>
              <w:rPr>
                <w:sz w:val="20"/>
              </w:rPr>
              <w:t>in</w:t>
            </w:r>
            <w:proofErr w:type="gramEnd"/>
            <w:r>
              <w:rPr>
                <w:spacing w:val="-1"/>
                <w:sz w:val="20"/>
              </w:rPr>
              <w:t xml:space="preserve"> </w:t>
            </w:r>
            <w:r>
              <w:rPr>
                <w:spacing w:val="-2"/>
                <w:sz w:val="20"/>
              </w:rPr>
              <w:t>millions)</w:t>
            </w:r>
            <w:r>
              <w:rPr>
                <w:sz w:val="20"/>
              </w:rPr>
              <w:tab/>
            </w:r>
            <w:r>
              <w:rPr>
                <w:b/>
                <w:spacing w:val="-2"/>
                <w:sz w:val="20"/>
              </w:rPr>
              <w:t>Total</w:t>
            </w:r>
            <w:r>
              <w:rPr>
                <w:b/>
                <w:sz w:val="20"/>
              </w:rPr>
              <w:tab/>
              <w:t>Level</w:t>
            </w:r>
            <w:r>
              <w:rPr>
                <w:b/>
                <w:spacing w:val="-6"/>
                <w:sz w:val="20"/>
              </w:rPr>
              <w:t xml:space="preserve"> </w:t>
            </w:r>
            <w:r>
              <w:rPr>
                <w:b/>
                <w:spacing w:val="-10"/>
                <w:sz w:val="20"/>
              </w:rPr>
              <w:t>1</w:t>
            </w:r>
            <w:r>
              <w:rPr>
                <w:b/>
                <w:sz w:val="20"/>
              </w:rPr>
              <w:tab/>
              <w:t>Level</w:t>
            </w:r>
            <w:r>
              <w:rPr>
                <w:b/>
                <w:spacing w:val="-6"/>
                <w:sz w:val="20"/>
              </w:rPr>
              <w:t xml:space="preserve"> </w:t>
            </w:r>
            <w:r>
              <w:rPr>
                <w:b/>
                <w:spacing w:val="-10"/>
                <w:sz w:val="20"/>
              </w:rPr>
              <w:t>2</w:t>
            </w:r>
            <w:r>
              <w:rPr>
                <w:b/>
                <w:sz w:val="20"/>
              </w:rPr>
              <w:tab/>
              <w:t>Level</w:t>
            </w:r>
            <w:r>
              <w:rPr>
                <w:b/>
                <w:spacing w:val="-6"/>
                <w:sz w:val="20"/>
              </w:rPr>
              <w:t xml:space="preserve"> </w:t>
            </w:r>
            <w:r>
              <w:rPr>
                <w:b/>
                <w:spacing w:val="-10"/>
                <w:sz w:val="20"/>
              </w:rPr>
              <w:t>3</w:t>
            </w:r>
          </w:p>
        </w:tc>
        <w:tc>
          <w:tcPr>
            <w:tcW w:w="920" w:type="dxa"/>
            <w:tcBorders>
              <w:left w:val="single" w:sz="8" w:space="0" w:color="000000"/>
              <w:bottom w:val="single" w:sz="8" w:space="0" w:color="000000"/>
            </w:tcBorders>
          </w:tcPr>
          <w:p w14:paraId="6EE2D078" w14:textId="77777777" w:rsidR="00AE2255" w:rsidRDefault="00AE2255">
            <w:pPr>
              <w:pStyle w:val="TableParagraph"/>
              <w:spacing w:before="0"/>
              <w:jc w:val="left"/>
            </w:pPr>
          </w:p>
          <w:p w14:paraId="0E647E16" w14:textId="77777777" w:rsidR="00AE2255" w:rsidRDefault="00000000">
            <w:pPr>
              <w:pStyle w:val="TableParagraph"/>
              <w:spacing w:before="132" w:line="230" w:lineRule="exact"/>
              <w:ind w:right="70"/>
              <w:rPr>
                <w:b/>
                <w:sz w:val="20"/>
              </w:rPr>
            </w:pPr>
            <w:r>
              <w:rPr>
                <w:b/>
                <w:spacing w:val="-2"/>
                <w:sz w:val="20"/>
              </w:rPr>
              <w:t>Total</w:t>
            </w:r>
          </w:p>
        </w:tc>
        <w:tc>
          <w:tcPr>
            <w:tcW w:w="1796" w:type="dxa"/>
            <w:gridSpan w:val="2"/>
            <w:tcBorders>
              <w:bottom w:val="single" w:sz="8" w:space="0" w:color="000000"/>
            </w:tcBorders>
          </w:tcPr>
          <w:p w14:paraId="4045DA73" w14:textId="77777777" w:rsidR="00AE2255" w:rsidRDefault="00000000">
            <w:pPr>
              <w:pStyle w:val="TableParagraph"/>
              <w:spacing w:before="85"/>
              <w:ind w:right="106"/>
              <w:rPr>
                <w:b/>
                <w:sz w:val="20"/>
              </w:rPr>
            </w:pPr>
            <w:r>
              <w:rPr>
                <w:b/>
                <w:sz w:val="20"/>
              </w:rPr>
              <w:t>December</w:t>
            </w:r>
            <w:r>
              <w:rPr>
                <w:b/>
                <w:spacing w:val="-4"/>
                <w:sz w:val="20"/>
              </w:rPr>
              <w:t xml:space="preserve"> </w:t>
            </w:r>
            <w:r>
              <w:rPr>
                <w:b/>
                <w:sz w:val="20"/>
              </w:rPr>
              <w:t>31,</w:t>
            </w:r>
            <w:r>
              <w:rPr>
                <w:b/>
                <w:spacing w:val="-3"/>
                <w:sz w:val="20"/>
              </w:rPr>
              <w:t xml:space="preserve"> </w:t>
            </w:r>
            <w:r>
              <w:rPr>
                <w:b/>
                <w:spacing w:val="-4"/>
                <w:sz w:val="20"/>
              </w:rPr>
              <w:t>2021</w:t>
            </w:r>
          </w:p>
          <w:p w14:paraId="52DA3A0E" w14:textId="77777777" w:rsidR="00AE2255" w:rsidRDefault="00000000">
            <w:pPr>
              <w:pStyle w:val="TableParagraph"/>
              <w:tabs>
                <w:tab w:val="left" w:pos="884"/>
              </w:tabs>
              <w:spacing w:before="70" w:line="230" w:lineRule="exact"/>
              <w:ind w:right="81"/>
              <w:rPr>
                <w:b/>
                <w:sz w:val="20"/>
              </w:rPr>
            </w:pPr>
            <w:r>
              <w:rPr>
                <w:b/>
                <w:sz w:val="20"/>
              </w:rPr>
              <w:t>Level</w:t>
            </w:r>
            <w:r>
              <w:rPr>
                <w:b/>
                <w:spacing w:val="-6"/>
                <w:sz w:val="20"/>
              </w:rPr>
              <w:t xml:space="preserve"> </w:t>
            </w:r>
            <w:r>
              <w:rPr>
                <w:b/>
                <w:spacing w:val="-10"/>
                <w:sz w:val="20"/>
              </w:rPr>
              <w:t>1</w:t>
            </w:r>
            <w:r>
              <w:rPr>
                <w:b/>
                <w:sz w:val="20"/>
              </w:rPr>
              <w:tab/>
              <w:t>Level</w:t>
            </w:r>
            <w:r>
              <w:rPr>
                <w:b/>
                <w:spacing w:val="-6"/>
                <w:sz w:val="20"/>
              </w:rPr>
              <w:t xml:space="preserve"> </w:t>
            </w:r>
            <w:r>
              <w:rPr>
                <w:b/>
                <w:spacing w:val="-10"/>
                <w:sz w:val="20"/>
              </w:rPr>
              <w:t>2</w:t>
            </w:r>
          </w:p>
        </w:tc>
        <w:tc>
          <w:tcPr>
            <w:tcW w:w="826" w:type="dxa"/>
            <w:tcBorders>
              <w:bottom w:val="single" w:sz="8" w:space="0" w:color="000000"/>
            </w:tcBorders>
          </w:tcPr>
          <w:p w14:paraId="18F2017B" w14:textId="77777777" w:rsidR="00AE2255" w:rsidRDefault="00AE2255">
            <w:pPr>
              <w:pStyle w:val="TableParagraph"/>
              <w:spacing w:before="0"/>
              <w:jc w:val="left"/>
            </w:pPr>
          </w:p>
          <w:p w14:paraId="172F8FB9" w14:textId="77777777" w:rsidR="00AE2255" w:rsidRDefault="00000000">
            <w:pPr>
              <w:pStyle w:val="TableParagraph"/>
              <w:spacing w:before="132" w:line="230" w:lineRule="exact"/>
              <w:ind w:right="52"/>
              <w:rPr>
                <w:b/>
                <w:sz w:val="20"/>
              </w:rPr>
            </w:pPr>
            <w:r>
              <w:rPr>
                <w:b/>
                <w:sz w:val="20"/>
              </w:rPr>
              <w:t>Level</w:t>
            </w:r>
            <w:r>
              <w:rPr>
                <w:b/>
                <w:spacing w:val="-6"/>
                <w:sz w:val="20"/>
              </w:rPr>
              <w:t xml:space="preserve"> </w:t>
            </w:r>
            <w:r>
              <w:rPr>
                <w:b/>
                <w:spacing w:val="-10"/>
                <w:sz w:val="20"/>
              </w:rPr>
              <w:t>3</w:t>
            </w:r>
          </w:p>
        </w:tc>
      </w:tr>
      <w:tr w:rsidR="00AE2255" w14:paraId="34BE8ACB" w14:textId="77777777">
        <w:trPr>
          <w:trHeight w:val="275"/>
        </w:trPr>
        <w:tc>
          <w:tcPr>
            <w:tcW w:w="6720" w:type="dxa"/>
            <w:gridSpan w:val="2"/>
            <w:tcBorders>
              <w:top w:val="single" w:sz="8" w:space="0" w:color="000000"/>
              <w:right w:val="single" w:sz="8" w:space="0" w:color="000000"/>
            </w:tcBorders>
            <w:shd w:val="clear" w:color="auto" w:fill="CCEDFF"/>
          </w:tcPr>
          <w:p w14:paraId="7A6112E6" w14:textId="77777777" w:rsidR="00AE2255" w:rsidRDefault="00000000">
            <w:pPr>
              <w:pStyle w:val="TableParagraph"/>
              <w:spacing w:before="13"/>
              <w:ind w:left="52"/>
              <w:jc w:val="left"/>
              <w:rPr>
                <w:b/>
                <w:sz w:val="20"/>
              </w:rPr>
            </w:pPr>
            <w:r>
              <w:rPr>
                <w:b/>
                <w:sz w:val="20"/>
              </w:rPr>
              <w:t>Investments</w:t>
            </w:r>
            <w:r>
              <w:rPr>
                <w:b/>
                <w:spacing w:val="-4"/>
                <w:sz w:val="20"/>
              </w:rPr>
              <w:t xml:space="preserve"> </w:t>
            </w:r>
            <w:r>
              <w:rPr>
                <w:b/>
                <w:sz w:val="20"/>
              </w:rPr>
              <w:t>measured</w:t>
            </w:r>
            <w:r>
              <w:rPr>
                <w:b/>
                <w:spacing w:val="-4"/>
                <w:sz w:val="20"/>
              </w:rPr>
              <w:t xml:space="preserve"> </w:t>
            </w:r>
            <w:r>
              <w:rPr>
                <w:b/>
                <w:sz w:val="20"/>
              </w:rPr>
              <w:t>at</w:t>
            </w:r>
            <w:r>
              <w:rPr>
                <w:b/>
                <w:spacing w:val="-4"/>
                <w:sz w:val="20"/>
              </w:rPr>
              <w:t xml:space="preserve"> </w:t>
            </w:r>
            <w:r>
              <w:rPr>
                <w:b/>
                <w:sz w:val="20"/>
              </w:rPr>
              <w:t>fair</w:t>
            </w:r>
            <w:r>
              <w:rPr>
                <w:b/>
                <w:spacing w:val="-3"/>
                <w:sz w:val="20"/>
              </w:rPr>
              <w:t xml:space="preserve"> </w:t>
            </w:r>
            <w:r>
              <w:rPr>
                <w:b/>
                <w:spacing w:val="-4"/>
                <w:sz w:val="20"/>
              </w:rPr>
              <w:t>value</w:t>
            </w:r>
          </w:p>
        </w:tc>
        <w:tc>
          <w:tcPr>
            <w:tcW w:w="3542" w:type="dxa"/>
            <w:gridSpan w:val="4"/>
            <w:tcBorders>
              <w:top w:val="single" w:sz="8" w:space="0" w:color="000000"/>
              <w:left w:val="single" w:sz="8" w:space="0" w:color="000000"/>
            </w:tcBorders>
            <w:shd w:val="clear" w:color="auto" w:fill="CCEDFF"/>
          </w:tcPr>
          <w:p w14:paraId="791EFC36" w14:textId="77777777" w:rsidR="00AE2255" w:rsidRDefault="00AE2255">
            <w:pPr>
              <w:pStyle w:val="TableParagraph"/>
              <w:spacing w:before="0"/>
              <w:jc w:val="left"/>
              <w:rPr>
                <w:sz w:val="18"/>
              </w:rPr>
            </w:pPr>
          </w:p>
        </w:tc>
      </w:tr>
      <w:tr w:rsidR="00AE2255" w14:paraId="1D0EDFC0" w14:textId="77777777">
        <w:trPr>
          <w:trHeight w:val="285"/>
        </w:trPr>
        <w:tc>
          <w:tcPr>
            <w:tcW w:w="3072" w:type="dxa"/>
          </w:tcPr>
          <w:p w14:paraId="0CDF6C3C" w14:textId="77777777" w:rsidR="00AE2255" w:rsidRDefault="00000000">
            <w:pPr>
              <w:pStyle w:val="TableParagraph"/>
              <w:ind w:left="52"/>
              <w:jc w:val="left"/>
              <w:rPr>
                <w:sz w:val="20"/>
              </w:rPr>
            </w:pPr>
            <w:r>
              <w:rPr>
                <w:sz w:val="20"/>
              </w:rPr>
              <w:t>Cash</w:t>
            </w:r>
            <w:r>
              <w:rPr>
                <w:spacing w:val="-4"/>
                <w:sz w:val="20"/>
              </w:rPr>
              <w:t xml:space="preserve"> </w:t>
            </w:r>
            <w:r>
              <w:rPr>
                <w:sz w:val="20"/>
              </w:rPr>
              <w:t>and</w:t>
            </w:r>
            <w:r>
              <w:rPr>
                <w:spacing w:val="-3"/>
                <w:sz w:val="20"/>
              </w:rPr>
              <w:t xml:space="preserve"> </w:t>
            </w:r>
            <w:r>
              <w:rPr>
                <w:sz w:val="20"/>
              </w:rPr>
              <w:t>cash</w:t>
            </w:r>
            <w:r>
              <w:rPr>
                <w:spacing w:val="-3"/>
                <w:sz w:val="20"/>
              </w:rPr>
              <w:t xml:space="preserve"> </w:t>
            </w:r>
            <w:r>
              <w:rPr>
                <w:sz w:val="20"/>
              </w:rPr>
              <w:t>equivalents</w:t>
            </w:r>
            <w:r>
              <w:rPr>
                <w:spacing w:val="-4"/>
                <w:sz w:val="20"/>
              </w:rPr>
              <w:t xml:space="preserve"> </w:t>
            </w:r>
            <w:r>
              <w:rPr>
                <w:spacing w:val="-5"/>
                <w:sz w:val="20"/>
                <w:vertAlign w:val="superscript"/>
              </w:rPr>
              <w:t>(a)</w:t>
            </w:r>
          </w:p>
        </w:tc>
        <w:tc>
          <w:tcPr>
            <w:tcW w:w="3648" w:type="dxa"/>
            <w:tcBorders>
              <w:right w:val="single" w:sz="8" w:space="0" w:color="000000"/>
            </w:tcBorders>
          </w:tcPr>
          <w:p w14:paraId="7247EF25" w14:textId="77777777" w:rsidR="00AE2255" w:rsidRDefault="00000000">
            <w:pPr>
              <w:pStyle w:val="TableParagraph"/>
              <w:tabs>
                <w:tab w:val="left" w:pos="2406"/>
                <w:tab w:val="left" w:pos="3306"/>
              </w:tabs>
              <w:ind w:left="100"/>
              <w:jc w:val="left"/>
              <w:rPr>
                <w:b/>
                <w:sz w:val="20"/>
              </w:rPr>
            </w:pPr>
            <w:proofErr w:type="gramStart"/>
            <w:r>
              <w:rPr>
                <w:b/>
                <w:sz w:val="20"/>
              </w:rPr>
              <w:t>$</w:t>
            </w:r>
            <w:r>
              <w:rPr>
                <w:b/>
                <w:spacing w:val="27"/>
                <w:sz w:val="20"/>
              </w:rPr>
              <w:t xml:space="preserve">  </w:t>
            </w:r>
            <w:r>
              <w:rPr>
                <w:b/>
                <w:sz w:val="20"/>
              </w:rPr>
              <w:t>1,952</w:t>
            </w:r>
            <w:proofErr w:type="gramEnd"/>
            <w:r>
              <w:rPr>
                <w:b/>
                <w:spacing w:val="47"/>
                <w:sz w:val="20"/>
              </w:rPr>
              <w:t xml:space="preserve">  </w:t>
            </w:r>
            <w:r>
              <w:rPr>
                <w:b/>
                <w:sz w:val="20"/>
              </w:rPr>
              <w:t>$</w:t>
            </w:r>
            <w:r>
              <w:rPr>
                <w:b/>
                <w:spacing w:val="28"/>
                <w:sz w:val="20"/>
              </w:rPr>
              <w:t xml:space="preserve">  </w:t>
            </w:r>
            <w:r>
              <w:rPr>
                <w:b/>
                <w:sz w:val="20"/>
              </w:rPr>
              <w:t>1,952</w:t>
            </w:r>
            <w:r>
              <w:rPr>
                <w:b/>
                <w:spacing w:val="47"/>
                <w:sz w:val="20"/>
              </w:rPr>
              <w:t xml:space="preserve">  </w:t>
            </w:r>
            <w:r>
              <w:rPr>
                <w:b/>
                <w:spacing w:val="-10"/>
                <w:sz w:val="20"/>
              </w:rPr>
              <w:t>$</w:t>
            </w:r>
            <w:r>
              <w:rPr>
                <w:b/>
                <w:sz w:val="20"/>
              </w:rPr>
              <w:tab/>
              <w:t>—</w:t>
            </w:r>
            <w:r>
              <w:rPr>
                <w:b/>
                <w:spacing w:val="47"/>
                <w:sz w:val="20"/>
              </w:rPr>
              <w:t xml:space="preserve">  </w:t>
            </w:r>
            <w:r>
              <w:rPr>
                <w:b/>
                <w:spacing w:val="-10"/>
                <w:sz w:val="20"/>
              </w:rPr>
              <w:t>$</w:t>
            </w:r>
            <w:r>
              <w:rPr>
                <w:b/>
                <w:sz w:val="20"/>
              </w:rPr>
              <w:tab/>
            </w:r>
            <w:r>
              <w:rPr>
                <w:b/>
                <w:spacing w:val="-10"/>
                <w:sz w:val="20"/>
              </w:rPr>
              <w:t>—</w:t>
            </w:r>
          </w:p>
        </w:tc>
        <w:tc>
          <w:tcPr>
            <w:tcW w:w="920" w:type="dxa"/>
            <w:tcBorders>
              <w:left w:val="single" w:sz="8" w:space="0" w:color="000000"/>
            </w:tcBorders>
          </w:tcPr>
          <w:p w14:paraId="4CAE44DE" w14:textId="77777777" w:rsidR="00AE2255" w:rsidRDefault="00000000">
            <w:pPr>
              <w:pStyle w:val="TableParagraph"/>
              <w:tabs>
                <w:tab w:val="left" w:pos="405"/>
              </w:tabs>
              <w:ind w:right="99"/>
              <w:rPr>
                <w:sz w:val="20"/>
              </w:rPr>
            </w:pPr>
            <w:r>
              <w:rPr>
                <w:spacing w:val="-10"/>
                <w:sz w:val="20"/>
              </w:rPr>
              <w:t>$</w:t>
            </w:r>
            <w:r>
              <w:rPr>
                <w:sz w:val="20"/>
              </w:rPr>
              <w:tab/>
            </w:r>
            <w:r>
              <w:rPr>
                <w:spacing w:val="-5"/>
                <w:sz w:val="20"/>
              </w:rPr>
              <w:t>991</w:t>
            </w:r>
          </w:p>
        </w:tc>
        <w:tc>
          <w:tcPr>
            <w:tcW w:w="896" w:type="dxa"/>
          </w:tcPr>
          <w:p w14:paraId="5494DE2D" w14:textId="77777777" w:rsidR="00AE2255" w:rsidRDefault="00000000">
            <w:pPr>
              <w:pStyle w:val="TableParagraph"/>
              <w:tabs>
                <w:tab w:val="left" w:pos="405"/>
              </w:tabs>
              <w:ind w:right="95"/>
              <w:rPr>
                <w:sz w:val="20"/>
              </w:rPr>
            </w:pPr>
            <w:r>
              <w:rPr>
                <w:spacing w:val="-10"/>
                <w:sz w:val="20"/>
              </w:rPr>
              <w:t>$</w:t>
            </w:r>
            <w:r>
              <w:rPr>
                <w:sz w:val="20"/>
              </w:rPr>
              <w:tab/>
            </w:r>
            <w:r>
              <w:rPr>
                <w:spacing w:val="-5"/>
                <w:sz w:val="20"/>
              </w:rPr>
              <w:t>991</w:t>
            </w:r>
          </w:p>
        </w:tc>
        <w:tc>
          <w:tcPr>
            <w:tcW w:w="900" w:type="dxa"/>
          </w:tcPr>
          <w:p w14:paraId="6E1C42E8" w14:textId="77777777" w:rsidR="00AE2255" w:rsidRDefault="00000000">
            <w:pPr>
              <w:pStyle w:val="TableParagraph"/>
              <w:tabs>
                <w:tab w:val="left" w:pos="490"/>
              </w:tabs>
              <w:ind w:right="110"/>
              <w:rPr>
                <w:sz w:val="20"/>
              </w:rPr>
            </w:pPr>
            <w:r>
              <w:rPr>
                <w:spacing w:val="-10"/>
                <w:sz w:val="20"/>
              </w:rPr>
              <w:t>$</w:t>
            </w:r>
            <w:r>
              <w:rPr>
                <w:sz w:val="20"/>
              </w:rPr>
              <w:tab/>
            </w:r>
            <w:r>
              <w:rPr>
                <w:spacing w:val="-10"/>
                <w:sz w:val="20"/>
              </w:rPr>
              <w:t>—</w:t>
            </w:r>
          </w:p>
        </w:tc>
        <w:tc>
          <w:tcPr>
            <w:tcW w:w="826" w:type="dxa"/>
          </w:tcPr>
          <w:p w14:paraId="4D3FA0F6" w14:textId="77777777" w:rsidR="00AE2255" w:rsidRDefault="00000000">
            <w:pPr>
              <w:pStyle w:val="TableParagraph"/>
              <w:tabs>
                <w:tab w:val="left" w:pos="460"/>
              </w:tabs>
              <w:ind w:right="81"/>
              <w:rPr>
                <w:sz w:val="20"/>
              </w:rPr>
            </w:pPr>
            <w:r>
              <w:rPr>
                <w:spacing w:val="-10"/>
                <w:sz w:val="20"/>
              </w:rPr>
              <w:t>$</w:t>
            </w:r>
            <w:r>
              <w:rPr>
                <w:sz w:val="20"/>
              </w:rPr>
              <w:tab/>
            </w:r>
            <w:r>
              <w:rPr>
                <w:spacing w:val="-10"/>
                <w:sz w:val="20"/>
              </w:rPr>
              <w:t>—</w:t>
            </w:r>
          </w:p>
        </w:tc>
      </w:tr>
      <w:tr w:rsidR="00AE2255" w14:paraId="54438EC0" w14:textId="77777777">
        <w:trPr>
          <w:trHeight w:val="285"/>
        </w:trPr>
        <w:tc>
          <w:tcPr>
            <w:tcW w:w="6720" w:type="dxa"/>
            <w:gridSpan w:val="2"/>
            <w:tcBorders>
              <w:right w:val="single" w:sz="8" w:space="0" w:color="000000"/>
            </w:tcBorders>
            <w:shd w:val="clear" w:color="auto" w:fill="CCEDFF"/>
          </w:tcPr>
          <w:p w14:paraId="5EAA8F2E" w14:textId="77777777" w:rsidR="00AE2255" w:rsidRDefault="00000000">
            <w:pPr>
              <w:pStyle w:val="TableParagraph"/>
              <w:ind w:left="52"/>
              <w:jc w:val="left"/>
              <w:rPr>
                <w:sz w:val="20"/>
              </w:rPr>
            </w:pPr>
            <w:r>
              <w:rPr>
                <w:sz w:val="20"/>
              </w:rPr>
              <w:t>Equity</w:t>
            </w:r>
            <w:r>
              <w:rPr>
                <w:spacing w:val="-3"/>
                <w:sz w:val="20"/>
              </w:rPr>
              <w:t xml:space="preserve"> </w:t>
            </w:r>
            <w:r>
              <w:rPr>
                <w:spacing w:val="-4"/>
                <w:sz w:val="20"/>
                <w:vertAlign w:val="superscript"/>
              </w:rPr>
              <w:t>(a)</w:t>
            </w:r>
            <w:r>
              <w:rPr>
                <w:spacing w:val="-4"/>
                <w:sz w:val="20"/>
              </w:rPr>
              <w:t>:</w:t>
            </w:r>
          </w:p>
        </w:tc>
        <w:tc>
          <w:tcPr>
            <w:tcW w:w="3542" w:type="dxa"/>
            <w:gridSpan w:val="4"/>
            <w:tcBorders>
              <w:left w:val="single" w:sz="8" w:space="0" w:color="000000"/>
            </w:tcBorders>
            <w:shd w:val="clear" w:color="auto" w:fill="CCEDFF"/>
          </w:tcPr>
          <w:p w14:paraId="5043CE06" w14:textId="77777777" w:rsidR="00AE2255" w:rsidRDefault="00AE2255">
            <w:pPr>
              <w:pStyle w:val="TableParagraph"/>
              <w:spacing w:before="0"/>
              <w:jc w:val="left"/>
              <w:rPr>
                <w:sz w:val="18"/>
              </w:rPr>
            </w:pPr>
          </w:p>
        </w:tc>
      </w:tr>
      <w:tr w:rsidR="00AE2255" w14:paraId="59E3550E" w14:textId="77777777">
        <w:trPr>
          <w:trHeight w:val="285"/>
        </w:trPr>
        <w:tc>
          <w:tcPr>
            <w:tcW w:w="3072" w:type="dxa"/>
          </w:tcPr>
          <w:p w14:paraId="3EC83C09" w14:textId="77777777" w:rsidR="00AE2255" w:rsidRDefault="00000000">
            <w:pPr>
              <w:pStyle w:val="TableParagraph"/>
              <w:spacing w:before="27"/>
              <w:ind w:left="187"/>
              <w:jc w:val="left"/>
              <w:rPr>
                <w:sz w:val="20"/>
              </w:rPr>
            </w:pPr>
            <w:r>
              <w:rPr>
                <w:sz w:val="20"/>
              </w:rPr>
              <w:t>U.S.</w:t>
            </w:r>
            <w:r>
              <w:rPr>
                <w:spacing w:val="-3"/>
                <w:sz w:val="20"/>
              </w:rPr>
              <w:t xml:space="preserve"> </w:t>
            </w:r>
            <w:r>
              <w:rPr>
                <w:sz w:val="20"/>
              </w:rPr>
              <w:t>equity</w:t>
            </w:r>
            <w:r>
              <w:rPr>
                <w:spacing w:val="-2"/>
                <w:sz w:val="20"/>
              </w:rPr>
              <w:t xml:space="preserve"> securities</w:t>
            </w:r>
          </w:p>
        </w:tc>
        <w:tc>
          <w:tcPr>
            <w:tcW w:w="3648" w:type="dxa"/>
            <w:tcBorders>
              <w:right w:val="single" w:sz="8" w:space="0" w:color="000000"/>
            </w:tcBorders>
          </w:tcPr>
          <w:p w14:paraId="22B3E868" w14:textId="77777777" w:rsidR="00AE2255" w:rsidRDefault="00000000">
            <w:pPr>
              <w:pStyle w:val="TableParagraph"/>
              <w:tabs>
                <w:tab w:val="left" w:pos="899"/>
                <w:tab w:val="left" w:pos="2149"/>
                <w:tab w:val="left" w:pos="2949"/>
              </w:tabs>
              <w:ind w:right="129"/>
              <w:rPr>
                <w:b/>
                <w:sz w:val="20"/>
              </w:rPr>
            </w:pPr>
            <w:r>
              <w:rPr>
                <w:b/>
                <w:spacing w:val="-2"/>
                <w:sz w:val="20"/>
              </w:rPr>
              <w:t>3,162</w:t>
            </w:r>
            <w:r>
              <w:rPr>
                <w:b/>
                <w:sz w:val="20"/>
              </w:rPr>
              <w:tab/>
            </w:r>
            <w:r>
              <w:rPr>
                <w:b/>
                <w:spacing w:val="-2"/>
                <w:sz w:val="20"/>
              </w:rPr>
              <w:t>3,060</w:t>
            </w:r>
            <w:r>
              <w:rPr>
                <w:b/>
                <w:sz w:val="20"/>
              </w:rPr>
              <w:tab/>
            </w:r>
            <w:r>
              <w:rPr>
                <w:b/>
                <w:spacing w:val="-10"/>
                <w:sz w:val="20"/>
              </w:rPr>
              <w:t>6</w:t>
            </w:r>
            <w:r>
              <w:rPr>
                <w:b/>
                <w:sz w:val="20"/>
              </w:rPr>
              <w:tab/>
            </w:r>
            <w:r>
              <w:rPr>
                <w:b/>
                <w:spacing w:val="-5"/>
                <w:sz w:val="20"/>
              </w:rPr>
              <w:t>96</w:t>
            </w:r>
          </w:p>
        </w:tc>
        <w:tc>
          <w:tcPr>
            <w:tcW w:w="920" w:type="dxa"/>
            <w:tcBorders>
              <w:left w:val="single" w:sz="8" w:space="0" w:color="000000"/>
            </w:tcBorders>
          </w:tcPr>
          <w:p w14:paraId="6AE7AE07" w14:textId="77777777" w:rsidR="00AE2255" w:rsidRDefault="00000000">
            <w:pPr>
              <w:pStyle w:val="TableParagraph"/>
              <w:ind w:right="99"/>
              <w:rPr>
                <w:sz w:val="20"/>
              </w:rPr>
            </w:pPr>
            <w:r>
              <w:rPr>
                <w:spacing w:val="-2"/>
                <w:sz w:val="20"/>
              </w:rPr>
              <w:t>6,479</w:t>
            </w:r>
          </w:p>
        </w:tc>
        <w:tc>
          <w:tcPr>
            <w:tcW w:w="896" w:type="dxa"/>
          </w:tcPr>
          <w:p w14:paraId="550C30FC" w14:textId="77777777" w:rsidR="00AE2255" w:rsidRDefault="00000000">
            <w:pPr>
              <w:pStyle w:val="TableParagraph"/>
              <w:ind w:right="95"/>
              <w:rPr>
                <w:sz w:val="20"/>
              </w:rPr>
            </w:pPr>
            <w:r>
              <w:rPr>
                <w:spacing w:val="-2"/>
                <w:sz w:val="20"/>
              </w:rPr>
              <w:t>6,444</w:t>
            </w:r>
          </w:p>
        </w:tc>
        <w:tc>
          <w:tcPr>
            <w:tcW w:w="900" w:type="dxa"/>
          </w:tcPr>
          <w:p w14:paraId="4FC029DC" w14:textId="77777777" w:rsidR="00AE2255" w:rsidRDefault="00000000">
            <w:pPr>
              <w:pStyle w:val="TableParagraph"/>
              <w:ind w:right="110"/>
              <w:rPr>
                <w:sz w:val="20"/>
              </w:rPr>
            </w:pPr>
            <w:r>
              <w:rPr>
                <w:sz w:val="20"/>
              </w:rPr>
              <w:t>5</w:t>
            </w:r>
          </w:p>
        </w:tc>
        <w:tc>
          <w:tcPr>
            <w:tcW w:w="826" w:type="dxa"/>
          </w:tcPr>
          <w:p w14:paraId="1A12AF7F" w14:textId="77777777" w:rsidR="00AE2255" w:rsidRDefault="00000000">
            <w:pPr>
              <w:pStyle w:val="TableParagraph"/>
              <w:ind w:right="81"/>
              <w:rPr>
                <w:sz w:val="20"/>
              </w:rPr>
            </w:pPr>
            <w:r>
              <w:rPr>
                <w:spacing w:val="-5"/>
                <w:sz w:val="20"/>
              </w:rPr>
              <w:t>30</w:t>
            </w:r>
          </w:p>
        </w:tc>
      </w:tr>
      <w:tr w:rsidR="00AE2255" w14:paraId="73CAD3C9" w14:textId="77777777">
        <w:trPr>
          <w:trHeight w:val="285"/>
        </w:trPr>
        <w:tc>
          <w:tcPr>
            <w:tcW w:w="3072" w:type="dxa"/>
            <w:shd w:val="clear" w:color="auto" w:fill="CCEDFF"/>
          </w:tcPr>
          <w:p w14:paraId="0142E397" w14:textId="77777777" w:rsidR="00AE2255" w:rsidRDefault="00000000">
            <w:pPr>
              <w:pStyle w:val="TableParagraph"/>
              <w:spacing w:before="27"/>
              <w:ind w:left="187"/>
              <w:jc w:val="left"/>
              <w:rPr>
                <w:sz w:val="20"/>
              </w:rPr>
            </w:pPr>
            <w:r>
              <w:rPr>
                <w:sz w:val="20"/>
              </w:rPr>
              <w:t>International</w:t>
            </w:r>
            <w:r>
              <w:rPr>
                <w:spacing w:val="-6"/>
                <w:sz w:val="20"/>
              </w:rPr>
              <w:t xml:space="preserve"> </w:t>
            </w:r>
            <w:r>
              <w:rPr>
                <w:sz w:val="20"/>
              </w:rPr>
              <w:t>equity</w:t>
            </w:r>
            <w:r>
              <w:rPr>
                <w:spacing w:val="-4"/>
                <w:sz w:val="20"/>
              </w:rPr>
              <w:t xml:space="preserve"> </w:t>
            </w:r>
            <w:r>
              <w:rPr>
                <w:spacing w:val="-2"/>
                <w:sz w:val="20"/>
              </w:rPr>
              <w:t>securities</w:t>
            </w:r>
          </w:p>
        </w:tc>
        <w:tc>
          <w:tcPr>
            <w:tcW w:w="3648" w:type="dxa"/>
            <w:tcBorders>
              <w:right w:val="single" w:sz="8" w:space="0" w:color="000000"/>
            </w:tcBorders>
            <w:shd w:val="clear" w:color="auto" w:fill="CCEDFF"/>
          </w:tcPr>
          <w:p w14:paraId="7E21C1BD" w14:textId="77777777" w:rsidR="00AE2255" w:rsidRDefault="00000000">
            <w:pPr>
              <w:pStyle w:val="TableParagraph"/>
              <w:tabs>
                <w:tab w:val="left" w:pos="899"/>
                <w:tab w:val="left" w:pos="2049"/>
                <w:tab w:val="left" w:pos="2949"/>
              </w:tabs>
              <w:ind w:right="129"/>
              <w:rPr>
                <w:b/>
                <w:sz w:val="20"/>
              </w:rPr>
            </w:pPr>
            <w:r>
              <w:rPr>
                <w:b/>
                <w:spacing w:val="-2"/>
                <w:sz w:val="20"/>
              </w:rPr>
              <w:t>2,298</w:t>
            </w:r>
            <w:r>
              <w:rPr>
                <w:b/>
                <w:sz w:val="20"/>
              </w:rPr>
              <w:tab/>
            </w:r>
            <w:r>
              <w:rPr>
                <w:b/>
                <w:spacing w:val="-2"/>
                <w:sz w:val="20"/>
              </w:rPr>
              <w:t>2,245</w:t>
            </w:r>
            <w:r>
              <w:rPr>
                <w:b/>
                <w:sz w:val="20"/>
              </w:rPr>
              <w:tab/>
            </w:r>
            <w:r>
              <w:rPr>
                <w:b/>
                <w:spacing w:val="-5"/>
                <w:sz w:val="20"/>
              </w:rPr>
              <w:t>17</w:t>
            </w:r>
            <w:r>
              <w:rPr>
                <w:b/>
                <w:sz w:val="20"/>
              </w:rPr>
              <w:tab/>
            </w:r>
            <w:r>
              <w:rPr>
                <w:b/>
                <w:spacing w:val="-5"/>
                <w:sz w:val="20"/>
              </w:rPr>
              <w:t>36</w:t>
            </w:r>
          </w:p>
        </w:tc>
        <w:tc>
          <w:tcPr>
            <w:tcW w:w="920" w:type="dxa"/>
            <w:tcBorders>
              <w:left w:val="single" w:sz="8" w:space="0" w:color="000000"/>
            </w:tcBorders>
            <w:shd w:val="clear" w:color="auto" w:fill="CCEDFF"/>
          </w:tcPr>
          <w:p w14:paraId="70125E1A" w14:textId="77777777" w:rsidR="00AE2255" w:rsidRDefault="00000000">
            <w:pPr>
              <w:pStyle w:val="TableParagraph"/>
              <w:ind w:right="99"/>
              <w:rPr>
                <w:sz w:val="20"/>
              </w:rPr>
            </w:pPr>
            <w:r>
              <w:rPr>
                <w:spacing w:val="-2"/>
                <w:sz w:val="20"/>
              </w:rPr>
              <w:t>4,882</w:t>
            </w:r>
          </w:p>
        </w:tc>
        <w:tc>
          <w:tcPr>
            <w:tcW w:w="896" w:type="dxa"/>
            <w:shd w:val="clear" w:color="auto" w:fill="CCEDFF"/>
          </w:tcPr>
          <w:p w14:paraId="0BB10D26" w14:textId="77777777" w:rsidR="00AE2255" w:rsidRDefault="00000000">
            <w:pPr>
              <w:pStyle w:val="TableParagraph"/>
              <w:ind w:right="95"/>
              <w:rPr>
                <w:sz w:val="20"/>
              </w:rPr>
            </w:pPr>
            <w:r>
              <w:rPr>
                <w:spacing w:val="-2"/>
                <w:sz w:val="20"/>
              </w:rPr>
              <w:t>4,880</w:t>
            </w:r>
          </w:p>
        </w:tc>
        <w:tc>
          <w:tcPr>
            <w:tcW w:w="900" w:type="dxa"/>
            <w:shd w:val="clear" w:color="auto" w:fill="CCEDFF"/>
          </w:tcPr>
          <w:p w14:paraId="22522E78" w14:textId="77777777" w:rsidR="00AE2255" w:rsidRDefault="00000000">
            <w:pPr>
              <w:pStyle w:val="TableParagraph"/>
              <w:ind w:right="110"/>
              <w:rPr>
                <w:sz w:val="20"/>
              </w:rPr>
            </w:pPr>
            <w:r>
              <w:rPr>
                <w:sz w:val="20"/>
              </w:rPr>
              <w:t>—</w:t>
            </w:r>
          </w:p>
        </w:tc>
        <w:tc>
          <w:tcPr>
            <w:tcW w:w="826" w:type="dxa"/>
            <w:shd w:val="clear" w:color="auto" w:fill="CCEDFF"/>
          </w:tcPr>
          <w:p w14:paraId="45CD65E5" w14:textId="77777777" w:rsidR="00AE2255" w:rsidRDefault="00000000">
            <w:pPr>
              <w:pStyle w:val="TableParagraph"/>
              <w:ind w:right="81"/>
              <w:rPr>
                <w:sz w:val="20"/>
              </w:rPr>
            </w:pPr>
            <w:r>
              <w:rPr>
                <w:sz w:val="20"/>
              </w:rPr>
              <w:t>2</w:t>
            </w:r>
          </w:p>
        </w:tc>
      </w:tr>
      <w:tr w:rsidR="00AE2255" w14:paraId="055704EF" w14:textId="77777777">
        <w:trPr>
          <w:trHeight w:val="285"/>
        </w:trPr>
        <w:tc>
          <w:tcPr>
            <w:tcW w:w="3072" w:type="dxa"/>
          </w:tcPr>
          <w:p w14:paraId="472BBECE" w14:textId="77777777" w:rsidR="00AE2255" w:rsidRDefault="00000000">
            <w:pPr>
              <w:pStyle w:val="TableParagraph"/>
              <w:spacing w:before="27"/>
              <w:ind w:left="187"/>
              <w:jc w:val="left"/>
              <w:rPr>
                <w:sz w:val="20"/>
              </w:rPr>
            </w:pPr>
            <w:r>
              <w:rPr>
                <w:sz w:val="20"/>
              </w:rPr>
              <w:t>Commingled</w:t>
            </w:r>
            <w:r>
              <w:rPr>
                <w:spacing w:val="-5"/>
                <w:sz w:val="20"/>
              </w:rPr>
              <w:t xml:space="preserve"> </w:t>
            </w:r>
            <w:r>
              <w:rPr>
                <w:sz w:val="20"/>
              </w:rPr>
              <w:t>equity</w:t>
            </w:r>
            <w:r>
              <w:rPr>
                <w:spacing w:val="-4"/>
                <w:sz w:val="20"/>
              </w:rPr>
              <w:t xml:space="preserve"> </w:t>
            </w:r>
            <w:r>
              <w:rPr>
                <w:spacing w:val="-2"/>
                <w:sz w:val="20"/>
              </w:rPr>
              <w:t>funds</w:t>
            </w:r>
          </w:p>
        </w:tc>
        <w:tc>
          <w:tcPr>
            <w:tcW w:w="3648" w:type="dxa"/>
            <w:tcBorders>
              <w:right w:val="single" w:sz="8" w:space="0" w:color="000000"/>
            </w:tcBorders>
          </w:tcPr>
          <w:p w14:paraId="7443B72E" w14:textId="77777777" w:rsidR="00AE2255" w:rsidRDefault="00000000">
            <w:pPr>
              <w:pStyle w:val="TableParagraph"/>
              <w:tabs>
                <w:tab w:val="left" w:pos="899"/>
                <w:tab w:val="left" w:pos="1799"/>
                <w:tab w:val="left" w:pos="2799"/>
              </w:tabs>
              <w:ind w:right="129"/>
              <w:rPr>
                <w:b/>
                <w:sz w:val="20"/>
              </w:rPr>
            </w:pPr>
            <w:r>
              <w:rPr>
                <w:b/>
                <w:spacing w:val="-5"/>
                <w:sz w:val="20"/>
              </w:rPr>
              <w:t>459</w:t>
            </w:r>
            <w:r>
              <w:rPr>
                <w:b/>
                <w:sz w:val="20"/>
              </w:rPr>
              <w:tab/>
            </w:r>
            <w:r>
              <w:rPr>
                <w:b/>
                <w:spacing w:val="-5"/>
                <w:sz w:val="20"/>
              </w:rPr>
              <w:t>183</w:t>
            </w:r>
            <w:r>
              <w:rPr>
                <w:b/>
                <w:sz w:val="20"/>
              </w:rPr>
              <w:tab/>
            </w:r>
            <w:r>
              <w:rPr>
                <w:b/>
                <w:spacing w:val="-5"/>
                <w:sz w:val="20"/>
              </w:rPr>
              <w:t>276</w:t>
            </w:r>
            <w:r>
              <w:rPr>
                <w:b/>
                <w:sz w:val="20"/>
              </w:rPr>
              <w:tab/>
            </w:r>
            <w:r>
              <w:rPr>
                <w:b/>
                <w:spacing w:val="-10"/>
                <w:sz w:val="20"/>
              </w:rPr>
              <w:t>—</w:t>
            </w:r>
          </w:p>
        </w:tc>
        <w:tc>
          <w:tcPr>
            <w:tcW w:w="920" w:type="dxa"/>
            <w:tcBorders>
              <w:left w:val="single" w:sz="8" w:space="0" w:color="000000"/>
            </w:tcBorders>
          </w:tcPr>
          <w:p w14:paraId="64D75173" w14:textId="77777777" w:rsidR="00AE2255" w:rsidRDefault="00000000">
            <w:pPr>
              <w:pStyle w:val="TableParagraph"/>
              <w:ind w:right="99"/>
              <w:rPr>
                <w:sz w:val="20"/>
              </w:rPr>
            </w:pPr>
            <w:r>
              <w:rPr>
                <w:spacing w:val="-5"/>
                <w:sz w:val="20"/>
              </w:rPr>
              <w:t>869</w:t>
            </w:r>
          </w:p>
        </w:tc>
        <w:tc>
          <w:tcPr>
            <w:tcW w:w="896" w:type="dxa"/>
          </w:tcPr>
          <w:p w14:paraId="335C9ECA" w14:textId="77777777" w:rsidR="00AE2255" w:rsidRDefault="00000000">
            <w:pPr>
              <w:pStyle w:val="TableParagraph"/>
              <w:ind w:right="95"/>
              <w:rPr>
                <w:sz w:val="20"/>
              </w:rPr>
            </w:pPr>
            <w:r>
              <w:rPr>
                <w:spacing w:val="-5"/>
                <w:sz w:val="20"/>
              </w:rPr>
              <w:t>36</w:t>
            </w:r>
          </w:p>
        </w:tc>
        <w:tc>
          <w:tcPr>
            <w:tcW w:w="900" w:type="dxa"/>
          </w:tcPr>
          <w:p w14:paraId="03448873" w14:textId="77777777" w:rsidR="00AE2255" w:rsidRDefault="00000000">
            <w:pPr>
              <w:pStyle w:val="TableParagraph"/>
              <w:ind w:right="110"/>
              <w:rPr>
                <w:sz w:val="20"/>
              </w:rPr>
            </w:pPr>
            <w:r>
              <w:rPr>
                <w:spacing w:val="-5"/>
                <w:sz w:val="20"/>
              </w:rPr>
              <w:t>833</w:t>
            </w:r>
          </w:p>
        </w:tc>
        <w:tc>
          <w:tcPr>
            <w:tcW w:w="826" w:type="dxa"/>
          </w:tcPr>
          <w:p w14:paraId="773347D1" w14:textId="77777777" w:rsidR="00AE2255" w:rsidRDefault="00000000">
            <w:pPr>
              <w:pStyle w:val="TableParagraph"/>
              <w:ind w:right="81"/>
              <w:rPr>
                <w:sz w:val="20"/>
              </w:rPr>
            </w:pPr>
            <w:r>
              <w:rPr>
                <w:sz w:val="20"/>
              </w:rPr>
              <w:t>—</w:t>
            </w:r>
          </w:p>
        </w:tc>
      </w:tr>
      <w:tr w:rsidR="00AE2255" w14:paraId="1143CA3A" w14:textId="77777777">
        <w:trPr>
          <w:trHeight w:val="285"/>
        </w:trPr>
        <w:tc>
          <w:tcPr>
            <w:tcW w:w="6720" w:type="dxa"/>
            <w:gridSpan w:val="2"/>
            <w:tcBorders>
              <w:right w:val="single" w:sz="8" w:space="0" w:color="000000"/>
            </w:tcBorders>
            <w:shd w:val="clear" w:color="auto" w:fill="CCEDFF"/>
          </w:tcPr>
          <w:p w14:paraId="7664ED82" w14:textId="77777777" w:rsidR="00AE2255" w:rsidRDefault="00000000">
            <w:pPr>
              <w:pStyle w:val="TableParagraph"/>
              <w:ind w:left="52"/>
              <w:jc w:val="left"/>
              <w:rPr>
                <w:sz w:val="20"/>
              </w:rPr>
            </w:pPr>
            <w:r>
              <w:rPr>
                <w:sz w:val="20"/>
              </w:rPr>
              <w:t>Fixed</w:t>
            </w:r>
            <w:r>
              <w:rPr>
                <w:spacing w:val="-4"/>
                <w:sz w:val="20"/>
              </w:rPr>
              <w:t xml:space="preserve"> </w:t>
            </w:r>
            <w:r>
              <w:rPr>
                <w:sz w:val="20"/>
              </w:rPr>
              <w:t>income</w:t>
            </w:r>
            <w:r>
              <w:rPr>
                <w:spacing w:val="-3"/>
                <w:sz w:val="20"/>
              </w:rPr>
              <w:t xml:space="preserve"> </w:t>
            </w:r>
            <w:r>
              <w:rPr>
                <w:spacing w:val="-4"/>
                <w:sz w:val="20"/>
                <w:vertAlign w:val="superscript"/>
              </w:rPr>
              <w:t>(a)</w:t>
            </w:r>
            <w:r>
              <w:rPr>
                <w:spacing w:val="-4"/>
                <w:sz w:val="20"/>
              </w:rPr>
              <w:t>:</w:t>
            </w:r>
          </w:p>
        </w:tc>
        <w:tc>
          <w:tcPr>
            <w:tcW w:w="3542" w:type="dxa"/>
            <w:gridSpan w:val="4"/>
            <w:tcBorders>
              <w:left w:val="single" w:sz="8" w:space="0" w:color="000000"/>
            </w:tcBorders>
            <w:shd w:val="clear" w:color="auto" w:fill="CCEDFF"/>
          </w:tcPr>
          <w:p w14:paraId="18F88645" w14:textId="77777777" w:rsidR="00AE2255" w:rsidRDefault="00AE2255">
            <w:pPr>
              <w:pStyle w:val="TableParagraph"/>
              <w:spacing w:before="0"/>
              <w:jc w:val="left"/>
              <w:rPr>
                <w:sz w:val="18"/>
              </w:rPr>
            </w:pPr>
          </w:p>
        </w:tc>
      </w:tr>
      <w:tr w:rsidR="00AE2255" w14:paraId="6F51C74E" w14:textId="77777777">
        <w:trPr>
          <w:trHeight w:val="285"/>
        </w:trPr>
        <w:tc>
          <w:tcPr>
            <w:tcW w:w="3072" w:type="dxa"/>
          </w:tcPr>
          <w:p w14:paraId="70B1DFA5" w14:textId="77777777" w:rsidR="00AE2255" w:rsidRDefault="00000000">
            <w:pPr>
              <w:pStyle w:val="TableParagraph"/>
              <w:spacing w:before="27"/>
              <w:ind w:left="187"/>
              <w:jc w:val="left"/>
              <w:rPr>
                <w:sz w:val="20"/>
              </w:rPr>
            </w:pPr>
            <w:r>
              <w:rPr>
                <w:sz w:val="20"/>
              </w:rPr>
              <w:t>Corporate</w:t>
            </w:r>
            <w:r>
              <w:rPr>
                <w:spacing w:val="-3"/>
                <w:sz w:val="20"/>
              </w:rPr>
              <w:t xml:space="preserve"> </w:t>
            </w:r>
            <w:r>
              <w:rPr>
                <w:sz w:val="20"/>
              </w:rPr>
              <w:t>debt</w:t>
            </w:r>
            <w:r>
              <w:rPr>
                <w:spacing w:val="-3"/>
                <w:sz w:val="20"/>
              </w:rPr>
              <w:t xml:space="preserve"> </w:t>
            </w:r>
            <w:r>
              <w:rPr>
                <w:spacing w:val="-2"/>
                <w:sz w:val="20"/>
              </w:rPr>
              <w:t>securities</w:t>
            </w:r>
          </w:p>
        </w:tc>
        <w:tc>
          <w:tcPr>
            <w:tcW w:w="3648" w:type="dxa"/>
            <w:tcBorders>
              <w:right w:val="single" w:sz="8" w:space="0" w:color="000000"/>
            </w:tcBorders>
          </w:tcPr>
          <w:p w14:paraId="72DDAF34" w14:textId="77777777" w:rsidR="00AE2255" w:rsidRDefault="00000000">
            <w:pPr>
              <w:pStyle w:val="TableParagraph"/>
              <w:tabs>
                <w:tab w:val="left" w:pos="1149"/>
                <w:tab w:val="left" w:pos="1799"/>
                <w:tab w:val="left" w:pos="2849"/>
              </w:tabs>
              <w:ind w:right="129"/>
              <w:rPr>
                <w:b/>
                <w:sz w:val="20"/>
              </w:rPr>
            </w:pPr>
            <w:r>
              <w:rPr>
                <w:b/>
                <w:spacing w:val="-2"/>
                <w:sz w:val="20"/>
              </w:rPr>
              <w:t>4,491</w:t>
            </w:r>
            <w:r>
              <w:rPr>
                <w:b/>
                <w:sz w:val="20"/>
              </w:rPr>
              <w:tab/>
            </w:r>
            <w:r>
              <w:rPr>
                <w:b/>
                <w:spacing w:val="-10"/>
                <w:sz w:val="20"/>
              </w:rPr>
              <w:t>—</w:t>
            </w:r>
            <w:r>
              <w:rPr>
                <w:b/>
                <w:sz w:val="20"/>
              </w:rPr>
              <w:tab/>
            </w:r>
            <w:r>
              <w:rPr>
                <w:b/>
                <w:spacing w:val="-2"/>
                <w:sz w:val="20"/>
              </w:rPr>
              <w:t>4,272</w:t>
            </w:r>
            <w:r>
              <w:rPr>
                <w:b/>
                <w:sz w:val="20"/>
              </w:rPr>
              <w:tab/>
            </w:r>
            <w:r>
              <w:rPr>
                <w:b/>
                <w:spacing w:val="-5"/>
                <w:sz w:val="20"/>
              </w:rPr>
              <w:t>219</w:t>
            </w:r>
          </w:p>
        </w:tc>
        <w:tc>
          <w:tcPr>
            <w:tcW w:w="920" w:type="dxa"/>
            <w:tcBorders>
              <w:left w:val="single" w:sz="8" w:space="0" w:color="000000"/>
            </w:tcBorders>
          </w:tcPr>
          <w:p w14:paraId="3D975E3E" w14:textId="77777777" w:rsidR="00AE2255" w:rsidRDefault="00000000">
            <w:pPr>
              <w:pStyle w:val="TableParagraph"/>
              <w:ind w:right="99"/>
              <w:rPr>
                <w:sz w:val="20"/>
              </w:rPr>
            </w:pPr>
            <w:r>
              <w:rPr>
                <w:spacing w:val="-2"/>
                <w:sz w:val="20"/>
              </w:rPr>
              <w:t>6,397</w:t>
            </w:r>
          </w:p>
        </w:tc>
        <w:tc>
          <w:tcPr>
            <w:tcW w:w="896" w:type="dxa"/>
          </w:tcPr>
          <w:p w14:paraId="73075034" w14:textId="77777777" w:rsidR="00AE2255" w:rsidRDefault="00000000">
            <w:pPr>
              <w:pStyle w:val="TableParagraph"/>
              <w:ind w:right="95"/>
              <w:rPr>
                <w:sz w:val="20"/>
              </w:rPr>
            </w:pPr>
            <w:r>
              <w:rPr>
                <w:sz w:val="20"/>
              </w:rPr>
              <w:t>—</w:t>
            </w:r>
          </w:p>
        </w:tc>
        <w:tc>
          <w:tcPr>
            <w:tcW w:w="900" w:type="dxa"/>
          </w:tcPr>
          <w:p w14:paraId="7A9CD95E" w14:textId="77777777" w:rsidR="00AE2255" w:rsidRDefault="00000000">
            <w:pPr>
              <w:pStyle w:val="TableParagraph"/>
              <w:ind w:right="110"/>
              <w:rPr>
                <w:sz w:val="20"/>
              </w:rPr>
            </w:pPr>
            <w:r>
              <w:rPr>
                <w:spacing w:val="-2"/>
                <w:sz w:val="20"/>
              </w:rPr>
              <w:t>6,295</w:t>
            </w:r>
          </w:p>
        </w:tc>
        <w:tc>
          <w:tcPr>
            <w:tcW w:w="826" w:type="dxa"/>
          </w:tcPr>
          <w:p w14:paraId="6E4BDC5D" w14:textId="77777777" w:rsidR="00AE2255" w:rsidRDefault="00000000">
            <w:pPr>
              <w:pStyle w:val="TableParagraph"/>
              <w:ind w:right="81"/>
              <w:rPr>
                <w:sz w:val="20"/>
              </w:rPr>
            </w:pPr>
            <w:r>
              <w:rPr>
                <w:spacing w:val="-5"/>
                <w:sz w:val="20"/>
              </w:rPr>
              <w:t>102</w:t>
            </w:r>
          </w:p>
        </w:tc>
      </w:tr>
      <w:tr w:rsidR="00AE2255" w14:paraId="189EE072" w14:textId="77777777">
        <w:trPr>
          <w:trHeight w:val="285"/>
        </w:trPr>
        <w:tc>
          <w:tcPr>
            <w:tcW w:w="3072" w:type="dxa"/>
            <w:shd w:val="clear" w:color="auto" w:fill="CCEDFF"/>
          </w:tcPr>
          <w:p w14:paraId="2F57EE5A" w14:textId="77777777" w:rsidR="00AE2255" w:rsidRDefault="00000000">
            <w:pPr>
              <w:pStyle w:val="TableParagraph"/>
              <w:spacing w:before="27"/>
              <w:ind w:left="187"/>
              <w:jc w:val="left"/>
              <w:rPr>
                <w:sz w:val="20"/>
              </w:rPr>
            </w:pPr>
            <w:r>
              <w:rPr>
                <w:sz w:val="20"/>
              </w:rPr>
              <w:t>U.S.</w:t>
            </w:r>
            <w:r>
              <w:rPr>
                <w:spacing w:val="-4"/>
                <w:sz w:val="20"/>
              </w:rPr>
              <w:t xml:space="preserve"> </w:t>
            </w:r>
            <w:r>
              <w:rPr>
                <w:sz w:val="20"/>
              </w:rPr>
              <w:t>Government</w:t>
            </w:r>
            <w:r>
              <w:rPr>
                <w:spacing w:val="-3"/>
                <w:sz w:val="20"/>
              </w:rPr>
              <w:t xml:space="preserve"> </w:t>
            </w:r>
            <w:r>
              <w:rPr>
                <w:spacing w:val="-2"/>
                <w:sz w:val="20"/>
              </w:rPr>
              <w:t>securities</w:t>
            </w:r>
          </w:p>
        </w:tc>
        <w:tc>
          <w:tcPr>
            <w:tcW w:w="3648" w:type="dxa"/>
            <w:tcBorders>
              <w:right w:val="single" w:sz="8" w:space="0" w:color="000000"/>
            </w:tcBorders>
            <w:shd w:val="clear" w:color="auto" w:fill="CCEDFF"/>
          </w:tcPr>
          <w:p w14:paraId="5B5FC5A4" w14:textId="77777777" w:rsidR="00AE2255" w:rsidRDefault="00000000">
            <w:pPr>
              <w:pStyle w:val="TableParagraph"/>
              <w:tabs>
                <w:tab w:val="left" w:pos="1149"/>
                <w:tab w:val="left" w:pos="1799"/>
                <w:tab w:val="left" w:pos="2949"/>
              </w:tabs>
              <w:ind w:right="129"/>
              <w:rPr>
                <w:b/>
                <w:sz w:val="20"/>
              </w:rPr>
            </w:pPr>
            <w:r>
              <w:rPr>
                <w:b/>
                <w:spacing w:val="-2"/>
                <w:sz w:val="20"/>
              </w:rPr>
              <w:t>2,219</w:t>
            </w:r>
            <w:r>
              <w:rPr>
                <w:b/>
                <w:sz w:val="20"/>
              </w:rPr>
              <w:tab/>
            </w:r>
            <w:r>
              <w:rPr>
                <w:b/>
                <w:spacing w:val="-10"/>
                <w:sz w:val="20"/>
              </w:rPr>
              <w:t>—</w:t>
            </w:r>
            <w:r>
              <w:rPr>
                <w:b/>
                <w:sz w:val="20"/>
              </w:rPr>
              <w:tab/>
            </w:r>
            <w:r>
              <w:rPr>
                <w:b/>
                <w:spacing w:val="-2"/>
                <w:sz w:val="20"/>
              </w:rPr>
              <w:t>2,219</w:t>
            </w:r>
            <w:r>
              <w:rPr>
                <w:b/>
                <w:sz w:val="20"/>
              </w:rPr>
              <w:tab/>
            </w:r>
            <w:r>
              <w:rPr>
                <w:b/>
                <w:spacing w:val="-10"/>
                <w:sz w:val="20"/>
              </w:rPr>
              <w:t>—</w:t>
            </w:r>
          </w:p>
        </w:tc>
        <w:tc>
          <w:tcPr>
            <w:tcW w:w="920" w:type="dxa"/>
            <w:tcBorders>
              <w:left w:val="single" w:sz="8" w:space="0" w:color="000000"/>
            </w:tcBorders>
            <w:shd w:val="clear" w:color="auto" w:fill="CCEDFF"/>
          </w:tcPr>
          <w:p w14:paraId="042E0158" w14:textId="77777777" w:rsidR="00AE2255" w:rsidRDefault="00000000">
            <w:pPr>
              <w:pStyle w:val="TableParagraph"/>
              <w:ind w:right="99"/>
              <w:rPr>
                <w:sz w:val="20"/>
              </w:rPr>
            </w:pPr>
            <w:r>
              <w:rPr>
                <w:spacing w:val="-2"/>
                <w:sz w:val="20"/>
              </w:rPr>
              <w:t>2,864</w:t>
            </w:r>
          </w:p>
        </w:tc>
        <w:tc>
          <w:tcPr>
            <w:tcW w:w="896" w:type="dxa"/>
            <w:shd w:val="clear" w:color="auto" w:fill="CCEDFF"/>
          </w:tcPr>
          <w:p w14:paraId="73F63B7F" w14:textId="77777777" w:rsidR="00AE2255" w:rsidRDefault="00000000">
            <w:pPr>
              <w:pStyle w:val="TableParagraph"/>
              <w:ind w:right="95"/>
              <w:rPr>
                <w:sz w:val="20"/>
              </w:rPr>
            </w:pPr>
            <w:r>
              <w:rPr>
                <w:sz w:val="20"/>
              </w:rPr>
              <w:t>—</w:t>
            </w:r>
          </w:p>
        </w:tc>
        <w:tc>
          <w:tcPr>
            <w:tcW w:w="900" w:type="dxa"/>
            <w:shd w:val="clear" w:color="auto" w:fill="CCEDFF"/>
          </w:tcPr>
          <w:p w14:paraId="48556F9F" w14:textId="77777777" w:rsidR="00AE2255" w:rsidRDefault="00000000">
            <w:pPr>
              <w:pStyle w:val="TableParagraph"/>
              <w:ind w:right="110"/>
              <w:rPr>
                <w:sz w:val="20"/>
              </w:rPr>
            </w:pPr>
            <w:r>
              <w:rPr>
                <w:spacing w:val="-2"/>
                <w:sz w:val="20"/>
              </w:rPr>
              <w:t>2,864</w:t>
            </w:r>
          </w:p>
        </w:tc>
        <w:tc>
          <w:tcPr>
            <w:tcW w:w="826" w:type="dxa"/>
            <w:shd w:val="clear" w:color="auto" w:fill="CCEDFF"/>
          </w:tcPr>
          <w:p w14:paraId="10A8039A" w14:textId="77777777" w:rsidR="00AE2255" w:rsidRDefault="00000000">
            <w:pPr>
              <w:pStyle w:val="TableParagraph"/>
              <w:ind w:right="81"/>
              <w:rPr>
                <w:sz w:val="20"/>
              </w:rPr>
            </w:pPr>
            <w:r>
              <w:rPr>
                <w:sz w:val="20"/>
              </w:rPr>
              <w:t>—</w:t>
            </w:r>
          </w:p>
        </w:tc>
      </w:tr>
      <w:tr w:rsidR="00AE2255" w14:paraId="58041AC5" w14:textId="77777777">
        <w:trPr>
          <w:trHeight w:val="495"/>
        </w:trPr>
        <w:tc>
          <w:tcPr>
            <w:tcW w:w="3072" w:type="dxa"/>
          </w:tcPr>
          <w:p w14:paraId="2215436B" w14:textId="77777777" w:rsidR="00AE2255" w:rsidRDefault="00000000">
            <w:pPr>
              <w:pStyle w:val="TableParagraph"/>
              <w:spacing w:before="51" w:line="208" w:lineRule="auto"/>
              <w:ind w:left="367" w:right="595" w:hanging="180"/>
              <w:jc w:val="left"/>
              <w:rPr>
                <w:sz w:val="20"/>
              </w:rPr>
            </w:pPr>
            <w:r>
              <w:rPr>
                <w:sz w:val="20"/>
              </w:rPr>
              <w:t>U.S.</w:t>
            </w:r>
            <w:r>
              <w:rPr>
                <w:spacing w:val="-13"/>
                <w:sz w:val="20"/>
              </w:rPr>
              <w:t xml:space="preserve"> </w:t>
            </w:r>
            <w:r>
              <w:rPr>
                <w:sz w:val="20"/>
              </w:rPr>
              <w:t>Government-sponsored enterprise securities</w:t>
            </w:r>
          </w:p>
        </w:tc>
        <w:tc>
          <w:tcPr>
            <w:tcW w:w="3648" w:type="dxa"/>
            <w:tcBorders>
              <w:right w:val="single" w:sz="8" w:space="0" w:color="000000"/>
            </w:tcBorders>
          </w:tcPr>
          <w:p w14:paraId="24C816B8" w14:textId="77777777" w:rsidR="00AE2255" w:rsidRDefault="00AE2255">
            <w:pPr>
              <w:pStyle w:val="TableParagraph"/>
              <w:spacing w:before="5"/>
              <w:jc w:val="left"/>
              <w:rPr>
                <w:sz w:val="20"/>
              </w:rPr>
            </w:pPr>
          </w:p>
          <w:p w14:paraId="2B1C6930" w14:textId="77777777" w:rsidR="00AE2255" w:rsidRDefault="00000000">
            <w:pPr>
              <w:pStyle w:val="TableParagraph"/>
              <w:tabs>
                <w:tab w:val="left" w:pos="999"/>
                <w:tab w:val="left" w:pos="1799"/>
                <w:tab w:val="left" w:pos="2799"/>
              </w:tabs>
              <w:spacing w:before="0"/>
              <w:ind w:right="129"/>
              <w:rPr>
                <w:b/>
                <w:sz w:val="20"/>
              </w:rPr>
            </w:pPr>
            <w:r>
              <w:rPr>
                <w:b/>
                <w:spacing w:val="-5"/>
                <w:sz w:val="20"/>
              </w:rPr>
              <w:t>572</w:t>
            </w:r>
            <w:r>
              <w:rPr>
                <w:b/>
                <w:sz w:val="20"/>
              </w:rPr>
              <w:tab/>
            </w:r>
            <w:r>
              <w:rPr>
                <w:b/>
                <w:spacing w:val="-10"/>
                <w:sz w:val="20"/>
              </w:rPr>
              <w:t>—</w:t>
            </w:r>
            <w:r>
              <w:rPr>
                <w:b/>
                <w:sz w:val="20"/>
              </w:rPr>
              <w:tab/>
            </w:r>
            <w:r>
              <w:rPr>
                <w:b/>
                <w:spacing w:val="-5"/>
                <w:sz w:val="20"/>
              </w:rPr>
              <w:t>572</w:t>
            </w:r>
            <w:r>
              <w:rPr>
                <w:b/>
                <w:sz w:val="20"/>
              </w:rPr>
              <w:tab/>
            </w:r>
            <w:r>
              <w:rPr>
                <w:b/>
                <w:spacing w:val="-10"/>
                <w:sz w:val="20"/>
              </w:rPr>
              <w:t>—</w:t>
            </w:r>
          </w:p>
        </w:tc>
        <w:tc>
          <w:tcPr>
            <w:tcW w:w="920" w:type="dxa"/>
            <w:tcBorders>
              <w:left w:val="single" w:sz="8" w:space="0" w:color="000000"/>
            </w:tcBorders>
          </w:tcPr>
          <w:p w14:paraId="7BFC0FD4" w14:textId="77777777" w:rsidR="00AE2255" w:rsidRDefault="00AE2255">
            <w:pPr>
              <w:pStyle w:val="TableParagraph"/>
              <w:spacing w:before="5"/>
              <w:jc w:val="left"/>
              <w:rPr>
                <w:sz w:val="20"/>
              </w:rPr>
            </w:pPr>
          </w:p>
          <w:p w14:paraId="0FF83D77" w14:textId="77777777" w:rsidR="00AE2255" w:rsidRDefault="00000000">
            <w:pPr>
              <w:pStyle w:val="TableParagraph"/>
              <w:spacing w:before="0"/>
              <w:ind w:right="99"/>
              <w:rPr>
                <w:sz w:val="20"/>
              </w:rPr>
            </w:pPr>
            <w:r>
              <w:rPr>
                <w:spacing w:val="-5"/>
                <w:sz w:val="20"/>
              </w:rPr>
              <w:t>228</w:t>
            </w:r>
          </w:p>
        </w:tc>
        <w:tc>
          <w:tcPr>
            <w:tcW w:w="896" w:type="dxa"/>
          </w:tcPr>
          <w:p w14:paraId="415AC50A" w14:textId="77777777" w:rsidR="00AE2255" w:rsidRDefault="00AE2255">
            <w:pPr>
              <w:pStyle w:val="TableParagraph"/>
              <w:spacing w:before="5"/>
              <w:jc w:val="left"/>
              <w:rPr>
                <w:sz w:val="20"/>
              </w:rPr>
            </w:pPr>
          </w:p>
          <w:p w14:paraId="5245DD0F" w14:textId="77777777" w:rsidR="00AE2255" w:rsidRDefault="00000000">
            <w:pPr>
              <w:pStyle w:val="TableParagraph"/>
              <w:spacing w:before="0"/>
              <w:ind w:right="95"/>
              <w:rPr>
                <w:sz w:val="20"/>
              </w:rPr>
            </w:pPr>
            <w:r>
              <w:rPr>
                <w:sz w:val="20"/>
              </w:rPr>
              <w:t>—</w:t>
            </w:r>
          </w:p>
        </w:tc>
        <w:tc>
          <w:tcPr>
            <w:tcW w:w="900" w:type="dxa"/>
          </w:tcPr>
          <w:p w14:paraId="5D3E6CC7" w14:textId="77777777" w:rsidR="00AE2255" w:rsidRDefault="00AE2255">
            <w:pPr>
              <w:pStyle w:val="TableParagraph"/>
              <w:spacing w:before="5"/>
              <w:jc w:val="left"/>
              <w:rPr>
                <w:sz w:val="20"/>
              </w:rPr>
            </w:pPr>
          </w:p>
          <w:p w14:paraId="3EDFF073" w14:textId="77777777" w:rsidR="00AE2255" w:rsidRDefault="00000000">
            <w:pPr>
              <w:pStyle w:val="TableParagraph"/>
              <w:spacing w:before="0"/>
              <w:ind w:right="110"/>
              <w:rPr>
                <w:sz w:val="20"/>
              </w:rPr>
            </w:pPr>
            <w:r>
              <w:rPr>
                <w:spacing w:val="-5"/>
                <w:sz w:val="20"/>
              </w:rPr>
              <w:t>228</w:t>
            </w:r>
          </w:p>
        </w:tc>
        <w:tc>
          <w:tcPr>
            <w:tcW w:w="826" w:type="dxa"/>
          </w:tcPr>
          <w:p w14:paraId="301843AB" w14:textId="77777777" w:rsidR="00AE2255" w:rsidRDefault="00AE2255">
            <w:pPr>
              <w:pStyle w:val="TableParagraph"/>
              <w:spacing w:before="5"/>
              <w:jc w:val="left"/>
              <w:rPr>
                <w:sz w:val="20"/>
              </w:rPr>
            </w:pPr>
          </w:p>
          <w:p w14:paraId="2DE8D36F" w14:textId="77777777" w:rsidR="00AE2255" w:rsidRDefault="00000000">
            <w:pPr>
              <w:pStyle w:val="TableParagraph"/>
              <w:spacing w:before="0"/>
              <w:ind w:right="81"/>
              <w:rPr>
                <w:sz w:val="20"/>
              </w:rPr>
            </w:pPr>
            <w:r>
              <w:rPr>
                <w:sz w:val="20"/>
              </w:rPr>
              <w:t>—</w:t>
            </w:r>
          </w:p>
        </w:tc>
      </w:tr>
      <w:tr w:rsidR="00AE2255" w14:paraId="51455E76" w14:textId="77777777">
        <w:trPr>
          <w:trHeight w:val="285"/>
        </w:trPr>
        <w:tc>
          <w:tcPr>
            <w:tcW w:w="3072" w:type="dxa"/>
            <w:shd w:val="clear" w:color="auto" w:fill="CCEDFF"/>
          </w:tcPr>
          <w:p w14:paraId="3083E26A" w14:textId="77777777" w:rsidR="00AE2255" w:rsidRDefault="00000000">
            <w:pPr>
              <w:pStyle w:val="TableParagraph"/>
              <w:spacing w:before="27"/>
              <w:ind w:left="187"/>
              <w:jc w:val="left"/>
              <w:rPr>
                <w:sz w:val="20"/>
              </w:rPr>
            </w:pPr>
            <w:r>
              <w:rPr>
                <w:sz w:val="20"/>
              </w:rPr>
              <w:t>Interest</w:t>
            </w:r>
            <w:r>
              <w:rPr>
                <w:spacing w:val="-5"/>
                <w:sz w:val="20"/>
              </w:rPr>
              <w:t xml:space="preserve"> </w:t>
            </w:r>
            <w:r>
              <w:rPr>
                <w:sz w:val="20"/>
              </w:rPr>
              <w:t>rate</w:t>
            </w:r>
            <w:r>
              <w:rPr>
                <w:spacing w:val="-4"/>
                <w:sz w:val="20"/>
              </w:rPr>
              <w:t xml:space="preserve"> </w:t>
            </w:r>
            <w:r>
              <w:rPr>
                <w:sz w:val="20"/>
              </w:rPr>
              <w:t>swaps,</w:t>
            </w:r>
            <w:r>
              <w:rPr>
                <w:spacing w:val="-3"/>
                <w:sz w:val="20"/>
              </w:rPr>
              <w:t xml:space="preserve"> </w:t>
            </w:r>
            <w:r>
              <w:rPr>
                <w:spacing w:val="-5"/>
                <w:sz w:val="20"/>
              </w:rPr>
              <w:t>net</w:t>
            </w:r>
          </w:p>
        </w:tc>
        <w:tc>
          <w:tcPr>
            <w:tcW w:w="3648" w:type="dxa"/>
            <w:tcBorders>
              <w:right w:val="single" w:sz="8" w:space="0" w:color="000000"/>
            </w:tcBorders>
            <w:shd w:val="clear" w:color="auto" w:fill="CCEDFF"/>
          </w:tcPr>
          <w:p w14:paraId="4E91D718" w14:textId="77777777" w:rsidR="00AE2255" w:rsidRDefault="00000000">
            <w:pPr>
              <w:pStyle w:val="TableParagraph"/>
              <w:tabs>
                <w:tab w:val="left" w:pos="1216"/>
                <w:tab w:val="left" w:pos="1799"/>
                <w:tab w:val="left" w:pos="3016"/>
              </w:tabs>
              <w:ind w:right="129"/>
              <w:rPr>
                <w:b/>
                <w:sz w:val="20"/>
              </w:rPr>
            </w:pPr>
            <w:r>
              <w:rPr>
                <w:b/>
                <w:spacing w:val="-2"/>
                <w:sz w:val="20"/>
              </w:rPr>
              <w:t>(1,165)</w:t>
            </w:r>
            <w:r>
              <w:rPr>
                <w:b/>
                <w:sz w:val="20"/>
              </w:rPr>
              <w:tab/>
            </w:r>
            <w:r>
              <w:rPr>
                <w:b/>
                <w:spacing w:val="-10"/>
                <w:sz w:val="20"/>
              </w:rPr>
              <w:t>—</w:t>
            </w:r>
            <w:r>
              <w:rPr>
                <w:b/>
                <w:sz w:val="20"/>
              </w:rPr>
              <w:tab/>
            </w:r>
            <w:r>
              <w:rPr>
                <w:b/>
                <w:spacing w:val="-2"/>
                <w:sz w:val="20"/>
              </w:rPr>
              <w:t>(1,165)</w:t>
            </w:r>
            <w:r>
              <w:rPr>
                <w:b/>
                <w:sz w:val="20"/>
              </w:rPr>
              <w:tab/>
            </w:r>
            <w:r>
              <w:rPr>
                <w:b/>
                <w:spacing w:val="-10"/>
                <w:sz w:val="20"/>
              </w:rPr>
              <w:t>—</w:t>
            </w:r>
          </w:p>
        </w:tc>
        <w:tc>
          <w:tcPr>
            <w:tcW w:w="920" w:type="dxa"/>
            <w:tcBorders>
              <w:left w:val="single" w:sz="8" w:space="0" w:color="000000"/>
            </w:tcBorders>
            <w:shd w:val="clear" w:color="auto" w:fill="CCEDFF"/>
          </w:tcPr>
          <w:p w14:paraId="4BF5A4B6" w14:textId="77777777" w:rsidR="00AE2255" w:rsidRDefault="00000000">
            <w:pPr>
              <w:pStyle w:val="TableParagraph"/>
              <w:ind w:right="99"/>
              <w:rPr>
                <w:sz w:val="20"/>
              </w:rPr>
            </w:pPr>
            <w:r>
              <w:rPr>
                <w:spacing w:val="-5"/>
                <w:sz w:val="20"/>
              </w:rPr>
              <w:t>636</w:t>
            </w:r>
          </w:p>
        </w:tc>
        <w:tc>
          <w:tcPr>
            <w:tcW w:w="896" w:type="dxa"/>
            <w:shd w:val="clear" w:color="auto" w:fill="CCEDFF"/>
          </w:tcPr>
          <w:p w14:paraId="29BCB0A9" w14:textId="77777777" w:rsidR="00AE2255" w:rsidRDefault="00000000">
            <w:pPr>
              <w:pStyle w:val="TableParagraph"/>
              <w:ind w:right="95"/>
              <w:rPr>
                <w:sz w:val="20"/>
              </w:rPr>
            </w:pPr>
            <w:r>
              <w:rPr>
                <w:sz w:val="20"/>
              </w:rPr>
              <w:t>—</w:t>
            </w:r>
          </w:p>
        </w:tc>
        <w:tc>
          <w:tcPr>
            <w:tcW w:w="900" w:type="dxa"/>
            <w:shd w:val="clear" w:color="auto" w:fill="CCEDFF"/>
          </w:tcPr>
          <w:p w14:paraId="46D2155E" w14:textId="77777777" w:rsidR="00AE2255" w:rsidRDefault="00000000">
            <w:pPr>
              <w:pStyle w:val="TableParagraph"/>
              <w:ind w:right="110"/>
              <w:rPr>
                <w:sz w:val="20"/>
              </w:rPr>
            </w:pPr>
            <w:r>
              <w:rPr>
                <w:spacing w:val="-5"/>
                <w:sz w:val="20"/>
              </w:rPr>
              <w:t>636</w:t>
            </w:r>
          </w:p>
        </w:tc>
        <w:tc>
          <w:tcPr>
            <w:tcW w:w="826" w:type="dxa"/>
            <w:shd w:val="clear" w:color="auto" w:fill="CCEDFF"/>
          </w:tcPr>
          <w:p w14:paraId="048A860D" w14:textId="77777777" w:rsidR="00AE2255" w:rsidRDefault="00000000">
            <w:pPr>
              <w:pStyle w:val="TableParagraph"/>
              <w:ind w:right="81"/>
              <w:rPr>
                <w:sz w:val="20"/>
              </w:rPr>
            </w:pPr>
            <w:r>
              <w:rPr>
                <w:sz w:val="20"/>
              </w:rPr>
              <w:t>—</w:t>
            </w:r>
          </w:p>
        </w:tc>
      </w:tr>
      <w:tr w:rsidR="00AE2255" w14:paraId="66C10BCA" w14:textId="77777777">
        <w:trPr>
          <w:trHeight w:val="275"/>
        </w:trPr>
        <w:tc>
          <w:tcPr>
            <w:tcW w:w="3072" w:type="dxa"/>
            <w:tcBorders>
              <w:bottom w:val="single" w:sz="8" w:space="0" w:color="000000"/>
            </w:tcBorders>
          </w:tcPr>
          <w:p w14:paraId="6D45C87B" w14:textId="77777777" w:rsidR="00AE2255" w:rsidRDefault="00000000">
            <w:pPr>
              <w:pStyle w:val="TableParagraph"/>
              <w:spacing w:before="27" w:line="228" w:lineRule="exact"/>
              <w:ind w:left="187"/>
              <w:jc w:val="left"/>
              <w:rPr>
                <w:sz w:val="20"/>
              </w:rPr>
            </w:pPr>
            <w:r>
              <w:rPr>
                <w:sz w:val="20"/>
              </w:rPr>
              <w:t>Other</w:t>
            </w:r>
            <w:r>
              <w:rPr>
                <w:spacing w:val="-4"/>
                <w:sz w:val="20"/>
              </w:rPr>
              <w:t xml:space="preserve"> </w:t>
            </w:r>
            <w:r>
              <w:rPr>
                <w:sz w:val="20"/>
              </w:rPr>
              <w:t>fixed</w:t>
            </w:r>
            <w:r>
              <w:rPr>
                <w:spacing w:val="-4"/>
                <w:sz w:val="20"/>
              </w:rPr>
              <w:t xml:space="preserve"> </w:t>
            </w:r>
            <w:r>
              <w:rPr>
                <w:sz w:val="20"/>
              </w:rPr>
              <w:t>income</w:t>
            </w:r>
            <w:r>
              <w:rPr>
                <w:spacing w:val="-5"/>
                <w:sz w:val="20"/>
              </w:rPr>
              <w:t xml:space="preserve"> </w:t>
            </w:r>
            <w:r>
              <w:rPr>
                <w:sz w:val="20"/>
              </w:rPr>
              <w:t>investments</w:t>
            </w:r>
            <w:r>
              <w:rPr>
                <w:spacing w:val="-4"/>
                <w:sz w:val="20"/>
              </w:rPr>
              <w:t xml:space="preserve"> </w:t>
            </w:r>
            <w:r>
              <w:rPr>
                <w:spacing w:val="-5"/>
                <w:sz w:val="20"/>
                <w:vertAlign w:val="superscript"/>
              </w:rPr>
              <w:t>(b)</w:t>
            </w:r>
          </w:p>
        </w:tc>
        <w:tc>
          <w:tcPr>
            <w:tcW w:w="3648" w:type="dxa"/>
            <w:tcBorders>
              <w:bottom w:val="single" w:sz="8" w:space="0" w:color="000000"/>
              <w:right w:val="single" w:sz="8" w:space="0" w:color="000000"/>
            </w:tcBorders>
          </w:tcPr>
          <w:p w14:paraId="2928FAF0" w14:textId="77777777" w:rsidR="00AE2255" w:rsidRDefault="00000000">
            <w:pPr>
              <w:pStyle w:val="TableParagraph"/>
              <w:tabs>
                <w:tab w:val="left" w:pos="1149"/>
                <w:tab w:val="left" w:pos="1949"/>
                <w:tab w:val="left" w:pos="2699"/>
              </w:tabs>
              <w:spacing w:line="230" w:lineRule="exact"/>
              <w:ind w:right="129"/>
              <w:rPr>
                <w:b/>
                <w:sz w:val="20"/>
              </w:rPr>
            </w:pPr>
            <w:r>
              <w:rPr>
                <w:b/>
                <w:spacing w:val="-2"/>
                <w:sz w:val="20"/>
              </w:rPr>
              <w:t>1,980</w:t>
            </w:r>
            <w:r>
              <w:rPr>
                <w:b/>
                <w:sz w:val="20"/>
              </w:rPr>
              <w:tab/>
            </w:r>
            <w:r>
              <w:rPr>
                <w:b/>
                <w:spacing w:val="-5"/>
                <w:sz w:val="20"/>
              </w:rPr>
              <w:t>81</w:t>
            </w:r>
            <w:r>
              <w:rPr>
                <w:b/>
                <w:sz w:val="20"/>
              </w:rPr>
              <w:tab/>
            </w:r>
            <w:r>
              <w:rPr>
                <w:b/>
                <w:spacing w:val="-5"/>
                <w:sz w:val="20"/>
              </w:rPr>
              <w:t>680</w:t>
            </w:r>
            <w:r>
              <w:rPr>
                <w:b/>
                <w:sz w:val="20"/>
              </w:rPr>
              <w:tab/>
            </w:r>
            <w:r>
              <w:rPr>
                <w:b/>
                <w:spacing w:val="-2"/>
                <w:sz w:val="20"/>
              </w:rPr>
              <w:t>1,219</w:t>
            </w:r>
          </w:p>
        </w:tc>
        <w:tc>
          <w:tcPr>
            <w:tcW w:w="920" w:type="dxa"/>
            <w:tcBorders>
              <w:left w:val="single" w:sz="8" w:space="0" w:color="000000"/>
              <w:bottom w:val="single" w:sz="8" w:space="0" w:color="000000"/>
            </w:tcBorders>
          </w:tcPr>
          <w:p w14:paraId="242FA487" w14:textId="77777777" w:rsidR="00AE2255" w:rsidRDefault="00000000">
            <w:pPr>
              <w:pStyle w:val="TableParagraph"/>
              <w:spacing w:line="230" w:lineRule="exact"/>
              <w:ind w:right="99"/>
              <w:rPr>
                <w:sz w:val="20"/>
              </w:rPr>
            </w:pPr>
            <w:r>
              <w:rPr>
                <w:spacing w:val="-2"/>
                <w:sz w:val="20"/>
              </w:rPr>
              <w:t>4,100</w:t>
            </w:r>
          </w:p>
        </w:tc>
        <w:tc>
          <w:tcPr>
            <w:tcW w:w="896" w:type="dxa"/>
            <w:tcBorders>
              <w:bottom w:val="single" w:sz="8" w:space="0" w:color="000000"/>
            </w:tcBorders>
          </w:tcPr>
          <w:p w14:paraId="52C792A1" w14:textId="77777777" w:rsidR="00AE2255" w:rsidRDefault="00000000">
            <w:pPr>
              <w:pStyle w:val="TableParagraph"/>
              <w:spacing w:line="230" w:lineRule="exact"/>
              <w:ind w:right="95"/>
              <w:rPr>
                <w:sz w:val="20"/>
              </w:rPr>
            </w:pPr>
            <w:r>
              <w:rPr>
                <w:spacing w:val="-5"/>
                <w:sz w:val="20"/>
              </w:rPr>
              <w:t>49</w:t>
            </w:r>
          </w:p>
        </w:tc>
        <w:tc>
          <w:tcPr>
            <w:tcW w:w="900" w:type="dxa"/>
            <w:tcBorders>
              <w:bottom w:val="single" w:sz="8" w:space="0" w:color="000000"/>
            </w:tcBorders>
          </w:tcPr>
          <w:p w14:paraId="4D50FE2F" w14:textId="77777777" w:rsidR="00AE2255" w:rsidRDefault="00000000">
            <w:pPr>
              <w:pStyle w:val="TableParagraph"/>
              <w:spacing w:line="230" w:lineRule="exact"/>
              <w:ind w:right="110"/>
              <w:rPr>
                <w:sz w:val="20"/>
              </w:rPr>
            </w:pPr>
            <w:r>
              <w:rPr>
                <w:spacing w:val="-2"/>
                <w:sz w:val="20"/>
              </w:rPr>
              <w:t>2,435</w:t>
            </w:r>
          </w:p>
        </w:tc>
        <w:tc>
          <w:tcPr>
            <w:tcW w:w="826" w:type="dxa"/>
            <w:tcBorders>
              <w:bottom w:val="single" w:sz="8" w:space="0" w:color="000000"/>
            </w:tcBorders>
          </w:tcPr>
          <w:p w14:paraId="373426CB" w14:textId="77777777" w:rsidR="00AE2255" w:rsidRDefault="00000000">
            <w:pPr>
              <w:pStyle w:val="TableParagraph"/>
              <w:spacing w:line="230" w:lineRule="exact"/>
              <w:ind w:right="81"/>
              <w:rPr>
                <w:sz w:val="20"/>
              </w:rPr>
            </w:pPr>
            <w:r>
              <w:rPr>
                <w:spacing w:val="-2"/>
                <w:sz w:val="20"/>
              </w:rPr>
              <w:t>1,616</w:t>
            </w:r>
          </w:p>
        </w:tc>
      </w:tr>
      <w:tr w:rsidR="00AE2255" w14:paraId="2F73D2B6" w14:textId="77777777">
        <w:trPr>
          <w:trHeight w:val="265"/>
        </w:trPr>
        <w:tc>
          <w:tcPr>
            <w:tcW w:w="3072" w:type="dxa"/>
            <w:tcBorders>
              <w:top w:val="single" w:sz="8" w:space="0" w:color="000000"/>
              <w:bottom w:val="single" w:sz="8" w:space="0" w:color="000000"/>
            </w:tcBorders>
            <w:shd w:val="clear" w:color="auto" w:fill="CCEDFF"/>
          </w:tcPr>
          <w:p w14:paraId="16EE409E" w14:textId="77777777" w:rsidR="00AE2255" w:rsidRDefault="00000000">
            <w:pPr>
              <w:pStyle w:val="TableParagraph"/>
              <w:spacing w:before="17" w:line="228" w:lineRule="exact"/>
              <w:ind w:left="52"/>
              <w:jc w:val="left"/>
              <w:rPr>
                <w:sz w:val="20"/>
              </w:rPr>
            </w:pPr>
            <w:r>
              <w:rPr>
                <w:spacing w:val="-2"/>
                <w:sz w:val="20"/>
              </w:rPr>
              <w:t>Total</w:t>
            </w:r>
          </w:p>
        </w:tc>
        <w:tc>
          <w:tcPr>
            <w:tcW w:w="3648" w:type="dxa"/>
            <w:tcBorders>
              <w:top w:val="single" w:sz="8" w:space="0" w:color="000000"/>
              <w:bottom w:val="single" w:sz="8" w:space="0" w:color="000000"/>
              <w:right w:val="single" w:sz="8" w:space="0" w:color="000000"/>
            </w:tcBorders>
            <w:shd w:val="clear" w:color="auto" w:fill="CCEDFF"/>
          </w:tcPr>
          <w:p w14:paraId="4D31A705" w14:textId="77777777" w:rsidR="00AE2255" w:rsidRDefault="00000000">
            <w:pPr>
              <w:pStyle w:val="TableParagraph"/>
              <w:spacing w:before="15" w:line="230" w:lineRule="exact"/>
              <w:ind w:left="100"/>
              <w:jc w:val="left"/>
              <w:rPr>
                <w:b/>
                <w:sz w:val="20"/>
              </w:rPr>
            </w:pPr>
            <w:r>
              <w:rPr>
                <w:b/>
                <w:sz w:val="20"/>
              </w:rPr>
              <w:t>$</w:t>
            </w:r>
            <w:r>
              <w:rPr>
                <w:b/>
                <w:spacing w:val="5"/>
                <w:sz w:val="20"/>
              </w:rPr>
              <w:t xml:space="preserve"> </w:t>
            </w:r>
            <w:proofErr w:type="gramStart"/>
            <w:r>
              <w:rPr>
                <w:b/>
                <w:sz w:val="20"/>
              </w:rPr>
              <w:t>15,968</w:t>
            </w:r>
            <w:r>
              <w:rPr>
                <w:b/>
                <w:spacing w:val="47"/>
                <w:sz w:val="20"/>
              </w:rPr>
              <w:t xml:space="preserve">  </w:t>
            </w:r>
            <w:r>
              <w:rPr>
                <w:b/>
                <w:sz w:val="20"/>
              </w:rPr>
              <w:t>$</w:t>
            </w:r>
            <w:proofErr w:type="gramEnd"/>
            <w:r>
              <w:rPr>
                <w:b/>
                <w:spacing w:val="80"/>
                <w:w w:val="150"/>
                <w:sz w:val="20"/>
              </w:rPr>
              <w:t xml:space="preserve"> </w:t>
            </w:r>
            <w:r>
              <w:rPr>
                <w:b/>
                <w:sz w:val="20"/>
              </w:rPr>
              <w:t>7,521</w:t>
            </w:r>
            <w:r>
              <w:rPr>
                <w:b/>
                <w:spacing w:val="47"/>
                <w:sz w:val="20"/>
              </w:rPr>
              <w:t xml:space="preserve">  </w:t>
            </w:r>
            <w:r>
              <w:rPr>
                <w:b/>
                <w:sz w:val="20"/>
              </w:rPr>
              <w:t>$</w:t>
            </w:r>
            <w:r>
              <w:rPr>
                <w:b/>
                <w:spacing w:val="80"/>
                <w:w w:val="150"/>
                <w:sz w:val="20"/>
              </w:rPr>
              <w:t xml:space="preserve"> </w:t>
            </w:r>
            <w:r>
              <w:rPr>
                <w:b/>
                <w:sz w:val="20"/>
              </w:rPr>
              <w:t>6,877</w:t>
            </w:r>
            <w:r>
              <w:rPr>
                <w:b/>
                <w:spacing w:val="47"/>
                <w:sz w:val="20"/>
              </w:rPr>
              <w:t xml:space="preserve">  </w:t>
            </w:r>
            <w:r>
              <w:rPr>
                <w:b/>
                <w:sz w:val="20"/>
              </w:rPr>
              <w:t>$</w:t>
            </w:r>
            <w:r>
              <w:rPr>
                <w:b/>
                <w:spacing w:val="80"/>
                <w:w w:val="150"/>
                <w:sz w:val="20"/>
              </w:rPr>
              <w:t xml:space="preserve"> </w:t>
            </w:r>
            <w:r>
              <w:rPr>
                <w:b/>
                <w:spacing w:val="-2"/>
                <w:sz w:val="20"/>
              </w:rPr>
              <w:t>1,570</w:t>
            </w:r>
          </w:p>
        </w:tc>
        <w:tc>
          <w:tcPr>
            <w:tcW w:w="920" w:type="dxa"/>
            <w:tcBorders>
              <w:top w:val="single" w:sz="8" w:space="0" w:color="000000"/>
              <w:left w:val="single" w:sz="8" w:space="0" w:color="000000"/>
              <w:bottom w:val="single" w:sz="8" w:space="0" w:color="000000"/>
            </w:tcBorders>
            <w:shd w:val="clear" w:color="auto" w:fill="CCEDFF"/>
          </w:tcPr>
          <w:p w14:paraId="04E13872" w14:textId="77777777" w:rsidR="00AE2255" w:rsidRDefault="00000000">
            <w:pPr>
              <w:pStyle w:val="TableParagraph"/>
              <w:spacing w:before="15" w:line="230" w:lineRule="exact"/>
              <w:ind w:right="99"/>
              <w:rPr>
                <w:sz w:val="20"/>
              </w:rPr>
            </w:pPr>
            <w:r>
              <w:rPr>
                <w:sz w:val="20"/>
              </w:rPr>
              <w:t>$</w:t>
            </w:r>
            <w:r>
              <w:rPr>
                <w:spacing w:val="5"/>
                <w:sz w:val="20"/>
              </w:rPr>
              <w:t xml:space="preserve"> </w:t>
            </w:r>
            <w:r>
              <w:rPr>
                <w:spacing w:val="-2"/>
                <w:sz w:val="20"/>
              </w:rPr>
              <w:t>27,446</w:t>
            </w:r>
          </w:p>
        </w:tc>
        <w:tc>
          <w:tcPr>
            <w:tcW w:w="896" w:type="dxa"/>
            <w:tcBorders>
              <w:top w:val="single" w:sz="8" w:space="0" w:color="000000"/>
              <w:bottom w:val="single" w:sz="8" w:space="0" w:color="000000"/>
            </w:tcBorders>
            <w:shd w:val="clear" w:color="auto" w:fill="CCEDFF"/>
          </w:tcPr>
          <w:p w14:paraId="4F3F27C8" w14:textId="77777777" w:rsidR="00AE2255" w:rsidRDefault="00000000">
            <w:pPr>
              <w:pStyle w:val="TableParagraph"/>
              <w:spacing w:before="15" w:line="230" w:lineRule="exact"/>
              <w:ind w:right="95"/>
              <w:rPr>
                <w:sz w:val="20"/>
              </w:rPr>
            </w:pPr>
            <w:r>
              <w:rPr>
                <w:sz w:val="20"/>
              </w:rPr>
              <w:t>$</w:t>
            </w:r>
            <w:r>
              <w:rPr>
                <w:spacing w:val="5"/>
                <w:sz w:val="20"/>
              </w:rPr>
              <w:t xml:space="preserve"> </w:t>
            </w:r>
            <w:r>
              <w:rPr>
                <w:spacing w:val="-2"/>
                <w:sz w:val="20"/>
              </w:rPr>
              <w:t>12,400</w:t>
            </w:r>
          </w:p>
        </w:tc>
        <w:tc>
          <w:tcPr>
            <w:tcW w:w="900" w:type="dxa"/>
            <w:tcBorders>
              <w:top w:val="single" w:sz="8" w:space="0" w:color="000000"/>
              <w:bottom w:val="single" w:sz="8" w:space="0" w:color="000000"/>
            </w:tcBorders>
            <w:shd w:val="clear" w:color="auto" w:fill="CCEDFF"/>
          </w:tcPr>
          <w:p w14:paraId="44E6109A" w14:textId="77777777" w:rsidR="00AE2255" w:rsidRDefault="00000000">
            <w:pPr>
              <w:pStyle w:val="TableParagraph"/>
              <w:spacing w:before="15" w:line="230" w:lineRule="exact"/>
              <w:ind w:right="110"/>
              <w:rPr>
                <w:sz w:val="20"/>
              </w:rPr>
            </w:pPr>
            <w:r>
              <w:rPr>
                <w:sz w:val="20"/>
              </w:rPr>
              <w:t>$</w:t>
            </w:r>
            <w:r>
              <w:rPr>
                <w:spacing w:val="-10"/>
                <w:sz w:val="20"/>
              </w:rPr>
              <w:t xml:space="preserve"> </w:t>
            </w:r>
            <w:r>
              <w:rPr>
                <w:spacing w:val="-2"/>
                <w:sz w:val="20"/>
              </w:rPr>
              <w:t>13,296</w:t>
            </w:r>
          </w:p>
        </w:tc>
        <w:tc>
          <w:tcPr>
            <w:tcW w:w="826" w:type="dxa"/>
            <w:tcBorders>
              <w:top w:val="single" w:sz="8" w:space="0" w:color="000000"/>
              <w:bottom w:val="single" w:sz="8" w:space="0" w:color="000000"/>
            </w:tcBorders>
            <w:shd w:val="clear" w:color="auto" w:fill="CCEDFF"/>
          </w:tcPr>
          <w:p w14:paraId="4917C1D5" w14:textId="77777777" w:rsidR="00AE2255" w:rsidRDefault="00000000">
            <w:pPr>
              <w:pStyle w:val="TableParagraph"/>
              <w:spacing w:before="15" w:line="230" w:lineRule="exact"/>
              <w:ind w:right="81"/>
              <w:rPr>
                <w:sz w:val="20"/>
              </w:rPr>
            </w:pPr>
            <w:r>
              <w:rPr>
                <w:sz w:val="20"/>
              </w:rPr>
              <w:t>$</w:t>
            </w:r>
            <w:r>
              <w:rPr>
                <w:spacing w:val="60"/>
                <w:sz w:val="20"/>
              </w:rPr>
              <w:t xml:space="preserve"> </w:t>
            </w:r>
            <w:r>
              <w:rPr>
                <w:spacing w:val="-2"/>
                <w:sz w:val="20"/>
              </w:rPr>
              <w:t>1,750</w:t>
            </w:r>
          </w:p>
        </w:tc>
      </w:tr>
      <w:tr w:rsidR="00AE2255" w14:paraId="359F8CB9" w14:textId="77777777">
        <w:trPr>
          <w:trHeight w:val="275"/>
        </w:trPr>
        <w:tc>
          <w:tcPr>
            <w:tcW w:w="6720" w:type="dxa"/>
            <w:gridSpan w:val="2"/>
            <w:tcBorders>
              <w:top w:val="single" w:sz="8" w:space="0" w:color="000000"/>
              <w:right w:val="single" w:sz="8" w:space="0" w:color="000000"/>
            </w:tcBorders>
          </w:tcPr>
          <w:p w14:paraId="09674ACA" w14:textId="77777777" w:rsidR="00AE2255" w:rsidRDefault="00000000">
            <w:pPr>
              <w:pStyle w:val="TableParagraph"/>
              <w:spacing w:before="15"/>
              <w:ind w:left="52"/>
              <w:jc w:val="left"/>
              <w:rPr>
                <w:b/>
                <w:sz w:val="20"/>
              </w:rPr>
            </w:pPr>
            <w:r>
              <w:rPr>
                <w:b/>
                <w:sz w:val="20"/>
              </w:rPr>
              <w:t>Investments</w:t>
            </w:r>
            <w:r>
              <w:rPr>
                <w:b/>
                <w:spacing w:val="-5"/>
                <w:sz w:val="20"/>
              </w:rPr>
              <w:t xml:space="preserve"> </w:t>
            </w:r>
            <w:r>
              <w:rPr>
                <w:b/>
                <w:sz w:val="20"/>
              </w:rPr>
              <w:t>measured</w:t>
            </w:r>
            <w:r>
              <w:rPr>
                <w:b/>
                <w:spacing w:val="-5"/>
                <w:sz w:val="20"/>
              </w:rPr>
              <w:t xml:space="preserve"> </w:t>
            </w:r>
            <w:r>
              <w:rPr>
                <w:b/>
                <w:sz w:val="20"/>
              </w:rPr>
              <w:t>at</w:t>
            </w:r>
            <w:r>
              <w:rPr>
                <w:b/>
                <w:spacing w:val="-3"/>
                <w:sz w:val="20"/>
              </w:rPr>
              <w:t xml:space="preserve"> </w:t>
            </w:r>
            <w:r>
              <w:rPr>
                <w:b/>
                <w:spacing w:val="-5"/>
                <w:sz w:val="20"/>
              </w:rPr>
              <w:t>NAV</w:t>
            </w:r>
          </w:p>
        </w:tc>
        <w:tc>
          <w:tcPr>
            <w:tcW w:w="3542" w:type="dxa"/>
            <w:gridSpan w:val="4"/>
            <w:tcBorders>
              <w:top w:val="single" w:sz="8" w:space="0" w:color="000000"/>
              <w:left w:val="single" w:sz="8" w:space="0" w:color="000000"/>
            </w:tcBorders>
          </w:tcPr>
          <w:p w14:paraId="5AACE379" w14:textId="77777777" w:rsidR="00AE2255" w:rsidRDefault="00AE2255">
            <w:pPr>
              <w:pStyle w:val="TableParagraph"/>
              <w:spacing w:before="0"/>
              <w:jc w:val="left"/>
              <w:rPr>
                <w:sz w:val="18"/>
              </w:rPr>
            </w:pPr>
          </w:p>
        </w:tc>
      </w:tr>
      <w:tr w:rsidR="00AE2255" w14:paraId="639430EA" w14:textId="77777777">
        <w:trPr>
          <w:trHeight w:val="285"/>
        </w:trPr>
        <w:tc>
          <w:tcPr>
            <w:tcW w:w="3072" w:type="dxa"/>
            <w:shd w:val="clear" w:color="auto" w:fill="CCEDFF"/>
          </w:tcPr>
          <w:p w14:paraId="44E66109" w14:textId="77777777" w:rsidR="00AE2255" w:rsidRDefault="00000000">
            <w:pPr>
              <w:pStyle w:val="TableParagraph"/>
              <w:spacing w:before="27"/>
              <w:ind w:left="52"/>
              <w:jc w:val="left"/>
              <w:rPr>
                <w:sz w:val="20"/>
              </w:rPr>
            </w:pPr>
            <w:r>
              <w:rPr>
                <w:sz w:val="20"/>
              </w:rPr>
              <w:t>Commingled</w:t>
            </w:r>
            <w:r>
              <w:rPr>
                <w:spacing w:val="-5"/>
                <w:sz w:val="20"/>
              </w:rPr>
              <w:t xml:space="preserve"> </w:t>
            </w:r>
            <w:r>
              <w:rPr>
                <w:sz w:val="20"/>
              </w:rPr>
              <w:t>equity</w:t>
            </w:r>
            <w:r>
              <w:rPr>
                <w:spacing w:val="-4"/>
                <w:sz w:val="20"/>
              </w:rPr>
              <w:t xml:space="preserve"> </w:t>
            </w:r>
            <w:r>
              <w:rPr>
                <w:spacing w:val="-2"/>
                <w:sz w:val="20"/>
              </w:rPr>
              <w:t>funds</w:t>
            </w:r>
          </w:p>
        </w:tc>
        <w:tc>
          <w:tcPr>
            <w:tcW w:w="3648" w:type="dxa"/>
            <w:tcBorders>
              <w:right w:val="single" w:sz="8" w:space="0" w:color="000000"/>
            </w:tcBorders>
            <w:shd w:val="clear" w:color="auto" w:fill="CCEDFF"/>
          </w:tcPr>
          <w:p w14:paraId="55256937" w14:textId="77777777" w:rsidR="00AE2255" w:rsidRDefault="00000000">
            <w:pPr>
              <w:pStyle w:val="TableParagraph"/>
              <w:ind w:left="606"/>
              <w:jc w:val="left"/>
              <w:rPr>
                <w:b/>
                <w:sz w:val="20"/>
              </w:rPr>
            </w:pPr>
            <w:r>
              <w:rPr>
                <w:b/>
                <w:sz w:val="20"/>
              </w:rPr>
              <w:t>—</w:t>
            </w:r>
          </w:p>
        </w:tc>
        <w:tc>
          <w:tcPr>
            <w:tcW w:w="3542" w:type="dxa"/>
            <w:gridSpan w:val="4"/>
            <w:tcBorders>
              <w:left w:val="single" w:sz="8" w:space="0" w:color="000000"/>
            </w:tcBorders>
            <w:shd w:val="clear" w:color="auto" w:fill="CCEDFF"/>
          </w:tcPr>
          <w:p w14:paraId="17423FBF" w14:textId="77777777" w:rsidR="00AE2255" w:rsidRDefault="00000000">
            <w:pPr>
              <w:pStyle w:val="TableParagraph"/>
              <w:ind w:left="508"/>
              <w:jc w:val="left"/>
              <w:rPr>
                <w:sz w:val="20"/>
              </w:rPr>
            </w:pPr>
            <w:r>
              <w:rPr>
                <w:spacing w:val="-5"/>
                <w:sz w:val="20"/>
              </w:rPr>
              <w:t>130</w:t>
            </w:r>
          </w:p>
        </w:tc>
      </w:tr>
      <w:tr w:rsidR="00AE2255" w14:paraId="3AA8ACC5" w14:textId="77777777">
        <w:trPr>
          <w:trHeight w:val="285"/>
        </w:trPr>
        <w:tc>
          <w:tcPr>
            <w:tcW w:w="3072" w:type="dxa"/>
          </w:tcPr>
          <w:p w14:paraId="4725797E" w14:textId="77777777" w:rsidR="00AE2255" w:rsidRDefault="00000000">
            <w:pPr>
              <w:pStyle w:val="TableParagraph"/>
              <w:spacing w:before="27"/>
              <w:ind w:left="52"/>
              <w:jc w:val="left"/>
              <w:rPr>
                <w:sz w:val="20"/>
              </w:rPr>
            </w:pPr>
            <w:r>
              <w:rPr>
                <w:sz w:val="20"/>
              </w:rPr>
              <w:t>Other</w:t>
            </w:r>
            <w:r>
              <w:rPr>
                <w:spacing w:val="-3"/>
                <w:sz w:val="20"/>
              </w:rPr>
              <w:t xml:space="preserve"> </w:t>
            </w:r>
            <w:r>
              <w:rPr>
                <w:sz w:val="20"/>
              </w:rPr>
              <w:t>fixed</w:t>
            </w:r>
            <w:r>
              <w:rPr>
                <w:spacing w:val="-3"/>
                <w:sz w:val="20"/>
              </w:rPr>
              <w:t xml:space="preserve"> </w:t>
            </w:r>
            <w:r>
              <w:rPr>
                <w:sz w:val="20"/>
              </w:rPr>
              <w:t>income</w:t>
            </w:r>
            <w:r>
              <w:rPr>
                <w:spacing w:val="-3"/>
                <w:sz w:val="20"/>
              </w:rPr>
              <w:t xml:space="preserve"> </w:t>
            </w:r>
            <w:r>
              <w:rPr>
                <w:spacing w:val="-2"/>
                <w:sz w:val="20"/>
              </w:rPr>
              <w:t>investments</w:t>
            </w:r>
          </w:p>
        </w:tc>
        <w:tc>
          <w:tcPr>
            <w:tcW w:w="3648" w:type="dxa"/>
            <w:tcBorders>
              <w:right w:val="single" w:sz="8" w:space="0" w:color="000000"/>
            </w:tcBorders>
          </w:tcPr>
          <w:p w14:paraId="03B2B39D" w14:textId="77777777" w:rsidR="00AE2255" w:rsidRDefault="00000000">
            <w:pPr>
              <w:pStyle w:val="TableParagraph"/>
              <w:ind w:left="506"/>
              <w:jc w:val="left"/>
              <w:rPr>
                <w:b/>
                <w:sz w:val="20"/>
              </w:rPr>
            </w:pPr>
            <w:r>
              <w:rPr>
                <w:b/>
                <w:spacing w:val="-5"/>
                <w:sz w:val="20"/>
              </w:rPr>
              <w:t>730</w:t>
            </w:r>
          </w:p>
        </w:tc>
        <w:tc>
          <w:tcPr>
            <w:tcW w:w="3542" w:type="dxa"/>
            <w:gridSpan w:val="4"/>
            <w:tcBorders>
              <w:left w:val="single" w:sz="8" w:space="0" w:color="000000"/>
            </w:tcBorders>
          </w:tcPr>
          <w:p w14:paraId="79A14388" w14:textId="77777777" w:rsidR="00AE2255" w:rsidRDefault="00000000">
            <w:pPr>
              <w:pStyle w:val="TableParagraph"/>
              <w:ind w:left="508"/>
              <w:jc w:val="left"/>
              <w:rPr>
                <w:sz w:val="20"/>
              </w:rPr>
            </w:pPr>
            <w:r>
              <w:rPr>
                <w:spacing w:val="-5"/>
                <w:sz w:val="20"/>
              </w:rPr>
              <w:t>701</w:t>
            </w:r>
          </w:p>
        </w:tc>
      </w:tr>
      <w:tr w:rsidR="00AE2255" w14:paraId="53E12DF5" w14:textId="77777777">
        <w:trPr>
          <w:trHeight w:val="285"/>
        </w:trPr>
        <w:tc>
          <w:tcPr>
            <w:tcW w:w="3072" w:type="dxa"/>
            <w:shd w:val="clear" w:color="auto" w:fill="CCEDFF"/>
          </w:tcPr>
          <w:p w14:paraId="73F8DED9" w14:textId="77777777" w:rsidR="00AE2255" w:rsidRDefault="00000000">
            <w:pPr>
              <w:pStyle w:val="TableParagraph"/>
              <w:spacing w:before="27"/>
              <w:ind w:left="52"/>
              <w:jc w:val="left"/>
              <w:rPr>
                <w:sz w:val="20"/>
              </w:rPr>
            </w:pPr>
            <w:r>
              <w:rPr>
                <w:sz w:val="20"/>
              </w:rPr>
              <w:t>Private</w:t>
            </w:r>
            <w:r>
              <w:rPr>
                <w:spacing w:val="-5"/>
                <w:sz w:val="20"/>
              </w:rPr>
              <w:t xml:space="preserve"> </w:t>
            </w:r>
            <w:r>
              <w:rPr>
                <w:sz w:val="20"/>
              </w:rPr>
              <w:t>equity</w:t>
            </w:r>
            <w:r>
              <w:rPr>
                <w:spacing w:val="-3"/>
                <w:sz w:val="20"/>
              </w:rPr>
              <w:t xml:space="preserve"> </w:t>
            </w:r>
            <w:r>
              <w:rPr>
                <w:spacing w:val="-2"/>
                <w:sz w:val="20"/>
              </w:rPr>
              <w:t>funds</w:t>
            </w:r>
          </w:p>
        </w:tc>
        <w:tc>
          <w:tcPr>
            <w:tcW w:w="3648" w:type="dxa"/>
            <w:tcBorders>
              <w:right w:val="single" w:sz="8" w:space="0" w:color="000000"/>
            </w:tcBorders>
            <w:shd w:val="clear" w:color="auto" w:fill="CCEDFF"/>
          </w:tcPr>
          <w:p w14:paraId="2D8A3081" w14:textId="77777777" w:rsidR="00AE2255" w:rsidRDefault="00000000">
            <w:pPr>
              <w:pStyle w:val="TableParagraph"/>
              <w:ind w:left="356"/>
              <w:jc w:val="left"/>
              <w:rPr>
                <w:b/>
                <w:sz w:val="20"/>
              </w:rPr>
            </w:pPr>
            <w:r>
              <w:rPr>
                <w:b/>
                <w:spacing w:val="-2"/>
                <w:sz w:val="20"/>
              </w:rPr>
              <w:t>4,703</w:t>
            </w:r>
          </w:p>
        </w:tc>
        <w:tc>
          <w:tcPr>
            <w:tcW w:w="3542" w:type="dxa"/>
            <w:gridSpan w:val="4"/>
            <w:tcBorders>
              <w:left w:val="single" w:sz="8" w:space="0" w:color="000000"/>
            </w:tcBorders>
            <w:shd w:val="clear" w:color="auto" w:fill="CCEDFF"/>
          </w:tcPr>
          <w:p w14:paraId="2973A081" w14:textId="77777777" w:rsidR="00AE2255" w:rsidRDefault="00000000">
            <w:pPr>
              <w:pStyle w:val="TableParagraph"/>
              <w:ind w:left="358"/>
              <w:jc w:val="left"/>
              <w:rPr>
                <w:sz w:val="20"/>
              </w:rPr>
            </w:pPr>
            <w:r>
              <w:rPr>
                <w:spacing w:val="-2"/>
                <w:sz w:val="20"/>
              </w:rPr>
              <w:t>5,386</w:t>
            </w:r>
          </w:p>
        </w:tc>
      </w:tr>
      <w:tr w:rsidR="00AE2255" w14:paraId="01E062E8" w14:textId="77777777">
        <w:trPr>
          <w:trHeight w:val="285"/>
        </w:trPr>
        <w:tc>
          <w:tcPr>
            <w:tcW w:w="3072" w:type="dxa"/>
          </w:tcPr>
          <w:p w14:paraId="00ACF995" w14:textId="77777777" w:rsidR="00AE2255" w:rsidRDefault="00000000">
            <w:pPr>
              <w:pStyle w:val="TableParagraph"/>
              <w:spacing w:before="27"/>
              <w:ind w:left="52"/>
              <w:jc w:val="left"/>
              <w:rPr>
                <w:sz w:val="20"/>
              </w:rPr>
            </w:pPr>
            <w:r>
              <w:rPr>
                <w:sz w:val="20"/>
              </w:rPr>
              <w:t>Real</w:t>
            </w:r>
            <w:r>
              <w:rPr>
                <w:spacing w:val="-5"/>
                <w:sz w:val="20"/>
              </w:rPr>
              <w:t xml:space="preserve"> </w:t>
            </w:r>
            <w:r>
              <w:rPr>
                <w:sz w:val="20"/>
              </w:rPr>
              <w:t>estate</w:t>
            </w:r>
            <w:r>
              <w:rPr>
                <w:spacing w:val="-5"/>
                <w:sz w:val="20"/>
              </w:rPr>
              <w:t xml:space="preserve"> </w:t>
            </w:r>
            <w:r>
              <w:rPr>
                <w:spacing w:val="-2"/>
                <w:sz w:val="20"/>
              </w:rPr>
              <w:t>funds</w:t>
            </w:r>
          </w:p>
        </w:tc>
        <w:tc>
          <w:tcPr>
            <w:tcW w:w="3648" w:type="dxa"/>
            <w:tcBorders>
              <w:right w:val="single" w:sz="8" w:space="0" w:color="000000"/>
            </w:tcBorders>
          </w:tcPr>
          <w:p w14:paraId="06EF79FC" w14:textId="77777777" w:rsidR="00AE2255" w:rsidRDefault="00000000">
            <w:pPr>
              <w:pStyle w:val="TableParagraph"/>
              <w:ind w:left="356"/>
              <w:jc w:val="left"/>
              <w:rPr>
                <w:b/>
                <w:sz w:val="20"/>
              </w:rPr>
            </w:pPr>
            <w:r>
              <w:rPr>
                <w:b/>
                <w:spacing w:val="-2"/>
                <w:sz w:val="20"/>
              </w:rPr>
              <w:t>3,383</w:t>
            </w:r>
          </w:p>
        </w:tc>
        <w:tc>
          <w:tcPr>
            <w:tcW w:w="3542" w:type="dxa"/>
            <w:gridSpan w:val="4"/>
            <w:tcBorders>
              <w:left w:val="single" w:sz="8" w:space="0" w:color="000000"/>
            </w:tcBorders>
          </w:tcPr>
          <w:p w14:paraId="2C277C82" w14:textId="77777777" w:rsidR="00AE2255" w:rsidRDefault="00000000">
            <w:pPr>
              <w:pStyle w:val="TableParagraph"/>
              <w:ind w:left="358"/>
              <w:jc w:val="left"/>
              <w:rPr>
                <w:sz w:val="20"/>
              </w:rPr>
            </w:pPr>
            <w:r>
              <w:rPr>
                <w:spacing w:val="-2"/>
                <w:sz w:val="20"/>
              </w:rPr>
              <w:t>3,059</w:t>
            </w:r>
          </w:p>
        </w:tc>
      </w:tr>
      <w:tr w:rsidR="00AE2255" w14:paraId="58087960" w14:textId="77777777">
        <w:trPr>
          <w:trHeight w:val="275"/>
        </w:trPr>
        <w:tc>
          <w:tcPr>
            <w:tcW w:w="3072" w:type="dxa"/>
            <w:tcBorders>
              <w:bottom w:val="single" w:sz="8" w:space="0" w:color="000000"/>
            </w:tcBorders>
            <w:shd w:val="clear" w:color="auto" w:fill="CCEDFF"/>
          </w:tcPr>
          <w:p w14:paraId="183F07AF" w14:textId="77777777" w:rsidR="00AE2255" w:rsidRDefault="00000000">
            <w:pPr>
              <w:pStyle w:val="TableParagraph"/>
              <w:spacing w:before="27" w:line="228" w:lineRule="exact"/>
              <w:ind w:left="52"/>
              <w:jc w:val="left"/>
              <w:rPr>
                <w:sz w:val="20"/>
              </w:rPr>
            </w:pPr>
            <w:r>
              <w:rPr>
                <w:sz w:val="20"/>
              </w:rPr>
              <w:t>Hedge</w:t>
            </w:r>
            <w:r>
              <w:rPr>
                <w:spacing w:val="-5"/>
                <w:sz w:val="20"/>
              </w:rPr>
              <w:t xml:space="preserve"> </w:t>
            </w:r>
            <w:r>
              <w:rPr>
                <w:spacing w:val="-2"/>
                <w:sz w:val="20"/>
              </w:rPr>
              <w:t>funds</w:t>
            </w:r>
          </w:p>
        </w:tc>
        <w:tc>
          <w:tcPr>
            <w:tcW w:w="3648" w:type="dxa"/>
            <w:tcBorders>
              <w:bottom w:val="single" w:sz="8" w:space="0" w:color="000000"/>
              <w:right w:val="single" w:sz="8" w:space="0" w:color="000000"/>
            </w:tcBorders>
            <w:shd w:val="clear" w:color="auto" w:fill="CCEDFF"/>
          </w:tcPr>
          <w:p w14:paraId="4516728C" w14:textId="77777777" w:rsidR="00AE2255" w:rsidRDefault="00000000">
            <w:pPr>
              <w:pStyle w:val="TableParagraph"/>
              <w:spacing w:line="230" w:lineRule="exact"/>
              <w:ind w:left="506"/>
              <w:jc w:val="left"/>
              <w:rPr>
                <w:b/>
                <w:sz w:val="20"/>
              </w:rPr>
            </w:pPr>
            <w:r>
              <w:rPr>
                <w:b/>
                <w:spacing w:val="-5"/>
                <w:sz w:val="20"/>
              </w:rPr>
              <w:t>689</w:t>
            </w:r>
          </w:p>
        </w:tc>
        <w:tc>
          <w:tcPr>
            <w:tcW w:w="3542" w:type="dxa"/>
            <w:gridSpan w:val="4"/>
            <w:tcBorders>
              <w:left w:val="single" w:sz="8" w:space="0" w:color="000000"/>
              <w:bottom w:val="single" w:sz="8" w:space="0" w:color="000000"/>
            </w:tcBorders>
            <w:shd w:val="clear" w:color="auto" w:fill="CCEDFF"/>
          </w:tcPr>
          <w:p w14:paraId="09352CE8" w14:textId="77777777" w:rsidR="00AE2255" w:rsidRDefault="00000000">
            <w:pPr>
              <w:pStyle w:val="TableParagraph"/>
              <w:spacing w:line="230" w:lineRule="exact"/>
              <w:ind w:left="508"/>
              <w:jc w:val="left"/>
              <w:rPr>
                <w:sz w:val="20"/>
              </w:rPr>
            </w:pPr>
            <w:r>
              <w:rPr>
                <w:spacing w:val="-5"/>
                <w:sz w:val="20"/>
              </w:rPr>
              <w:t>556</w:t>
            </w:r>
          </w:p>
        </w:tc>
      </w:tr>
      <w:tr w:rsidR="00AE2255" w14:paraId="602CF6C1" w14:textId="77777777">
        <w:trPr>
          <w:trHeight w:val="280"/>
        </w:trPr>
        <w:tc>
          <w:tcPr>
            <w:tcW w:w="3072" w:type="dxa"/>
            <w:tcBorders>
              <w:top w:val="single" w:sz="8" w:space="0" w:color="000000"/>
              <w:bottom w:val="single" w:sz="8" w:space="0" w:color="000000"/>
            </w:tcBorders>
          </w:tcPr>
          <w:p w14:paraId="58254173" w14:textId="77777777" w:rsidR="00AE2255" w:rsidRDefault="00000000">
            <w:pPr>
              <w:pStyle w:val="TableParagraph"/>
              <w:spacing w:before="17"/>
              <w:ind w:left="52"/>
              <w:jc w:val="left"/>
              <w:rPr>
                <w:sz w:val="20"/>
              </w:rPr>
            </w:pPr>
            <w:r>
              <w:rPr>
                <w:sz w:val="20"/>
              </w:rPr>
              <w:t>Total</w:t>
            </w:r>
            <w:r>
              <w:rPr>
                <w:spacing w:val="-5"/>
                <w:sz w:val="20"/>
              </w:rPr>
              <w:t xml:space="preserve"> </w:t>
            </w:r>
            <w:r>
              <w:rPr>
                <w:sz w:val="20"/>
              </w:rPr>
              <w:t>investments</w:t>
            </w:r>
            <w:r>
              <w:rPr>
                <w:spacing w:val="-5"/>
                <w:sz w:val="20"/>
              </w:rPr>
              <w:t xml:space="preserve"> </w:t>
            </w:r>
            <w:r>
              <w:rPr>
                <w:sz w:val="20"/>
              </w:rPr>
              <w:t>measured</w:t>
            </w:r>
            <w:r>
              <w:rPr>
                <w:spacing w:val="-5"/>
                <w:sz w:val="20"/>
              </w:rPr>
              <w:t xml:space="preserve"> </w:t>
            </w:r>
            <w:r>
              <w:rPr>
                <w:sz w:val="20"/>
              </w:rPr>
              <w:t>at</w:t>
            </w:r>
            <w:r>
              <w:rPr>
                <w:spacing w:val="-4"/>
                <w:sz w:val="20"/>
              </w:rPr>
              <w:t xml:space="preserve"> </w:t>
            </w:r>
            <w:r>
              <w:rPr>
                <w:spacing w:val="-5"/>
                <w:sz w:val="20"/>
              </w:rPr>
              <w:t>NAV</w:t>
            </w:r>
          </w:p>
        </w:tc>
        <w:tc>
          <w:tcPr>
            <w:tcW w:w="3648" w:type="dxa"/>
            <w:tcBorders>
              <w:top w:val="single" w:sz="8" w:space="0" w:color="000000"/>
              <w:bottom w:val="single" w:sz="8" w:space="0" w:color="000000"/>
              <w:right w:val="single" w:sz="8" w:space="0" w:color="000000"/>
            </w:tcBorders>
          </w:tcPr>
          <w:p w14:paraId="284CAFFF" w14:textId="77777777" w:rsidR="00AE2255" w:rsidRDefault="00000000">
            <w:pPr>
              <w:pStyle w:val="TableParagraph"/>
              <w:spacing w:before="30" w:line="230" w:lineRule="exact"/>
              <w:ind w:left="356"/>
              <w:jc w:val="left"/>
              <w:rPr>
                <w:b/>
                <w:sz w:val="20"/>
              </w:rPr>
            </w:pPr>
            <w:r>
              <w:rPr>
                <w:b/>
                <w:spacing w:val="-2"/>
                <w:sz w:val="20"/>
              </w:rPr>
              <w:t>9,505</w:t>
            </w:r>
          </w:p>
        </w:tc>
        <w:tc>
          <w:tcPr>
            <w:tcW w:w="3542" w:type="dxa"/>
            <w:gridSpan w:val="4"/>
            <w:tcBorders>
              <w:top w:val="single" w:sz="8" w:space="0" w:color="000000"/>
              <w:left w:val="single" w:sz="8" w:space="0" w:color="000000"/>
              <w:bottom w:val="single" w:sz="8" w:space="0" w:color="000000"/>
            </w:tcBorders>
          </w:tcPr>
          <w:p w14:paraId="21088D99" w14:textId="77777777" w:rsidR="00AE2255" w:rsidRDefault="00000000">
            <w:pPr>
              <w:pStyle w:val="TableParagraph"/>
              <w:spacing w:before="30" w:line="230" w:lineRule="exact"/>
              <w:ind w:left="358"/>
              <w:jc w:val="left"/>
              <w:rPr>
                <w:sz w:val="20"/>
              </w:rPr>
            </w:pPr>
            <w:r>
              <w:rPr>
                <w:spacing w:val="-2"/>
                <w:sz w:val="20"/>
              </w:rPr>
              <w:t>9,832</w:t>
            </w:r>
          </w:p>
        </w:tc>
      </w:tr>
      <w:tr w:rsidR="00AE2255" w14:paraId="4CB09458" w14:textId="77777777">
        <w:trPr>
          <w:trHeight w:val="265"/>
        </w:trPr>
        <w:tc>
          <w:tcPr>
            <w:tcW w:w="3072" w:type="dxa"/>
            <w:tcBorders>
              <w:top w:val="single" w:sz="8" w:space="0" w:color="000000"/>
              <w:bottom w:val="single" w:sz="8" w:space="0" w:color="000000"/>
            </w:tcBorders>
            <w:shd w:val="clear" w:color="auto" w:fill="CCEDFF"/>
          </w:tcPr>
          <w:p w14:paraId="38033197" w14:textId="77777777" w:rsidR="00AE2255" w:rsidRDefault="00000000">
            <w:pPr>
              <w:pStyle w:val="TableParagraph"/>
              <w:spacing w:before="17" w:line="228" w:lineRule="exact"/>
              <w:ind w:left="52"/>
              <w:jc w:val="left"/>
              <w:rPr>
                <w:sz w:val="20"/>
              </w:rPr>
            </w:pPr>
            <w:r>
              <w:rPr>
                <w:sz w:val="20"/>
              </w:rPr>
              <w:t>Loan,</w:t>
            </w:r>
            <w:r>
              <w:rPr>
                <w:spacing w:val="-2"/>
                <w:sz w:val="20"/>
              </w:rPr>
              <w:t xml:space="preserve"> </w:t>
            </w:r>
            <w:r>
              <w:rPr>
                <w:sz w:val="20"/>
              </w:rPr>
              <w:t>net</w:t>
            </w:r>
            <w:r>
              <w:rPr>
                <w:spacing w:val="-2"/>
                <w:sz w:val="20"/>
              </w:rPr>
              <w:t xml:space="preserve"> </w:t>
            </w:r>
            <w:r>
              <w:rPr>
                <w:spacing w:val="-5"/>
                <w:sz w:val="20"/>
                <w:vertAlign w:val="superscript"/>
              </w:rPr>
              <w:t>(c)</w:t>
            </w:r>
          </w:p>
        </w:tc>
        <w:tc>
          <w:tcPr>
            <w:tcW w:w="3648" w:type="dxa"/>
            <w:tcBorders>
              <w:top w:val="single" w:sz="8" w:space="0" w:color="000000"/>
              <w:bottom w:val="single" w:sz="8" w:space="0" w:color="000000"/>
              <w:right w:val="single" w:sz="8" w:space="0" w:color="000000"/>
            </w:tcBorders>
            <w:shd w:val="clear" w:color="auto" w:fill="CCEDFF"/>
          </w:tcPr>
          <w:p w14:paraId="6D9241C6" w14:textId="77777777" w:rsidR="00AE2255" w:rsidRDefault="00000000">
            <w:pPr>
              <w:pStyle w:val="TableParagraph"/>
              <w:spacing w:before="15" w:line="230" w:lineRule="exact"/>
              <w:ind w:left="439"/>
              <w:jc w:val="left"/>
              <w:rPr>
                <w:b/>
                <w:sz w:val="20"/>
              </w:rPr>
            </w:pPr>
            <w:r>
              <w:rPr>
                <w:b/>
                <w:spacing w:val="-2"/>
                <w:sz w:val="20"/>
              </w:rPr>
              <w:t>(497)</w:t>
            </w:r>
          </w:p>
        </w:tc>
        <w:tc>
          <w:tcPr>
            <w:tcW w:w="3542" w:type="dxa"/>
            <w:gridSpan w:val="4"/>
            <w:tcBorders>
              <w:top w:val="single" w:sz="8" w:space="0" w:color="000000"/>
              <w:left w:val="single" w:sz="8" w:space="0" w:color="000000"/>
              <w:bottom w:val="single" w:sz="8" w:space="0" w:color="000000"/>
            </w:tcBorders>
            <w:shd w:val="clear" w:color="auto" w:fill="CCEDFF"/>
          </w:tcPr>
          <w:p w14:paraId="1EF2338E" w14:textId="77777777" w:rsidR="00AE2255" w:rsidRDefault="00000000">
            <w:pPr>
              <w:pStyle w:val="TableParagraph"/>
              <w:spacing w:before="15" w:line="230" w:lineRule="exact"/>
              <w:ind w:left="608"/>
              <w:jc w:val="left"/>
              <w:rPr>
                <w:sz w:val="20"/>
              </w:rPr>
            </w:pPr>
            <w:r>
              <w:rPr>
                <w:sz w:val="20"/>
              </w:rPr>
              <w:t>—</w:t>
            </w:r>
          </w:p>
        </w:tc>
      </w:tr>
      <w:tr w:rsidR="00AE2255" w14:paraId="5C1033CB" w14:textId="77777777">
        <w:trPr>
          <w:trHeight w:val="265"/>
        </w:trPr>
        <w:tc>
          <w:tcPr>
            <w:tcW w:w="3072" w:type="dxa"/>
            <w:tcBorders>
              <w:top w:val="single" w:sz="8" w:space="0" w:color="000000"/>
              <w:bottom w:val="single" w:sz="8" w:space="0" w:color="000000"/>
            </w:tcBorders>
          </w:tcPr>
          <w:p w14:paraId="2D37D1EE" w14:textId="77777777" w:rsidR="00AE2255" w:rsidRDefault="00000000">
            <w:pPr>
              <w:pStyle w:val="TableParagraph"/>
              <w:spacing w:before="17" w:line="228" w:lineRule="exact"/>
              <w:ind w:left="52"/>
              <w:jc w:val="left"/>
              <w:rPr>
                <w:sz w:val="20"/>
              </w:rPr>
            </w:pPr>
            <w:r>
              <w:rPr>
                <w:sz w:val="20"/>
              </w:rPr>
              <w:t>(Payables)</w:t>
            </w:r>
            <w:r>
              <w:rPr>
                <w:spacing w:val="-8"/>
                <w:sz w:val="20"/>
              </w:rPr>
              <w:t xml:space="preserve"> </w:t>
            </w:r>
            <w:r>
              <w:rPr>
                <w:sz w:val="20"/>
              </w:rPr>
              <w:t>Receivables,</w:t>
            </w:r>
            <w:r>
              <w:rPr>
                <w:spacing w:val="-7"/>
                <w:sz w:val="20"/>
              </w:rPr>
              <w:t xml:space="preserve"> </w:t>
            </w:r>
            <w:r>
              <w:rPr>
                <w:spacing w:val="-5"/>
                <w:sz w:val="20"/>
              </w:rPr>
              <w:t>net</w:t>
            </w:r>
          </w:p>
        </w:tc>
        <w:tc>
          <w:tcPr>
            <w:tcW w:w="3648" w:type="dxa"/>
            <w:tcBorders>
              <w:top w:val="single" w:sz="8" w:space="0" w:color="000000"/>
              <w:bottom w:val="single" w:sz="8" w:space="0" w:color="000000"/>
              <w:right w:val="single" w:sz="8" w:space="0" w:color="000000"/>
            </w:tcBorders>
          </w:tcPr>
          <w:p w14:paraId="517D68C2" w14:textId="77777777" w:rsidR="00AE2255" w:rsidRDefault="00000000">
            <w:pPr>
              <w:pStyle w:val="TableParagraph"/>
              <w:spacing w:before="15" w:line="230" w:lineRule="exact"/>
              <w:ind w:left="539"/>
              <w:jc w:val="left"/>
              <w:rPr>
                <w:b/>
                <w:sz w:val="20"/>
              </w:rPr>
            </w:pPr>
            <w:r>
              <w:rPr>
                <w:b/>
                <w:spacing w:val="-4"/>
                <w:sz w:val="20"/>
              </w:rPr>
              <w:t>(92)</w:t>
            </w:r>
          </w:p>
        </w:tc>
        <w:tc>
          <w:tcPr>
            <w:tcW w:w="3542" w:type="dxa"/>
            <w:gridSpan w:val="4"/>
            <w:tcBorders>
              <w:top w:val="single" w:sz="8" w:space="0" w:color="000000"/>
              <w:left w:val="single" w:sz="8" w:space="0" w:color="000000"/>
              <w:bottom w:val="single" w:sz="8" w:space="0" w:color="000000"/>
            </w:tcBorders>
          </w:tcPr>
          <w:p w14:paraId="5328B763" w14:textId="77777777" w:rsidR="00AE2255" w:rsidRDefault="00000000">
            <w:pPr>
              <w:pStyle w:val="TableParagraph"/>
              <w:spacing w:before="15" w:line="230" w:lineRule="exact"/>
              <w:ind w:left="608"/>
              <w:jc w:val="left"/>
              <w:rPr>
                <w:sz w:val="20"/>
              </w:rPr>
            </w:pPr>
            <w:r>
              <w:rPr>
                <w:spacing w:val="-5"/>
                <w:sz w:val="20"/>
              </w:rPr>
              <w:t>83</w:t>
            </w:r>
          </w:p>
        </w:tc>
      </w:tr>
      <w:tr w:rsidR="00AE2255" w14:paraId="76E7F706" w14:textId="77777777">
        <w:trPr>
          <w:trHeight w:val="252"/>
        </w:trPr>
        <w:tc>
          <w:tcPr>
            <w:tcW w:w="3072" w:type="dxa"/>
            <w:tcBorders>
              <w:top w:val="single" w:sz="8" w:space="0" w:color="000000"/>
              <w:bottom w:val="single" w:sz="18" w:space="0" w:color="000000"/>
            </w:tcBorders>
            <w:shd w:val="clear" w:color="auto" w:fill="CCEDFF"/>
          </w:tcPr>
          <w:p w14:paraId="749FE2FC" w14:textId="77777777" w:rsidR="00AE2255" w:rsidRDefault="00000000">
            <w:pPr>
              <w:pStyle w:val="TableParagraph"/>
              <w:spacing w:before="17" w:line="216" w:lineRule="exact"/>
              <w:ind w:left="52"/>
              <w:jc w:val="left"/>
              <w:rPr>
                <w:sz w:val="20"/>
              </w:rPr>
            </w:pPr>
            <w:r>
              <w:rPr>
                <w:spacing w:val="-2"/>
                <w:sz w:val="20"/>
              </w:rPr>
              <w:t>Total</w:t>
            </w:r>
          </w:p>
        </w:tc>
        <w:tc>
          <w:tcPr>
            <w:tcW w:w="3648" w:type="dxa"/>
            <w:tcBorders>
              <w:top w:val="single" w:sz="8" w:space="0" w:color="000000"/>
              <w:bottom w:val="single" w:sz="18" w:space="0" w:color="000000"/>
              <w:right w:val="single" w:sz="8" w:space="0" w:color="000000"/>
            </w:tcBorders>
            <w:shd w:val="clear" w:color="auto" w:fill="CCEDFF"/>
          </w:tcPr>
          <w:p w14:paraId="34D3E17F" w14:textId="77777777" w:rsidR="00AE2255" w:rsidRDefault="00000000">
            <w:pPr>
              <w:pStyle w:val="TableParagraph"/>
              <w:spacing w:before="15" w:line="217" w:lineRule="exact"/>
              <w:ind w:left="100"/>
              <w:jc w:val="left"/>
              <w:rPr>
                <w:b/>
                <w:sz w:val="20"/>
              </w:rPr>
            </w:pPr>
            <w:r>
              <w:rPr>
                <w:b/>
                <w:sz w:val="20"/>
              </w:rPr>
              <w:t>$</w:t>
            </w:r>
            <w:r>
              <w:rPr>
                <w:b/>
                <w:spacing w:val="5"/>
                <w:sz w:val="20"/>
              </w:rPr>
              <w:t xml:space="preserve"> </w:t>
            </w:r>
            <w:r>
              <w:rPr>
                <w:b/>
                <w:spacing w:val="-2"/>
                <w:sz w:val="20"/>
              </w:rPr>
              <w:t>24,884</w:t>
            </w:r>
          </w:p>
        </w:tc>
        <w:tc>
          <w:tcPr>
            <w:tcW w:w="3542" w:type="dxa"/>
            <w:gridSpan w:val="4"/>
            <w:tcBorders>
              <w:top w:val="single" w:sz="8" w:space="0" w:color="000000"/>
              <w:left w:val="single" w:sz="8" w:space="0" w:color="000000"/>
              <w:bottom w:val="single" w:sz="18" w:space="0" w:color="000000"/>
            </w:tcBorders>
            <w:shd w:val="clear" w:color="auto" w:fill="CCEDFF"/>
          </w:tcPr>
          <w:p w14:paraId="3F7E9A08" w14:textId="77777777" w:rsidR="00AE2255" w:rsidRDefault="00000000">
            <w:pPr>
              <w:pStyle w:val="TableParagraph"/>
              <w:spacing w:before="15" w:line="217" w:lineRule="exact"/>
              <w:ind w:left="102"/>
              <w:jc w:val="left"/>
              <w:rPr>
                <w:sz w:val="20"/>
              </w:rPr>
            </w:pPr>
            <w:r>
              <w:rPr>
                <w:sz w:val="20"/>
              </w:rPr>
              <w:t>$</w:t>
            </w:r>
            <w:r>
              <w:rPr>
                <w:spacing w:val="5"/>
                <w:sz w:val="20"/>
              </w:rPr>
              <w:t xml:space="preserve"> </w:t>
            </w:r>
            <w:r>
              <w:rPr>
                <w:spacing w:val="-2"/>
                <w:sz w:val="20"/>
              </w:rPr>
              <w:t>37,361</w:t>
            </w:r>
          </w:p>
        </w:tc>
      </w:tr>
    </w:tbl>
    <w:p w14:paraId="3BFCA461" w14:textId="77777777" w:rsidR="00AE2255" w:rsidRDefault="00000000">
      <w:pPr>
        <w:spacing w:before="174" w:line="249" w:lineRule="auto"/>
        <w:ind w:left="970" w:right="423" w:hanging="360"/>
        <w:jc w:val="both"/>
        <w:rPr>
          <w:sz w:val="18"/>
        </w:rPr>
      </w:pPr>
      <w:r>
        <w:rPr>
          <w:sz w:val="18"/>
          <w:vertAlign w:val="superscript"/>
        </w:rPr>
        <w:t>(a)</w:t>
      </w:r>
      <w:r>
        <w:rPr>
          <w:spacing w:val="40"/>
          <w:sz w:val="18"/>
        </w:rPr>
        <w:t xml:space="preserve">  </w:t>
      </w:r>
      <w:r>
        <w:rPr>
          <w:sz w:val="18"/>
        </w:rPr>
        <w:t>Cash and cash equivalents, equity securities and fixed income securities included derivative assets and liabilities with fair values that</w:t>
      </w:r>
      <w:r>
        <w:rPr>
          <w:spacing w:val="40"/>
          <w:sz w:val="18"/>
        </w:rPr>
        <w:t xml:space="preserve"> </w:t>
      </w:r>
      <w:r>
        <w:rPr>
          <w:sz w:val="18"/>
        </w:rPr>
        <w:t xml:space="preserve">were not material as of December 31, </w:t>
      </w:r>
      <w:proofErr w:type="gramStart"/>
      <w:r>
        <w:rPr>
          <w:sz w:val="18"/>
        </w:rPr>
        <w:t>2022</w:t>
      </w:r>
      <w:proofErr w:type="gramEnd"/>
      <w:r>
        <w:rPr>
          <w:sz w:val="18"/>
        </w:rPr>
        <w:t xml:space="preserve"> and 2021. </w:t>
      </w:r>
      <w:proofErr w:type="spellStart"/>
      <w:r>
        <w:rPr>
          <w:sz w:val="18"/>
        </w:rPr>
        <w:t>LMIMCo’s</w:t>
      </w:r>
      <w:proofErr w:type="spellEnd"/>
      <w:r>
        <w:rPr>
          <w:sz w:val="18"/>
        </w:rPr>
        <w:t xml:space="preserve"> investment policies restrict the use of derivatives to either establish long or short exposures for purposes consistent with applicable investment mandate guidelines or to hedge risks to the extent of a plan’s current exposure to such risks. Most derivative transactions are settled </w:t>
      </w:r>
      <w:proofErr w:type="gramStart"/>
      <w:r>
        <w:rPr>
          <w:sz w:val="18"/>
        </w:rPr>
        <w:t>on a daily basis</w:t>
      </w:r>
      <w:proofErr w:type="gramEnd"/>
      <w:r>
        <w:rPr>
          <w:sz w:val="18"/>
        </w:rPr>
        <w:t>.</w:t>
      </w:r>
    </w:p>
    <w:p w14:paraId="663AF92C" w14:textId="77777777" w:rsidR="00AE2255" w:rsidRDefault="00000000">
      <w:pPr>
        <w:spacing w:before="3"/>
        <w:ind w:left="610"/>
        <w:jc w:val="both"/>
        <w:rPr>
          <w:sz w:val="18"/>
        </w:rPr>
      </w:pPr>
      <w:r>
        <w:rPr>
          <w:sz w:val="18"/>
          <w:vertAlign w:val="superscript"/>
        </w:rPr>
        <w:t>(b)</w:t>
      </w:r>
      <w:r>
        <w:rPr>
          <w:spacing w:val="66"/>
          <w:sz w:val="18"/>
        </w:rPr>
        <w:t xml:space="preserve">  </w:t>
      </w:r>
      <w:r>
        <w:rPr>
          <w:sz w:val="18"/>
        </w:rPr>
        <w:t>Level</w:t>
      </w:r>
      <w:r>
        <w:rPr>
          <w:spacing w:val="1"/>
          <w:sz w:val="18"/>
        </w:rPr>
        <w:t xml:space="preserve"> </w:t>
      </w:r>
      <w:r>
        <w:rPr>
          <w:sz w:val="18"/>
        </w:rPr>
        <w:t>3 investments</w:t>
      </w:r>
      <w:r>
        <w:rPr>
          <w:spacing w:val="-1"/>
          <w:sz w:val="18"/>
        </w:rPr>
        <w:t xml:space="preserve"> </w:t>
      </w:r>
      <w:r>
        <w:rPr>
          <w:sz w:val="18"/>
        </w:rPr>
        <w:t>include</w:t>
      </w:r>
      <w:r>
        <w:rPr>
          <w:spacing w:val="-2"/>
          <w:sz w:val="18"/>
        </w:rPr>
        <w:t xml:space="preserve"> </w:t>
      </w:r>
      <w:r>
        <w:rPr>
          <w:sz w:val="18"/>
        </w:rPr>
        <w:t>$1.1 billion</w:t>
      </w:r>
      <w:r>
        <w:rPr>
          <w:spacing w:val="-1"/>
          <w:sz w:val="18"/>
        </w:rPr>
        <w:t xml:space="preserve"> </w:t>
      </w:r>
      <w:proofErr w:type="gramStart"/>
      <w:r>
        <w:rPr>
          <w:sz w:val="18"/>
        </w:rPr>
        <w:t>at</w:t>
      </w:r>
      <w:proofErr w:type="gramEnd"/>
      <w:r>
        <w:rPr>
          <w:spacing w:val="-1"/>
          <w:sz w:val="18"/>
        </w:rPr>
        <w:t xml:space="preserve"> </w:t>
      </w:r>
      <w:r>
        <w:rPr>
          <w:sz w:val="18"/>
        </w:rPr>
        <w:t>December 31, 2022</w:t>
      </w:r>
      <w:r>
        <w:rPr>
          <w:spacing w:val="-1"/>
          <w:sz w:val="18"/>
        </w:rPr>
        <w:t xml:space="preserve"> </w:t>
      </w:r>
      <w:r>
        <w:rPr>
          <w:sz w:val="18"/>
        </w:rPr>
        <w:t>and</w:t>
      </w:r>
      <w:r>
        <w:rPr>
          <w:spacing w:val="-1"/>
          <w:sz w:val="18"/>
        </w:rPr>
        <w:t xml:space="preserve"> </w:t>
      </w:r>
      <w:r>
        <w:rPr>
          <w:sz w:val="18"/>
        </w:rPr>
        <w:t>$1.5 billion</w:t>
      </w:r>
      <w:r>
        <w:rPr>
          <w:spacing w:val="-1"/>
          <w:sz w:val="18"/>
        </w:rPr>
        <w:t xml:space="preserve"> </w:t>
      </w:r>
      <w:r>
        <w:rPr>
          <w:sz w:val="18"/>
        </w:rPr>
        <w:t>at</w:t>
      </w:r>
      <w:r>
        <w:rPr>
          <w:spacing w:val="-1"/>
          <w:sz w:val="18"/>
        </w:rPr>
        <w:t xml:space="preserve"> </w:t>
      </w:r>
      <w:r>
        <w:rPr>
          <w:sz w:val="18"/>
        </w:rPr>
        <w:t>December 31,</w:t>
      </w:r>
      <w:r>
        <w:rPr>
          <w:spacing w:val="1"/>
          <w:sz w:val="18"/>
        </w:rPr>
        <w:t xml:space="preserve"> </w:t>
      </w:r>
      <w:r>
        <w:rPr>
          <w:sz w:val="18"/>
        </w:rPr>
        <w:t>2021</w:t>
      </w:r>
      <w:r>
        <w:rPr>
          <w:spacing w:val="-1"/>
          <w:sz w:val="18"/>
        </w:rPr>
        <w:t xml:space="preserve"> </w:t>
      </w:r>
      <w:r>
        <w:rPr>
          <w:sz w:val="18"/>
        </w:rPr>
        <w:t xml:space="preserve">related to buy-in </w:t>
      </w:r>
      <w:r>
        <w:rPr>
          <w:spacing w:val="-2"/>
          <w:sz w:val="18"/>
        </w:rPr>
        <w:t>contracts.</w:t>
      </w:r>
    </w:p>
    <w:p w14:paraId="7F760850" w14:textId="77777777" w:rsidR="00AE2255" w:rsidRDefault="00000000">
      <w:pPr>
        <w:spacing w:before="9" w:line="249" w:lineRule="auto"/>
        <w:ind w:left="970" w:right="423" w:hanging="360"/>
        <w:jc w:val="both"/>
        <w:rPr>
          <w:sz w:val="18"/>
        </w:rPr>
      </w:pPr>
      <w:r>
        <w:rPr>
          <w:sz w:val="18"/>
          <w:vertAlign w:val="superscript"/>
        </w:rPr>
        <w:t>(c)</w:t>
      </w:r>
      <w:r>
        <w:rPr>
          <w:spacing w:val="66"/>
          <w:sz w:val="18"/>
        </w:rPr>
        <w:t xml:space="preserve">  </w:t>
      </w:r>
      <w:r>
        <w:rPr>
          <w:sz w:val="18"/>
        </w:rPr>
        <w:t xml:space="preserve">The Lockheed Martin Corporation Master Retirement Trust (MRT) obtained a loan from a </w:t>
      </w:r>
      <w:proofErr w:type="gramStart"/>
      <w:r>
        <w:rPr>
          <w:sz w:val="18"/>
        </w:rPr>
        <w:t>third party</w:t>
      </w:r>
      <w:proofErr w:type="gramEnd"/>
      <w:r>
        <w:rPr>
          <w:sz w:val="18"/>
        </w:rPr>
        <w:t xml:space="preserve"> financial institution, collateralized by private equity investments, to invest in fixed income securities.</w:t>
      </w:r>
    </w:p>
    <w:p w14:paraId="6E29E483" w14:textId="77777777" w:rsidR="00AE2255" w:rsidRDefault="00AE2255">
      <w:pPr>
        <w:pStyle w:val="BodyText"/>
        <w:spacing w:before="6"/>
        <w:rPr>
          <w:sz w:val="18"/>
        </w:rPr>
      </w:pPr>
    </w:p>
    <w:p w14:paraId="583074BE" w14:textId="77777777" w:rsidR="00AE2255" w:rsidRDefault="00000000">
      <w:pPr>
        <w:pStyle w:val="BodyText"/>
        <w:ind w:left="970"/>
      </w:pPr>
      <w:r>
        <w:t>Changes</w:t>
      </w:r>
      <w:r>
        <w:rPr>
          <w:spacing w:val="-5"/>
        </w:rPr>
        <w:t xml:space="preserve"> </w:t>
      </w:r>
      <w:r>
        <w:t>in</w:t>
      </w:r>
      <w:r>
        <w:rPr>
          <w:spacing w:val="-2"/>
        </w:rPr>
        <w:t xml:space="preserve"> </w:t>
      </w:r>
      <w:r>
        <w:t>the</w:t>
      </w:r>
      <w:r>
        <w:rPr>
          <w:spacing w:val="-3"/>
        </w:rPr>
        <w:t xml:space="preserve"> </w:t>
      </w:r>
      <w:r>
        <w:t>fair</w:t>
      </w:r>
      <w:r>
        <w:rPr>
          <w:spacing w:val="-1"/>
        </w:rPr>
        <w:t xml:space="preserve"> </w:t>
      </w:r>
      <w:r>
        <w:t>value</w:t>
      </w:r>
      <w:r>
        <w:rPr>
          <w:spacing w:val="-3"/>
        </w:rPr>
        <w:t xml:space="preserve"> </w:t>
      </w:r>
      <w:r>
        <w:t>of</w:t>
      </w:r>
      <w:r>
        <w:rPr>
          <w:spacing w:val="-2"/>
        </w:rPr>
        <w:t xml:space="preserve"> </w:t>
      </w:r>
      <w:r>
        <w:t>plan</w:t>
      </w:r>
      <w:r>
        <w:rPr>
          <w:spacing w:val="-2"/>
        </w:rPr>
        <w:t xml:space="preserve"> </w:t>
      </w:r>
      <w:r>
        <w:t>assets</w:t>
      </w:r>
      <w:r>
        <w:rPr>
          <w:spacing w:val="-2"/>
        </w:rPr>
        <w:t xml:space="preserve"> </w:t>
      </w:r>
      <w:r>
        <w:t>categorized</w:t>
      </w:r>
      <w:r>
        <w:rPr>
          <w:spacing w:val="-2"/>
        </w:rPr>
        <w:t xml:space="preserve"> </w:t>
      </w:r>
      <w:r>
        <w:t>as</w:t>
      </w:r>
      <w:r>
        <w:rPr>
          <w:spacing w:val="-3"/>
        </w:rPr>
        <w:t xml:space="preserve"> </w:t>
      </w:r>
      <w:r>
        <w:t>Level</w:t>
      </w:r>
      <w:r>
        <w:rPr>
          <w:spacing w:val="-2"/>
        </w:rPr>
        <w:t xml:space="preserve"> </w:t>
      </w:r>
      <w:r>
        <w:t>3</w:t>
      </w:r>
      <w:r>
        <w:rPr>
          <w:spacing w:val="-2"/>
        </w:rPr>
        <w:t xml:space="preserve"> </w:t>
      </w:r>
      <w:r>
        <w:t>during</w:t>
      </w:r>
      <w:r>
        <w:rPr>
          <w:spacing w:val="-2"/>
        </w:rPr>
        <w:t xml:space="preserve"> </w:t>
      </w:r>
      <w:r>
        <w:t>2022</w:t>
      </w:r>
      <w:r>
        <w:rPr>
          <w:spacing w:val="-2"/>
        </w:rPr>
        <w:t xml:space="preserve"> </w:t>
      </w:r>
      <w:r>
        <w:t>and</w:t>
      </w:r>
      <w:r>
        <w:rPr>
          <w:spacing w:val="-1"/>
        </w:rPr>
        <w:t xml:space="preserve"> </w:t>
      </w:r>
      <w:r>
        <w:t>2021</w:t>
      </w:r>
      <w:r>
        <w:rPr>
          <w:spacing w:val="-2"/>
        </w:rPr>
        <w:t xml:space="preserve"> </w:t>
      </w:r>
      <w:r>
        <w:t>were</w:t>
      </w:r>
      <w:r>
        <w:rPr>
          <w:spacing w:val="-3"/>
        </w:rPr>
        <w:t xml:space="preserve"> </w:t>
      </w:r>
      <w:r>
        <w:t>not</w:t>
      </w:r>
      <w:r>
        <w:rPr>
          <w:spacing w:val="-2"/>
        </w:rPr>
        <w:t xml:space="preserve"> significant.</w:t>
      </w:r>
    </w:p>
    <w:p w14:paraId="55FB804D" w14:textId="77777777" w:rsidR="00AE2255" w:rsidRDefault="00AE2255">
      <w:pPr>
        <w:pStyle w:val="BodyText"/>
        <w:spacing w:before="3"/>
        <w:rPr>
          <w:sz w:val="18"/>
        </w:rPr>
      </w:pPr>
    </w:p>
    <w:p w14:paraId="2C75FDAA" w14:textId="77777777" w:rsidR="00AE2255" w:rsidRDefault="00000000">
      <w:pPr>
        <w:pStyle w:val="BodyText"/>
        <w:spacing w:line="249" w:lineRule="auto"/>
        <w:ind w:left="610" w:right="429" w:firstLine="360"/>
        <w:jc w:val="both"/>
      </w:pPr>
      <w:r>
        <w:t>Cash equivalents are mostly comprised of short-term money-market instruments and are valued at cost, which</w:t>
      </w:r>
      <w:r>
        <w:rPr>
          <w:spacing w:val="40"/>
        </w:rPr>
        <w:t xml:space="preserve"> </w:t>
      </w:r>
      <w:r>
        <w:t>approximates fair value.</w:t>
      </w:r>
    </w:p>
    <w:p w14:paraId="4591279E" w14:textId="77777777" w:rsidR="00AE2255" w:rsidRDefault="00AE2255">
      <w:pPr>
        <w:pStyle w:val="BodyText"/>
        <w:spacing w:before="6"/>
        <w:rPr>
          <w:sz w:val="17"/>
        </w:rPr>
      </w:pPr>
    </w:p>
    <w:p w14:paraId="6CA9AF76" w14:textId="77777777" w:rsidR="00AE2255" w:rsidRDefault="00000000">
      <w:pPr>
        <w:pStyle w:val="BodyText"/>
        <w:spacing w:line="249" w:lineRule="auto"/>
        <w:ind w:left="610" w:right="428" w:firstLine="360"/>
        <w:jc w:val="both"/>
      </w:pPr>
      <w:r>
        <w:t xml:space="preserve">U.S. equity securities and international equity securities categorized as Level 1 are traded on active national and international exchanges and are valued at their closing prices on the last trading day of the year. For U.S. equity securities and international equity securities not traded on an active exchange, or if the closing price is not available, the trustee obtains indicative quotes from a pricing vendor, </w:t>
      </w:r>
      <w:proofErr w:type="gramStart"/>
      <w:r>
        <w:t>broker</w:t>
      </w:r>
      <w:proofErr w:type="gramEnd"/>
      <w:r>
        <w:t xml:space="preserve"> or investment manager. These securities are categorized as Level 2 if the custodian obtains corroborated quotes from a pricing vendor or categorized as Level 3 if the custodian obtains uncorroborated quotes from a broker or investment manager.</w:t>
      </w:r>
    </w:p>
    <w:p w14:paraId="44BD449E" w14:textId="77777777" w:rsidR="00AE2255" w:rsidRDefault="00AE2255">
      <w:pPr>
        <w:spacing w:line="249" w:lineRule="auto"/>
        <w:jc w:val="both"/>
        <w:sectPr w:rsidR="00AE2255">
          <w:pgSz w:w="12240" w:h="15840"/>
          <w:pgMar w:top="440" w:right="560" w:bottom="720" w:left="380" w:header="230" w:footer="531" w:gutter="0"/>
          <w:cols w:space="720"/>
        </w:sectPr>
      </w:pPr>
    </w:p>
    <w:p w14:paraId="2BFE39E4" w14:textId="77777777" w:rsidR="00AE2255" w:rsidRDefault="00AE2255">
      <w:pPr>
        <w:pStyle w:val="BodyText"/>
        <w:spacing w:before="10"/>
        <w:rPr>
          <w:sz w:val="22"/>
        </w:rPr>
      </w:pPr>
    </w:p>
    <w:p w14:paraId="52FFA729" w14:textId="77777777" w:rsidR="00AE2255" w:rsidRDefault="00000000">
      <w:pPr>
        <w:pStyle w:val="BodyText"/>
        <w:spacing w:before="92" w:line="249" w:lineRule="auto"/>
        <w:ind w:left="610" w:right="429" w:firstLine="360"/>
        <w:jc w:val="both"/>
      </w:pPr>
      <w:r>
        <w:t>Commingled equity funds categorized as Level 1 are traded on active national and international exchanges and are valued</w:t>
      </w:r>
      <w:r>
        <w:rPr>
          <w:spacing w:val="40"/>
        </w:rPr>
        <w:t xml:space="preserve"> </w:t>
      </w:r>
      <w:r>
        <w:t xml:space="preserve">at their closing prices on the last trading day of the year. For commingled equity funds not traded on an active exchange, or if the closing price is not available, the trustee obtains indicative quotes from a pricing vendor, </w:t>
      </w:r>
      <w:proofErr w:type="gramStart"/>
      <w:r>
        <w:t>broker</w:t>
      </w:r>
      <w:proofErr w:type="gramEnd"/>
      <w:r>
        <w:t xml:space="preserve"> or investment manager. These securities are categorized as Level 2 if the custodian obtains corroborated quotes from a pricing vendor.</w:t>
      </w:r>
    </w:p>
    <w:p w14:paraId="34BCA6BD" w14:textId="77777777" w:rsidR="00AE2255" w:rsidRDefault="00AE2255">
      <w:pPr>
        <w:pStyle w:val="BodyText"/>
        <w:spacing w:before="7"/>
        <w:rPr>
          <w:sz w:val="17"/>
        </w:rPr>
      </w:pPr>
    </w:p>
    <w:p w14:paraId="44556824" w14:textId="77777777" w:rsidR="00AE2255" w:rsidRDefault="00000000">
      <w:pPr>
        <w:pStyle w:val="BodyText"/>
        <w:spacing w:before="1" w:line="249" w:lineRule="auto"/>
        <w:ind w:left="610" w:right="430" w:firstLine="360"/>
        <w:jc w:val="both"/>
      </w:pPr>
      <w:r>
        <w:t xml:space="preserve">Fixed income investments categorized as Level 1 are publicly exchange-traded. Fixed income investments, including interest rate swaps, categorized as Level 2 are valued by the trustee using pricing models that use verifiable observable market data (e.g., interest rates and yield curves observable at commonly quoted intervals and credit spreads), bids provided by brokers or dealers or quoted prices of securities with similar characteristics. Fixed income investments are categorized as Level 3 when valuations using observable inputs are unavailable. The trustee typically obtains pricing based on indicative quotes or bid evaluations from vendors, </w:t>
      </w:r>
      <w:proofErr w:type="gramStart"/>
      <w:r>
        <w:t>brokers</w:t>
      </w:r>
      <w:proofErr w:type="gramEnd"/>
      <w:r>
        <w:t xml:space="preserve"> or the investment manager. In addition, certain other fixed income investments categorized</w:t>
      </w:r>
      <w:r>
        <w:rPr>
          <w:spacing w:val="40"/>
        </w:rPr>
        <w:t xml:space="preserve"> </w:t>
      </w:r>
      <w:r>
        <w:t>as Level 3 are valued using a discounted cash flow approach. Significant inputs include projected annuity payments and the discount rate applied to those payments.</w:t>
      </w:r>
    </w:p>
    <w:p w14:paraId="1B8911DC" w14:textId="77777777" w:rsidR="00AE2255" w:rsidRDefault="00AE2255">
      <w:pPr>
        <w:pStyle w:val="BodyText"/>
        <w:spacing w:before="10"/>
        <w:rPr>
          <w:sz w:val="17"/>
        </w:rPr>
      </w:pPr>
    </w:p>
    <w:p w14:paraId="747EE429" w14:textId="77777777" w:rsidR="00AE2255" w:rsidRDefault="00000000">
      <w:pPr>
        <w:pStyle w:val="BodyText"/>
        <w:spacing w:before="1" w:line="249" w:lineRule="auto"/>
        <w:ind w:left="610" w:right="428" w:firstLine="360"/>
        <w:jc w:val="both"/>
      </w:pPr>
      <w:r>
        <w:t xml:space="preserve">Certain commingled equity and fixed income funds, consisting of underlying equity and fixed income securities, respectively, are valued using the NAV practical expedient. The NAV valuations are based on the underlying investments and typically redeemable within 90 days. The NAV is the total value of the fund divided by the number of the fund’s shares </w:t>
      </w:r>
      <w:r>
        <w:rPr>
          <w:spacing w:val="-2"/>
        </w:rPr>
        <w:t>outstanding.</w:t>
      </w:r>
    </w:p>
    <w:p w14:paraId="4303DE6C" w14:textId="77777777" w:rsidR="00AE2255" w:rsidRDefault="00AE2255">
      <w:pPr>
        <w:pStyle w:val="BodyText"/>
        <w:spacing w:before="1"/>
        <w:rPr>
          <w:sz w:val="18"/>
        </w:rPr>
      </w:pPr>
    </w:p>
    <w:p w14:paraId="0678B3DF" w14:textId="77777777" w:rsidR="00AE2255" w:rsidRDefault="00000000">
      <w:pPr>
        <w:pStyle w:val="BodyText"/>
        <w:spacing w:before="1" w:line="232" w:lineRule="auto"/>
        <w:ind w:left="610" w:firstLine="360"/>
      </w:pPr>
      <w:r>
        <w:t>Private equity funds consist of partnerships and similar vehicles. The NAV is based on valuation models of the underlying securities,</w:t>
      </w:r>
      <w:r>
        <w:rPr>
          <w:spacing w:val="-3"/>
        </w:rPr>
        <w:t xml:space="preserve"> </w:t>
      </w:r>
      <w:r>
        <w:t>which</w:t>
      </w:r>
      <w:r>
        <w:rPr>
          <w:spacing w:val="-3"/>
        </w:rPr>
        <w:t xml:space="preserve"> </w:t>
      </w:r>
      <w:r>
        <w:t>includes</w:t>
      </w:r>
      <w:r>
        <w:rPr>
          <w:spacing w:val="-4"/>
        </w:rPr>
        <w:t xml:space="preserve"> </w:t>
      </w:r>
      <w:r>
        <w:t>unobservable</w:t>
      </w:r>
      <w:r>
        <w:rPr>
          <w:spacing w:val="-4"/>
        </w:rPr>
        <w:t xml:space="preserve"> </w:t>
      </w:r>
      <w:r>
        <w:t>inputs</w:t>
      </w:r>
      <w:r>
        <w:rPr>
          <w:spacing w:val="-4"/>
        </w:rPr>
        <w:t xml:space="preserve"> </w:t>
      </w:r>
      <w:r>
        <w:t>that</w:t>
      </w:r>
      <w:r>
        <w:rPr>
          <w:spacing w:val="-4"/>
        </w:rPr>
        <w:t xml:space="preserve"> </w:t>
      </w:r>
      <w:r>
        <w:t>cannot</w:t>
      </w:r>
      <w:r>
        <w:rPr>
          <w:spacing w:val="-4"/>
        </w:rPr>
        <w:t xml:space="preserve"> </w:t>
      </w:r>
      <w:r>
        <w:t>be</w:t>
      </w:r>
      <w:r>
        <w:rPr>
          <w:spacing w:val="-4"/>
        </w:rPr>
        <w:t xml:space="preserve"> </w:t>
      </w:r>
      <w:r>
        <w:t>corroborated</w:t>
      </w:r>
      <w:r>
        <w:rPr>
          <w:spacing w:val="-3"/>
        </w:rPr>
        <w:t xml:space="preserve"> </w:t>
      </w:r>
      <w:r>
        <w:t>using</w:t>
      </w:r>
      <w:r>
        <w:rPr>
          <w:spacing w:val="-3"/>
        </w:rPr>
        <w:t xml:space="preserve"> </w:t>
      </w:r>
      <w:r>
        <w:t>verifiable</w:t>
      </w:r>
      <w:r>
        <w:rPr>
          <w:spacing w:val="-4"/>
        </w:rPr>
        <w:t xml:space="preserve"> </w:t>
      </w:r>
      <w:r>
        <w:t>observable</w:t>
      </w:r>
      <w:r>
        <w:rPr>
          <w:spacing w:val="-4"/>
        </w:rPr>
        <w:t xml:space="preserve"> </w:t>
      </w:r>
      <w:r>
        <w:t>market</w:t>
      </w:r>
      <w:r>
        <w:rPr>
          <w:spacing w:val="-4"/>
        </w:rPr>
        <w:t xml:space="preserve"> </w:t>
      </w:r>
      <w:r>
        <w:t>data.</w:t>
      </w:r>
      <w:r>
        <w:rPr>
          <w:spacing w:val="-3"/>
        </w:rPr>
        <w:t xml:space="preserve"> </w:t>
      </w:r>
      <w:r>
        <w:t>These</w:t>
      </w:r>
      <w:r>
        <w:rPr>
          <w:spacing w:val="-4"/>
        </w:rPr>
        <w:t xml:space="preserve"> </w:t>
      </w:r>
      <w:r>
        <w:t>funds typically have terms between eight and 12 years.</w:t>
      </w:r>
    </w:p>
    <w:p w14:paraId="5F99354C" w14:textId="77777777" w:rsidR="00AE2255" w:rsidRDefault="00AE2255">
      <w:pPr>
        <w:pStyle w:val="BodyText"/>
        <w:spacing w:before="1"/>
        <w:rPr>
          <w:sz w:val="21"/>
        </w:rPr>
      </w:pPr>
    </w:p>
    <w:p w14:paraId="139E82CC" w14:textId="77777777" w:rsidR="00AE2255" w:rsidRDefault="00000000">
      <w:pPr>
        <w:pStyle w:val="BodyText"/>
        <w:spacing w:before="1" w:line="249" w:lineRule="auto"/>
        <w:ind w:left="610" w:firstLine="360"/>
      </w:pPr>
      <w:r>
        <w:t>Real</w:t>
      </w:r>
      <w:r>
        <w:rPr>
          <w:spacing w:val="35"/>
        </w:rPr>
        <w:t xml:space="preserve"> </w:t>
      </w:r>
      <w:r>
        <w:t>estate</w:t>
      </w:r>
      <w:r>
        <w:rPr>
          <w:spacing w:val="35"/>
        </w:rPr>
        <w:t xml:space="preserve"> </w:t>
      </w:r>
      <w:r>
        <w:t>funds</w:t>
      </w:r>
      <w:r>
        <w:rPr>
          <w:spacing w:val="35"/>
        </w:rPr>
        <w:t xml:space="preserve"> </w:t>
      </w:r>
      <w:r>
        <w:t>consist</w:t>
      </w:r>
      <w:r>
        <w:rPr>
          <w:spacing w:val="35"/>
        </w:rPr>
        <w:t xml:space="preserve"> </w:t>
      </w:r>
      <w:r>
        <w:t>of</w:t>
      </w:r>
      <w:r>
        <w:rPr>
          <w:spacing w:val="35"/>
        </w:rPr>
        <w:t xml:space="preserve"> </w:t>
      </w:r>
      <w:r>
        <w:t>partnerships</w:t>
      </w:r>
      <w:r>
        <w:rPr>
          <w:spacing w:val="35"/>
        </w:rPr>
        <w:t xml:space="preserve"> </w:t>
      </w:r>
      <w:r>
        <w:t>and</w:t>
      </w:r>
      <w:r>
        <w:rPr>
          <w:spacing w:val="35"/>
        </w:rPr>
        <w:t xml:space="preserve"> </w:t>
      </w:r>
      <w:r>
        <w:t>similar</w:t>
      </w:r>
      <w:r>
        <w:rPr>
          <w:spacing w:val="35"/>
        </w:rPr>
        <w:t xml:space="preserve"> </w:t>
      </w:r>
      <w:r>
        <w:t>vehicles,</w:t>
      </w:r>
      <w:r>
        <w:rPr>
          <w:spacing w:val="35"/>
        </w:rPr>
        <w:t xml:space="preserve"> </w:t>
      </w:r>
      <w:r>
        <w:t>for</w:t>
      </w:r>
      <w:r>
        <w:rPr>
          <w:spacing w:val="35"/>
        </w:rPr>
        <w:t xml:space="preserve"> </w:t>
      </w:r>
      <w:r>
        <w:t>which</w:t>
      </w:r>
      <w:r>
        <w:rPr>
          <w:spacing w:val="35"/>
        </w:rPr>
        <w:t xml:space="preserve"> </w:t>
      </w:r>
      <w:r>
        <w:t>the</w:t>
      </w:r>
      <w:r>
        <w:rPr>
          <w:spacing w:val="35"/>
        </w:rPr>
        <w:t xml:space="preserve"> </w:t>
      </w:r>
      <w:r>
        <w:t>NAV</w:t>
      </w:r>
      <w:r>
        <w:rPr>
          <w:spacing w:val="35"/>
        </w:rPr>
        <w:t xml:space="preserve"> </w:t>
      </w:r>
      <w:r>
        <w:t>is</w:t>
      </w:r>
      <w:r>
        <w:rPr>
          <w:spacing w:val="35"/>
        </w:rPr>
        <w:t xml:space="preserve"> </w:t>
      </w:r>
      <w:r>
        <w:t>based</w:t>
      </w:r>
      <w:r>
        <w:rPr>
          <w:spacing w:val="35"/>
        </w:rPr>
        <w:t xml:space="preserve"> </w:t>
      </w:r>
      <w:r>
        <w:t>on</w:t>
      </w:r>
      <w:r>
        <w:rPr>
          <w:spacing w:val="35"/>
        </w:rPr>
        <w:t xml:space="preserve"> </w:t>
      </w:r>
      <w:r>
        <w:t>valuation</w:t>
      </w:r>
      <w:r>
        <w:rPr>
          <w:spacing w:val="35"/>
        </w:rPr>
        <w:t xml:space="preserve"> </w:t>
      </w:r>
      <w:r>
        <w:t>models</w:t>
      </w:r>
      <w:r>
        <w:rPr>
          <w:spacing w:val="35"/>
        </w:rPr>
        <w:t xml:space="preserve"> </w:t>
      </w:r>
      <w:r>
        <w:t>and periodic appraisals. These funds typically have redemption periods between eight and 10 years.</w:t>
      </w:r>
    </w:p>
    <w:p w14:paraId="430C8BF3" w14:textId="77777777" w:rsidR="00AE2255" w:rsidRDefault="00AE2255">
      <w:pPr>
        <w:pStyle w:val="BodyText"/>
        <w:spacing w:before="6"/>
        <w:rPr>
          <w:sz w:val="17"/>
        </w:rPr>
      </w:pPr>
    </w:p>
    <w:p w14:paraId="5361B9D3" w14:textId="77777777" w:rsidR="00AE2255" w:rsidRDefault="00000000">
      <w:pPr>
        <w:pStyle w:val="BodyText"/>
        <w:spacing w:line="249" w:lineRule="auto"/>
        <w:ind w:left="610" w:right="430" w:firstLine="360"/>
      </w:pPr>
      <w:r>
        <w:t>Hedge</w:t>
      </w:r>
      <w:r>
        <w:rPr>
          <w:spacing w:val="-1"/>
        </w:rPr>
        <w:t xml:space="preserve"> </w:t>
      </w:r>
      <w:r>
        <w:t>funds</w:t>
      </w:r>
      <w:r>
        <w:rPr>
          <w:spacing w:val="-1"/>
        </w:rPr>
        <w:t xml:space="preserve"> </w:t>
      </w:r>
      <w:r>
        <w:t>consist</w:t>
      </w:r>
      <w:r>
        <w:rPr>
          <w:spacing w:val="-1"/>
        </w:rPr>
        <w:t xml:space="preserve"> </w:t>
      </w:r>
      <w:r>
        <w:t>of</w:t>
      </w:r>
      <w:r>
        <w:rPr>
          <w:spacing w:val="-1"/>
        </w:rPr>
        <w:t xml:space="preserve"> </w:t>
      </w:r>
      <w:r>
        <w:t>separate</w:t>
      </w:r>
      <w:r>
        <w:rPr>
          <w:spacing w:val="-1"/>
        </w:rPr>
        <w:t xml:space="preserve"> </w:t>
      </w:r>
      <w:r>
        <w:t>accounts</w:t>
      </w:r>
      <w:r>
        <w:rPr>
          <w:spacing w:val="-1"/>
        </w:rPr>
        <w:t xml:space="preserve"> </w:t>
      </w:r>
      <w:r>
        <w:t>and</w:t>
      </w:r>
      <w:r>
        <w:rPr>
          <w:spacing w:val="-1"/>
        </w:rPr>
        <w:t xml:space="preserve"> </w:t>
      </w:r>
      <w:r>
        <w:t>commingled</w:t>
      </w:r>
      <w:r>
        <w:rPr>
          <w:spacing w:val="-1"/>
        </w:rPr>
        <w:t xml:space="preserve"> </w:t>
      </w:r>
      <w:r>
        <w:t>funds,</w:t>
      </w:r>
      <w:r>
        <w:rPr>
          <w:spacing w:val="-1"/>
        </w:rPr>
        <w:t xml:space="preserve"> </w:t>
      </w:r>
      <w:r>
        <w:t>for</w:t>
      </w:r>
      <w:r>
        <w:rPr>
          <w:spacing w:val="-1"/>
        </w:rPr>
        <w:t xml:space="preserve"> </w:t>
      </w:r>
      <w:r>
        <w:t>which</w:t>
      </w:r>
      <w:r>
        <w:rPr>
          <w:spacing w:val="-1"/>
        </w:rPr>
        <w:t xml:space="preserve"> </w:t>
      </w:r>
      <w:r>
        <w:t>the</w:t>
      </w:r>
      <w:r>
        <w:rPr>
          <w:spacing w:val="-1"/>
        </w:rPr>
        <w:t xml:space="preserve"> </w:t>
      </w:r>
      <w:r>
        <w:t>NAV</w:t>
      </w:r>
      <w:r>
        <w:rPr>
          <w:spacing w:val="-1"/>
        </w:rPr>
        <w:t xml:space="preserve"> </w:t>
      </w:r>
      <w:r>
        <w:t>is</w:t>
      </w:r>
      <w:r>
        <w:rPr>
          <w:spacing w:val="-1"/>
        </w:rPr>
        <w:t xml:space="preserve"> </w:t>
      </w:r>
      <w:r>
        <w:t>generally</w:t>
      </w:r>
      <w:r>
        <w:rPr>
          <w:spacing w:val="-1"/>
        </w:rPr>
        <w:t xml:space="preserve"> </w:t>
      </w:r>
      <w:r>
        <w:t>based</w:t>
      </w:r>
      <w:r>
        <w:rPr>
          <w:spacing w:val="-1"/>
        </w:rPr>
        <w:t xml:space="preserve"> </w:t>
      </w:r>
      <w:r>
        <w:t>on</w:t>
      </w:r>
      <w:r>
        <w:rPr>
          <w:spacing w:val="-1"/>
        </w:rPr>
        <w:t xml:space="preserve"> </w:t>
      </w:r>
      <w:r>
        <w:t>the</w:t>
      </w:r>
      <w:r>
        <w:rPr>
          <w:spacing w:val="-1"/>
        </w:rPr>
        <w:t xml:space="preserve"> </w:t>
      </w:r>
      <w:r>
        <w:t>valuation</w:t>
      </w:r>
      <w:r>
        <w:rPr>
          <w:spacing w:val="-1"/>
        </w:rPr>
        <w:t xml:space="preserve"> </w:t>
      </w:r>
      <w:r>
        <w:t>of the underlying investments. Redemptions in hedge funds generally range from a minimum of one month to several months.</w:t>
      </w:r>
    </w:p>
    <w:p w14:paraId="6722B79B" w14:textId="77777777" w:rsidR="00AE2255" w:rsidRDefault="00AE2255">
      <w:pPr>
        <w:pStyle w:val="BodyText"/>
        <w:spacing w:before="3"/>
        <w:rPr>
          <w:sz w:val="17"/>
        </w:rPr>
      </w:pPr>
    </w:p>
    <w:p w14:paraId="39EA9AFD" w14:textId="77777777" w:rsidR="00AE2255" w:rsidRDefault="00000000">
      <w:pPr>
        <w:pStyle w:val="Heading3"/>
      </w:pPr>
      <w:r>
        <w:t>Contributions</w:t>
      </w:r>
      <w:r>
        <w:rPr>
          <w:spacing w:val="-6"/>
        </w:rPr>
        <w:t xml:space="preserve"> </w:t>
      </w:r>
      <w:r>
        <w:t>and</w:t>
      </w:r>
      <w:r>
        <w:rPr>
          <w:spacing w:val="-5"/>
        </w:rPr>
        <w:t xml:space="preserve"> </w:t>
      </w:r>
      <w:r>
        <w:t>Expected</w:t>
      </w:r>
      <w:r>
        <w:rPr>
          <w:spacing w:val="-6"/>
        </w:rPr>
        <w:t xml:space="preserve"> </w:t>
      </w:r>
      <w:r>
        <w:t>Benefit</w:t>
      </w:r>
      <w:r>
        <w:rPr>
          <w:spacing w:val="-5"/>
        </w:rPr>
        <w:t xml:space="preserve"> </w:t>
      </w:r>
      <w:r>
        <w:rPr>
          <w:spacing w:val="-2"/>
        </w:rPr>
        <w:t>Payments</w:t>
      </w:r>
    </w:p>
    <w:p w14:paraId="7848A20A" w14:textId="77777777" w:rsidR="00AE2255" w:rsidRDefault="00AE2255">
      <w:pPr>
        <w:pStyle w:val="BodyText"/>
        <w:spacing w:before="6"/>
        <w:rPr>
          <w:b/>
          <w:i/>
          <w:sz w:val="18"/>
        </w:rPr>
      </w:pPr>
    </w:p>
    <w:p w14:paraId="157D5A70" w14:textId="77777777" w:rsidR="00AE2255" w:rsidRDefault="00000000">
      <w:pPr>
        <w:pStyle w:val="BodyText"/>
        <w:spacing w:line="249" w:lineRule="auto"/>
        <w:ind w:left="610" w:right="429" w:firstLine="360"/>
        <w:jc w:val="both"/>
      </w:pPr>
      <w:r>
        <w:t>The required funding of our qualified defined benefit pension plans is determined in accordance with ERISA, as amended, and in a manner consistent with CAS and Internal Revenue Code rules. We made no contributions to our qualified defined benefit pension plans in 2022 and do not plan to make contributions to our qualified defined benefit pension plans in 2023.</w:t>
      </w:r>
    </w:p>
    <w:p w14:paraId="05033775" w14:textId="77777777" w:rsidR="00AE2255" w:rsidRDefault="00AE2255">
      <w:pPr>
        <w:pStyle w:val="BodyText"/>
        <w:spacing w:before="8"/>
        <w:rPr>
          <w:sz w:val="19"/>
        </w:rPr>
      </w:pPr>
    </w:p>
    <w:p w14:paraId="677342E4" w14:textId="77777777" w:rsidR="00AE2255" w:rsidRDefault="00000000">
      <w:pPr>
        <w:pStyle w:val="BodyText"/>
        <w:ind w:left="970"/>
      </w:pPr>
      <w:r>
        <w:t>The</w:t>
      </w:r>
      <w:r>
        <w:rPr>
          <w:spacing w:val="-6"/>
        </w:rPr>
        <w:t xml:space="preserve"> </w:t>
      </w:r>
      <w:r>
        <w:t>following</w:t>
      </w:r>
      <w:r>
        <w:rPr>
          <w:spacing w:val="-3"/>
        </w:rPr>
        <w:t xml:space="preserve"> </w:t>
      </w:r>
      <w:r>
        <w:t>table</w:t>
      </w:r>
      <w:r>
        <w:rPr>
          <w:spacing w:val="-3"/>
        </w:rPr>
        <w:t xml:space="preserve"> </w:t>
      </w:r>
      <w:r>
        <w:t>presents</w:t>
      </w:r>
      <w:r>
        <w:rPr>
          <w:spacing w:val="-4"/>
        </w:rPr>
        <w:t xml:space="preserve"> </w:t>
      </w:r>
      <w:r>
        <w:t>estimated</w:t>
      </w:r>
      <w:r>
        <w:rPr>
          <w:spacing w:val="-2"/>
        </w:rPr>
        <w:t xml:space="preserve"> </w:t>
      </w:r>
      <w:r>
        <w:t>future</w:t>
      </w:r>
      <w:r>
        <w:rPr>
          <w:spacing w:val="-4"/>
        </w:rPr>
        <w:t xml:space="preserve"> </w:t>
      </w:r>
      <w:r>
        <w:t>benefit</w:t>
      </w:r>
      <w:r>
        <w:rPr>
          <w:spacing w:val="-3"/>
        </w:rPr>
        <w:t xml:space="preserve"> </w:t>
      </w:r>
      <w:r>
        <w:t>payments</w:t>
      </w:r>
      <w:r>
        <w:rPr>
          <w:spacing w:val="-4"/>
        </w:rPr>
        <w:t xml:space="preserve"> </w:t>
      </w:r>
      <w:r>
        <w:t>as</w:t>
      </w:r>
      <w:r>
        <w:rPr>
          <w:spacing w:val="-4"/>
        </w:rPr>
        <w:t xml:space="preserve"> </w:t>
      </w:r>
      <w:r>
        <w:t>of</w:t>
      </w:r>
      <w:r>
        <w:rPr>
          <w:spacing w:val="-2"/>
        </w:rPr>
        <w:t xml:space="preserve"> </w:t>
      </w:r>
      <w:r>
        <w:t>December</w:t>
      </w:r>
      <w:r>
        <w:rPr>
          <w:spacing w:val="-3"/>
        </w:rPr>
        <w:t xml:space="preserve"> </w:t>
      </w:r>
      <w:r>
        <w:t>31,</w:t>
      </w:r>
      <w:r>
        <w:rPr>
          <w:spacing w:val="-2"/>
        </w:rPr>
        <w:t xml:space="preserve"> </w:t>
      </w:r>
      <w:r>
        <w:t>2022</w:t>
      </w:r>
      <w:r>
        <w:rPr>
          <w:spacing w:val="-3"/>
        </w:rPr>
        <w:t xml:space="preserve"> </w:t>
      </w:r>
      <w:r>
        <w:t>(in</w:t>
      </w:r>
      <w:r>
        <w:rPr>
          <w:spacing w:val="-2"/>
        </w:rPr>
        <w:t xml:space="preserve"> millions):</w:t>
      </w:r>
    </w:p>
    <w:p w14:paraId="4BDA184B" w14:textId="77777777" w:rsidR="00AE2255" w:rsidRDefault="00AE2255">
      <w:pPr>
        <w:pStyle w:val="BodyText"/>
        <w:spacing w:before="3"/>
        <w:rPr>
          <w:sz w:val="22"/>
        </w:rPr>
      </w:pPr>
    </w:p>
    <w:tbl>
      <w:tblPr>
        <w:tblW w:w="0" w:type="auto"/>
        <w:tblInd w:w="617" w:type="dxa"/>
        <w:tblLayout w:type="fixed"/>
        <w:tblCellMar>
          <w:left w:w="0" w:type="dxa"/>
          <w:right w:w="0" w:type="dxa"/>
        </w:tblCellMar>
        <w:tblLook w:val="01E0" w:firstRow="1" w:lastRow="1" w:firstColumn="1" w:lastColumn="1" w:noHBand="0" w:noVBand="0"/>
      </w:tblPr>
      <w:tblGrid>
        <w:gridCol w:w="3573"/>
        <w:gridCol w:w="1265"/>
        <w:gridCol w:w="1035"/>
        <w:gridCol w:w="1035"/>
        <w:gridCol w:w="1035"/>
        <w:gridCol w:w="1035"/>
        <w:gridCol w:w="1237"/>
      </w:tblGrid>
      <w:tr w:rsidR="00AE2255" w14:paraId="6C2033C3" w14:textId="77777777">
        <w:trPr>
          <w:trHeight w:val="241"/>
        </w:trPr>
        <w:tc>
          <w:tcPr>
            <w:tcW w:w="3573" w:type="dxa"/>
            <w:tcBorders>
              <w:bottom w:val="single" w:sz="8" w:space="0" w:color="auto"/>
            </w:tcBorders>
          </w:tcPr>
          <w:p w14:paraId="08E2CB91" w14:textId="77777777" w:rsidR="00AE2255" w:rsidRDefault="00AE2255">
            <w:pPr>
              <w:pStyle w:val="TableParagraph"/>
              <w:spacing w:before="0"/>
              <w:jc w:val="left"/>
              <w:rPr>
                <w:sz w:val="16"/>
              </w:rPr>
            </w:pPr>
          </w:p>
        </w:tc>
        <w:tc>
          <w:tcPr>
            <w:tcW w:w="1265" w:type="dxa"/>
            <w:tcBorders>
              <w:bottom w:val="single" w:sz="8" w:space="0" w:color="auto"/>
            </w:tcBorders>
          </w:tcPr>
          <w:p w14:paraId="7FA836BD" w14:textId="77777777" w:rsidR="00AE2255" w:rsidRDefault="00000000">
            <w:pPr>
              <w:pStyle w:val="TableParagraph"/>
              <w:spacing w:before="0" w:line="221" w:lineRule="exact"/>
              <w:ind w:right="88"/>
              <w:rPr>
                <w:b/>
                <w:sz w:val="20"/>
              </w:rPr>
            </w:pPr>
            <w:r>
              <w:rPr>
                <w:b/>
                <w:spacing w:val="-4"/>
                <w:sz w:val="20"/>
              </w:rPr>
              <w:t>2023</w:t>
            </w:r>
          </w:p>
        </w:tc>
        <w:tc>
          <w:tcPr>
            <w:tcW w:w="1035" w:type="dxa"/>
            <w:tcBorders>
              <w:bottom w:val="single" w:sz="8" w:space="0" w:color="auto"/>
            </w:tcBorders>
          </w:tcPr>
          <w:p w14:paraId="7348F249" w14:textId="77777777" w:rsidR="00AE2255" w:rsidRDefault="00000000">
            <w:pPr>
              <w:pStyle w:val="TableParagraph"/>
              <w:spacing w:before="0" w:line="221" w:lineRule="exact"/>
              <w:ind w:right="88"/>
              <w:rPr>
                <w:b/>
                <w:sz w:val="20"/>
              </w:rPr>
            </w:pPr>
            <w:r>
              <w:rPr>
                <w:b/>
                <w:spacing w:val="-4"/>
                <w:sz w:val="20"/>
              </w:rPr>
              <w:t>2024</w:t>
            </w:r>
          </w:p>
        </w:tc>
        <w:tc>
          <w:tcPr>
            <w:tcW w:w="1035" w:type="dxa"/>
            <w:tcBorders>
              <w:bottom w:val="single" w:sz="8" w:space="0" w:color="auto"/>
            </w:tcBorders>
          </w:tcPr>
          <w:p w14:paraId="5083BDA6" w14:textId="77777777" w:rsidR="00AE2255" w:rsidRDefault="00000000">
            <w:pPr>
              <w:pStyle w:val="TableParagraph"/>
              <w:spacing w:before="0" w:line="221" w:lineRule="exact"/>
              <w:ind w:right="88"/>
              <w:rPr>
                <w:b/>
                <w:sz w:val="20"/>
              </w:rPr>
            </w:pPr>
            <w:r>
              <w:rPr>
                <w:b/>
                <w:spacing w:val="-4"/>
                <w:sz w:val="20"/>
              </w:rPr>
              <w:t>2025</w:t>
            </w:r>
          </w:p>
        </w:tc>
        <w:tc>
          <w:tcPr>
            <w:tcW w:w="1035" w:type="dxa"/>
            <w:tcBorders>
              <w:bottom w:val="single" w:sz="8" w:space="0" w:color="auto"/>
            </w:tcBorders>
          </w:tcPr>
          <w:p w14:paraId="690F6F21" w14:textId="77777777" w:rsidR="00AE2255" w:rsidRDefault="00000000">
            <w:pPr>
              <w:pStyle w:val="TableParagraph"/>
              <w:spacing w:before="0" w:line="221" w:lineRule="exact"/>
              <w:ind w:right="88"/>
              <w:rPr>
                <w:b/>
                <w:sz w:val="20"/>
              </w:rPr>
            </w:pPr>
            <w:r>
              <w:rPr>
                <w:b/>
                <w:spacing w:val="-4"/>
                <w:sz w:val="20"/>
              </w:rPr>
              <w:t>2026</w:t>
            </w:r>
          </w:p>
        </w:tc>
        <w:tc>
          <w:tcPr>
            <w:tcW w:w="1035" w:type="dxa"/>
            <w:tcBorders>
              <w:bottom w:val="single" w:sz="8" w:space="0" w:color="auto"/>
            </w:tcBorders>
          </w:tcPr>
          <w:p w14:paraId="10273F6D" w14:textId="77777777" w:rsidR="00AE2255" w:rsidRDefault="00000000">
            <w:pPr>
              <w:pStyle w:val="TableParagraph"/>
              <w:spacing w:before="0" w:line="221" w:lineRule="exact"/>
              <w:ind w:right="88"/>
              <w:rPr>
                <w:b/>
                <w:sz w:val="20"/>
              </w:rPr>
            </w:pPr>
            <w:r>
              <w:rPr>
                <w:b/>
                <w:spacing w:val="-4"/>
                <w:sz w:val="20"/>
              </w:rPr>
              <w:t>2027</w:t>
            </w:r>
          </w:p>
        </w:tc>
        <w:tc>
          <w:tcPr>
            <w:tcW w:w="1237" w:type="dxa"/>
            <w:tcBorders>
              <w:bottom w:val="single" w:sz="8" w:space="0" w:color="auto"/>
            </w:tcBorders>
          </w:tcPr>
          <w:p w14:paraId="4CB8E46E" w14:textId="77777777" w:rsidR="00AE2255" w:rsidRDefault="00000000">
            <w:pPr>
              <w:pStyle w:val="TableParagraph"/>
              <w:spacing w:before="0" w:line="221" w:lineRule="exact"/>
              <w:ind w:right="50"/>
              <w:rPr>
                <w:b/>
                <w:sz w:val="20"/>
              </w:rPr>
            </w:pPr>
            <w:r>
              <w:rPr>
                <w:b/>
                <w:sz w:val="20"/>
              </w:rPr>
              <w:t xml:space="preserve">2028 – </w:t>
            </w:r>
            <w:r>
              <w:rPr>
                <w:b/>
                <w:spacing w:val="-4"/>
                <w:sz w:val="20"/>
              </w:rPr>
              <w:t>2032</w:t>
            </w:r>
          </w:p>
        </w:tc>
      </w:tr>
      <w:tr w:rsidR="00AE2255" w14:paraId="1D68D85B" w14:textId="77777777">
        <w:trPr>
          <w:trHeight w:val="275"/>
        </w:trPr>
        <w:tc>
          <w:tcPr>
            <w:tcW w:w="3573" w:type="dxa"/>
            <w:tcBorders>
              <w:top w:val="single" w:sz="8" w:space="0" w:color="CCEDFF"/>
            </w:tcBorders>
            <w:shd w:val="clear" w:color="auto" w:fill="CCEDFF"/>
          </w:tcPr>
          <w:p w14:paraId="2A6EBDF2" w14:textId="77777777" w:rsidR="00AE2255" w:rsidRDefault="00000000">
            <w:pPr>
              <w:pStyle w:val="TableParagraph"/>
              <w:spacing w:before="17"/>
              <w:ind w:left="52"/>
              <w:jc w:val="left"/>
              <w:rPr>
                <w:sz w:val="20"/>
              </w:rPr>
            </w:pPr>
            <w:r>
              <w:rPr>
                <w:sz w:val="20"/>
              </w:rPr>
              <w:t>Qualified</w:t>
            </w:r>
            <w:r>
              <w:rPr>
                <w:spacing w:val="-4"/>
                <w:sz w:val="20"/>
              </w:rPr>
              <w:t xml:space="preserve"> </w:t>
            </w:r>
            <w:r>
              <w:rPr>
                <w:sz w:val="20"/>
              </w:rPr>
              <w:t>defined</w:t>
            </w:r>
            <w:r>
              <w:rPr>
                <w:spacing w:val="-4"/>
                <w:sz w:val="20"/>
              </w:rPr>
              <w:t xml:space="preserve"> </w:t>
            </w:r>
            <w:r>
              <w:rPr>
                <w:sz w:val="20"/>
              </w:rPr>
              <w:t>benefit</w:t>
            </w:r>
            <w:r>
              <w:rPr>
                <w:spacing w:val="-5"/>
                <w:sz w:val="20"/>
              </w:rPr>
              <w:t xml:space="preserve"> </w:t>
            </w:r>
            <w:r>
              <w:rPr>
                <w:sz w:val="20"/>
              </w:rPr>
              <w:t>pension</w:t>
            </w:r>
            <w:r>
              <w:rPr>
                <w:spacing w:val="-3"/>
                <w:sz w:val="20"/>
              </w:rPr>
              <w:t xml:space="preserve"> </w:t>
            </w:r>
            <w:r>
              <w:rPr>
                <w:spacing w:val="-4"/>
                <w:sz w:val="20"/>
              </w:rPr>
              <w:t>plans</w:t>
            </w:r>
          </w:p>
        </w:tc>
        <w:tc>
          <w:tcPr>
            <w:tcW w:w="1265" w:type="dxa"/>
            <w:tcBorders>
              <w:top w:val="single" w:sz="8" w:space="0" w:color="CCEDFF"/>
            </w:tcBorders>
            <w:shd w:val="clear" w:color="auto" w:fill="CCEDFF"/>
          </w:tcPr>
          <w:p w14:paraId="7579BB5C" w14:textId="77777777" w:rsidR="00AE2255" w:rsidRDefault="00000000">
            <w:pPr>
              <w:pStyle w:val="TableParagraph"/>
              <w:tabs>
                <w:tab w:val="left" w:pos="375"/>
              </w:tabs>
              <w:spacing w:before="15"/>
              <w:ind w:right="117"/>
              <w:rPr>
                <w:sz w:val="20"/>
              </w:rPr>
            </w:pPr>
            <w:r>
              <w:rPr>
                <w:spacing w:val="-10"/>
                <w:sz w:val="20"/>
              </w:rPr>
              <w:t>$</w:t>
            </w:r>
            <w:r>
              <w:rPr>
                <w:sz w:val="20"/>
              </w:rPr>
              <w:tab/>
            </w:r>
            <w:r>
              <w:rPr>
                <w:spacing w:val="-2"/>
                <w:sz w:val="20"/>
              </w:rPr>
              <w:t>1,720</w:t>
            </w:r>
          </w:p>
        </w:tc>
        <w:tc>
          <w:tcPr>
            <w:tcW w:w="1035" w:type="dxa"/>
            <w:tcBorders>
              <w:top w:val="single" w:sz="8" w:space="0" w:color="CCEDFF"/>
            </w:tcBorders>
            <w:shd w:val="clear" w:color="auto" w:fill="CCEDFF"/>
          </w:tcPr>
          <w:p w14:paraId="5A15BF71" w14:textId="77777777" w:rsidR="00AE2255" w:rsidRDefault="00000000">
            <w:pPr>
              <w:pStyle w:val="TableParagraph"/>
              <w:tabs>
                <w:tab w:val="left" w:pos="375"/>
              </w:tabs>
              <w:spacing w:before="15"/>
              <w:ind w:right="117"/>
              <w:rPr>
                <w:sz w:val="20"/>
              </w:rPr>
            </w:pPr>
            <w:r>
              <w:rPr>
                <w:spacing w:val="-10"/>
                <w:sz w:val="20"/>
              </w:rPr>
              <w:t>$</w:t>
            </w:r>
            <w:r>
              <w:rPr>
                <w:sz w:val="20"/>
              </w:rPr>
              <w:tab/>
            </w:r>
            <w:r>
              <w:rPr>
                <w:spacing w:val="-2"/>
                <w:sz w:val="20"/>
              </w:rPr>
              <w:t>1,810</w:t>
            </w:r>
          </w:p>
        </w:tc>
        <w:tc>
          <w:tcPr>
            <w:tcW w:w="1035" w:type="dxa"/>
            <w:tcBorders>
              <w:top w:val="single" w:sz="8" w:space="0" w:color="CCEDFF"/>
            </w:tcBorders>
            <w:shd w:val="clear" w:color="auto" w:fill="CCEDFF"/>
          </w:tcPr>
          <w:p w14:paraId="0F5E382E" w14:textId="77777777" w:rsidR="00AE2255" w:rsidRDefault="00000000">
            <w:pPr>
              <w:pStyle w:val="TableParagraph"/>
              <w:tabs>
                <w:tab w:val="left" w:pos="375"/>
              </w:tabs>
              <w:spacing w:before="15"/>
              <w:ind w:right="117"/>
              <w:rPr>
                <w:sz w:val="20"/>
              </w:rPr>
            </w:pPr>
            <w:r>
              <w:rPr>
                <w:spacing w:val="-10"/>
                <w:sz w:val="20"/>
              </w:rPr>
              <w:t>$</w:t>
            </w:r>
            <w:r>
              <w:rPr>
                <w:sz w:val="20"/>
              </w:rPr>
              <w:tab/>
            </w:r>
            <w:r>
              <w:rPr>
                <w:spacing w:val="-2"/>
                <w:sz w:val="20"/>
              </w:rPr>
              <w:t>1,890</w:t>
            </w:r>
          </w:p>
        </w:tc>
        <w:tc>
          <w:tcPr>
            <w:tcW w:w="1035" w:type="dxa"/>
            <w:tcBorders>
              <w:top w:val="single" w:sz="8" w:space="0" w:color="CCEDFF"/>
            </w:tcBorders>
            <w:shd w:val="clear" w:color="auto" w:fill="CCEDFF"/>
          </w:tcPr>
          <w:p w14:paraId="2C9E064B" w14:textId="77777777" w:rsidR="00AE2255" w:rsidRDefault="00000000">
            <w:pPr>
              <w:pStyle w:val="TableParagraph"/>
              <w:tabs>
                <w:tab w:val="left" w:pos="375"/>
              </w:tabs>
              <w:spacing w:before="15"/>
              <w:ind w:right="117"/>
              <w:rPr>
                <w:sz w:val="20"/>
              </w:rPr>
            </w:pPr>
            <w:r>
              <w:rPr>
                <w:spacing w:val="-10"/>
                <w:sz w:val="20"/>
              </w:rPr>
              <w:t>$</w:t>
            </w:r>
            <w:r>
              <w:rPr>
                <w:sz w:val="20"/>
              </w:rPr>
              <w:tab/>
            </w:r>
            <w:r>
              <w:rPr>
                <w:spacing w:val="-2"/>
                <w:sz w:val="20"/>
              </w:rPr>
              <w:t>1,950</w:t>
            </w:r>
          </w:p>
        </w:tc>
        <w:tc>
          <w:tcPr>
            <w:tcW w:w="1035" w:type="dxa"/>
            <w:tcBorders>
              <w:top w:val="single" w:sz="8" w:space="0" w:color="CCEDFF"/>
            </w:tcBorders>
            <w:shd w:val="clear" w:color="auto" w:fill="CCEDFF"/>
          </w:tcPr>
          <w:p w14:paraId="45642CF5" w14:textId="77777777" w:rsidR="00AE2255" w:rsidRDefault="00000000">
            <w:pPr>
              <w:pStyle w:val="TableParagraph"/>
              <w:tabs>
                <w:tab w:val="left" w:pos="375"/>
              </w:tabs>
              <w:spacing w:before="15"/>
              <w:ind w:right="117"/>
              <w:rPr>
                <w:sz w:val="20"/>
              </w:rPr>
            </w:pPr>
            <w:r>
              <w:rPr>
                <w:spacing w:val="-10"/>
                <w:sz w:val="20"/>
              </w:rPr>
              <w:t>$</w:t>
            </w:r>
            <w:r>
              <w:rPr>
                <w:sz w:val="20"/>
              </w:rPr>
              <w:tab/>
            </w:r>
            <w:r>
              <w:rPr>
                <w:spacing w:val="-2"/>
                <w:sz w:val="20"/>
              </w:rPr>
              <w:t>2,000</w:t>
            </w:r>
          </w:p>
        </w:tc>
        <w:tc>
          <w:tcPr>
            <w:tcW w:w="1237" w:type="dxa"/>
            <w:tcBorders>
              <w:top w:val="single" w:sz="8" w:space="0" w:color="CCEDFF"/>
            </w:tcBorders>
            <w:shd w:val="clear" w:color="auto" w:fill="CCEDFF"/>
          </w:tcPr>
          <w:p w14:paraId="2F1D984F" w14:textId="77777777" w:rsidR="00AE2255" w:rsidRDefault="00000000">
            <w:pPr>
              <w:pStyle w:val="TableParagraph"/>
              <w:tabs>
                <w:tab w:val="left" w:pos="515"/>
              </w:tabs>
              <w:spacing w:before="15"/>
              <w:ind w:right="79"/>
              <w:rPr>
                <w:sz w:val="20"/>
              </w:rPr>
            </w:pPr>
            <w:r>
              <w:rPr>
                <w:spacing w:val="-10"/>
                <w:sz w:val="20"/>
              </w:rPr>
              <w:t>$</w:t>
            </w:r>
            <w:r>
              <w:rPr>
                <w:sz w:val="20"/>
              </w:rPr>
              <w:tab/>
            </w:r>
            <w:r>
              <w:rPr>
                <w:spacing w:val="-2"/>
                <w:sz w:val="20"/>
              </w:rPr>
              <w:t>10,150</w:t>
            </w:r>
          </w:p>
        </w:tc>
      </w:tr>
      <w:tr w:rsidR="00AE2255" w14:paraId="70D18EE1" w14:textId="77777777">
        <w:trPr>
          <w:trHeight w:val="262"/>
        </w:trPr>
        <w:tc>
          <w:tcPr>
            <w:tcW w:w="3573" w:type="dxa"/>
            <w:tcBorders>
              <w:bottom w:val="single" w:sz="18" w:space="0" w:color="000000"/>
            </w:tcBorders>
          </w:tcPr>
          <w:p w14:paraId="5A40E3BD" w14:textId="77777777" w:rsidR="00AE2255" w:rsidRDefault="00000000">
            <w:pPr>
              <w:pStyle w:val="TableParagraph"/>
              <w:spacing w:before="27" w:line="216" w:lineRule="exact"/>
              <w:ind w:left="52"/>
              <w:jc w:val="left"/>
              <w:rPr>
                <w:sz w:val="20"/>
              </w:rPr>
            </w:pPr>
            <w:r>
              <w:rPr>
                <w:sz w:val="20"/>
              </w:rPr>
              <w:t>Retiree</w:t>
            </w:r>
            <w:r>
              <w:rPr>
                <w:spacing w:val="-5"/>
                <w:sz w:val="20"/>
              </w:rPr>
              <w:t xml:space="preserve"> </w:t>
            </w:r>
            <w:r>
              <w:rPr>
                <w:sz w:val="20"/>
              </w:rPr>
              <w:t>medical</w:t>
            </w:r>
            <w:r>
              <w:rPr>
                <w:spacing w:val="-4"/>
                <w:sz w:val="20"/>
              </w:rPr>
              <w:t xml:space="preserve"> </w:t>
            </w:r>
            <w:r>
              <w:rPr>
                <w:sz w:val="20"/>
              </w:rPr>
              <w:t>and</w:t>
            </w:r>
            <w:r>
              <w:rPr>
                <w:spacing w:val="-4"/>
                <w:sz w:val="20"/>
              </w:rPr>
              <w:t xml:space="preserve"> </w:t>
            </w:r>
            <w:r>
              <w:rPr>
                <w:sz w:val="20"/>
              </w:rPr>
              <w:t>life</w:t>
            </w:r>
            <w:r>
              <w:rPr>
                <w:spacing w:val="-4"/>
                <w:sz w:val="20"/>
              </w:rPr>
              <w:t xml:space="preserve"> </w:t>
            </w:r>
            <w:r>
              <w:rPr>
                <w:sz w:val="20"/>
              </w:rPr>
              <w:t>insurance</w:t>
            </w:r>
            <w:r>
              <w:rPr>
                <w:spacing w:val="-4"/>
                <w:sz w:val="20"/>
              </w:rPr>
              <w:t xml:space="preserve"> plans</w:t>
            </w:r>
          </w:p>
        </w:tc>
        <w:tc>
          <w:tcPr>
            <w:tcW w:w="1265" w:type="dxa"/>
            <w:tcBorders>
              <w:bottom w:val="single" w:sz="18" w:space="0" w:color="000000"/>
            </w:tcBorders>
          </w:tcPr>
          <w:p w14:paraId="066DAAD9" w14:textId="77777777" w:rsidR="00AE2255" w:rsidRDefault="00000000">
            <w:pPr>
              <w:pStyle w:val="TableParagraph"/>
              <w:spacing w:line="217" w:lineRule="exact"/>
              <w:ind w:right="117"/>
              <w:rPr>
                <w:sz w:val="20"/>
              </w:rPr>
            </w:pPr>
            <w:r>
              <w:rPr>
                <w:spacing w:val="-5"/>
                <w:sz w:val="20"/>
              </w:rPr>
              <w:t>140</w:t>
            </w:r>
          </w:p>
        </w:tc>
        <w:tc>
          <w:tcPr>
            <w:tcW w:w="1035" w:type="dxa"/>
            <w:tcBorders>
              <w:bottom w:val="single" w:sz="18" w:space="0" w:color="000000"/>
            </w:tcBorders>
          </w:tcPr>
          <w:p w14:paraId="383FEA80" w14:textId="77777777" w:rsidR="00AE2255" w:rsidRDefault="00000000">
            <w:pPr>
              <w:pStyle w:val="TableParagraph"/>
              <w:spacing w:line="217" w:lineRule="exact"/>
              <w:ind w:right="117"/>
              <w:rPr>
                <w:sz w:val="20"/>
              </w:rPr>
            </w:pPr>
            <w:r>
              <w:rPr>
                <w:spacing w:val="-5"/>
                <w:sz w:val="20"/>
              </w:rPr>
              <w:t>130</w:t>
            </w:r>
          </w:p>
        </w:tc>
        <w:tc>
          <w:tcPr>
            <w:tcW w:w="1035" w:type="dxa"/>
            <w:tcBorders>
              <w:bottom w:val="single" w:sz="18" w:space="0" w:color="000000"/>
            </w:tcBorders>
          </w:tcPr>
          <w:p w14:paraId="0713F5AA" w14:textId="77777777" w:rsidR="00AE2255" w:rsidRDefault="00000000">
            <w:pPr>
              <w:pStyle w:val="TableParagraph"/>
              <w:spacing w:line="217" w:lineRule="exact"/>
              <w:ind w:right="117"/>
              <w:rPr>
                <w:sz w:val="20"/>
              </w:rPr>
            </w:pPr>
            <w:r>
              <w:rPr>
                <w:spacing w:val="-5"/>
                <w:sz w:val="20"/>
              </w:rPr>
              <w:t>130</w:t>
            </w:r>
          </w:p>
        </w:tc>
        <w:tc>
          <w:tcPr>
            <w:tcW w:w="1035" w:type="dxa"/>
            <w:tcBorders>
              <w:bottom w:val="single" w:sz="18" w:space="0" w:color="000000"/>
            </w:tcBorders>
          </w:tcPr>
          <w:p w14:paraId="23C420F9" w14:textId="77777777" w:rsidR="00AE2255" w:rsidRDefault="00000000">
            <w:pPr>
              <w:pStyle w:val="TableParagraph"/>
              <w:spacing w:line="217" w:lineRule="exact"/>
              <w:ind w:right="117"/>
              <w:rPr>
                <w:sz w:val="20"/>
              </w:rPr>
            </w:pPr>
            <w:r>
              <w:rPr>
                <w:spacing w:val="-5"/>
                <w:sz w:val="20"/>
              </w:rPr>
              <w:t>120</w:t>
            </w:r>
          </w:p>
        </w:tc>
        <w:tc>
          <w:tcPr>
            <w:tcW w:w="1035" w:type="dxa"/>
            <w:tcBorders>
              <w:bottom w:val="single" w:sz="18" w:space="0" w:color="000000"/>
            </w:tcBorders>
          </w:tcPr>
          <w:p w14:paraId="3631BC5C" w14:textId="77777777" w:rsidR="00AE2255" w:rsidRDefault="00000000">
            <w:pPr>
              <w:pStyle w:val="TableParagraph"/>
              <w:spacing w:line="217" w:lineRule="exact"/>
              <w:ind w:right="117"/>
              <w:rPr>
                <w:sz w:val="20"/>
              </w:rPr>
            </w:pPr>
            <w:r>
              <w:rPr>
                <w:spacing w:val="-5"/>
                <w:sz w:val="20"/>
              </w:rPr>
              <w:t>120</w:t>
            </w:r>
          </w:p>
        </w:tc>
        <w:tc>
          <w:tcPr>
            <w:tcW w:w="1237" w:type="dxa"/>
            <w:tcBorders>
              <w:bottom w:val="single" w:sz="18" w:space="0" w:color="000000"/>
            </w:tcBorders>
          </w:tcPr>
          <w:p w14:paraId="2D13EF56" w14:textId="77777777" w:rsidR="00AE2255" w:rsidRDefault="00000000">
            <w:pPr>
              <w:pStyle w:val="TableParagraph"/>
              <w:spacing w:line="217" w:lineRule="exact"/>
              <w:ind w:right="79"/>
              <w:rPr>
                <w:sz w:val="20"/>
              </w:rPr>
            </w:pPr>
            <w:r>
              <w:rPr>
                <w:spacing w:val="-5"/>
                <w:sz w:val="20"/>
              </w:rPr>
              <w:t>530</w:t>
            </w:r>
          </w:p>
        </w:tc>
      </w:tr>
    </w:tbl>
    <w:p w14:paraId="3263495F" w14:textId="77777777" w:rsidR="00AE2255" w:rsidRDefault="00AE2255">
      <w:pPr>
        <w:pStyle w:val="BodyText"/>
        <w:spacing w:before="2"/>
        <w:rPr>
          <w:sz w:val="25"/>
        </w:rPr>
      </w:pPr>
    </w:p>
    <w:p w14:paraId="26029043" w14:textId="77777777" w:rsidR="00AE2255" w:rsidRDefault="00000000">
      <w:pPr>
        <w:pStyle w:val="BodyText"/>
        <w:spacing w:line="249" w:lineRule="auto"/>
        <w:ind w:left="610" w:right="430" w:firstLine="360"/>
        <w:jc w:val="both"/>
      </w:pPr>
      <w:r>
        <w:t>We maintain various trusts to fund the obligations of our qualified defined benefit pension plans and retiree medical and</w:t>
      </w:r>
      <w:r>
        <w:rPr>
          <w:spacing w:val="40"/>
        </w:rPr>
        <w:t xml:space="preserve"> </w:t>
      </w:r>
      <w:r>
        <w:t xml:space="preserve">life insurance plans. We expect the estimated future benefit payments will be paid using assets in the trusts established for the </w:t>
      </w:r>
      <w:r>
        <w:rPr>
          <w:spacing w:val="-2"/>
        </w:rPr>
        <w:t>plans.</w:t>
      </w:r>
    </w:p>
    <w:p w14:paraId="4B653082" w14:textId="77777777" w:rsidR="00AE2255" w:rsidRDefault="00AE2255">
      <w:pPr>
        <w:pStyle w:val="BodyText"/>
        <w:spacing w:before="4"/>
        <w:rPr>
          <w:sz w:val="17"/>
        </w:rPr>
      </w:pPr>
    </w:p>
    <w:p w14:paraId="0402C0B9" w14:textId="77777777" w:rsidR="00AE2255" w:rsidRDefault="00000000">
      <w:pPr>
        <w:pStyle w:val="Heading2"/>
      </w:pPr>
      <w:r>
        <w:t>Nonqualified</w:t>
      </w:r>
      <w:r>
        <w:rPr>
          <w:spacing w:val="-8"/>
        </w:rPr>
        <w:t xml:space="preserve"> </w:t>
      </w:r>
      <w:r>
        <w:t>Defined</w:t>
      </w:r>
      <w:r>
        <w:rPr>
          <w:spacing w:val="-6"/>
        </w:rPr>
        <w:t xml:space="preserve"> </w:t>
      </w:r>
      <w:r>
        <w:t>Benefit</w:t>
      </w:r>
      <w:r>
        <w:rPr>
          <w:spacing w:val="-4"/>
        </w:rPr>
        <w:t xml:space="preserve"> </w:t>
      </w:r>
      <w:r>
        <w:t>Pension</w:t>
      </w:r>
      <w:r>
        <w:rPr>
          <w:spacing w:val="-6"/>
        </w:rPr>
        <w:t xml:space="preserve"> </w:t>
      </w:r>
      <w:r>
        <w:t>Plans</w:t>
      </w:r>
      <w:r>
        <w:rPr>
          <w:spacing w:val="-6"/>
        </w:rPr>
        <w:t xml:space="preserve"> </w:t>
      </w:r>
      <w:r>
        <w:t>and</w:t>
      </w:r>
      <w:r>
        <w:rPr>
          <w:spacing w:val="-5"/>
        </w:rPr>
        <w:t xml:space="preserve"> </w:t>
      </w:r>
      <w:r>
        <w:t>Other</w:t>
      </w:r>
      <w:r>
        <w:rPr>
          <w:spacing w:val="-6"/>
        </w:rPr>
        <w:t xml:space="preserve"> </w:t>
      </w:r>
      <w:r>
        <w:t>Postemployment</w:t>
      </w:r>
      <w:r>
        <w:rPr>
          <w:spacing w:val="-4"/>
        </w:rPr>
        <w:t xml:space="preserve"> </w:t>
      </w:r>
      <w:r>
        <w:rPr>
          <w:spacing w:val="-2"/>
        </w:rPr>
        <w:t>Plans</w:t>
      </w:r>
    </w:p>
    <w:p w14:paraId="78A83658" w14:textId="77777777" w:rsidR="00AE2255" w:rsidRDefault="00AE2255">
      <w:pPr>
        <w:pStyle w:val="BodyText"/>
        <w:spacing w:before="1"/>
        <w:rPr>
          <w:b/>
          <w:sz w:val="21"/>
        </w:rPr>
      </w:pPr>
    </w:p>
    <w:p w14:paraId="6839D690" w14:textId="77777777" w:rsidR="00AE2255" w:rsidRDefault="00000000">
      <w:pPr>
        <w:pStyle w:val="BodyText"/>
        <w:spacing w:line="232" w:lineRule="auto"/>
        <w:ind w:left="610" w:right="428" w:firstLine="360"/>
        <w:jc w:val="both"/>
      </w:pPr>
      <w:r>
        <w:t xml:space="preserve">We sponsor nonqualified defined benefit pension plans to provide benefits </w:t>
      </w:r>
      <w:proofErr w:type="gramStart"/>
      <w:r>
        <w:t>in excess of</w:t>
      </w:r>
      <w:proofErr w:type="gramEnd"/>
      <w:r>
        <w:t xml:space="preserve"> qualified plan limits imposed by federal tax law. The gross benefit obligation for these plans was $1.0 billion and $1.3 billion as of December 31, </w:t>
      </w:r>
      <w:proofErr w:type="gramStart"/>
      <w:r>
        <w:t>2022</w:t>
      </w:r>
      <w:proofErr w:type="gramEnd"/>
      <w:r>
        <w:t xml:space="preserve"> and</w:t>
      </w:r>
      <w:r>
        <w:rPr>
          <w:spacing w:val="40"/>
        </w:rPr>
        <w:t xml:space="preserve"> </w:t>
      </w:r>
      <w:r>
        <w:t xml:space="preserve">2021, most of which was recorded in the other noncurrent liabilities account on our consolidated balance sheet. We have set aside certain assets totaling $595 million and $872 million as of December 31, </w:t>
      </w:r>
      <w:proofErr w:type="gramStart"/>
      <w:r>
        <w:t>2022</w:t>
      </w:r>
      <w:proofErr w:type="gramEnd"/>
      <w:r>
        <w:t xml:space="preserve"> and 2021 in a separate trust that we expect to use to pay the benefit obligations under our nonqualified defined benefit pension plans, most of which were recorded in the other noncurrent assets account on our consolidated balance sheet. We record the gross assets on our consolidated balance</w:t>
      </w:r>
      <w:r>
        <w:rPr>
          <w:spacing w:val="40"/>
        </w:rPr>
        <w:t xml:space="preserve"> </w:t>
      </w:r>
      <w:r>
        <w:t xml:space="preserve">sheet, rather than netting such assets with the benefit obligation for our nonqualified defined benefit pension plans, because the assets held are diversified and legally the assets may be used to settle other obligations or claims (although that is not our intent). Actuarial losses and unrecognized prior service credits related to our nonqualified defined benefit pension plans that were recorded in accumulated other comprehensive loss, pretax, totaled $331 million and $625 million </w:t>
      </w:r>
      <w:proofErr w:type="gramStart"/>
      <w:r>
        <w:t>at</w:t>
      </w:r>
      <w:proofErr w:type="gramEnd"/>
      <w:r>
        <w:t xml:space="preserve"> December 31, 2022 and</w:t>
      </w:r>
      <w:r>
        <w:rPr>
          <w:spacing w:val="-2"/>
        </w:rPr>
        <w:t xml:space="preserve"> </w:t>
      </w:r>
      <w:r>
        <w:t>2021.</w:t>
      </w:r>
      <w:r>
        <w:rPr>
          <w:spacing w:val="-2"/>
        </w:rPr>
        <w:t xml:space="preserve"> </w:t>
      </w:r>
      <w:r>
        <w:t>We</w:t>
      </w:r>
      <w:r>
        <w:rPr>
          <w:spacing w:val="-3"/>
        </w:rPr>
        <w:t xml:space="preserve"> </w:t>
      </w:r>
      <w:r>
        <w:t>recognized</w:t>
      </w:r>
      <w:r>
        <w:rPr>
          <w:spacing w:val="-2"/>
        </w:rPr>
        <w:t xml:space="preserve"> </w:t>
      </w:r>
      <w:r>
        <w:t>pretax</w:t>
      </w:r>
      <w:r>
        <w:rPr>
          <w:spacing w:val="-2"/>
        </w:rPr>
        <w:t xml:space="preserve"> </w:t>
      </w:r>
      <w:r>
        <w:t>pension</w:t>
      </w:r>
      <w:r>
        <w:rPr>
          <w:spacing w:val="-2"/>
        </w:rPr>
        <w:t xml:space="preserve"> </w:t>
      </w:r>
      <w:r>
        <w:t>expense</w:t>
      </w:r>
      <w:r>
        <w:rPr>
          <w:spacing w:val="-3"/>
        </w:rPr>
        <w:t xml:space="preserve"> </w:t>
      </w:r>
      <w:r>
        <w:t>of</w:t>
      </w:r>
      <w:r>
        <w:rPr>
          <w:spacing w:val="-2"/>
        </w:rPr>
        <w:t xml:space="preserve"> </w:t>
      </w:r>
      <w:r>
        <w:t>$81</w:t>
      </w:r>
      <w:r>
        <w:rPr>
          <w:spacing w:val="-2"/>
        </w:rPr>
        <w:t xml:space="preserve"> </w:t>
      </w:r>
      <w:r>
        <w:t>million</w:t>
      </w:r>
      <w:r>
        <w:rPr>
          <w:spacing w:val="-2"/>
        </w:rPr>
        <w:t xml:space="preserve"> </w:t>
      </w:r>
      <w:r>
        <w:t>in</w:t>
      </w:r>
      <w:r>
        <w:rPr>
          <w:spacing w:val="-2"/>
        </w:rPr>
        <w:t xml:space="preserve"> </w:t>
      </w:r>
      <w:r>
        <w:t>2022,</w:t>
      </w:r>
      <w:r>
        <w:rPr>
          <w:spacing w:val="-2"/>
        </w:rPr>
        <w:t xml:space="preserve"> </w:t>
      </w:r>
      <w:r>
        <w:t>$56</w:t>
      </w:r>
      <w:r>
        <w:rPr>
          <w:spacing w:val="-2"/>
        </w:rPr>
        <w:t xml:space="preserve"> </w:t>
      </w:r>
      <w:r>
        <w:t>million</w:t>
      </w:r>
      <w:r>
        <w:rPr>
          <w:spacing w:val="-2"/>
        </w:rPr>
        <w:t xml:space="preserve"> </w:t>
      </w:r>
      <w:r>
        <w:t>in</w:t>
      </w:r>
      <w:r>
        <w:rPr>
          <w:spacing w:val="-2"/>
        </w:rPr>
        <w:t xml:space="preserve"> </w:t>
      </w:r>
      <w:r>
        <w:t>2021</w:t>
      </w:r>
      <w:r>
        <w:rPr>
          <w:spacing w:val="-2"/>
        </w:rPr>
        <w:t xml:space="preserve"> </w:t>
      </w:r>
      <w:r>
        <w:t>and</w:t>
      </w:r>
      <w:r>
        <w:rPr>
          <w:spacing w:val="-2"/>
        </w:rPr>
        <w:t xml:space="preserve"> </w:t>
      </w:r>
      <w:r>
        <w:t>$59</w:t>
      </w:r>
      <w:r>
        <w:rPr>
          <w:spacing w:val="-2"/>
        </w:rPr>
        <w:t xml:space="preserve"> </w:t>
      </w:r>
      <w:r>
        <w:t>million</w:t>
      </w:r>
      <w:r>
        <w:rPr>
          <w:spacing w:val="-2"/>
        </w:rPr>
        <w:t xml:space="preserve"> </w:t>
      </w:r>
      <w:r>
        <w:t>in</w:t>
      </w:r>
      <w:r>
        <w:rPr>
          <w:spacing w:val="-2"/>
        </w:rPr>
        <w:t xml:space="preserve"> </w:t>
      </w:r>
      <w:r>
        <w:t>2020</w:t>
      </w:r>
      <w:r>
        <w:rPr>
          <w:spacing w:val="-2"/>
        </w:rPr>
        <w:t xml:space="preserve"> </w:t>
      </w:r>
      <w:r>
        <w:t>related</w:t>
      </w:r>
      <w:r>
        <w:rPr>
          <w:spacing w:val="-2"/>
        </w:rPr>
        <w:t xml:space="preserve"> </w:t>
      </w:r>
      <w:r>
        <w:t>to our nonqualified defined benefit pension plans. The assumptions used to determine the benefit obligations and FAS expense for</w:t>
      </w:r>
    </w:p>
    <w:p w14:paraId="0DE93140" w14:textId="77777777" w:rsidR="00AE2255" w:rsidRDefault="00AE2255">
      <w:pPr>
        <w:spacing w:line="232" w:lineRule="auto"/>
        <w:jc w:val="both"/>
        <w:sectPr w:rsidR="00AE2255">
          <w:pgSz w:w="12240" w:h="15840"/>
          <w:pgMar w:top="440" w:right="560" w:bottom="720" w:left="380" w:header="230" w:footer="531" w:gutter="0"/>
          <w:cols w:space="720"/>
        </w:sectPr>
      </w:pPr>
    </w:p>
    <w:p w14:paraId="46131D0C" w14:textId="77777777" w:rsidR="00AE2255" w:rsidRDefault="00AE2255">
      <w:pPr>
        <w:pStyle w:val="BodyText"/>
        <w:spacing w:before="10"/>
        <w:rPr>
          <w:sz w:val="22"/>
        </w:rPr>
      </w:pPr>
    </w:p>
    <w:p w14:paraId="664E230F" w14:textId="77777777" w:rsidR="00AE2255" w:rsidRDefault="00000000">
      <w:pPr>
        <w:pStyle w:val="BodyText"/>
        <w:spacing w:before="97" w:line="232" w:lineRule="auto"/>
        <w:ind w:left="610" w:right="430"/>
        <w:jc w:val="both"/>
      </w:pPr>
      <w:r>
        <w:t xml:space="preserve">our nonqualified defined benefit pension plans are </w:t>
      </w:r>
      <w:proofErr w:type="gramStart"/>
      <w:r>
        <w:t>similar to</w:t>
      </w:r>
      <w:proofErr w:type="gramEnd"/>
      <w:r>
        <w:t xml:space="preserve"> the assumptions for our qualified defined benefit pension plans described above.</w:t>
      </w:r>
    </w:p>
    <w:p w14:paraId="5EA3DE26" w14:textId="77777777" w:rsidR="00AE2255" w:rsidRDefault="00000000">
      <w:pPr>
        <w:pStyle w:val="BodyText"/>
        <w:spacing w:before="197" w:line="249" w:lineRule="auto"/>
        <w:ind w:left="610" w:right="428" w:firstLine="360"/>
        <w:jc w:val="both"/>
      </w:pPr>
      <w:r>
        <w:t xml:space="preserve">We also sponsor other postemployment plans and foreign benefit plans, which are accounted for </w:t>
      </w:r>
      <w:proofErr w:type="gramStart"/>
      <w:r>
        <w:t>similar to</w:t>
      </w:r>
      <w:proofErr w:type="gramEnd"/>
      <w:r>
        <w:t xml:space="preserve"> defined benefit pension plans. The benefit obligations, assets, expense, and amounts recorded in accumulated other comprehensive loss for other postemployment plans and foreign benefit plans were not material to our results of operations, financial </w:t>
      </w:r>
      <w:proofErr w:type="gramStart"/>
      <w:r>
        <w:t>position</w:t>
      </w:r>
      <w:proofErr w:type="gramEnd"/>
      <w:r>
        <w:t xml:space="preserve"> or cash </w:t>
      </w:r>
      <w:r>
        <w:rPr>
          <w:spacing w:val="-2"/>
        </w:rPr>
        <w:t>flows.</w:t>
      </w:r>
    </w:p>
    <w:p w14:paraId="4F8E40A1" w14:textId="77777777" w:rsidR="00AE2255" w:rsidRDefault="00AE2255">
      <w:pPr>
        <w:pStyle w:val="BodyText"/>
        <w:spacing w:before="4"/>
        <w:rPr>
          <w:sz w:val="17"/>
        </w:rPr>
      </w:pPr>
    </w:p>
    <w:p w14:paraId="1F523EC0" w14:textId="77777777" w:rsidR="00AE2255" w:rsidRDefault="00000000">
      <w:pPr>
        <w:pStyle w:val="Heading2"/>
      </w:pPr>
      <w:r>
        <w:t>Defined</w:t>
      </w:r>
      <w:r>
        <w:rPr>
          <w:spacing w:val="-7"/>
        </w:rPr>
        <w:t xml:space="preserve"> </w:t>
      </w:r>
      <w:r>
        <w:t>Contribution</w:t>
      </w:r>
      <w:r>
        <w:rPr>
          <w:spacing w:val="-6"/>
        </w:rPr>
        <w:t xml:space="preserve"> </w:t>
      </w:r>
      <w:r>
        <w:t>Retirement</w:t>
      </w:r>
      <w:r>
        <w:rPr>
          <w:spacing w:val="-6"/>
        </w:rPr>
        <w:t xml:space="preserve"> </w:t>
      </w:r>
      <w:r>
        <w:t>Savings</w:t>
      </w:r>
      <w:r>
        <w:rPr>
          <w:spacing w:val="-6"/>
        </w:rPr>
        <w:t xml:space="preserve"> </w:t>
      </w:r>
      <w:r>
        <w:rPr>
          <w:spacing w:val="-4"/>
        </w:rPr>
        <w:t>Plans</w:t>
      </w:r>
    </w:p>
    <w:p w14:paraId="313E128F" w14:textId="77777777" w:rsidR="00AE2255" w:rsidRDefault="00AE2255">
      <w:pPr>
        <w:pStyle w:val="BodyText"/>
        <w:spacing w:before="6"/>
        <w:rPr>
          <w:b/>
          <w:sz w:val="18"/>
        </w:rPr>
      </w:pPr>
    </w:p>
    <w:p w14:paraId="355AC461" w14:textId="77777777" w:rsidR="00AE2255" w:rsidRDefault="00000000">
      <w:pPr>
        <w:pStyle w:val="BodyText"/>
        <w:spacing w:line="249" w:lineRule="auto"/>
        <w:ind w:left="610" w:right="429" w:firstLine="360"/>
        <w:jc w:val="both"/>
      </w:pPr>
      <w:r>
        <w:t xml:space="preserve">We maintain </w:t>
      </w:r>
      <w:proofErr w:type="gramStart"/>
      <w:r>
        <w:t>a number of</w:t>
      </w:r>
      <w:proofErr w:type="gramEnd"/>
      <w:r>
        <w:t xml:space="preserve"> defined contribution retirement savings plans, most with 401(k) features, that cover substantially all of our employees. Under the provisions of these plans, employees can make contributions on a before-tax and after-tax basis to investment funds to save for retirement. For most plans, we make employer contributions to the employee accounts that comprise of a company non-elective contribution and a matching contribution. Company contributions are automatically invested in an Employee Stock Ownership Plan (ESOP) fund, which primarily invests in shares of our common stock. Plan participants can transfer from the ESOP fund into any investment option provided by the respective plan. Our contributions to defined contribution retirement savings plans were $1.1 billion in 2022 and 2021 and $984 million in 2020. Our defined contribution retirement savings plans held 27.4 million and 28.9 million shares of our common stock </w:t>
      </w:r>
      <w:proofErr w:type="gramStart"/>
      <w:r>
        <w:t>at</w:t>
      </w:r>
      <w:proofErr w:type="gramEnd"/>
      <w:r>
        <w:t xml:space="preserve"> December 31, 2022 and </w:t>
      </w:r>
      <w:r>
        <w:rPr>
          <w:spacing w:val="-2"/>
        </w:rPr>
        <w:t>2021.</w:t>
      </w:r>
    </w:p>
    <w:p w14:paraId="762C7B33" w14:textId="77777777" w:rsidR="00AE2255" w:rsidRDefault="00AE2255">
      <w:pPr>
        <w:pStyle w:val="BodyText"/>
        <w:spacing w:before="3"/>
        <w:rPr>
          <w:sz w:val="21"/>
        </w:rPr>
      </w:pPr>
    </w:p>
    <w:p w14:paraId="237F5C0C" w14:textId="77777777" w:rsidR="00AE2255" w:rsidRDefault="00000000">
      <w:pPr>
        <w:pStyle w:val="Heading2"/>
      </w:pPr>
      <w:bookmarkStart w:id="59" w:name="Note_12_–_Stockholders’_Equity"/>
      <w:bookmarkEnd w:id="59"/>
      <w:r>
        <w:t>Note</w:t>
      </w:r>
      <w:r>
        <w:rPr>
          <w:spacing w:val="-4"/>
        </w:rPr>
        <w:t xml:space="preserve"> </w:t>
      </w:r>
      <w:r>
        <w:t>12</w:t>
      </w:r>
      <w:r>
        <w:rPr>
          <w:spacing w:val="-2"/>
        </w:rPr>
        <w:t xml:space="preserve"> </w:t>
      </w:r>
      <w:r>
        <w:t>–</w:t>
      </w:r>
      <w:r>
        <w:rPr>
          <w:spacing w:val="-3"/>
        </w:rPr>
        <w:t xml:space="preserve"> </w:t>
      </w:r>
      <w:r>
        <w:t>Stockholders’</w:t>
      </w:r>
      <w:r>
        <w:rPr>
          <w:spacing w:val="-2"/>
        </w:rPr>
        <w:t xml:space="preserve"> Equity</w:t>
      </w:r>
    </w:p>
    <w:p w14:paraId="67FB1066" w14:textId="77777777" w:rsidR="00AE2255" w:rsidRDefault="00AE2255">
      <w:pPr>
        <w:pStyle w:val="BodyText"/>
        <w:spacing w:before="6"/>
        <w:rPr>
          <w:b/>
          <w:sz w:val="18"/>
        </w:rPr>
      </w:pPr>
    </w:p>
    <w:p w14:paraId="25B1034E" w14:textId="77777777" w:rsidR="00AE2255" w:rsidRDefault="00000000">
      <w:pPr>
        <w:pStyle w:val="BodyText"/>
        <w:spacing w:line="249" w:lineRule="auto"/>
        <w:ind w:left="610" w:right="428" w:firstLine="360"/>
        <w:jc w:val="both"/>
      </w:pPr>
      <w:proofErr w:type="gramStart"/>
      <w:r>
        <w:t>At</w:t>
      </w:r>
      <w:proofErr w:type="gramEnd"/>
      <w:r>
        <w:rPr>
          <w:spacing w:val="40"/>
        </w:rPr>
        <w:t xml:space="preserve"> </w:t>
      </w:r>
      <w:r>
        <w:t>December</w:t>
      </w:r>
      <w:r>
        <w:rPr>
          <w:spacing w:val="40"/>
        </w:rPr>
        <w:t xml:space="preserve"> </w:t>
      </w:r>
      <w:r>
        <w:t>31,</w:t>
      </w:r>
      <w:r>
        <w:rPr>
          <w:spacing w:val="40"/>
        </w:rPr>
        <w:t xml:space="preserve"> </w:t>
      </w:r>
      <w:r>
        <w:t>2022</w:t>
      </w:r>
      <w:r>
        <w:rPr>
          <w:spacing w:val="40"/>
        </w:rPr>
        <w:t xml:space="preserve"> </w:t>
      </w:r>
      <w:r>
        <w:t>and</w:t>
      </w:r>
      <w:r>
        <w:rPr>
          <w:spacing w:val="40"/>
        </w:rPr>
        <w:t xml:space="preserve"> </w:t>
      </w:r>
      <w:r>
        <w:t>2021,</w:t>
      </w:r>
      <w:r>
        <w:rPr>
          <w:spacing w:val="40"/>
        </w:rPr>
        <w:t xml:space="preserve"> </w:t>
      </w:r>
      <w:r>
        <w:t>our</w:t>
      </w:r>
      <w:r>
        <w:rPr>
          <w:spacing w:val="40"/>
        </w:rPr>
        <w:t xml:space="preserve"> </w:t>
      </w:r>
      <w:r>
        <w:t>authorized</w:t>
      </w:r>
      <w:r>
        <w:rPr>
          <w:spacing w:val="40"/>
        </w:rPr>
        <w:t xml:space="preserve"> </w:t>
      </w:r>
      <w:r>
        <w:t>capital</w:t>
      </w:r>
      <w:r>
        <w:rPr>
          <w:spacing w:val="40"/>
        </w:rPr>
        <w:t xml:space="preserve"> </w:t>
      </w:r>
      <w:r>
        <w:t>was</w:t>
      </w:r>
      <w:r>
        <w:rPr>
          <w:spacing w:val="40"/>
        </w:rPr>
        <w:t xml:space="preserve"> </w:t>
      </w:r>
      <w:r>
        <w:t>composed</w:t>
      </w:r>
      <w:r>
        <w:rPr>
          <w:spacing w:val="40"/>
        </w:rPr>
        <w:t xml:space="preserve"> </w:t>
      </w:r>
      <w:r>
        <w:t>of</w:t>
      </w:r>
      <w:r>
        <w:rPr>
          <w:spacing w:val="40"/>
        </w:rPr>
        <w:t xml:space="preserve"> </w:t>
      </w:r>
      <w:r>
        <w:t>1.5</w:t>
      </w:r>
      <w:r>
        <w:rPr>
          <w:spacing w:val="40"/>
        </w:rPr>
        <w:t xml:space="preserve"> </w:t>
      </w:r>
      <w:r>
        <w:t>billion</w:t>
      </w:r>
      <w:r>
        <w:rPr>
          <w:spacing w:val="40"/>
        </w:rPr>
        <w:t xml:space="preserve"> </w:t>
      </w:r>
      <w:r>
        <w:t>shares</w:t>
      </w:r>
      <w:r>
        <w:rPr>
          <w:spacing w:val="40"/>
        </w:rPr>
        <w:t xml:space="preserve"> </w:t>
      </w:r>
      <w:r>
        <w:t>of</w:t>
      </w:r>
      <w:r>
        <w:rPr>
          <w:spacing w:val="40"/>
        </w:rPr>
        <w:t xml:space="preserve"> </w:t>
      </w:r>
      <w:r>
        <w:t>common</w:t>
      </w:r>
      <w:r>
        <w:rPr>
          <w:spacing w:val="40"/>
        </w:rPr>
        <w:t xml:space="preserve"> </w:t>
      </w:r>
      <w:r>
        <w:t>stock</w:t>
      </w:r>
      <w:r>
        <w:rPr>
          <w:spacing w:val="40"/>
        </w:rPr>
        <w:t xml:space="preserve"> </w:t>
      </w:r>
      <w:r>
        <w:t xml:space="preserve">and 50 million shares of series preferred stock. Of the 255 million and 272 million shares of common stock issued and outstanding as of December 31, </w:t>
      </w:r>
      <w:proofErr w:type="gramStart"/>
      <w:r>
        <w:t>2022</w:t>
      </w:r>
      <w:proofErr w:type="gramEnd"/>
      <w:r>
        <w:t xml:space="preserve"> and December 31, 2021, 254 million and 271 million shares were considered outstanding for consolidated balance sheet presentation purposes; the remaining shares were held in a separate trust. No shares of preferred stock were issued and outstanding </w:t>
      </w:r>
      <w:proofErr w:type="gramStart"/>
      <w:r>
        <w:t>at</w:t>
      </w:r>
      <w:proofErr w:type="gramEnd"/>
      <w:r>
        <w:t xml:space="preserve"> December 31, 2022 or 2021.</w:t>
      </w:r>
    </w:p>
    <w:p w14:paraId="12D8908B" w14:textId="77777777" w:rsidR="00AE2255" w:rsidRDefault="00AE2255">
      <w:pPr>
        <w:pStyle w:val="BodyText"/>
        <w:spacing w:before="6"/>
        <w:rPr>
          <w:sz w:val="17"/>
        </w:rPr>
      </w:pPr>
    </w:p>
    <w:p w14:paraId="192DE9BC" w14:textId="77777777" w:rsidR="00AE2255" w:rsidRDefault="00000000">
      <w:pPr>
        <w:pStyle w:val="Heading2"/>
      </w:pPr>
      <w:r>
        <w:t>Repurchases</w:t>
      </w:r>
      <w:r>
        <w:rPr>
          <w:spacing w:val="-5"/>
        </w:rPr>
        <w:t xml:space="preserve"> </w:t>
      </w:r>
      <w:r>
        <w:t>of</w:t>
      </w:r>
      <w:r>
        <w:rPr>
          <w:spacing w:val="-3"/>
        </w:rPr>
        <w:t xml:space="preserve"> </w:t>
      </w:r>
      <w:r>
        <w:t>Common</w:t>
      </w:r>
      <w:r>
        <w:rPr>
          <w:spacing w:val="-4"/>
        </w:rPr>
        <w:t xml:space="preserve"> </w:t>
      </w:r>
      <w:r>
        <w:rPr>
          <w:spacing w:val="-2"/>
        </w:rPr>
        <w:t>Stock</w:t>
      </w:r>
    </w:p>
    <w:p w14:paraId="116C7E7B" w14:textId="77777777" w:rsidR="00AE2255" w:rsidRDefault="00AE2255">
      <w:pPr>
        <w:pStyle w:val="BodyText"/>
        <w:spacing w:before="6"/>
        <w:rPr>
          <w:b/>
          <w:sz w:val="18"/>
        </w:rPr>
      </w:pPr>
    </w:p>
    <w:p w14:paraId="0A3CFC78" w14:textId="77777777" w:rsidR="00AE2255" w:rsidRDefault="00000000">
      <w:pPr>
        <w:pStyle w:val="BodyText"/>
        <w:spacing w:line="249" w:lineRule="auto"/>
        <w:ind w:left="610" w:right="429" w:firstLine="360"/>
        <w:jc w:val="both"/>
      </w:pPr>
      <w:r>
        <w:t>During 2022, we repurchased 18.3 million shares of our common stock for $7.9 billion, including 13.9 million shares of</w:t>
      </w:r>
      <w:r>
        <w:rPr>
          <w:spacing w:val="40"/>
        </w:rPr>
        <w:t xml:space="preserve"> </w:t>
      </w:r>
      <w:r>
        <w:t>our common stock repurchased pursuant to ASR agreements and the remainder in open market purchases. During the fourth quarter of 2022, under the terms of an ASR agreement, we paid $4.0 billion and received an initial delivery of 7.0 million</w:t>
      </w:r>
      <w:r>
        <w:rPr>
          <w:spacing w:val="40"/>
        </w:rPr>
        <w:t xml:space="preserve"> </w:t>
      </w:r>
      <w:r>
        <w:t xml:space="preserve">shares of our common stock. We expect to receive additional shares upon final settlement, which is expected in March or April 2023. In addition, we repurchased 4.7 million shares for $2.0 billion under an ASR agreement that we </w:t>
      </w:r>
      <w:proofErr w:type="gramStart"/>
      <w:r>
        <w:t>entered into</w:t>
      </w:r>
      <w:proofErr w:type="gramEnd"/>
      <w:r>
        <w:t xml:space="preserve"> in the first quarter of 2022. As previously disclosed, in January 2022, we received 2.2 million shares of our common stock for no</w:t>
      </w:r>
      <w:r>
        <w:rPr>
          <w:spacing w:val="40"/>
        </w:rPr>
        <w:t xml:space="preserve"> </w:t>
      </w:r>
      <w:r>
        <w:t xml:space="preserve">additional consideration upon final settlement of the ASR we </w:t>
      </w:r>
      <w:proofErr w:type="gramStart"/>
      <w:r>
        <w:t>entered into</w:t>
      </w:r>
      <w:proofErr w:type="gramEnd"/>
      <w:r>
        <w:t xml:space="preserve"> in the fourth quarter of 2021. During 2021, we paid</w:t>
      </w:r>
    </w:p>
    <w:p w14:paraId="60AE3B84" w14:textId="77777777" w:rsidR="00AE2255" w:rsidRDefault="00000000">
      <w:pPr>
        <w:pStyle w:val="BodyText"/>
        <w:spacing w:before="6" w:line="249" w:lineRule="auto"/>
        <w:ind w:left="610" w:right="429"/>
        <w:jc w:val="both"/>
      </w:pPr>
      <w:r>
        <w:t>$4.1 billion to repurchase 9.4 million shares of our common stock, including 9.2 million shares of our common stock repurchased for $4.0 billion under an ASR agreement.</w:t>
      </w:r>
    </w:p>
    <w:p w14:paraId="172E3270" w14:textId="77777777" w:rsidR="00AE2255" w:rsidRDefault="00AE2255">
      <w:pPr>
        <w:pStyle w:val="BodyText"/>
        <w:spacing w:before="6"/>
        <w:rPr>
          <w:sz w:val="17"/>
        </w:rPr>
      </w:pPr>
    </w:p>
    <w:p w14:paraId="6251B359" w14:textId="77777777" w:rsidR="00AE2255" w:rsidRDefault="00000000">
      <w:pPr>
        <w:pStyle w:val="BodyText"/>
        <w:ind w:left="970"/>
        <w:jc w:val="both"/>
      </w:pPr>
      <w:r>
        <w:t>The</w:t>
      </w:r>
      <w:r>
        <w:rPr>
          <w:spacing w:val="59"/>
        </w:rPr>
        <w:t xml:space="preserve"> </w:t>
      </w:r>
      <w:r>
        <w:t>total</w:t>
      </w:r>
      <w:r>
        <w:rPr>
          <w:spacing w:val="62"/>
        </w:rPr>
        <w:t xml:space="preserve"> </w:t>
      </w:r>
      <w:r>
        <w:t>remaining</w:t>
      </w:r>
      <w:r>
        <w:rPr>
          <w:spacing w:val="61"/>
        </w:rPr>
        <w:t xml:space="preserve"> </w:t>
      </w:r>
      <w:r>
        <w:t>authorization</w:t>
      </w:r>
      <w:r>
        <w:rPr>
          <w:spacing w:val="62"/>
        </w:rPr>
        <w:t xml:space="preserve"> </w:t>
      </w:r>
      <w:r>
        <w:t>for</w:t>
      </w:r>
      <w:r>
        <w:rPr>
          <w:spacing w:val="61"/>
        </w:rPr>
        <w:t xml:space="preserve"> </w:t>
      </w:r>
      <w:r>
        <w:t>future</w:t>
      </w:r>
      <w:r>
        <w:rPr>
          <w:spacing w:val="62"/>
        </w:rPr>
        <w:t xml:space="preserve"> </w:t>
      </w:r>
      <w:r>
        <w:t>common</w:t>
      </w:r>
      <w:r>
        <w:rPr>
          <w:spacing w:val="61"/>
        </w:rPr>
        <w:t xml:space="preserve"> </w:t>
      </w:r>
      <w:r>
        <w:t>share</w:t>
      </w:r>
      <w:r>
        <w:rPr>
          <w:spacing w:val="62"/>
        </w:rPr>
        <w:t xml:space="preserve"> </w:t>
      </w:r>
      <w:r>
        <w:t>repurchases</w:t>
      </w:r>
      <w:r>
        <w:rPr>
          <w:spacing w:val="61"/>
        </w:rPr>
        <w:t xml:space="preserve"> </w:t>
      </w:r>
      <w:r>
        <w:t>under</w:t>
      </w:r>
      <w:r>
        <w:rPr>
          <w:spacing w:val="62"/>
        </w:rPr>
        <w:t xml:space="preserve"> </w:t>
      </w:r>
      <w:r>
        <w:t>our</w:t>
      </w:r>
      <w:r>
        <w:rPr>
          <w:spacing w:val="61"/>
        </w:rPr>
        <w:t xml:space="preserve"> </w:t>
      </w:r>
      <w:r>
        <w:t>share</w:t>
      </w:r>
      <w:r>
        <w:rPr>
          <w:spacing w:val="62"/>
        </w:rPr>
        <w:t xml:space="preserve"> </w:t>
      </w:r>
      <w:r>
        <w:t>repurchase</w:t>
      </w:r>
      <w:r>
        <w:rPr>
          <w:spacing w:val="61"/>
        </w:rPr>
        <w:t xml:space="preserve"> </w:t>
      </w:r>
      <w:r>
        <w:t>program</w:t>
      </w:r>
      <w:r>
        <w:rPr>
          <w:spacing w:val="62"/>
        </w:rPr>
        <w:t xml:space="preserve"> </w:t>
      </w:r>
      <w:r>
        <w:rPr>
          <w:spacing w:val="-5"/>
        </w:rPr>
        <w:t>was</w:t>
      </w:r>
    </w:p>
    <w:p w14:paraId="735A542A" w14:textId="77777777" w:rsidR="00AE2255" w:rsidRDefault="00000000">
      <w:pPr>
        <w:pStyle w:val="BodyText"/>
        <w:spacing w:before="10" w:line="249" w:lineRule="auto"/>
        <w:ind w:left="610" w:right="428"/>
        <w:jc w:val="both"/>
      </w:pPr>
      <w:r>
        <w:t>$10.0 billion as of December 31, 2022, including a $14 billion increase to the program authorized by our Board of Directors on October 17, 2022. As we repurchase our common shares, we reduce common stock for the $1 of par value of the shares repurchased, with the excess purchase price over par value recorded as a reduction of additional paid-in capital. If additional paid-in capital</w:t>
      </w:r>
      <w:r>
        <w:rPr>
          <w:spacing w:val="-1"/>
        </w:rPr>
        <w:t xml:space="preserve"> </w:t>
      </w:r>
      <w:r>
        <w:t>is</w:t>
      </w:r>
      <w:r>
        <w:rPr>
          <w:spacing w:val="-1"/>
        </w:rPr>
        <w:t xml:space="preserve"> </w:t>
      </w:r>
      <w:r>
        <w:t>reduced to zero, we</w:t>
      </w:r>
      <w:r>
        <w:rPr>
          <w:spacing w:val="-1"/>
        </w:rPr>
        <w:t xml:space="preserve"> </w:t>
      </w:r>
      <w:r>
        <w:t>record the</w:t>
      </w:r>
      <w:r>
        <w:rPr>
          <w:spacing w:val="-1"/>
        </w:rPr>
        <w:t xml:space="preserve"> </w:t>
      </w:r>
      <w:r>
        <w:t>remainder of the</w:t>
      </w:r>
      <w:r>
        <w:rPr>
          <w:spacing w:val="-1"/>
        </w:rPr>
        <w:t xml:space="preserve"> </w:t>
      </w:r>
      <w:r>
        <w:t>excess</w:t>
      </w:r>
      <w:r>
        <w:rPr>
          <w:spacing w:val="-1"/>
        </w:rPr>
        <w:t xml:space="preserve"> </w:t>
      </w:r>
      <w:r>
        <w:t>purchase</w:t>
      </w:r>
      <w:r>
        <w:rPr>
          <w:spacing w:val="-1"/>
        </w:rPr>
        <w:t xml:space="preserve"> </w:t>
      </w:r>
      <w:r>
        <w:t>price</w:t>
      </w:r>
      <w:r>
        <w:rPr>
          <w:spacing w:val="-1"/>
        </w:rPr>
        <w:t xml:space="preserve"> </w:t>
      </w:r>
      <w:r>
        <w:t>over par value</w:t>
      </w:r>
      <w:r>
        <w:rPr>
          <w:spacing w:val="-1"/>
        </w:rPr>
        <w:t xml:space="preserve"> </w:t>
      </w:r>
      <w:r>
        <w:t>as</w:t>
      </w:r>
      <w:r>
        <w:rPr>
          <w:spacing w:val="-1"/>
        </w:rPr>
        <w:t xml:space="preserve"> </w:t>
      </w:r>
      <w:r>
        <w:t>a</w:t>
      </w:r>
      <w:r>
        <w:rPr>
          <w:spacing w:val="-1"/>
        </w:rPr>
        <w:t xml:space="preserve"> </w:t>
      </w:r>
      <w:r>
        <w:t xml:space="preserve">reduction of retained </w:t>
      </w:r>
      <w:r>
        <w:rPr>
          <w:spacing w:val="-2"/>
        </w:rPr>
        <w:t>earnings.</w:t>
      </w:r>
    </w:p>
    <w:p w14:paraId="6B5BD29B" w14:textId="77777777" w:rsidR="00AE2255" w:rsidRDefault="00AE2255">
      <w:pPr>
        <w:pStyle w:val="BodyText"/>
        <w:spacing w:before="5"/>
        <w:rPr>
          <w:sz w:val="17"/>
        </w:rPr>
      </w:pPr>
    </w:p>
    <w:p w14:paraId="3CAB6E2F" w14:textId="77777777" w:rsidR="00AE2255" w:rsidRDefault="00000000">
      <w:pPr>
        <w:pStyle w:val="Heading2"/>
      </w:pPr>
      <w:r>
        <w:rPr>
          <w:spacing w:val="-2"/>
        </w:rPr>
        <w:t>Dividends</w:t>
      </w:r>
    </w:p>
    <w:p w14:paraId="17AECDE1" w14:textId="77777777" w:rsidR="00AE2255" w:rsidRDefault="00AE2255">
      <w:pPr>
        <w:pStyle w:val="BodyText"/>
        <w:spacing w:before="6"/>
        <w:rPr>
          <w:b/>
          <w:sz w:val="18"/>
        </w:rPr>
      </w:pPr>
    </w:p>
    <w:p w14:paraId="281CEB2F" w14:textId="77777777" w:rsidR="00AE2255" w:rsidRDefault="00000000">
      <w:pPr>
        <w:pStyle w:val="BodyText"/>
        <w:spacing w:before="1" w:line="249" w:lineRule="auto"/>
        <w:ind w:left="610" w:right="535" w:firstLine="360"/>
        <w:jc w:val="both"/>
      </w:pPr>
      <w:r>
        <w:t>We</w:t>
      </w:r>
      <w:r>
        <w:rPr>
          <w:spacing w:val="-4"/>
        </w:rPr>
        <w:t xml:space="preserve"> </w:t>
      </w:r>
      <w:r>
        <w:t>paid</w:t>
      </w:r>
      <w:r>
        <w:rPr>
          <w:spacing w:val="-3"/>
        </w:rPr>
        <w:t xml:space="preserve"> </w:t>
      </w:r>
      <w:r>
        <w:t>dividends</w:t>
      </w:r>
      <w:r>
        <w:rPr>
          <w:spacing w:val="-4"/>
        </w:rPr>
        <w:t xml:space="preserve"> </w:t>
      </w:r>
      <w:r>
        <w:t>totaling</w:t>
      </w:r>
      <w:r>
        <w:rPr>
          <w:spacing w:val="-3"/>
        </w:rPr>
        <w:t xml:space="preserve"> </w:t>
      </w:r>
      <w:r>
        <w:t>$3.0</w:t>
      </w:r>
      <w:r>
        <w:rPr>
          <w:spacing w:val="-3"/>
        </w:rPr>
        <w:t xml:space="preserve"> </w:t>
      </w:r>
      <w:r>
        <w:t>billion</w:t>
      </w:r>
      <w:r>
        <w:rPr>
          <w:spacing w:val="-3"/>
        </w:rPr>
        <w:t xml:space="preserve"> </w:t>
      </w:r>
      <w:r>
        <w:t>($11.40</w:t>
      </w:r>
      <w:r>
        <w:rPr>
          <w:spacing w:val="-3"/>
        </w:rPr>
        <w:t xml:space="preserve"> </w:t>
      </w:r>
      <w:r>
        <w:t>per</w:t>
      </w:r>
      <w:r>
        <w:rPr>
          <w:spacing w:val="-3"/>
        </w:rPr>
        <w:t xml:space="preserve"> </w:t>
      </w:r>
      <w:r>
        <w:t>share)</w:t>
      </w:r>
      <w:r>
        <w:rPr>
          <w:spacing w:val="-3"/>
        </w:rPr>
        <w:t xml:space="preserve"> </w:t>
      </w:r>
      <w:r>
        <w:t>in</w:t>
      </w:r>
      <w:r>
        <w:rPr>
          <w:spacing w:val="-3"/>
        </w:rPr>
        <w:t xml:space="preserve"> </w:t>
      </w:r>
      <w:r>
        <w:t>2022,</w:t>
      </w:r>
      <w:r>
        <w:rPr>
          <w:spacing w:val="-3"/>
        </w:rPr>
        <w:t xml:space="preserve"> </w:t>
      </w:r>
      <w:r>
        <w:t>$2.9</w:t>
      </w:r>
      <w:r>
        <w:rPr>
          <w:spacing w:val="-3"/>
        </w:rPr>
        <w:t xml:space="preserve"> </w:t>
      </w:r>
      <w:r>
        <w:t>billion</w:t>
      </w:r>
      <w:r>
        <w:rPr>
          <w:spacing w:val="-3"/>
        </w:rPr>
        <w:t xml:space="preserve"> </w:t>
      </w:r>
      <w:r>
        <w:t>($10.60</w:t>
      </w:r>
      <w:r>
        <w:rPr>
          <w:spacing w:val="-3"/>
        </w:rPr>
        <w:t xml:space="preserve"> </w:t>
      </w:r>
      <w:r>
        <w:t>per</w:t>
      </w:r>
      <w:r>
        <w:rPr>
          <w:spacing w:val="-3"/>
        </w:rPr>
        <w:t xml:space="preserve"> </w:t>
      </w:r>
      <w:r>
        <w:t>share)</w:t>
      </w:r>
      <w:r>
        <w:rPr>
          <w:spacing w:val="-3"/>
        </w:rPr>
        <w:t xml:space="preserve"> </w:t>
      </w:r>
      <w:r>
        <w:t>in</w:t>
      </w:r>
      <w:r>
        <w:rPr>
          <w:spacing w:val="-3"/>
        </w:rPr>
        <w:t xml:space="preserve"> </w:t>
      </w:r>
      <w:r>
        <w:t>2021</w:t>
      </w:r>
      <w:r>
        <w:rPr>
          <w:spacing w:val="-3"/>
        </w:rPr>
        <w:t xml:space="preserve"> </w:t>
      </w:r>
      <w:r>
        <w:t>and</w:t>
      </w:r>
      <w:r>
        <w:rPr>
          <w:spacing w:val="-3"/>
        </w:rPr>
        <w:t xml:space="preserve"> </w:t>
      </w:r>
      <w:r>
        <w:t>$2.8</w:t>
      </w:r>
      <w:r>
        <w:rPr>
          <w:spacing w:val="-3"/>
        </w:rPr>
        <w:t xml:space="preserve"> </w:t>
      </w:r>
      <w:r>
        <w:t>billion ($9.80 per share) in 2020. We paid quarterly dividends of $2.80 per share during each of the first three quarters of 2022 and</w:t>
      </w:r>
    </w:p>
    <w:p w14:paraId="7877379F" w14:textId="77777777" w:rsidR="00AE2255" w:rsidRDefault="00000000">
      <w:pPr>
        <w:pStyle w:val="BodyText"/>
        <w:spacing w:before="1" w:line="249" w:lineRule="auto"/>
        <w:ind w:left="610" w:right="613"/>
        <w:jc w:val="both"/>
      </w:pPr>
      <w:r>
        <w:t>$3.00</w:t>
      </w:r>
      <w:r>
        <w:rPr>
          <w:spacing w:val="-2"/>
        </w:rPr>
        <w:t xml:space="preserve"> </w:t>
      </w:r>
      <w:r>
        <w:t>per</w:t>
      </w:r>
      <w:r>
        <w:rPr>
          <w:spacing w:val="-2"/>
        </w:rPr>
        <w:t xml:space="preserve"> </w:t>
      </w:r>
      <w:r>
        <w:t>share</w:t>
      </w:r>
      <w:r>
        <w:rPr>
          <w:spacing w:val="-3"/>
        </w:rPr>
        <w:t xml:space="preserve"> </w:t>
      </w:r>
      <w:r>
        <w:t>during</w:t>
      </w:r>
      <w:r>
        <w:rPr>
          <w:spacing w:val="-2"/>
        </w:rPr>
        <w:t xml:space="preserve"> </w:t>
      </w:r>
      <w:r>
        <w:t>the</w:t>
      </w:r>
      <w:r>
        <w:rPr>
          <w:spacing w:val="-3"/>
        </w:rPr>
        <w:t xml:space="preserve"> </w:t>
      </w:r>
      <w:r>
        <w:t>fourth</w:t>
      </w:r>
      <w:r>
        <w:rPr>
          <w:spacing w:val="-2"/>
        </w:rPr>
        <w:t xml:space="preserve"> </w:t>
      </w:r>
      <w:r>
        <w:t>quarter</w:t>
      </w:r>
      <w:r>
        <w:rPr>
          <w:spacing w:val="-2"/>
        </w:rPr>
        <w:t xml:space="preserve"> </w:t>
      </w:r>
      <w:r>
        <w:t>of</w:t>
      </w:r>
      <w:r>
        <w:rPr>
          <w:spacing w:val="-2"/>
        </w:rPr>
        <w:t xml:space="preserve"> </w:t>
      </w:r>
      <w:r>
        <w:t>2022;</w:t>
      </w:r>
      <w:r>
        <w:rPr>
          <w:spacing w:val="-3"/>
        </w:rPr>
        <w:t xml:space="preserve"> </w:t>
      </w:r>
      <w:r>
        <w:t>$2.60</w:t>
      </w:r>
      <w:r>
        <w:rPr>
          <w:spacing w:val="-2"/>
        </w:rPr>
        <w:t xml:space="preserve"> </w:t>
      </w:r>
      <w:r>
        <w:t>per</w:t>
      </w:r>
      <w:r>
        <w:rPr>
          <w:spacing w:val="-2"/>
        </w:rPr>
        <w:t xml:space="preserve"> </w:t>
      </w:r>
      <w:r>
        <w:t>share</w:t>
      </w:r>
      <w:r>
        <w:rPr>
          <w:spacing w:val="-3"/>
        </w:rPr>
        <w:t xml:space="preserve"> </w:t>
      </w:r>
      <w:r>
        <w:t>during</w:t>
      </w:r>
      <w:r>
        <w:rPr>
          <w:spacing w:val="-2"/>
        </w:rPr>
        <w:t xml:space="preserve"> </w:t>
      </w:r>
      <w:r>
        <w:t>each</w:t>
      </w:r>
      <w:r>
        <w:rPr>
          <w:spacing w:val="-2"/>
        </w:rPr>
        <w:t xml:space="preserve"> </w:t>
      </w:r>
      <w:r>
        <w:t>of</w:t>
      </w:r>
      <w:r>
        <w:rPr>
          <w:spacing w:val="-2"/>
        </w:rPr>
        <w:t xml:space="preserve"> </w:t>
      </w:r>
      <w:r>
        <w:t>the</w:t>
      </w:r>
      <w:r>
        <w:rPr>
          <w:spacing w:val="-3"/>
        </w:rPr>
        <w:t xml:space="preserve"> </w:t>
      </w:r>
      <w:r>
        <w:t>first</w:t>
      </w:r>
      <w:r>
        <w:rPr>
          <w:spacing w:val="-3"/>
        </w:rPr>
        <w:t xml:space="preserve"> </w:t>
      </w:r>
      <w:r>
        <w:t>three</w:t>
      </w:r>
      <w:r>
        <w:rPr>
          <w:spacing w:val="-3"/>
        </w:rPr>
        <w:t xml:space="preserve"> </w:t>
      </w:r>
      <w:r>
        <w:t>quarters</w:t>
      </w:r>
      <w:r>
        <w:rPr>
          <w:spacing w:val="-3"/>
        </w:rPr>
        <w:t xml:space="preserve"> </w:t>
      </w:r>
      <w:r>
        <w:t>of</w:t>
      </w:r>
      <w:r>
        <w:rPr>
          <w:spacing w:val="-2"/>
        </w:rPr>
        <w:t xml:space="preserve"> </w:t>
      </w:r>
      <w:r>
        <w:t>2021</w:t>
      </w:r>
      <w:r>
        <w:rPr>
          <w:spacing w:val="-2"/>
        </w:rPr>
        <w:t xml:space="preserve"> </w:t>
      </w:r>
      <w:r>
        <w:t>and</w:t>
      </w:r>
      <w:r>
        <w:rPr>
          <w:spacing w:val="-2"/>
        </w:rPr>
        <w:t xml:space="preserve"> </w:t>
      </w:r>
      <w:r>
        <w:t>$2.80</w:t>
      </w:r>
      <w:r>
        <w:rPr>
          <w:spacing w:val="-2"/>
        </w:rPr>
        <w:t xml:space="preserve"> </w:t>
      </w:r>
      <w:r>
        <w:t>per share</w:t>
      </w:r>
      <w:r>
        <w:rPr>
          <w:spacing w:val="-3"/>
        </w:rPr>
        <w:t xml:space="preserve"> </w:t>
      </w:r>
      <w:r>
        <w:t>during</w:t>
      </w:r>
      <w:r>
        <w:rPr>
          <w:spacing w:val="-2"/>
        </w:rPr>
        <w:t xml:space="preserve"> </w:t>
      </w:r>
      <w:r>
        <w:t>the</w:t>
      </w:r>
      <w:r>
        <w:rPr>
          <w:spacing w:val="-3"/>
        </w:rPr>
        <w:t xml:space="preserve"> </w:t>
      </w:r>
      <w:r>
        <w:t>fourth</w:t>
      </w:r>
      <w:r>
        <w:rPr>
          <w:spacing w:val="-2"/>
        </w:rPr>
        <w:t xml:space="preserve"> </w:t>
      </w:r>
      <w:r>
        <w:t>quarter</w:t>
      </w:r>
      <w:r>
        <w:rPr>
          <w:spacing w:val="-2"/>
        </w:rPr>
        <w:t xml:space="preserve"> </w:t>
      </w:r>
      <w:r>
        <w:t>of</w:t>
      </w:r>
      <w:r>
        <w:rPr>
          <w:spacing w:val="-2"/>
        </w:rPr>
        <w:t xml:space="preserve"> </w:t>
      </w:r>
      <w:r>
        <w:t>2021;</w:t>
      </w:r>
      <w:r>
        <w:rPr>
          <w:spacing w:val="-3"/>
        </w:rPr>
        <w:t xml:space="preserve"> </w:t>
      </w:r>
      <w:r>
        <w:t>and</w:t>
      </w:r>
      <w:r>
        <w:rPr>
          <w:spacing w:val="-2"/>
        </w:rPr>
        <w:t xml:space="preserve"> </w:t>
      </w:r>
      <w:r>
        <w:t>$2.40</w:t>
      </w:r>
      <w:r>
        <w:rPr>
          <w:spacing w:val="-2"/>
        </w:rPr>
        <w:t xml:space="preserve"> </w:t>
      </w:r>
      <w:r>
        <w:t>per</w:t>
      </w:r>
      <w:r>
        <w:rPr>
          <w:spacing w:val="-2"/>
        </w:rPr>
        <w:t xml:space="preserve"> </w:t>
      </w:r>
      <w:r>
        <w:t>share</w:t>
      </w:r>
      <w:r>
        <w:rPr>
          <w:spacing w:val="-3"/>
        </w:rPr>
        <w:t xml:space="preserve"> </w:t>
      </w:r>
      <w:r>
        <w:t>during</w:t>
      </w:r>
      <w:r>
        <w:rPr>
          <w:spacing w:val="-2"/>
        </w:rPr>
        <w:t xml:space="preserve"> </w:t>
      </w:r>
      <w:r>
        <w:t>each</w:t>
      </w:r>
      <w:r>
        <w:rPr>
          <w:spacing w:val="-2"/>
        </w:rPr>
        <w:t xml:space="preserve"> </w:t>
      </w:r>
      <w:r>
        <w:t>of</w:t>
      </w:r>
      <w:r>
        <w:rPr>
          <w:spacing w:val="-2"/>
        </w:rPr>
        <w:t xml:space="preserve"> </w:t>
      </w:r>
      <w:r>
        <w:t>the</w:t>
      </w:r>
      <w:r>
        <w:rPr>
          <w:spacing w:val="-3"/>
        </w:rPr>
        <w:t xml:space="preserve"> </w:t>
      </w:r>
      <w:r>
        <w:t>first</w:t>
      </w:r>
      <w:r>
        <w:rPr>
          <w:spacing w:val="-3"/>
        </w:rPr>
        <w:t xml:space="preserve"> </w:t>
      </w:r>
      <w:r>
        <w:t>three</w:t>
      </w:r>
      <w:r>
        <w:rPr>
          <w:spacing w:val="-3"/>
        </w:rPr>
        <w:t xml:space="preserve"> </w:t>
      </w:r>
      <w:r>
        <w:t>quarters</w:t>
      </w:r>
      <w:r>
        <w:rPr>
          <w:spacing w:val="-3"/>
        </w:rPr>
        <w:t xml:space="preserve"> </w:t>
      </w:r>
      <w:r>
        <w:t>of</w:t>
      </w:r>
      <w:r>
        <w:rPr>
          <w:spacing w:val="-2"/>
        </w:rPr>
        <w:t xml:space="preserve"> </w:t>
      </w:r>
      <w:r>
        <w:t>2020</w:t>
      </w:r>
      <w:r>
        <w:rPr>
          <w:spacing w:val="-2"/>
        </w:rPr>
        <w:t xml:space="preserve"> </w:t>
      </w:r>
      <w:r>
        <w:t>and</w:t>
      </w:r>
      <w:r>
        <w:rPr>
          <w:spacing w:val="-2"/>
        </w:rPr>
        <w:t xml:space="preserve"> </w:t>
      </w:r>
      <w:r>
        <w:t>$2.60</w:t>
      </w:r>
      <w:r>
        <w:rPr>
          <w:spacing w:val="-2"/>
        </w:rPr>
        <w:t xml:space="preserve"> </w:t>
      </w:r>
      <w:r>
        <w:t>per</w:t>
      </w:r>
      <w:r>
        <w:rPr>
          <w:spacing w:val="-2"/>
        </w:rPr>
        <w:t xml:space="preserve"> </w:t>
      </w:r>
      <w:r>
        <w:t>share during the fourth quarter of 2020.</w:t>
      </w:r>
    </w:p>
    <w:p w14:paraId="109DCEE4" w14:textId="77777777" w:rsidR="00AE2255" w:rsidRDefault="00AE2255">
      <w:pPr>
        <w:spacing w:line="249" w:lineRule="auto"/>
        <w:jc w:val="both"/>
        <w:sectPr w:rsidR="00AE2255">
          <w:pgSz w:w="12240" w:h="15840"/>
          <w:pgMar w:top="440" w:right="560" w:bottom="720" w:left="380" w:header="230" w:footer="531" w:gutter="0"/>
          <w:cols w:space="720"/>
        </w:sectPr>
      </w:pPr>
    </w:p>
    <w:p w14:paraId="1116CBAF" w14:textId="77777777" w:rsidR="00AE2255" w:rsidRDefault="00AE2255">
      <w:pPr>
        <w:pStyle w:val="BodyText"/>
        <w:spacing w:before="7"/>
        <w:rPr>
          <w:sz w:val="22"/>
        </w:rPr>
      </w:pPr>
    </w:p>
    <w:p w14:paraId="3290BDA9" w14:textId="77777777" w:rsidR="00AE2255" w:rsidRDefault="00000000">
      <w:pPr>
        <w:pStyle w:val="Heading2"/>
        <w:spacing w:before="92"/>
      </w:pPr>
      <w:r>
        <w:t>Accumulated</w:t>
      </w:r>
      <w:r>
        <w:rPr>
          <w:spacing w:val="-8"/>
        </w:rPr>
        <w:t xml:space="preserve"> </w:t>
      </w:r>
      <w:r>
        <w:t>Other</w:t>
      </w:r>
      <w:r>
        <w:rPr>
          <w:spacing w:val="-7"/>
        </w:rPr>
        <w:t xml:space="preserve"> </w:t>
      </w:r>
      <w:r>
        <w:t>Comprehensive</w:t>
      </w:r>
      <w:r>
        <w:rPr>
          <w:spacing w:val="-7"/>
        </w:rPr>
        <w:t xml:space="preserve"> </w:t>
      </w:r>
      <w:r>
        <w:rPr>
          <w:spacing w:val="-4"/>
        </w:rPr>
        <w:t>Loss</w:t>
      </w:r>
    </w:p>
    <w:p w14:paraId="75C8C200" w14:textId="77777777" w:rsidR="00AE2255" w:rsidRDefault="00AE2255">
      <w:pPr>
        <w:pStyle w:val="BodyText"/>
        <w:spacing w:before="6"/>
        <w:rPr>
          <w:b/>
          <w:sz w:val="18"/>
        </w:rPr>
      </w:pPr>
    </w:p>
    <w:p w14:paraId="31C77063" w14:textId="77777777" w:rsidR="00AE2255" w:rsidRDefault="00000000">
      <w:pPr>
        <w:pStyle w:val="BodyText"/>
        <w:ind w:left="970"/>
      </w:pPr>
      <w:r>
        <w:t>Changes</w:t>
      </w:r>
      <w:r>
        <w:rPr>
          <w:spacing w:val="-6"/>
        </w:rPr>
        <w:t xml:space="preserve"> </w:t>
      </w:r>
      <w:r>
        <w:t>in</w:t>
      </w:r>
      <w:r>
        <w:rPr>
          <w:spacing w:val="-2"/>
        </w:rPr>
        <w:t xml:space="preserve"> </w:t>
      </w:r>
      <w:r>
        <w:t>the</w:t>
      </w:r>
      <w:r>
        <w:rPr>
          <w:spacing w:val="-3"/>
        </w:rPr>
        <w:t xml:space="preserve"> </w:t>
      </w:r>
      <w:r>
        <w:t>balance</w:t>
      </w:r>
      <w:r>
        <w:rPr>
          <w:spacing w:val="-3"/>
        </w:rPr>
        <w:t xml:space="preserve"> </w:t>
      </w:r>
      <w:r>
        <w:t>of</w:t>
      </w:r>
      <w:r>
        <w:rPr>
          <w:spacing w:val="-2"/>
        </w:rPr>
        <w:t xml:space="preserve"> </w:t>
      </w:r>
      <w:r>
        <w:t>AOCL,</w:t>
      </w:r>
      <w:r>
        <w:rPr>
          <w:spacing w:val="-2"/>
        </w:rPr>
        <w:t xml:space="preserve"> </w:t>
      </w:r>
      <w:r>
        <w:t>net</w:t>
      </w:r>
      <w:r>
        <w:rPr>
          <w:spacing w:val="-3"/>
        </w:rPr>
        <w:t xml:space="preserve"> </w:t>
      </w:r>
      <w:r>
        <w:t>of</w:t>
      </w:r>
      <w:r>
        <w:rPr>
          <w:spacing w:val="-3"/>
        </w:rPr>
        <w:t xml:space="preserve"> </w:t>
      </w:r>
      <w:r>
        <w:t>taxes,</w:t>
      </w:r>
      <w:r>
        <w:rPr>
          <w:spacing w:val="-2"/>
        </w:rPr>
        <w:t xml:space="preserve"> </w:t>
      </w:r>
      <w:r>
        <w:t>consisted</w:t>
      </w:r>
      <w:r>
        <w:rPr>
          <w:spacing w:val="-2"/>
        </w:rPr>
        <w:t xml:space="preserve"> </w:t>
      </w:r>
      <w:r>
        <w:t>of</w:t>
      </w:r>
      <w:r>
        <w:rPr>
          <w:spacing w:val="-2"/>
        </w:rPr>
        <w:t xml:space="preserve"> </w:t>
      </w:r>
      <w:r>
        <w:t>the</w:t>
      </w:r>
      <w:r>
        <w:rPr>
          <w:spacing w:val="-3"/>
        </w:rPr>
        <w:t xml:space="preserve"> </w:t>
      </w:r>
      <w:r>
        <w:t>following</w:t>
      </w:r>
      <w:r>
        <w:rPr>
          <w:spacing w:val="-2"/>
        </w:rPr>
        <w:t xml:space="preserve"> </w:t>
      </w:r>
      <w:r>
        <w:t>(in</w:t>
      </w:r>
      <w:r>
        <w:rPr>
          <w:spacing w:val="-2"/>
        </w:rPr>
        <w:t xml:space="preserve"> millions):</w:t>
      </w:r>
    </w:p>
    <w:p w14:paraId="4B2F5F81" w14:textId="77777777" w:rsidR="00AE2255" w:rsidRDefault="00AE2255">
      <w:pPr>
        <w:pStyle w:val="BodyText"/>
        <w:spacing w:before="2"/>
        <w:rPr>
          <w:sz w:val="13"/>
        </w:rPr>
      </w:pPr>
    </w:p>
    <w:p w14:paraId="736FB406" w14:textId="77777777" w:rsidR="00AE2255" w:rsidRDefault="00000000">
      <w:pPr>
        <w:pStyle w:val="Heading2"/>
        <w:spacing w:before="92"/>
        <w:ind w:left="4435" w:right="1970"/>
        <w:jc w:val="center"/>
      </w:pPr>
      <w:r>
        <w:rPr>
          <w:spacing w:val="-2"/>
        </w:rPr>
        <w:t>Postretirement</w:t>
      </w:r>
    </w:p>
    <w:tbl>
      <w:tblPr>
        <w:tblW w:w="0" w:type="auto"/>
        <w:tblInd w:w="617" w:type="dxa"/>
        <w:tblLayout w:type="fixed"/>
        <w:tblCellMar>
          <w:left w:w="0" w:type="dxa"/>
          <w:right w:w="0" w:type="dxa"/>
        </w:tblCellMar>
        <w:tblLook w:val="01E0" w:firstRow="1" w:lastRow="1" w:firstColumn="1" w:lastColumn="1" w:noHBand="0" w:noVBand="0"/>
      </w:tblPr>
      <w:tblGrid>
        <w:gridCol w:w="5320"/>
        <w:gridCol w:w="1817"/>
        <w:gridCol w:w="1590"/>
        <w:gridCol w:w="1534"/>
      </w:tblGrid>
      <w:tr w:rsidR="00AE2255" w14:paraId="064A12F4" w14:textId="77777777">
        <w:trPr>
          <w:trHeight w:val="242"/>
        </w:trPr>
        <w:tc>
          <w:tcPr>
            <w:tcW w:w="5320" w:type="dxa"/>
            <w:tcBorders>
              <w:bottom w:val="single" w:sz="8" w:space="0" w:color="000000"/>
            </w:tcBorders>
          </w:tcPr>
          <w:p w14:paraId="1F5A340E" w14:textId="77777777" w:rsidR="00AE2255" w:rsidRDefault="00AE2255">
            <w:pPr>
              <w:pStyle w:val="TableParagraph"/>
              <w:spacing w:before="0"/>
              <w:jc w:val="left"/>
              <w:rPr>
                <w:sz w:val="16"/>
              </w:rPr>
            </w:pPr>
          </w:p>
        </w:tc>
        <w:tc>
          <w:tcPr>
            <w:tcW w:w="1817" w:type="dxa"/>
            <w:tcBorders>
              <w:bottom w:val="single" w:sz="12" w:space="0" w:color="000000"/>
            </w:tcBorders>
          </w:tcPr>
          <w:p w14:paraId="628BC9E3" w14:textId="77777777" w:rsidR="00AE2255" w:rsidRDefault="00000000">
            <w:pPr>
              <w:pStyle w:val="TableParagraph"/>
              <w:spacing w:before="0" w:line="200" w:lineRule="exact"/>
              <w:ind w:left="299"/>
              <w:jc w:val="left"/>
              <w:rPr>
                <w:sz w:val="20"/>
              </w:rPr>
            </w:pPr>
            <w:r>
              <w:rPr>
                <w:b/>
                <w:sz w:val="20"/>
              </w:rPr>
              <w:t>Benefit</w:t>
            </w:r>
            <w:r>
              <w:rPr>
                <w:b/>
                <w:spacing w:val="-5"/>
                <w:sz w:val="20"/>
              </w:rPr>
              <w:t xml:space="preserve"> </w:t>
            </w:r>
            <w:r>
              <w:rPr>
                <w:b/>
                <w:sz w:val="20"/>
              </w:rPr>
              <w:t>Plans</w:t>
            </w:r>
            <w:r>
              <w:rPr>
                <w:b/>
                <w:spacing w:val="-4"/>
                <w:sz w:val="20"/>
              </w:rPr>
              <w:t xml:space="preserve"> </w:t>
            </w:r>
            <w:r>
              <w:rPr>
                <w:spacing w:val="-5"/>
                <w:sz w:val="20"/>
                <w:vertAlign w:val="superscript"/>
              </w:rPr>
              <w:t>(a)</w:t>
            </w:r>
          </w:p>
        </w:tc>
        <w:tc>
          <w:tcPr>
            <w:tcW w:w="1590" w:type="dxa"/>
            <w:tcBorders>
              <w:bottom w:val="single" w:sz="12" w:space="0" w:color="000000"/>
            </w:tcBorders>
          </w:tcPr>
          <w:p w14:paraId="27CCEA46" w14:textId="77777777" w:rsidR="00AE2255" w:rsidRDefault="00000000">
            <w:pPr>
              <w:pStyle w:val="TableParagraph"/>
              <w:spacing w:before="0" w:line="200" w:lineRule="exact"/>
              <w:ind w:right="107"/>
              <w:rPr>
                <w:b/>
                <w:sz w:val="20"/>
              </w:rPr>
            </w:pPr>
            <w:r>
              <w:rPr>
                <w:b/>
                <w:sz w:val="20"/>
              </w:rPr>
              <w:t>Other,</w:t>
            </w:r>
            <w:r>
              <w:rPr>
                <w:b/>
                <w:spacing w:val="-4"/>
                <w:sz w:val="20"/>
              </w:rPr>
              <w:t xml:space="preserve"> </w:t>
            </w:r>
            <w:r>
              <w:rPr>
                <w:b/>
                <w:spacing w:val="-5"/>
                <w:sz w:val="20"/>
              </w:rPr>
              <w:t>net</w:t>
            </w:r>
          </w:p>
        </w:tc>
        <w:tc>
          <w:tcPr>
            <w:tcW w:w="1534" w:type="dxa"/>
            <w:tcBorders>
              <w:bottom w:val="single" w:sz="12" w:space="0" w:color="000000"/>
            </w:tcBorders>
          </w:tcPr>
          <w:p w14:paraId="7B444CFA" w14:textId="77777777" w:rsidR="00AE2255" w:rsidRDefault="00000000">
            <w:pPr>
              <w:pStyle w:val="TableParagraph"/>
              <w:spacing w:before="0" w:line="200" w:lineRule="exact"/>
              <w:ind w:right="51"/>
              <w:rPr>
                <w:b/>
                <w:sz w:val="20"/>
              </w:rPr>
            </w:pPr>
            <w:r>
              <w:rPr>
                <w:b/>
                <w:spacing w:val="-4"/>
                <w:sz w:val="20"/>
              </w:rPr>
              <w:t>AOCL</w:t>
            </w:r>
          </w:p>
        </w:tc>
      </w:tr>
      <w:tr w:rsidR="00AE2255" w14:paraId="4ED76564" w14:textId="77777777">
        <w:trPr>
          <w:trHeight w:val="270"/>
        </w:trPr>
        <w:tc>
          <w:tcPr>
            <w:tcW w:w="5320" w:type="dxa"/>
            <w:tcBorders>
              <w:top w:val="single" w:sz="8" w:space="0" w:color="000000"/>
            </w:tcBorders>
            <w:shd w:val="clear" w:color="auto" w:fill="CCEDFF"/>
          </w:tcPr>
          <w:p w14:paraId="62C5BF21" w14:textId="77777777" w:rsidR="00AE2255" w:rsidRDefault="00000000">
            <w:pPr>
              <w:pStyle w:val="TableParagraph"/>
              <w:spacing w:before="0" w:line="213"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2019</w:t>
            </w:r>
          </w:p>
        </w:tc>
        <w:tc>
          <w:tcPr>
            <w:tcW w:w="1817" w:type="dxa"/>
            <w:tcBorders>
              <w:top w:val="single" w:sz="12" w:space="0" w:color="000000"/>
            </w:tcBorders>
            <w:shd w:val="clear" w:color="auto" w:fill="CCEDFF"/>
          </w:tcPr>
          <w:p w14:paraId="5742406F" w14:textId="77777777" w:rsidR="00AE2255" w:rsidRDefault="00000000">
            <w:pPr>
              <w:pStyle w:val="TableParagraph"/>
              <w:tabs>
                <w:tab w:val="left" w:pos="764"/>
              </w:tabs>
              <w:spacing w:before="0" w:line="213" w:lineRule="exact"/>
              <w:ind w:right="71"/>
              <w:rPr>
                <w:sz w:val="20"/>
              </w:rPr>
            </w:pPr>
            <w:r>
              <w:rPr>
                <w:spacing w:val="-10"/>
                <w:sz w:val="20"/>
              </w:rPr>
              <w:t>$</w:t>
            </w:r>
            <w:r>
              <w:rPr>
                <w:sz w:val="20"/>
              </w:rPr>
              <w:tab/>
            </w:r>
            <w:r>
              <w:rPr>
                <w:spacing w:val="-2"/>
                <w:sz w:val="20"/>
              </w:rPr>
              <w:t>(15,528)</w:t>
            </w:r>
          </w:p>
        </w:tc>
        <w:tc>
          <w:tcPr>
            <w:tcW w:w="1590" w:type="dxa"/>
            <w:tcBorders>
              <w:top w:val="single" w:sz="12" w:space="0" w:color="000000"/>
            </w:tcBorders>
            <w:shd w:val="clear" w:color="auto" w:fill="CCEDFF"/>
          </w:tcPr>
          <w:p w14:paraId="23AECE4C" w14:textId="77777777" w:rsidR="00AE2255" w:rsidRDefault="00000000">
            <w:pPr>
              <w:pStyle w:val="TableParagraph"/>
              <w:tabs>
                <w:tab w:val="left" w:pos="1114"/>
              </w:tabs>
              <w:spacing w:before="0" w:line="213" w:lineRule="exact"/>
              <w:ind w:right="71"/>
              <w:rPr>
                <w:sz w:val="20"/>
              </w:rPr>
            </w:pPr>
            <w:r>
              <w:rPr>
                <w:spacing w:val="-10"/>
                <w:sz w:val="20"/>
              </w:rPr>
              <w:t>$</w:t>
            </w:r>
            <w:r>
              <w:rPr>
                <w:sz w:val="20"/>
              </w:rPr>
              <w:tab/>
            </w:r>
            <w:r>
              <w:rPr>
                <w:spacing w:val="-4"/>
                <w:sz w:val="20"/>
              </w:rPr>
              <w:t>(26)</w:t>
            </w:r>
          </w:p>
        </w:tc>
        <w:tc>
          <w:tcPr>
            <w:tcW w:w="1534" w:type="dxa"/>
            <w:tcBorders>
              <w:top w:val="single" w:sz="12" w:space="0" w:color="000000"/>
            </w:tcBorders>
            <w:shd w:val="clear" w:color="auto" w:fill="CCEDFF"/>
          </w:tcPr>
          <w:p w14:paraId="042D09A3" w14:textId="77777777" w:rsidR="00AE2255" w:rsidRDefault="00000000">
            <w:pPr>
              <w:pStyle w:val="TableParagraph"/>
              <w:tabs>
                <w:tab w:val="left" w:pos="764"/>
              </w:tabs>
              <w:spacing w:before="0" w:line="213" w:lineRule="exact"/>
              <w:ind w:right="15"/>
              <w:rPr>
                <w:sz w:val="20"/>
              </w:rPr>
            </w:pPr>
            <w:r>
              <w:rPr>
                <w:spacing w:val="-10"/>
                <w:sz w:val="20"/>
              </w:rPr>
              <w:t>$</w:t>
            </w:r>
            <w:r>
              <w:rPr>
                <w:sz w:val="20"/>
              </w:rPr>
              <w:tab/>
            </w:r>
            <w:r>
              <w:rPr>
                <w:spacing w:val="-2"/>
                <w:sz w:val="20"/>
              </w:rPr>
              <w:t>(15,554)</w:t>
            </w:r>
          </w:p>
        </w:tc>
      </w:tr>
      <w:tr w:rsidR="00AE2255" w14:paraId="77280A3D" w14:textId="77777777">
        <w:trPr>
          <w:trHeight w:val="285"/>
        </w:trPr>
        <w:tc>
          <w:tcPr>
            <w:tcW w:w="5320" w:type="dxa"/>
          </w:tcPr>
          <w:p w14:paraId="3859897E" w14:textId="77777777" w:rsidR="00AE2255" w:rsidRDefault="00000000">
            <w:pPr>
              <w:pStyle w:val="TableParagraph"/>
              <w:spacing w:before="0" w:line="229" w:lineRule="exact"/>
              <w:ind w:right="296"/>
              <w:rPr>
                <w:sz w:val="20"/>
              </w:rPr>
            </w:pPr>
            <w:r>
              <w:rPr>
                <w:sz w:val="20"/>
              </w:rPr>
              <w:t>Other</w:t>
            </w:r>
            <w:r>
              <w:rPr>
                <w:spacing w:val="-6"/>
                <w:sz w:val="20"/>
              </w:rPr>
              <w:t xml:space="preserve"> </w:t>
            </w:r>
            <w:r>
              <w:rPr>
                <w:sz w:val="20"/>
              </w:rPr>
              <w:t>comprehensive</w:t>
            </w:r>
            <w:r>
              <w:rPr>
                <w:spacing w:val="-4"/>
                <w:sz w:val="20"/>
              </w:rPr>
              <w:t xml:space="preserve"> </w:t>
            </w:r>
            <w:r>
              <w:rPr>
                <w:sz w:val="20"/>
              </w:rPr>
              <w:t>(loss)</w:t>
            </w:r>
            <w:r>
              <w:rPr>
                <w:spacing w:val="-3"/>
                <w:sz w:val="20"/>
              </w:rPr>
              <w:t xml:space="preserve"> </w:t>
            </w:r>
            <w:r>
              <w:rPr>
                <w:sz w:val="20"/>
              </w:rPr>
              <w:t>income</w:t>
            </w:r>
            <w:r>
              <w:rPr>
                <w:spacing w:val="-4"/>
                <w:sz w:val="20"/>
              </w:rPr>
              <w:t xml:space="preserve"> </w:t>
            </w:r>
            <w:r>
              <w:rPr>
                <w:sz w:val="20"/>
              </w:rPr>
              <w:t>before</w:t>
            </w:r>
            <w:r>
              <w:rPr>
                <w:spacing w:val="-4"/>
                <w:sz w:val="20"/>
              </w:rPr>
              <w:t xml:space="preserve"> </w:t>
            </w:r>
            <w:r>
              <w:rPr>
                <w:spacing w:val="-2"/>
                <w:sz w:val="20"/>
              </w:rPr>
              <w:t>reclassifications</w:t>
            </w:r>
          </w:p>
        </w:tc>
        <w:tc>
          <w:tcPr>
            <w:tcW w:w="1817" w:type="dxa"/>
          </w:tcPr>
          <w:p w14:paraId="5DFC6A48" w14:textId="77777777" w:rsidR="00AE2255" w:rsidRDefault="00000000">
            <w:pPr>
              <w:pStyle w:val="TableParagraph"/>
              <w:spacing w:before="0" w:line="228" w:lineRule="exact"/>
              <w:ind w:right="71"/>
              <w:rPr>
                <w:sz w:val="20"/>
              </w:rPr>
            </w:pPr>
            <w:r>
              <w:rPr>
                <w:spacing w:val="-2"/>
                <w:sz w:val="20"/>
              </w:rPr>
              <w:t>(1,067)</w:t>
            </w:r>
          </w:p>
        </w:tc>
        <w:tc>
          <w:tcPr>
            <w:tcW w:w="1590" w:type="dxa"/>
          </w:tcPr>
          <w:p w14:paraId="37863F3F" w14:textId="77777777" w:rsidR="00AE2255" w:rsidRDefault="00000000">
            <w:pPr>
              <w:pStyle w:val="TableParagraph"/>
              <w:spacing w:before="0" w:line="228" w:lineRule="exact"/>
              <w:ind w:right="136"/>
              <w:rPr>
                <w:sz w:val="20"/>
              </w:rPr>
            </w:pPr>
            <w:r>
              <w:rPr>
                <w:spacing w:val="-5"/>
                <w:sz w:val="20"/>
              </w:rPr>
              <w:t>56</w:t>
            </w:r>
          </w:p>
        </w:tc>
        <w:tc>
          <w:tcPr>
            <w:tcW w:w="1534" w:type="dxa"/>
          </w:tcPr>
          <w:p w14:paraId="34352DBA" w14:textId="77777777" w:rsidR="00AE2255" w:rsidRDefault="00000000">
            <w:pPr>
              <w:pStyle w:val="TableParagraph"/>
              <w:spacing w:before="0" w:line="228" w:lineRule="exact"/>
              <w:ind w:right="15"/>
              <w:rPr>
                <w:sz w:val="20"/>
              </w:rPr>
            </w:pPr>
            <w:r>
              <w:rPr>
                <w:spacing w:val="-2"/>
                <w:sz w:val="20"/>
              </w:rPr>
              <w:t>(1,011)</w:t>
            </w:r>
          </w:p>
        </w:tc>
      </w:tr>
      <w:tr w:rsidR="00AE2255" w14:paraId="7719EF9C" w14:textId="77777777">
        <w:trPr>
          <w:trHeight w:val="285"/>
        </w:trPr>
        <w:tc>
          <w:tcPr>
            <w:tcW w:w="5320" w:type="dxa"/>
            <w:shd w:val="clear" w:color="auto" w:fill="CCEDFF"/>
          </w:tcPr>
          <w:p w14:paraId="561DC5E9" w14:textId="77777777" w:rsidR="00AE2255" w:rsidRDefault="00000000">
            <w:pPr>
              <w:pStyle w:val="TableParagraph"/>
              <w:spacing w:before="0" w:line="229" w:lineRule="exact"/>
              <w:ind w:left="277"/>
              <w:jc w:val="left"/>
              <w:rPr>
                <w:sz w:val="20"/>
              </w:rPr>
            </w:pPr>
            <w:r>
              <w:rPr>
                <w:sz w:val="20"/>
              </w:rPr>
              <w:t>Amounts</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shd w:val="clear" w:color="auto" w:fill="CCEDFF"/>
          </w:tcPr>
          <w:p w14:paraId="4F3E704F" w14:textId="77777777" w:rsidR="00AE2255" w:rsidRDefault="00AE2255">
            <w:pPr>
              <w:pStyle w:val="TableParagraph"/>
              <w:spacing w:before="0"/>
              <w:jc w:val="left"/>
              <w:rPr>
                <w:sz w:val="18"/>
              </w:rPr>
            </w:pPr>
          </w:p>
        </w:tc>
        <w:tc>
          <w:tcPr>
            <w:tcW w:w="1590" w:type="dxa"/>
            <w:shd w:val="clear" w:color="auto" w:fill="CCEDFF"/>
          </w:tcPr>
          <w:p w14:paraId="2967596C" w14:textId="77777777" w:rsidR="00AE2255" w:rsidRDefault="00AE2255">
            <w:pPr>
              <w:pStyle w:val="TableParagraph"/>
              <w:spacing w:before="0"/>
              <w:jc w:val="left"/>
              <w:rPr>
                <w:sz w:val="18"/>
              </w:rPr>
            </w:pPr>
          </w:p>
        </w:tc>
        <w:tc>
          <w:tcPr>
            <w:tcW w:w="1534" w:type="dxa"/>
            <w:shd w:val="clear" w:color="auto" w:fill="CCEDFF"/>
          </w:tcPr>
          <w:p w14:paraId="7CDE4C16" w14:textId="77777777" w:rsidR="00AE2255" w:rsidRDefault="00AE2255">
            <w:pPr>
              <w:pStyle w:val="TableParagraph"/>
              <w:spacing w:before="0"/>
              <w:jc w:val="left"/>
              <w:rPr>
                <w:sz w:val="18"/>
              </w:rPr>
            </w:pPr>
          </w:p>
        </w:tc>
      </w:tr>
      <w:tr w:rsidR="00AE2255" w14:paraId="3AF281F9" w14:textId="77777777">
        <w:trPr>
          <w:trHeight w:val="285"/>
        </w:trPr>
        <w:tc>
          <w:tcPr>
            <w:tcW w:w="5320" w:type="dxa"/>
          </w:tcPr>
          <w:p w14:paraId="390A2B2F" w14:textId="77777777" w:rsidR="00AE2255" w:rsidRDefault="00000000">
            <w:pPr>
              <w:pStyle w:val="TableParagraph"/>
              <w:spacing w:before="0" w:line="229" w:lineRule="exact"/>
              <w:ind w:left="547"/>
              <w:jc w:val="left"/>
              <w:rPr>
                <w:sz w:val="20"/>
              </w:rPr>
            </w:pPr>
            <w:r>
              <w:rPr>
                <w:sz w:val="20"/>
              </w:rPr>
              <w:t>Recognition</w:t>
            </w:r>
            <w:r>
              <w:rPr>
                <w:spacing w:val="-4"/>
                <w:sz w:val="20"/>
              </w:rPr>
              <w:t xml:space="preserve"> </w:t>
            </w:r>
            <w:r>
              <w:rPr>
                <w:sz w:val="20"/>
              </w:rPr>
              <w:t>of</w:t>
            </w:r>
            <w:r>
              <w:rPr>
                <w:spacing w:val="-3"/>
                <w:sz w:val="20"/>
              </w:rPr>
              <w:t xml:space="preserve"> </w:t>
            </w:r>
            <w:r>
              <w:rPr>
                <w:sz w:val="20"/>
              </w:rPr>
              <w:t>net</w:t>
            </w:r>
            <w:r>
              <w:rPr>
                <w:spacing w:val="-4"/>
                <w:sz w:val="20"/>
              </w:rPr>
              <w:t xml:space="preserve"> </w:t>
            </w:r>
            <w:r>
              <w:rPr>
                <w:sz w:val="20"/>
              </w:rPr>
              <w:t>actuarial</w:t>
            </w:r>
            <w:r>
              <w:rPr>
                <w:spacing w:val="-4"/>
                <w:sz w:val="20"/>
              </w:rPr>
              <w:t xml:space="preserve"> </w:t>
            </w:r>
            <w:r>
              <w:rPr>
                <w:spacing w:val="-2"/>
                <w:sz w:val="20"/>
              </w:rPr>
              <w:t>losses</w:t>
            </w:r>
          </w:p>
        </w:tc>
        <w:tc>
          <w:tcPr>
            <w:tcW w:w="1817" w:type="dxa"/>
          </w:tcPr>
          <w:p w14:paraId="5627791F" w14:textId="77777777" w:rsidR="00AE2255" w:rsidRDefault="00000000">
            <w:pPr>
              <w:pStyle w:val="TableParagraph"/>
              <w:spacing w:before="0" w:line="228" w:lineRule="exact"/>
              <w:ind w:right="136"/>
              <w:rPr>
                <w:sz w:val="20"/>
              </w:rPr>
            </w:pPr>
            <w:r>
              <w:rPr>
                <w:spacing w:val="-5"/>
                <w:sz w:val="20"/>
              </w:rPr>
              <w:t>689</w:t>
            </w:r>
          </w:p>
        </w:tc>
        <w:tc>
          <w:tcPr>
            <w:tcW w:w="1590" w:type="dxa"/>
          </w:tcPr>
          <w:p w14:paraId="435E8C4D" w14:textId="77777777" w:rsidR="00AE2255" w:rsidRDefault="00000000">
            <w:pPr>
              <w:pStyle w:val="TableParagraph"/>
              <w:spacing w:before="0" w:line="228" w:lineRule="exact"/>
              <w:ind w:right="136"/>
              <w:rPr>
                <w:sz w:val="20"/>
              </w:rPr>
            </w:pPr>
            <w:r>
              <w:rPr>
                <w:sz w:val="20"/>
              </w:rPr>
              <w:t>—</w:t>
            </w:r>
          </w:p>
        </w:tc>
        <w:tc>
          <w:tcPr>
            <w:tcW w:w="1534" w:type="dxa"/>
          </w:tcPr>
          <w:p w14:paraId="1D395159" w14:textId="77777777" w:rsidR="00AE2255" w:rsidRDefault="00000000">
            <w:pPr>
              <w:pStyle w:val="TableParagraph"/>
              <w:spacing w:before="0" w:line="228" w:lineRule="exact"/>
              <w:ind w:right="80"/>
              <w:rPr>
                <w:sz w:val="20"/>
              </w:rPr>
            </w:pPr>
            <w:r>
              <w:rPr>
                <w:spacing w:val="-5"/>
                <w:sz w:val="20"/>
              </w:rPr>
              <w:t>689</w:t>
            </w:r>
          </w:p>
        </w:tc>
      </w:tr>
      <w:tr w:rsidR="00AE2255" w14:paraId="724DC7A5" w14:textId="77777777">
        <w:trPr>
          <w:trHeight w:val="285"/>
        </w:trPr>
        <w:tc>
          <w:tcPr>
            <w:tcW w:w="5320" w:type="dxa"/>
            <w:shd w:val="clear" w:color="auto" w:fill="CCEDFF"/>
          </w:tcPr>
          <w:p w14:paraId="0471019B" w14:textId="77777777" w:rsidR="00AE2255" w:rsidRDefault="00000000">
            <w:pPr>
              <w:pStyle w:val="TableParagraph"/>
              <w:spacing w:before="0" w:line="229" w:lineRule="exact"/>
              <w:ind w:left="547"/>
              <w:jc w:val="left"/>
              <w:rPr>
                <w:sz w:val="20"/>
              </w:rPr>
            </w:pPr>
            <w:r>
              <w:rPr>
                <w:sz w:val="20"/>
              </w:rPr>
              <w:t>Amortization</w:t>
            </w:r>
            <w:r>
              <w:rPr>
                <w:spacing w:val="-3"/>
                <w:sz w:val="20"/>
              </w:rPr>
              <w:t xml:space="preserve"> </w:t>
            </w:r>
            <w:r>
              <w:rPr>
                <w:sz w:val="20"/>
              </w:rPr>
              <w:t>of</w:t>
            </w:r>
            <w:r>
              <w:rPr>
                <w:spacing w:val="-3"/>
                <w:sz w:val="20"/>
              </w:rPr>
              <w:t xml:space="preserve"> </w:t>
            </w:r>
            <w:r>
              <w:rPr>
                <w:sz w:val="20"/>
              </w:rPr>
              <w:t>net</w:t>
            </w:r>
            <w:r>
              <w:rPr>
                <w:spacing w:val="-4"/>
                <w:sz w:val="20"/>
              </w:rPr>
              <w:t xml:space="preserve"> </w:t>
            </w:r>
            <w:r>
              <w:rPr>
                <w:sz w:val="20"/>
              </w:rPr>
              <w:t>prior</w:t>
            </w:r>
            <w:r>
              <w:rPr>
                <w:spacing w:val="-3"/>
                <w:sz w:val="20"/>
              </w:rPr>
              <w:t xml:space="preserve"> </w:t>
            </w:r>
            <w:r>
              <w:rPr>
                <w:sz w:val="20"/>
              </w:rPr>
              <w:t>service</w:t>
            </w:r>
            <w:r>
              <w:rPr>
                <w:spacing w:val="-3"/>
                <w:sz w:val="20"/>
              </w:rPr>
              <w:t xml:space="preserve"> </w:t>
            </w:r>
            <w:r>
              <w:rPr>
                <w:spacing w:val="-2"/>
                <w:sz w:val="20"/>
              </w:rPr>
              <w:t>credits</w:t>
            </w:r>
          </w:p>
        </w:tc>
        <w:tc>
          <w:tcPr>
            <w:tcW w:w="1817" w:type="dxa"/>
            <w:shd w:val="clear" w:color="auto" w:fill="CCEDFF"/>
          </w:tcPr>
          <w:p w14:paraId="7E574A1B" w14:textId="77777777" w:rsidR="00AE2255" w:rsidRDefault="00000000">
            <w:pPr>
              <w:pStyle w:val="TableParagraph"/>
              <w:spacing w:before="0" w:line="228" w:lineRule="exact"/>
              <w:ind w:right="71"/>
              <w:rPr>
                <w:sz w:val="20"/>
              </w:rPr>
            </w:pPr>
            <w:r>
              <w:rPr>
                <w:spacing w:val="-2"/>
                <w:sz w:val="20"/>
              </w:rPr>
              <w:t>(249)</w:t>
            </w:r>
          </w:p>
        </w:tc>
        <w:tc>
          <w:tcPr>
            <w:tcW w:w="1590" w:type="dxa"/>
            <w:shd w:val="clear" w:color="auto" w:fill="CCEDFF"/>
          </w:tcPr>
          <w:p w14:paraId="75C2F3DA" w14:textId="77777777" w:rsidR="00AE2255" w:rsidRDefault="00000000">
            <w:pPr>
              <w:pStyle w:val="TableParagraph"/>
              <w:spacing w:before="0" w:line="228" w:lineRule="exact"/>
              <w:ind w:right="136"/>
              <w:rPr>
                <w:sz w:val="20"/>
              </w:rPr>
            </w:pPr>
            <w:r>
              <w:rPr>
                <w:sz w:val="20"/>
              </w:rPr>
              <w:t>—</w:t>
            </w:r>
          </w:p>
        </w:tc>
        <w:tc>
          <w:tcPr>
            <w:tcW w:w="1534" w:type="dxa"/>
            <w:shd w:val="clear" w:color="auto" w:fill="CCEDFF"/>
          </w:tcPr>
          <w:p w14:paraId="5311F0C0" w14:textId="77777777" w:rsidR="00AE2255" w:rsidRDefault="00000000">
            <w:pPr>
              <w:pStyle w:val="TableParagraph"/>
              <w:spacing w:before="0" w:line="228" w:lineRule="exact"/>
              <w:ind w:right="15"/>
              <w:rPr>
                <w:sz w:val="20"/>
              </w:rPr>
            </w:pPr>
            <w:r>
              <w:rPr>
                <w:spacing w:val="-2"/>
                <w:sz w:val="20"/>
              </w:rPr>
              <w:t>(249)</w:t>
            </w:r>
          </w:p>
        </w:tc>
      </w:tr>
      <w:tr w:rsidR="00AE2255" w14:paraId="492253B7" w14:textId="77777777">
        <w:trPr>
          <w:trHeight w:val="275"/>
        </w:trPr>
        <w:tc>
          <w:tcPr>
            <w:tcW w:w="5320" w:type="dxa"/>
            <w:tcBorders>
              <w:bottom w:val="single" w:sz="8" w:space="0" w:color="auto"/>
            </w:tcBorders>
          </w:tcPr>
          <w:p w14:paraId="2CF0F33D" w14:textId="77777777" w:rsidR="00AE2255" w:rsidRDefault="00000000">
            <w:pPr>
              <w:pStyle w:val="TableParagraph"/>
              <w:spacing w:before="0" w:line="229" w:lineRule="exact"/>
              <w:ind w:left="547"/>
              <w:jc w:val="left"/>
              <w:rPr>
                <w:sz w:val="20"/>
              </w:rPr>
            </w:pPr>
            <w:r>
              <w:rPr>
                <w:spacing w:val="-2"/>
                <w:sz w:val="20"/>
              </w:rPr>
              <w:t>Other</w:t>
            </w:r>
          </w:p>
        </w:tc>
        <w:tc>
          <w:tcPr>
            <w:tcW w:w="1817" w:type="dxa"/>
            <w:tcBorders>
              <w:bottom w:val="single" w:sz="8" w:space="0" w:color="auto"/>
            </w:tcBorders>
          </w:tcPr>
          <w:p w14:paraId="32B02D06" w14:textId="77777777" w:rsidR="00AE2255" w:rsidRDefault="00000000">
            <w:pPr>
              <w:pStyle w:val="TableParagraph"/>
              <w:spacing w:before="0" w:line="228" w:lineRule="exact"/>
              <w:ind w:right="136"/>
              <w:rPr>
                <w:sz w:val="20"/>
              </w:rPr>
            </w:pPr>
            <w:r>
              <w:rPr>
                <w:sz w:val="20"/>
              </w:rPr>
              <w:t>—</w:t>
            </w:r>
          </w:p>
        </w:tc>
        <w:tc>
          <w:tcPr>
            <w:tcW w:w="1590" w:type="dxa"/>
            <w:tcBorders>
              <w:bottom w:val="single" w:sz="8" w:space="0" w:color="auto"/>
            </w:tcBorders>
          </w:tcPr>
          <w:p w14:paraId="2BBC0C0F" w14:textId="77777777" w:rsidR="00AE2255" w:rsidRDefault="00000000">
            <w:pPr>
              <w:pStyle w:val="TableParagraph"/>
              <w:spacing w:before="0" w:line="228" w:lineRule="exact"/>
              <w:ind w:right="136"/>
              <w:rPr>
                <w:sz w:val="20"/>
              </w:rPr>
            </w:pPr>
            <w:r>
              <w:rPr>
                <w:sz w:val="20"/>
              </w:rPr>
              <w:t>4</w:t>
            </w:r>
          </w:p>
        </w:tc>
        <w:tc>
          <w:tcPr>
            <w:tcW w:w="1534" w:type="dxa"/>
            <w:tcBorders>
              <w:bottom w:val="single" w:sz="8" w:space="0" w:color="auto"/>
            </w:tcBorders>
          </w:tcPr>
          <w:p w14:paraId="68275CDC" w14:textId="77777777" w:rsidR="00AE2255" w:rsidRDefault="00000000">
            <w:pPr>
              <w:pStyle w:val="TableParagraph"/>
              <w:spacing w:before="0" w:line="228" w:lineRule="exact"/>
              <w:ind w:right="80"/>
              <w:rPr>
                <w:sz w:val="20"/>
              </w:rPr>
            </w:pPr>
            <w:r>
              <w:rPr>
                <w:sz w:val="20"/>
              </w:rPr>
              <w:t>4</w:t>
            </w:r>
          </w:p>
        </w:tc>
      </w:tr>
      <w:tr w:rsidR="00AE2255" w14:paraId="11FEEA1F" w14:textId="77777777">
        <w:trPr>
          <w:trHeight w:val="265"/>
        </w:trPr>
        <w:tc>
          <w:tcPr>
            <w:tcW w:w="5320" w:type="dxa"/>
            <w:tcBorders>
              <w:top w:val="single" w:sz="8" w:space="0" w:color="CCEDFF"/>
              <w:bottom w:val="single" w:sz="8" w:space="0" w:color="CCEDFF"/>
            </w:tcBorders>
            <w:shd w:val="clear" w:color="auto" w:fill="CCEDFF"/>
          </w:tcPr>
          <w:p w14:paraId="44F26D9F" w14:textId="77777777" w:rsidR="00AE2255" w:rsidRDefault="00000000">
            <w:pPr>
              <w:pStyle w:val="TableParagraph"/>
              <w:spacing w:before="0" w:line="219" w:lineRule="exact"/>
              <w:ind w:left="412"/>
              <w:jc w:val="left"/>
              <w:rPr>
                <w:sz w:val="20"/>
              </w:rPr>
            </w:pPr>
            <w:r>
              <w:rPr>
                <w:sz w:val="20"/>
              </w:rPr>
              <w:t>Total</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tcBorders>
              <w:top w:val="single" w:sz="8" w:space="0" w:color="CCEDFF"/>
              <w:bottom w:val="single" w:sz="8" w:space="0" w:color="CCEDFF"/>
            </w:tcBorders>
            <w:shd w:val="clear" w:color="auto" w:fill="CCEDFF"/>
          </w:tcPr>
          <w:p w14:paraId="236433F2" w14:textId="77777777" w:rsidR="00AE2255" w:rsidRDefault="00000000">
            <w:pPr>
              <w:pStyle w:val="TableParagraph"/>
              <w:spacing w:before="0" w:line="218" w:lineRule="exact"/>
              <w:ind w:right="136"/>
              <w:rPr>
                <w:sz w:val="20"/>
              </w:rPr>
            </w:pPr>
            <w:r>
              <w:rPr>
                <w:spacing w:val="-5"/>
                <w:sz w:val="20"/>
              </w:rPr>
              <w:t>440</w:t>
            </w:r>
          </w:p>
        </w:tc>
        <w:tc>
          <w:tcPr>
            <w:tcW w:w="1590" w:type="dxa"/>
            <w:tcBorders>
              <w:top w:val="single" w:sz="8" w:space="0" w:color="CCEDFF"/>
              <w:bottom w:val="single" w:sz="8" w:space="0" w:color="CCEDFF"/>
            </w:tcBorders>
            <w:shd w:val="clear" w:color="auto" w:fill="CCEDFF"/>
          </w:tcPr>
          <w:p w14:paraId="562993D1" w14:textId="77777777" w:rsidR="00AE2255" w:rsidRDefault="00000000">
            <w:pPr>
              <w:pStyle w:val="TableParagraph"/>
              <w:spacing w:before="0" w:line="218" w:lineRule="exact"/>
              <w:ind w:right="136"/>
              <w:rPr>
                <w:sz w:val="20"/>
              </w:rPr>
            </w:pPr>
            <w:r>
              <w:rPr>
                <w:sz w:val="20"/>
              </w:rPr>
              <w:t>4</w:t>
            </w:r>
          </w:p>
        </w:tc>
        <w:tc>
          <w:tcPr>
            <w:tcW w:w="1534" w:type="dxa"/>
            <w:tcBorders>
              <w:top w:val="single" w:sz="8" w:space="0" w:color="CCEDFF"/>
              <w:bottom w:val="single" w:sz="8" w:space="0" w:color="CCEDFF"/>
            </w:tcBorders>
            <w:shd w:val="clear" w:color="auto" w:fill="CCEDFF"/>
          </w:tcPr>
          <w:p w14:paraId="1418AF04" w14:textId="77777777" w:rsidR="00AE2255" w:rsidRDefault="00000000">
            <w:pPr>
              <w:pStyle w:val="TableParagraph"/>
              <w:spacing w:before="0" w:line="218" w:lineRule="exact"/>
              <w:ind w:right="80"/>
              <w:rPr>
                <w:sz w:val="20"/>
              </w:rPr>
            </w:pPr>
            <w:r>
              <w:rPr>
                <w:spacing w:val="-5"/>
                <w:sz w:val="20"/>
              </w:rPr>
              <w:t>444</w:t>
            </w:r>
          </w:p>
        </w:tc>
      </w:tr>
      <w:tr w:rsidR="00AE2255" w14:paraId="3924E161" w14:textId="77777777">
        <w:trPr>
          <w:trHeight w:val="265"/>
        </w:trPr>
        <w:tc>
          <w:tcPr>
            <w:tcW w:w="5320" w:type="dxa"/>
            <w:tcBorders>
              <w:top w:val="single" w:sz="8" w:space="0" w:color="auto"/>
              <w:bottom w:val="single" w:sz="8" w:space="0" w:color="auto"/>
            </w:tcBorders>
          </w:tcPr>
          <w:p w14:paraId="7B686D8B" w14:textId="77777777" w:rsidR="00AE2255" w:rsidRDefault="00000000">
            <w:pPr>
              <w:pStyle w:val="TableParagraph"/>
              <w:spacing w:before="0" w:line="219" w:lineRule="exact"/>
              <w:ind w:left="277"/>
              <w:jc w:val="left"/>
              <w:rPr>
                <w:sz w:val="20"/>
              </w:rPr>
            </w:pPr>
            <w:r>
              <w:rPr>
                <w:sz w:val="20"/>
              </w:rPr>
              <w:t>Total</w:t>
            </w:r>
            <w:r>
              <w:rPr>
                <w:spacing w:val="-5"/>
                <w:sz w:val="20"/>
              </w:rPr>
              <w:t xml:space="preserve"> </w:t>
            </w:r>
            <w:r>
              <w:rPr>
                <w:sz w:val="20"/>
              </w:rPr>
              <w:t>other</w:t>
            </w:r>
            <w:r>
              <w:rPr>
                <w:spacing w:val="-3"/>
                <w:sz w:val="20"/>
              </w:rPr>
              <w:t xml:space="preserve"> </w:t>
            </w:r>
            <w:r>
              <w:rPr>
                <w:sz w:val="20"/>
              </w:rPr>
              <w:t>comprehensive</w:t>
            </w:r>
            <w:r>
              <w:rPr>
                <w:spacing w:val="-5"/>
                <w:sz w:val="20"/>
              </w:rPr>
              <w:t xml:space="preserve"> </w:t>
            </w:r>
            <w:r>
              <w:rPr>
                <w:sz w:val="20"/>
              </w:rPr>
              <w:t>(loss)</w:t>
            </w:r>
            <w:r>
              <w:rPr>
                <w:spacing w:val="-3"/>
                <w:sz w:val="20"/>
              </w:rPr>
              <w:t xml:space="preserve"> </w:t>
            </w:r>
            <w:r>
              <w:rPr>
                <w:spacing w:val="-2"/>
                <w:sz w:val="20"/>
              </w:rPr>
              <w:t>income</w:t>
            </w:r>
          </w:p>
        </w:tc>
        <w:tc>
          <w:tcPr>
            <w:tcW w:w="1817" w:type="dxa"/>
            <w:tcBorders>
              <w:top w:val="single" w:sz="8" w:space="0" w:color="auto"/>
              <w:bottom w:val="single" w:sz="8" w:space="0" w:color="auto"/>
            </w:tcBorders>
          </w:tcPr>
          <w:p w14:paraId="703F55DE" w14:textId="77777777" w:rsidR="00AE2255" w:rsidRDefault="00000000">
            <w:pPr>
              <w:pStyle w:val="TableParagraph"/>
              <w:spacing w:before="0" w:line="218" w:lineRule="exact"/>
              <w:ind w:right="71"/>
              <w:rPr>
                <w:sz w:val="20"/>
              </w:rPr>
            </w:pPr>
            <w:r>
              <w:rPr>
                <w:spacing w:val="-2"/>
                <w:sz w:val="20"/>
              </w:rPr>
              <w:t>(627)</w:t>
            </w:r>
          </w:p>
        </w:tc>
        <w:tc>
          <w:tcPr>
            <w:tcW w:w="1590" w:type="dxa"/>
            <w:tcBorders>
              <w:top w:val="single" w:sz="8" w:space="0" w:color="auto"/>
              <w:bottom w:val="single" w:sz="8" w:space="0" w:color="auto"/>
            </w:tcBorders>
          </w:tcPr>
          <w:p w14:paraId="48CE26E6" w14:textId="77777777" w:rsidR="00AE2255" w:rsidRDefault="00000000">
            <w:pPr>
              <w:pStyle w:val="TableParagraph"/>
              <w:spacing w:before="0" w:line="218" w:lineRule="exact"/>
              <w:ind w:right="136"/>
              <w:rPr>
                <w:sz w:val="20"/>
              </w:rPr>
            </w:pPr>
            <w:r>
              <w:rPr>
                <w:spacing w:val="-5"/>
                <w:sz w:val="20"/>
              </w:rPr>
              <w:t>60</w:t>
            </w:r>
          </w:p>
        </w:tc>
        <w:tc>
          <w:tcPr>
            <w:tcW w:w="1534" w:type="dxa"/>
            <w:tcBorders>
              <w:top w:val="single" w:sz="8" w:space="0" w:color="auto"/>
              <w:bottom w:val="single" w:sz="8" w:space="0" w:color="auto"/>
            </w:tcBorders>
          </w:tcPr>
          <w:p w14:paraId="27B72C22" w14:textId="77777777" w:rsidR="00AE2255" w:rsidRDefault="00000000">
            <w:pPr>
              <w:pStyle w:val="TableParagraph"/>
              <w:spacing w:before="0" w:line="218" w:lineRule="exact"/>
              <w:ind w:right="15"/>
              <w:rPr>
                <w:sz w:val="20"/>
              </w:rPr>
            </w:pPr>
            <w:r>
              <w:rPr>
                <w:spacing w:val="-2"/>
                <w:sz w:val="20"/>
              </w:rPr>
              <w:t>(567)</w:t>
            </w:r>
          </w:p>
        </w:tc>
      </w:tr>
      <w:tr w:rsidR="00AE2255" w14:paraId="5D7AA33C" w14:textId="77777777">
        <w:trPr>
          <w:trHeight w:val="275"/>
        </w:trPr>
        <w:tc>
          <w:tcPr>
            <w:tcW w:w="5320" w:type="dxa"/>
            <w:tcBorders>
              <w:top w:val="single" w:sz="8" w:space="0" w:color="CCEDFF"/>
            </w:tcBorders>
            <w:shd w:val="clear" w:color="auto" w:fill="CCEDFF"/>
          </w:tcPr>
          <w:p w14:paraId="56E71596" w14:textId="77777777" w:rsidR="00AE2255" w:rsidRDefault="00000000">
            <w:pPr>
              <w:pStyle w:val="TableParagraph"/>
              <w:spacing w:before="0" w:line="218"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2020</w:t>
            </w:r>
          </w:p>
        </w:tc>
        <w:tc>
          <w:tcPr>
            <w:tcW w:w="1817" w:type="dxa"/>
            <w:tcBorders>
              <w:top w:val="single" w:sz="8" w:space="0" w:color="CCEDFF"/>
            </w:tcBorders>
            <w:shd w:val="clear" w:color="auto" w:fill="CCEDFF"/>
          </w:tcPr>
          <w:p w14:paraId="7A34030A" w14:textId="77777777" w:rsidR="00AE2255" w:rsidRDefault="00000000">
            <w:pPr>
              <w:pStyle w:val="TableParagraph"/>
              <w:spacing w:before="0" w:line="218" w:lineRule="exact"/>
              <w:ind w:right="71"/>
              <w:rPr>
                <w:sz w:val="20"/>
              </w:rPr>
            </w:pPr>
            <w:r>
              <w:rPr>
                <w:spacing w:val="-2"/>
                <w:sz w:val="20"/>
              </w:rPr>
              <w:t>(16,155)</w:t>
            </w:r>
          </w:p>
        </w:tc>
        <w:tc>
          <w:tcPr>
            <w:tcW w:w="1590" w:type="dxa"/>
            <w:tcBorders>
              <w:top w:val="single" w:sz="8" w:space="0" w:color="CCEDFF"/>
            </w:tcBorders>
            <w:shd w:val="clear" w:color="auto" w:fill="CCEDFF"/>
          </w:tcPr>
          <w:p w14:paraId="386597E3" w14:textId="77777777" w:rsidR="00AE2255" w:rsidRDefault="00000000">
            <w:pPr>
              <w:pStyle w:val="TableParagraph"/>
              <w:spacing w:before="0" w:line="218" w:lineRule="exact"/>
              <w:ind w:right="136"/>
              <w:rPr>
                <w:sz w:val="20"/>
              </w:rPr>
            </w:pPr>
            <w:r>
              <w:rPr>
                <w:spacing w:val="-5"/>
                <w:sz w:val="20"/>
              </w:rPr>
              <w:t>34</w:t>
            </w:r>
          </w:p>
        </w:tc>
        <w:tc>
          <w:tcPr>
            <w:tcW w:w="1534" w:type="dxa"/>
            <w:tcBorders>
              <w:top w:val="single" w:sz="8" w:space="0" w:color="CCEDFF"/>
            </w:tcBorders>
            <w:shd w:val="clear" w:color="auto" w:fill="CCEDFF"/>
          </w:tcPr>
          <w:p w14:paraId="2C809FAE" w14:textId="77777777" w:rsidR="00AE2255" w:rsidRDefault="00000000">
            <w:pPr>
              <w:pStyle w:val="TableParagraph"/>
              <w:spacing w:before="0" w:line="218" w:lineRule="exact"/>
              <w:ind w:right="15"/>
              <w:rPr>
                <w:sz w:val="20"/>
              </w:rPr>
            </w:pPr>
            <w:r>
              <w:rPr>
                <w:spacing w:val="-2"/>
                <w:sz w:val="20"/>
              </w:rPr>
              <w:t>(16,121)</w:t>
            </w:r>
          </w:p>
        </w:tc>
      </w:tr>
      <w:tr w:rsidR="00AE2255" w14:paraId="1AC1CC0B" w14:textId="77777777">
        <w:trPr>
          <w:trHeight w:val="285"/>
        </w:trPr>
        <w:tc>
          <w:tcPr>
            <w:tcW w:w="5320" w:type="dxa"/>
          </w:tcPr>
          <w:p w14:paraId="44D52A82" w14:textId="77777777" w:rsidR="00AE2255" w:rsidRDefault="00000000">
            <w:pPr>
              <w:pStyle w:val="TableParagraph"/>
              <w:spacing w:before="0" w:line="229" w:lineRule="exact"/>
              <w:ind w:right="296"/>
              <w:rPr>
                <w:sz w:val="20"/>
              </w:rPr>
            </w:pPr>
            <w:r>
              <w:rPr>
                <w:sz w:val="20"/>
              </w:rPr>
              <w:t>Other</w:t>
            </w:r>
            <w:r>
              <w:rPr>
                <w:spacing w:val="-4"/>
                <w:sz w:val="20"/>
              </w:rPr>
              <w:t xml:space="preserve"> </w:t>
            </w:r>
            <w:r>
              <w:rPr>
                <w:sz w:val="20"/>
              </w:rPr>
              <w:t>comprehensive</w:t>
            </w:r>
            <w:r>
              <w:rPr>
                <w:spacing w:val="-4"/>
                <w:sz w:val="20"/>
              </w:rPr>
              <w:t xml:space="preserve"> </w:t>
            </w:r>
            <w:r>
              <w:rPr>
                <w:sz w:val="20"/>
              </w:rPr>
              <w:t>income</w:t>
            </w:r>
            <w:r>
              <w:rPr>
                <w:spacing w:val="-4"/>
                <w:sz w:val="20"/>
              </w:rPr>
              <w:t xml:space="preserve"> </w:t>
            </w:r>
            <w:r>
              <w:rPr>
                <w:sz w:val="20"/>
              </w:rPr>
              <w:t>(loss)</w:t>
            </w:r>
            <w:r>
              <w:rPr>
                <w:spacing w:val="-3"/>
                <w:sz w:val="20"/>
              </w:rPr>
              <w:t xml:space="preserve"> </w:t>
            </w:r>
            <w:r>
              <w:rPr>
                <w:sz w:val="20"/>
              </w:rPr>
              <w:t>before</w:t>
            </w:r>
            <w:r>
              <w:rPr>
                <w:spacing w:val="-4"/>
                <w:sz w:val="20"/>
              </w:rPr>
              <w:t xml:space="preserve"> </w:t>
            </w:r>
            <w:r>
              <w:rPr>
                <w:spacing w:val="-2"/>
                <w:sz w:val="20"/>
              </w:rPr>
              <w:t>reclassifications</w:t>
            </w:r>
          </w:p>
        </w:tc>
        <w:tc>
          <w:tcPr>
            <w:tcW w:w="1817" w:type="dxa"/>
          </w:tcPr>
          <w:p w14:paraId="40CCA4C7" w14:textId="77777777" w:rsidR="00AE2255" w:rsidRDefault="00000000">
            <w:pPr>
              <w:pStyle w:val="TableParagraph"/>
              <w:spacing w:before="0" w:line="228" w:lineRule="exact"/>
              <w:ind w:right="136"/>
              <w:rPr>
                <w:sz w:val="20"/>
              </w:rPr>
            </w:pPr>
            <w:r>
              <w:rPr>
                <w:spacing w:val="-2"/>
                <w:sz w:val="20"/>
              </w:rPr>
              <w:t>3,404</w:t>
            </w:r>
          </w:p>
        </w:tc>
        <w:tc>
          <w:tcPr>
            <w:tcW w:w="1590" w:type="dxa"/>
          </w:tcPr>
          <w:p w14:paraId="05DA412F" w14:textId="77777777" w:rsidR="00AE2255" w:rsidRDefault="00000000">
            <w:pPr>
              <w:pStyle w:val="TableParagraph"/>
              <w:spacing w:before="0" w:line="228" w:lineRule="exact"/>
              <w:ind w:right="71"/>
              <w:rPr>
                <w:sz w:val="20"/>
              </w:rPr>
            </w:pPr>
            <w:r>
              <w:rPr>
                <w:spacing w:val="-4"/>
                <w:sz w:val="20"/>
              </w:rPr>
              <w:t>(85)</w:t>
            </w:r>
          </w:p>
        </w:tc>
        <w:tc>
          <w:tcPr>
            <w:tcW w:w="1534" w:type="dxa"/>
          </w:tcPr>
          <w:p w14:paraId="21036837" w14:textId="77777777" w:rsidR="00AE2255" w:rsidRDefault="00000000">
            <w:pPr>
              <w:pStyle w:val="TableParagraph"/>
              <w:spacing w:before="0" w:line="228" w:lineRule="exact"/>
              <w:ind w:right="80"/>
              <w:rPr>
                <w:sz w:val="20"/>
              </w:rPr>
            </w:pPr>
            <w:r>
              <w:rPr>
                <w:spacing w:val="-2"/>
                <w:sz w:val="20"/>
              </w:rPr>
              <w:t>3,319</w:t>
            </w:r>
          </w:p>
        </w:tc>
      </w:tr>
      <w:tr w:rsidR="00AE2255" w14:paraId="4C7D631E" w14:textId="77777777">
        <w:trPr>
          <w:trHeight w:val="285"/>
        </w:trPr>
        <w:tc>
          <w:tcPr>
            <w:tcW w:w="5320" w:type="dxa"/>
            <w:shd w:val="clear" w:color="auto" w:fill="CCEDFF"/>
          </w:tcPr>
          <w:p w14:paraId="17BD6F1B" w14:textId="77777777" w:rsidR="00AE2255" w:rsidRDefault="00000000">
            <w:pPr>
              <w:pStyle w:val="TableParagraph"/>
              <w:spacing w:before="0" w:line="229" w:lineRule="exact"/>
              <w:ind w:left="277"/>
              <w:jc w:val="left"/>
              <w:rPr>
                <w:sz w:val="20"/>
              </w:rPr>
            </w:pPr>
            <w:r>
              <w:rPr>
                <w:sz w:val="20"/>
              </w:rPr>
              <w:t>Amounts</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shd w:val="clear" w:color="auto" w:fill="CCEDFF"/>
          </w:tcPr>
          <w:p w14:paraId="595C1F9F" w14:textId="77777777" w:rsidR="00AE2255" w:rsidRDefault="00AE2255">
            <w:pPr>
              <w:pStyle w:val="TableParagraph"/>
              <w:spacing w:before="0"/>
              <w:jc w:val="left"/>
              <w:rPr>
                <w:sz w:val="18"/>
              </w:rPr>
            </w:pPr>
          </w:p>
        </w:tc>
        <w:tc>
          <w:tcPr>
            <w:tcW w:w="1590" w:type="dxa"/>
            <w:shd w:val="clear" w:color="auto" w:fill="CCEDFF"/>
          </w:tcPr>
          <w:p w14:paraId="3E35F52C" w14:textId="77777777" w:rsidR="00AE2255" w:rsidRDefault="00AE2255">
            <w:pPr>
              <w:pStyle w:val="TableParagraph"/>
              <w:spacing w:before="0"/>
              <w:jc w:val="left"/>
              <w:rPr>
                <w:sz w:val="18"/>
              </w:rPr>
            </w:pPr>
          </w:p>
        </w:tc>
        <w:tc>
          <w:tcPr>
            <w:tcW w:w="1534" w:type="dxa"/>
            <w:shd w:val="clear" w:color="auto" w:fill="CCEDFF"/>
          </w:tcPr>
          <w:p w14:paraId="370B6DBB" w14:textId="77777777" w:rsidR="00AE2255" w:rsidRDefault="00AE2255">
            <w:pPr>
              <w:pStyle w:val="TableParagraph"/>
              <w:spacing w:before="0"/>
              <w:jc w:val="left"/>
              <w:rPr>
                <w:sz w:val="18"/>
              </w:rPr>
            </w:pPr>
          </w:p>
        </w:tc>
      </w:tr>
      <w:tr w:rsidR="00AE2255" w14:paraId="7511C99A" w14:textId="77777777">
        <w:trPr>
          <w:trHeight w:val="285"/>
        </w:trPr>
        <w:tc>
          <w:tcPr>
            <w:tcW w:w="5320" w:type="dxa"/>
          </w:tcPr>
          <w:p w14:paraId="01505AFB" w14:textId="77777777" w:rsidR="00AE2255" w:rsidRDefault="00000000">
            <w:pPr>
              <w:pStyle w:val="TableParagraph"/>
              <w:spacing w:before="0" w:line="229" w:lineRule="exact"/>
              <w:ind w:left="547"/>
              <w:jc w:val="left"/>
              <w:rPr>
                <w:sz w:val="20"/>
              </w:rPr>
            </w:pPr>
            <w:r>
              <w:rPr>
                <w:sz w:val="20"/>
              </w:rPr>
              <w:t>Pension</w:t>
            </w:r>
            <w:r>
              <w:rPr>
                <w:spacing w:val="-5"/>
                <w:sz w:val="20"/>
              </w:rPr>
              <w:t xml:space="preserve"> </w:t>
            </w:r>
            <w:r>
              <w:rPr>
                <w:sz w:val="20"/>
              </w:rPr>
              <w:t>settlement</w:t>
            </w:r>
            <w:r>
              <w:rPr>
                <w:spacing w:val="-6"/>
                <w:sz w:val="20"/>
              </w:rPr>
              <w:t xml:space="preserve"> </w:t>
            </w:r>
            <w:r>
              <w:rPr>
                <w:sz w:val="20"/>
              </w:rPr>
              <w:t>charge</w:t>
            </w:r>
            <w:r>
              <w:rPr>
                <w:spacing w:val="-5"/>
                <w:sz w:val="20"/>
              </w:rPr>
              <w:t xml:space="preserve"> </w:t>
            </w:r>
            <w:r>
              <w:rPr>
                <w:spacing w:val="-5"/>
                <w:sz w:val="20"/>
                <w:vertAlign w:val="superscript"/>
              </w:rPr>
              <w:t>(b)</w:t>
            </w:r>
          </w:p>
        </w:tc>
        <w:tc>
          <w:tcPr>
            <w:tcW w:w="1817" w:type="dxa"/>
          </w:tcPr>
          <w:p w14:paraId="02BF03F0" w14:textId="77777777" w:rsidR="00AE2255" w:rsidRDefault="00000000">
            <w:pPr>
              <w:pStyle w:val="TableParagraph"/>
              <w:spacing w:before="0" w:line="228" w:lineRule="exact"/>
              <w:ind w:right="136"/>
              <w:rPr>
                <w:sz w:val="20"/>
              </w:rPr>
            </w:pPr>
            <w:r>
              <w:rPr>
                <w:spacing w:val="-2"/>
                <w:sz w:val="20"/>
              </w:rPr>
              <w:t>1,310</w:t>
            </w:r>
          </w:p>
        </w:tc>
        <w:tc>
          <w:tcPr>
            <w:tcW w:w="1590" w:type="dxa"/>
          </w:tcPr>
          <w:p w14:paraId="7506BCDE" w14:textId="77777777" w:rsidR="00AE2255" w:rsidRDefault="00AE2255">
            <w:pPr>
              <w:pStyle w:val="TableParagraph"/>
              <w:spacing w:before="0"/>
              <w:jc w:val="left"/>
              <w:rPr>
                <w:sz w:val="18"/>
              </w:rPr>
            </w:pPr>
          </w:p>
        </w:tc>
        <w:tc>
          <w:tcPr>
            <w:tcW w:w="1534" w:type="dxa"/>
          </w:tcPr>
          <w:p w14:paraId="1E887C35" w14:textId="77777777" w:rsidR="00AE2255" w:rsidRDefault="00000000">
            <w:pPr>
              <w:pStyle w:val="TableParagraph"/>
              <w:spacing w:before="0" w:line="228" w:lineRule="exact"/>
              <w:ind w:right="80"/>
              <w:rPr>
                <w:sz w:val="20"/>
              </w:rPr>
            </w:pPr>
            <w:r>
              <w:rPr>
                <w:spacing w:val="-2"/>
                <w:sz w:val="20"/>
              </w:rPr>
              <w:t>1,310</w:t>
            </w:r>
          </w:p>
        </w:tc>
      </w:tr>
      <w:tr w:rsidR="00AE2255" w14:paraId="41D74B78" w14:textId="77777777">
        <w:trPr>
          <w:trHeight w:val="285"/>
        </w:trPr>
        <w:tc>
          <w:tcPr>
            <w:tcW w:w="5320" w:type="dxa"/>
            <w:shd w:val="clear" w:color="auto" w:fill="CCEDFF"/>
          </w:tcPr>
          <w:p w14:paraId="46701CAB" w14:textId="77777777" w:rsidR="00AE2255" w:rsidRDefault="00000000">
            <w:pPr>
              <w:pStyle w:val="TableParagraph"/>
              <w:spacing w:before="0" w:line="229" w:lineRule="exact"/>
              <w:ind w:left="547"/>
              <w:jc w:val="left"/>
              <w:rPr>
                <w:sz w:val="20"/>
              </w:rPr>
            </w:pPr>
            <w:r>
              <w:rPr>
                <w:sz w:val="20"/>
              </w:rPr>
              <w:t>Recognition</w:t>
            </w:r>
            <w:r>
              <w:rPr>
                <w:spacing w:val="-4"/>
                <w:sz w:val="20"/>
              </w:rPr>
              <w:t xml:space="preserve"> </w:t>
            </w:r>
            <w:r>
              <w:rPr>
                <w:sz w:val="20"/>
              </w:rPr>
              <w:t>of</w:t>
            </w:r>
            <w:r>
              <w:rPr>
                <w:spacing w:val="-3"/>
                <w:sz w:val="20"/>
              </w:rPr>
              <w:t xml:space="preserve"> </w:t>
            </w:r>
            <w:r>
              <w:rPr>
                <w:sz w:val="20"/>
              </w:rPr>
              <w:t>net</w:t>
            </w:r>
            <w:r>
              <w:rPr>
                <w:spacing w:val="-4"/>
                <w:sz w:val="20"/>
              </w:rPr>
              <w:t xml:space="preserve"> </w:t>
            </w:r>
            <w:r>
              <w:rPr>
                <w:sz w:val="20"/>
              </w:rPr>
              <w:t>actuarial</w:t>
            </w:r>
            <w:r>
              <w:rPr>
                <w:spacing w:val="-4"/>
                <w:sz w:val="20"/>
              </w:rPr>
              <w:t xml:space="preserve"> </w:t>
            </w:r>
            <w:r>
              <w:rPr>
                <w:spacing w:val="-2"/>
                <w:sz w:val="20"/>
              </w:rPr>
              <w:t>losses</w:t>
            </w:r>
          </w:p>
        </w:tc>
        <w:tc>
          <w:tcPr>
            <w:tcW w:w="1817" w:type="dxa"/>
            <w:shd w:val="clear" w:color="auto" w:fill="CCEDFF"/>
          </w:tcPr>
          <w:p w14:paraId="5608B28C" w14:textId="77777777" w:rsidR="00AE2255" w:rsidRDefault="00000000">
            <w:pPr>
              <w:pStyle w:val="TableParagraph"/>
              <w:spacing w:before="0" w:line="228" w:lineRule="exact"/>
              <w:ind w:right="136"/>
              <w:rPr>
                <w:sz w:val="20"/>
              </w:rPr>
            </w:pPr>
            <w:r>
              <w:rPr>
                <w:spacing w:val="-5"/>
                <w:sz w:val="20"/>
              </w:rPr>
              <w:t>733</w:t>
            </w:r>
          </w:p>
        </w:tc>
        <w:tc>
          <w:tcPr>
            <w:tcW w:w="1590" w:type="dxa"/>
            <w:shd w:val="clear" w:color="auto" w:fill="CCEDFF"/>
          </w:tcPr>
          <w:p w14:paraId="26B68A50" w14:textId="77777777" w:rsidR="00AE2255" w:rsidRDefault="00000000">
            <w:pPr>
              <w:pStyle w:val="TableParagraph"/>
              <w:spacing w:before="0" w:line="228" w:lineRule="exact"/>
              <w:ind w:right="136"/>
              <w:rPr>
                <w:sz w:val="20"/>
              </w:rPr>
            </w:pPr>
            <w:r>
              <w:rPr>
                <w:sz w:val="20"/>
              </w:rPr>
              <w:t>—</w:t>
            </w:r>
          </w:p>
        </w:tc>
        <w:tc>
          <w:tcPr>
            <w:tcW w:w="1534" w:type="dxa"/>
            <w:shd w:val="clear" w:color="auto" w:fill="CCEDFF"/>
          </w:tcPr>
          <w:p w14:paraId="43E4F6A7" w14:textId="77777777" w:rsidR="00AE2255" w:rsidRDefault="00000000">
            <w:pPr>
              <w:pStyle w:val="TableParagraph"/>
              <w:spacing w:before="0" w:line="228" w:lineRule="exact"/>
              <w:ind w:right="80"/>
              <w:rPr>
                <w:sz w:val="20"/>
              </w:rPr>
            </w:pPr>
            <w:r>
              <w:rPr>
                <w:spacing w:val="-5"/>
                <w:sz w:val="20"/>
              </w:rPr>
              <w:t>733</w:t>
            </w:r>
          </w:p>
        </w:tc>
      </w:tr>
      <w:tr w:rsidR="00AE2255" w14:paraId="2B8C55F4" w14:textId="77777777">
        <w:trPr>
          <w:trHeight w:val="285"/>
        </w:trPr>
        <w:tc>
          <w:tcPr>
            <w:tcW w:w="5320" w:type="dxa"/>
          </w:tcPr>
          <w:p w14:paraId="7B771C86" w14:textId="77777777" w:rsidR="00AE2255" w:rsidRDefault="00000000">
            <w:pPr>
              <w:pStyle w:val="TableParagraph"/>
              <w:spacing w:before="0" w:line="229" w:lineRule="exact"/>
              <w:ind w:left="547"/>
              <w:jc w:val="left"/>
              <w:rPr>
                <w:sz w:val="20"/>
              </w:rPr>
            </w:pPr>
            <w:r>
              <w:rPr>
                <w:sz w:val="20"/>
              </w:rPr>
              <w:t>Amortization</w:t>
            </w:r>
            <w:r>
              <w:rPr>
                <w:spacing w:val="-3"/>
                <w:sz w:val="20"/>
              </w:rPr>
              <w:t xml:space="preserve"> </w:t>
            </w:r>
            <w:r>
              <w:rPr>
                <w:sz w:val="20"/>
              </w:rPr>
              <w:t>of</w:t>
            </w:r>
            <w:r>
              <w:rPr>
                <w:spacing w:val="-3"/>
                <w:sz w:val="20"/>
              </w:rPr>
              <w:t xml:space="preserve"> </w:t>
            </w:r>
            <w:r>
              <w:rPr>
                <w:sz w:val="20"/>
              </w:rPr>
              <w:t>net</w:t>
            </w:r>
            <w:r>
              <w:rPr>
                <w:spacing w:val="-4"/>
                <w:sz w:val="20"/>
              </w:rPr>
              <w:t xml:space="preserve"> </w:t>
            </w:r>
            <w:r>
              <w:rPr>
                <w:sz w:val="20"/>
              </w:rPr>
              <w:t>prior</w:t>
            </w:r>
            <w:r>
              <w:rPr>
                <w:spacing w:val="-3"/>
                <w:sz w:val="20"/>
              </w:rPr>
              <w:t xml:space="preserve"> </w:t>
            </w:r>
            <w:r>
              <w:rPr>
                <w:sz w:val="20"/>
              </w:rPr>
              <w:t>service</w:t>
            </w:r>
            <w:r>
              <w:rPr>
                <w:spacing w:val="-3"/>
                <w:sz w:val="20"/>
              </w:rPr>
              <w:t xml:space="preserve"> </w:t>
            </w:r>
            <w:r>
              <w:rPr>
                <w:spacing w:val="-2"/>
                <w:sz w:val="20"/>
              </w:rPr>
              <w:t>credits</w:t>
            </w:r>
          </w:p>
        </w:tc>
        <w:tc>
          <w:tcPr>
            <w:tcW w:w="1817" w:type="dxa"/>
          </w:tcPr>
          <w:p w14:paraId="238E2A08" w14:textId="77777777" w:rsidR="00AE2255" w:rsidRDefault="00000000">
            <w:pPr>
              <w:pStyle w:val="TableParagraph"/>
              <w:spacing w:before="0" w:line="228" w:lineRule="exact"/>
              <w:ind w:right="71"/>
              <w:rPr>
                <w:sz w:val="20"/>
              </w:rPr>
            </w:pPr>
            <w:r>
              <w:rPr>
                <w:spacing w:val="-2"/>
                <w:sz w:val="20"/>
              </w:rPr>
              <w:t>(256)</w:t>
            </w:r>
          </w:p>
        </w:tc>
        <w:tc>
          <w:tcPr>
            <w:tcW w:w="1590" w:type="dxa"/>
          </w:tcPr>
          <w:p w14:paraId="1FEF375F" w14:textId="77777777" w:rsidR="00AE2255" w:rsidRDefault="00000000">
            <w:pPr>
              <w:pStyle w:val="TableParagraph"/>
              <w:spacing w:before="0" w:line="228" w:lineRule="exact"/>
              <w:ind w:right="136"/>
              <w:rPr>
                <w:sz w:val="20"/>
              </w:rPr>
            </w:pPr>
            <w:r>
              <w:rPr>
                <w:sz w:val="20"/>
              </w:rPr>
              <w:t>—</w:t>
            </w:r>
          </w:p>
        </w:tc>
        <w:tc>
          <w:tcPr>
            <w:tcW w:w="1534" w:type="dxa"/>
          </w:tcPr>
          <w:p w14:paraId="372BEF69" w14:textId="77777777" w:rsidR="00AE2255" w:rsidRDefault="00000000">
            <w:pPr>
              <w:pStyle w:val="TableParagraph"/>
              <w:spacing w:before="0" w:line="228" w:lineRule="exact"/>
              <w:ind w:right="15"/>
              <w:rPr>
                <w:sz w:val="20"/>
              </w:rPr>
            </w:pPr>
            <w:r>
              <w:rPr>
                <w:spacing w:val="-2"/>
                <w:sz w:val="20"/>
              </w:rPr>
              <w:t>(256)</w:t>
            </w:r>
          </w:p>
        </w:tc>
      </w:tr>
      <w:tr w:rsidR="00AE2255" w14:paraId="4D43D424" w14:textId="77777777">
        <w:trPr>
          <w:trHeight w:val="275"/>
        </w:trPr>
        <w:tc>
          <w:tcPr>
            <w:tcW w:w="5320" w:type="dxa"/>
            <w:tcBorders>
              <w:bottom w:val="single" w:sz="8" w:space="0" w:color="CCEDFF"/>
            </w:tcBorders>
            <w:shd w:val="clear" w:color="auto" w:fill="CCEDFF"/>
          </w:tcPr>
          <w:p w14:paraId="41CA3E11" w14:textId="77777777" w:rsidR="00AE2255" w:rsidRDefault="00000000">
            <w:pPr>
              <w:pStyle w:val="TableParagraph"/>
              <w:spacing w:before="0" w:line="229" w:lineRule="exact"/>
              <w:ind w:left="547"/>
              <w:jc w:val="left"/>
              <w:rPr>
                <w:sz w:val="20"/>
              </w:rPr>
            </w:pPr>
            <w:r>
              <w:rPr>
                <w:spacing w:val="-2"/>
                <w:sz w:val="20"/>
              </w:rPr>
              <w:t>Other</w:t>
            </w:r>
          </w:p>
        </w:tc>
        <w:tc>
          <w:tcPr>
            <w:tcW w:w="1817" w:type="dxa"/>
            <w:tcBorders>
              <w:bottom w:val="single" w:sz="8" w:space="0" w:color="CCEDFF"/>
            </w:tcBorders>
            <w:shd w:val="clear" w:color="auto" w:fill="CCEDFF"/>
          </w:tcPr>
          <w:p w14:paraId="06BBF682" w14:textId="77777777" w:rsidR="00AE2255" w:rsidRDefault="00000000">
            <w:pPr>
              <w:pStyle w:val="TableParagraph"/>
              <w:spacing w:before="0" w:line="228" w:lineRule="exact"/>
              <w:ind w:right="136"/>
              <w:rPr>
                <w:sz w:val="20"/>
              </w:rPr>
            </w:pPr>
            <w:r>
              <w:rPr>
                <w:sz w:val="20"/>
              </w:rPr>
              <w:t>—</w:t>
            </w:r>
          </w:p>
        </w:tc>
        <w:tc>
          <w:tcPr>
            <w:tcW w:w="1590" w:type="dxa"/>
            <w:tcBorders>
              <w:bottom w:val="single" w:sz="8" w:space="0" w:color="CCEDFF"/>
            </w:tcBorders>
            <w:shd w:val="clear" w:color="auto" w:fill="CCEDFF"/>
          </w:tcPr>
          <w:p w14:paraId="73EC9504" w14:textId="77777777" w:rsidR="00AE2255" w:rsidRDefault="00000000">
            <w:pPr>
              <w:pStyle w:val="TableParagraph"/>
              <w:spacing w:before="0" w:line="228" w:lineRule="exact"/>
              <w:ind w:right="136"/>
              <w:rPr>
                <w:sz w:val="20"/>
              </w:rPr>
            </w:pPr>
            <w:r>
              <w:rPr>
                <w:sz w:val="20"/>
              </w:rPr>
              <w:t>9</w:t>
            </w:r>
          </w:p>
        </w:tc>
        <w:tc>
          <w:tcPr>
            <w:tcW w:w="1534" w:type="dxa"/>
            <w:tcBorders>
              <w:bottom w:val="single" w:sz="8" w:space="0" w:color="CCEDFF"/>
            </w:tcBorders>
            <w:shd w:val="clear" w:color="auto" w:fill="CCEDFF"/>
          </w:tcPr>
          <w:p w14:paraId="561DB8B5" w14:textId="77777777" w:rsidR="00AE2255" w:rsidRDefault="00000000">
            <w:pPr>
              <w:pStyle w:val="TableParagraph"/>
              <w:spacing w:before="0" w:line="228" w:lineRule="exact"/>
              <w:ind w:right="80"/>
              <w:rPr>
                <w:sz w:val="20"/>
              </w:rPr>
            </w:pPr>
            <w:r>
              <w:rPr>
                <w:sz w:val="20"/>
              </w:rPr>
              <w:t>9</w:t>
            </w:r>
          </w:p>
        </w:tc>
      </w:tr>
      <w:tr w:rsidR="00AE2255" w14:paraId="5DF5818A" w14:textId="77777777">
        <w:trPr>
          <w:trHeight w:val="265"/>
        </w:trPr>
        <w:tc>
          <w:tcPr>
            <w:tcW w:w="5320" w:type="dxa"/>
            <w:tcBorders>
              <w:top w:val="single" w:sz="8" w:space="0" w:color="auto"/>
              <w:bottom w:val="single" w:sz="8" w:space="0" w:color="auto"/>
            </w:tcBorders>
          </w:tcPr>
          <w:p w14:paraId="3E2E417E" w14:textId="77777777" w:rsidR="00AE2255" w:rsidRDefault="00000000">
            <w:pPr>
              <w:pStyle w:val="TableParagraph"/>
              <w:spacing w:before="0" w:line="219" w:lineRule="exact"/>
              <w:ind w:left="412"/>
              <w:jc w:val="left"/>
              <w:rPr>
                <w:sz w:val="20"/>
              </w:rPr>
            </w:pPr>
            <w:r>
              <w:rPr>
                <w:sz w:val="20"/>
              </w:rPr>
              <w:t>Total</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tcBorders>
              <w:top w:val="single" w:sz="8" w:space="0" w:color="auto"/>
              <w:bottom w:val="single" w:sz="8" w:space="0" w:color="auto"/>
            </w:tcBorders>
          </w:tcPr>
          <w:p w14:paraId="0F936581" w14:textId="77777777" w:rsidR="00AE2255" w:rsidRDefault="00000000">
            <w:pPr>
              <w:pStyle w:val="TableParagraph"/>
              <w:spacing w:before="0" w:line="218" w:lineRule="exact"/>
              <w:ind w:right="136"/>
              <w:rPr>
                <w:sz w:val="20"/>
              </w:rPr>
            </w:pPr>
            <w:r>
              <w:rPr>
                <w:spacing w:val="-2"/>
                <w:sz w:val="20"/>
              </w:rPr>
              <w:t>1,787</w:t>
            </w:r>
          </w:p>
        </w:tc>
        <w:tc>
          <w:tcPr>
            <w:tcW w:w="1590" w:type="dxa"/>
            <w:tcBorders>
              <w:top w:val="single" w:sz="8" w:space="0" w:color="auto"/>
              <w:bottom w:val="single" w:sz="8" w:space="0" w:color="auto"/>
            </w:tcBorders>
          </w:tcPr>
          <w:p w14:paraId="24A9BA77" w14:textId="77777777" w:rsidR="00AE2255" w:rsidRDefault="00000000">
            <w:pPr>
              <w:pStyle w:val="TableParagraph"/>
              <w:spacing w:before="0" w:line="218" w:lineRule="exact"/>
              <w:ind w:right="136"/>
              <w:rPr>
                <w:sz w:val="20"/>
              </w:rPr>
            </w:pPr>
            <w:r>
              <w:rPr>
                <w:sz w:val="20"/>
              </w:rPr>
              <w:t>9</w:t>
            </w:r>
          </w:p>
        </w:tc>
        <w:tc>
          <w:tcPr>
            <w:tcW w:w="1534" w:type="dxa"/>
            <w:tcBorders>
              <w:top w:val="single" w:sz="8" w:space="0" w:color="auto"/>
              <w:bottom w:val="single" w:sz="8" w:space="0" w:color="auto"/>
            </w:tcBorders>
          </w:tcPr>
          <w:p w14:paraId="1E632E57" w14:textId="77777777" w:rsidR="00AE2255" w:rsidRDefault="00000000">
            <w:pPr>
              <w:pStyle w:val="TableParagraph"/>
              <w:spacing w:before="0" w:line="218" w:lineRule="exact"/>
              <w:ind w:right="80"/>
              <w:rPr>
                <w:sz w:val="20"/>
              </w:rPr>
            </w:pPr>
            <w:r>
              <w:rPr>
                <w:spacing w:val="-2"/>
                <w:sz w:val="20"/>
              </w:rPr>
              <w:t>1,796</w:t>
            </w:r>
          </w:p>
        </w:tc>
      </w:tr>
      <w:tr w:rsidR="00AE2255" w14:paraId="3C795C64" w14:textId="77777777">
        <w:trPr>
          <w:trHeight w:val="265"/>
        </w:trPr>
        <w:tc>
          <w:tcPr>
            <w:tcW w:w="5320" w:type="dxa"/>
            <w:tcBorders>
              <w:top w:val="single" w:sz="8" w:space="0" w:color="CCEDFF"/>
              <w:bottom w:val="single" w:sz="8" w:space="0" w:color="CCEDFF"/>
            </w:tcBorders>
            <w:shd w:val="clear" w:color="auto" w:fill="CCEDFF"/>
          </w:tcPr>
          <w:p w14:paraId="2E778558" w14:textId="77777777" w:rsidR="00AE2255" w:rsidRDefault="00000000">
            <w:pPr>
              <w:pStyle w:val="TableParagraph"/>
              <w:spacing w:before="0" w:line="219" w:lineRule="exact"/>
              <w:ind w:left="277"/>
              <w:jc w:val="left"/>
              <w:rPr>
                <w:sz w:val="20"/>
              </w:rPr>
            </w:pPr>
            <w:r>
              <w:rPr>
                <w:sz w:val="20"/>
              </w:rPr>
              <w:t>Total</w:t>
            </w:r>
            <w:r>
              <w:rPr>
                <w:spacing w:val="-5"/>
                <w:sz w:val="20"/>
              </w:rPr>
              <w:t xml:space="preserve"> </w:t>
            </w:r>
            <w:r>
              <w:rPr>
                <w:sz w:val="20"/>
              </w:rPr>
              <w:t>other</w:t>
            </w:r>
            <w:r>
              <w:rPr>
                <w:spacing w:val="-4"/>
                <w:sz w:val="20"/>
              </w:rPr>
              <w:t xml:space="preserve"> </w:t>
            </w:r>
            <w:r>
              <w:rPr>
                <w:sz w:val="20"/>
              </w:rPr>
              <w:t>comprehensive</w:t>
            </w:r>
            <w:r>
              <w:rPr>
                <w:spacing w:val="-4"/>
                <w:sz w:val="20"/>
              </w:rPr>
              <w:t xml:space="preserve"> </w:t>
            </w:r>
            <w:r>
              <w:rPr>
                <w:sz w:val="20"/>
              </w:rPr>
              <w:t>income</w:t>
            </w:r>
            <w:r>
              <w:rPr>
                <w:spacing w:val="-4"/>
                <w:sz w:val="20"/>
              </w:rPr>
              <w:t xml:space="preserve"> </w:t>
            </w:r>
            <w:r>
              <w:rPr>
                <w:spacing w:val="-2"/>
                <w:sz w:val="20"/>
              </w:rPr>
              <w:t>(loss)</w:t>
            </w:r>
          </w:p>
        </w:tc>
        <w:tc>
          <w:tcPr>
            <w:tcW w:w="1817" w:type="dxa"/>
            <w:tcBorders>
              <w:top w:val="single" w:sz="8" w:space="0" w:color="CCEDFF"/>
              <w:bottom w:val="single" w:sz="8" w:space="0" w:color="CCEDFF"/>
            </w:tcBorders>
            <w:shd w:val="clear" w:color="auto" w:fill="CCEDFF"/>
          </w:tcPr>
          <w:p w14:paraId="3A433E43" w14:textId="77777777" w:rsidR="00AE2255" w:rsidRDefault="00000000">
            <w:pPr>
              <w:pStyle w:val="TableParagraph"/>
              <w:spacing w:before="0" w:line="218" w:lineRule="exact"/>
              <w:ind w:right="136"/>
              <w:rPr>
                <w:sz w:val="20"/>
              </w:rPr>
            </w:pPr>
            <w:r>
              <w:rPr>
                <w:spacing w:val="-2"/>
                <w:sz w:val="20"/>
              </w:rPr>
              <w:t>5,191</w:t>
            </w:r>
          </w:p>
        </w:tc>
        <w:tc>
          <w:tcPr>
            <w:tcW w:w="1590" w:type="dxa"/>
            <w:tcBorders>
              <w:top w:val="single" w:sz="8" w:space="0" w:color="CCEDFF"/>
              <w:bottom w:val="single" w:sz="8" w:space="0" w:color="CCEDFF"/>
            </w:tcBorders>
            <w:shd w:val="clear" w:color="auto" w:fill="CCEDFF"/>
          </w:tcPr>
          <w:p w14:paraId="40B85A25" w14:textId="77777777" w:rsidR="00AE2255" w:rsidRDefault="00000000">
            <w:pPr>
              <w:pStyle w:val="TableParagraph"/>
              <w:spacing w:before="0" w:line="218" w:lineRule="exact"/>
              <w:ind w:right="71"/>
              <w:rPr>
                <w:sz w:val="20"/>
              </w:rPr>
            </w:pPr>
            <w:r>
              <w:rPr>
                <w:spacing w:val="-4"/>
                <w:sz w:val="20"/>
              </w:rPr>
              <w:t>(76)</w:t>
            </w:r>
          </w:p>
        </w:tc>
        <w:tc>
          <w:tcPr>
            <w:tcW w:w="1534" w:type="dxa"/>
            <w:tcBorders>
              <w:top w:val="single" w:sz="8" w:space="0" w:color="CCEDFF"/>
              <w:bottom w:val="single" w:sz="8" w:space="0" w:color="CCEDFF"/>
            </w:tcBorders>
            <w:shd w:val="clear" w:color="auto" w:fill="CCEDFF"/>
          </w:tcPr>
          <w:p w14:paraId="7B67140E" w14:textId="77777777" w:rsidR="00AE2255" w:rsidRDefault="00000000">
            <w:pPr>
              <w:pStyle w:val="TableParagraph"/>
              <w:spacing w:before="0" w:line="218" w:lineRule="exact"/>
              <w:ind w:right="80"/>
              <w:rPr>
                <w:sz w:val="20"/>
              </w:rPr>
            </w:pPr>
            <w:r>
              <w:rPr>
                <w:spacing w:val="-2"/>
                <w:sz w:val="20"/>
              </w:rPr>
              <w:t>5,115</w:t>
            </w:r>
          </w:p>
        </w:tc>
      </w:tr>
      <w:tr w:rsidR="00AE2255" w14:paraId="4E5B5F01" w14:textId="77777777">
        <w:trPr>
          <w:trHeight w:val="275"/>
        </w:trPr>
        <w:tc>
          <w:tcPr>
            <w:tcW w:w="5320" w:type="dxa"/>
            <w:tcBorders>
              <w:top w:val="single" w:sz="8" w:space="0" w:color="auto"/>
            </w:tcBorders>
          </w:tcPr>
          <w:p w14:paraId="16DA332F" w14:textId="77777777" w:rsidR="00AE2255" w:rsidRDefault="00000000">
            <w:pPr>
              <w:pStyle w:val="TableParagraph"/>
              <w:spacing w:before="0" w:line="218"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2021</w:t>
            </w:r>
          </w:p>
        </w:tc>
        <w:tc>
          <w:tcPr>
            <w:tcW w:w="1817" w:type="dxa"/>
            <w:tcBorders>
              <w:top w:val="single" w:sz="8" w:space="0" w:color="auto"/>
            </w:tcBorders>
          </w:tcPr>
          <w:p w14:paraId="4BEA5728" w14:textId="77777777" w:rsidR="00AE2255" w:rsidRDefault="00000000">
            <w:pPr>
              <w:pStyle w:val="TableParagraph"/>
              <w:spacing w:before="0" w:line="218" w:lineRule="exact"/>
              <w:ind w:right="71"/>
              <w:rPr>
                <w:sz w:val="20"/>
              </w:rPr>
            </w:pPr>
            <w:r>
              <w:rPr>
                <w:spacing w:val="-2"/>
                <w:sz w:val="20"/>
              </w:rPr>
              <w:t>(10,964)</w:t>
            </w:r>
          </w:p>
        </w:tc>
        <w:tc>
          <w:tcPr>
            <w:tcW w:w="1590" w:type="dxa"/>
            <w:tcBorders>
              <w:top w:val="single" w:sz="8" w:space="0" w:color="auto"/>
            </w:tcBorders>
          </w:tcPr>
          <w:p w14:paraId="781E8580" w14:textId="77777777" w:rsidR="00AE2255" w:rsidRDefault="00000000">
            <w:pPr>
              <w:pStyle w:val="TableParagraph"/>
              <w:spacing w:before="0" w:line="218" w:lineRule="exact"/>
              <w:ind w:right="71"/>
              <w:rPr>
                <w:sz w:val="20"/>
              </w:rPr>
            </w:pPr>
            <w:r>
              <w:rPr>
                <w:spacing w:val="-4"/>
                <w:sz w:val="20"/>
              </w:rPr>
              <w:t>(42)</w:t>
            </w:r>
          </w:p>
        </w:tc>
        <w:tc>
          <w:tcPr>
            <w:tcW w:w="1534" w:type="dxa"/>
            <w:tcBorders>
              <w:top w:val="single" w:sz="8" w:space="0" w:color="auto"/>
            </w:tcBorders>
          </w:tcPr>
          <w:p w14:paraId="45F475E3" w14:textId="77777777" w:rsidR="00AE2255" w:rsidRDefault="00000000">
            <w:pPr>
              <w:pStyle w:val="TableParagraph"/>
              <w:spacing w:before="0" w:line="218" w:lineRule="exact"/>
              <w:ind w:right="15"/>
              <w:rPr>
                <w:sz w:val="20"/>
              </w:rPr>
            </w:pPr>
            <w:r>
              <w:rPr>
                <w:spacing w:val="-2"/>
                <w:sz w:val="20"/>
              </w:rPr>
              <w:t>(11,006)</w:t>
            </w:r>
          </w:p>
        </w:tc>
      </w:tr>
      <w:tr w:rsidR="00AE2255" w14:paraId="755B6C96" w14:textId="77777777">
        <w:trPr>
          <w:trHeight w:val="285"/>
        </w:trPr>
        <w:tc>
          <w:tcPr>
            <w:tcW w:w="5320" w:type="dxa"/>
            <w:shd w:val="clear" w:color="auto" w:fill="CCEDFF"/>
          </w:tcPr>
          <w:p w14:paraId="22588587" w14:textId="77777777" w:rsidR="00AE2255" w:rsidRDefault="00000000">
            <w:pPr>
              <w:pStyle w:val="TableParagraph"/>
              <w:spacing w:before="0" w:line="229" w:lineRule="exact"/>
              <w:ind w:right="296"/>
              <w:rPr>
                <w:sz w:val="20"/>
              </w:rPr>
            </w:pPr>
            <w:r>
              <w:rPr>
                <w:sz w:val="20"/>
              </w:rPr>
              <w:t>Other</w:t>
            </w:r>
            <w:r>
              <w:rPr>
                <w:spacing w:val="-4"/>
                <w:sz w:val="20"/>
              </w:rPr>
              <w:t xml:space="preserve"> </w:t>
            </w:r>
            <w:r>
              <w:rPr>
                <w:sz w:val="20"/>
              </w:rPr>
              <w:t>comprehensive</w:t>
            </w:r>
            <w:r>
              <w:rPr>
                <w:spacing w:val="-4"/>
                <w:sz w:val="20"/>
              </w:rPr>
              <w:t xml:space="preserve"> </w:t>
            </w:r>
            <w:r>
              <w:rPr>
                <w:sz w:val="20"/>
              </w:rPr>
              <w:t>income</w:t>
            </w:r>
            <w:r>
              <w:rPr>
                <w:spacing w:val="-4"/>
                <w:sz w:val="20"/>
              </w:rPr>
              <w:t xml:space="preserve"> </w:t>
            </w:r>
            <w:r>
              <w:rPr>
                <w:sz w:val="20"/>
              </w:rPr>
              <w:t>(loss)</w:t>
            </w:r>
            <w:r>
              <w:rPr>
                <w:spacing w:val="-3"/>
                <w:sz w:val="20"/>
              </w:rPr>
              <w:t xml:space="preserve"> </w:t>
            </w:r>
            <w:r>
              <w:rPr>
                <w:sz w:val="20"/>
              </w:rPr>
              <w:t>before</w:t>
            </w:r>
            <w:r>
              <w:rPr>
                <w:spacing w:val="-4"/>
                <w:sz w:val="20"/>
              </w:rPr>
              <w:t xml:space="preserve"> </w:t>
            </w:r>
            <w:r>
              <w:rPr>
                <w:spacing w:val="-2"/>
                <w:sz w:val="20"/>
              </w:rPr>
              <w:t>reclassifications</w:t>
            </w:r>
          </w:p>
        </w:tc>
        <w:tc>
          <w:tcPr>
            <w:tcW w:w="1817" w:type="dxa"/>
            <w:shd w:val="clear" w:color="auto" w:fill="CCEDFF"/>
          </w:tcPr>
          <w:p w14:paraId="39074F8E" w14:textId="77777777" w:rsidR="00AE2255" w:rsidRDefault="00000000">
            <w:pPr>
              <w:pStyle w:val="TableParagraph"/>
              <w:spacing w:before="0" w:line="228" w:lineRule="exact"/>
              <w:ind w:right="136"/>
              <w:rPr>
                <w:b/>
                <w:sz w:val="20"/>
              </w:rPr>
            </w:pPr>
            <w:r>
              <w:rPr>
                <w:b/>
                <w:spacing w:val="-2"/>
                <w:sz w:val="20"/>
              </w:rPr>
              <w:t>1,873</w:t>
            </w:r>
          </w:p>
        </w:tc>
        <w:tc>
          <w:tcPr>
            <w:tcW w:w="1590" w:type="dxa"/>
            <w:shd w:val="clear" w:color="auto" w:fill="CCEDFF"/>
          </w:tcPr>
          <w:p w14:paraId="6883C74F" w14:textId="77777777" w:rsidR="00AE2255" w:rsidRDefault="00000000">
            <w:pPr>
              <w:pStyle w:val="TableParagraph"/>
              <w:spacing w:before="0" w:line="228" w:lineRule="exact"/>
              <w:ind w:right="71"/>
              <w:rPr>
                <w:b/>
                <w:sz w:val="20"/>
              </w:rPr>
            </w:pPr>
            <w:r>
              <w:rPr>
                <w:b/>
                <w:spacing w:val="-2"/>
                <w:sz w:val="20"/>
              </w:rPr>
              <w:t>(159)</w:t>
            </w:r>
          </w:p>
        </w:tc>
        <w:tc>
          <w:tcPr>
            <w:tcW w:w="1534" w:type="dxa"/>
            <w:shd w:val="clear" w:color="auto" w:fill="CCEDFF"/>
          </w:tcPr>
          <w:p w14:paraId="228221E7" w14:textId="77777777" w:rsidR="00AE2255" w:rsidRDefault="00000000">
            <w:pPr>
              <w:pStyle w:val="TableParagraph"/>
              <w:spacing w:before="0" w:line="228" w:lineRule="exact"/>
              <w:ind w:right="80"/>
              <w:rPr>
                <w:b/>
                <w:sz w:val="20"/>
              </w:rPr>
            </w:pPr>
            <w:r>
              <w:rPr>
                <w:b/>
                <w:spacing w:val="-2"/>
                <w:sz w:val="20"/>
              </w:rPr>
              <w:t>1,714</w:t>
            </w:r>
          </w:p>
        </w:tc>
      </w:tr>
      <w:tr w:rsidR="00AE2255" w14:paraId="7A635801" w14:textId="77777777">
        <w:trPr>
          <w:trHeight w:val="285"/>
        </w:trPr>
        <w:tc>
          <w:tcPr>
            <w:tcW w:w="5320" w:type="dxa"/>
          </w:tcPr>
          <w:p w14:paraId="4F61B63F" w14:textId="77777777" w:rsidR="00AE2255" w:rsidRDefault="00000000">
            <w:pPr>
              <w:pStyle w:val="TableParagraph"/>
              <w:spacing w:before="0" w:line="229" w:lineRule="exact"/>
              <w:ind w:left="277"/>
              <w:jc w:val="left"/>
              <w:rPr>
                <w:sz w:val="20"/>
              </w:rPr>
            </w:pPr>
            <w:r>
              <w:rPr>
                <w:sz w:val="20"/>
              </w:rPr>
              <w:t>Amounts</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tcPr>
          <w:p w14:paraId="72995D2F" w14:textId="77777777" w:rsidR="00AE2255" w:rsidRDefault="00AE2255">
            <w:pPr>
              <w:pStyle w:val="TableParagraph"/>
              <w:spacing w:before="0"/>
              <w:jc w:val="left"/>
              <w:rPr>
                <w:sz w:val="18"/>
              </w:rPr>
            </w:pPr>
          </w:p>
        </w:tc>
        <w:tc>
          <w:tcPr>
            <w:tcW w:w="1590" w:type="dxa"/>
          </w:tcPr>
          <w:p w14:paraId="0098CD2A" w14:textId="77777777" w:rsidR="00AE2255" w:rsidRDefault="00AE2255">
            <w:pPr>
              <w:pStyle w:val="TableParagraph"/>
              <w:spacing w:before="0"/>
              <w:jc w:val="left"/>
              <w:rPr>
                <w:sz w:val="18"/>
              </w:rPr>
            </w:pPr>
          </w:p>
        </w:tc>
        <w:tc>
          <w:tcPr>
            <w:tcW w:w="1534" w:type="dxa"/>
          </w:tcPr>
          <w:p w14:paraId="010365C1" w14:textId="77777777" w:rsidR="00AE2255" w:rsidRDefault="00AE2255">
            <w:pPr>
              <w:pStyle w:val="TableParagraph"/>
              <w:spacing w:before="0"/>
              <w:jc w:val="left"/>
              <w:rPr>
                <w:sz w:val="18"/>
              </w:rPr>
            </w:pPr>
          </w:p>
        </w:tc>
      </w:tr>
      <w:tr w:rsidR="00AE2255" w14:paraId="7E3D7186" w14:textId="77777777">
        <w:trPr>
          <w:trHeight w:val="285"/>
        </w:trPr>
        <w:tc>
          <w:tcPr>
            <w:tcW w:w="5320" w:type="dxa"/>
            <w:shd w:val="clear" w:color="auto" w:fill="CCEDFF"/>
          </w:tcPr>
          <w:p w14:paraId="50342139" w14:textId="77777777" w:rsidR="00AE2255" w:rsidRDefault="00000000">
            <w:pPr>
              <w:pStyle w:val="TableParagraph"/>
              <w:spacing w:before="0" w:line="229" w:lineRule="exact"/>
              <w:ind w:left="547"/>
              <w:jc w:val="left"/>
              <w:rPr>
                <w:sz w:val="20"/>
              </w:rPr>
            </w:pPr>
            <w:r>
              <w:rPr>
                <w:sz w:val="20"/>
              </w:rPr>
              <w:t>Pension</w:t>
            </w:r>
            <w:r>
              <w:rPr>
                <w:spacing w:val="-5"/>
                <w:sz w:val="20"/>
              </w:rPr>
              <w:t xml:space="preserve"> </w:t>
            </w:r>
            <w:r>
              <w:rPr>
                <w:sz w:val="20"/>
              </w:rPr>
              <w:t>settlement</w:t>
            </w:r>
            <w:r>
              <w:rPr>
                <w:spacing w:val="-6"/>
                <w:sz w:val="20"/>
              </w:rPr>
              <w:t xml:space="preserve"> </w:t>
            </w:r>
            <w:r>
              <w:rPr>
                <w:sz w:val="20"/>
              </w:rPr>
              <w:t>charge</w:t>
            </w:r>
            <w:r>
              <w:rPr>
                <w:spacing w:val="-5"/>
                <w:sz w:val="20"/>
              </w:rPr>
              <w:t xml:space="preserve"> </w:t>
            </w:r>
            <w:r>
              <w:rPr>
                <w:spacing w:val="-5"/>
                <w:sz w:val="20"/>
                <w:vertAlign w:val="superscript"/>
              </w:rPr>
              <w:t>(b)</w:t>
            </w:r>
          </w:p>
        </w:tc>
        <w:tc>
          <w:tcPr>
            <w:tcW w:w="1817" w:type="dxa"/>
            <w:shd w:val="clear" w:color="auto" w:fill="CCEDFF"/>
          </w:tcPr>
          <w:p w14:paraId="7AEB66CA" w14:textId="77777777" w:rsidR="00AE2255" w:rsidRDefault="00000000">
            <w:pPr>
              <w:pStyle w:val="TableParagraph"/>
              <w:spacing w:before="0" w:line="228" w:lineRule="exact"/>
              <w:ind w:right="136"/>
              <w:rPr>
                <w:b/>
                <w:sz w:val="20"/>
              </w:rPr>
            </w:pPr>
            <w:r>
              <w:rPr>
                <w:b/>
                <w:spacing w:val="-2"/>
                <w:sz w:val="20"/>
              </w:rPr>
              <w:t>1,156</w:t>
            </w:r>
          </w:p>
        </w:tc>
        <w:tc>
          <w:tcPr>
            <w:tcW w:w="1590" w:type="dxa"/>
            <w:shd w:val="clear" w:color="auto" w:fill="CCEDFF"/>
          </w:tcPr>
          <w:p w14:paraId="33D3407B" w14:textId="77777777" w:rsidR="00AE2255" w:rsidRDefault="00000000">
            <w:pPr>
              <w:pStyle w:val="TableParagraph"/>
              <w:spacing w:before="0" w:line="228" w:lineRule="exact"/>
              <w:ind w:right="136"/>
              <w:rPr>
                <w:b/>
                <w:sz w:val="20"/>
              </w:rPr>
            </w:pPr>
            <w:r>
              <w:rPr>
                <w:b/>
                <w:sz w:val="20"/>
              </w:rPr>
              <w:t>—</w:t>
            </w:r>
          </w:p>
        </w:tc>
        <w:tc>
          <w:tcPr>
            <w:tcW w:w="1534" w:type="dxa"/>
            <w:shd w:val="clear" w:color="auto" w:fill="CCEDFF"/>
          </w:tcPr>
          <w:p w14:paraId="4A5D7424" w14:textId="77777777" w:rsidR="00AE2255" w:rsidRDefault="00000000">
            <w:pPr>
              <w:pStyle w:val="TableParagraph"/>
              <w:spacing w:before="0" w:line="228" w:lineRule="exact"/>
              <w:ind w:right="80"/>
              <w:rPr>
                <w:b/>
                <w:sz w:val="20"/>
              </w:rPr>
            </w:pPr>
            <w:r>
              <w:rPr>
                <w:b/>
                <w:spacing w:val="-2"/>
                <w:sz w:val="20"/>
              </w:rPr>
              <w:t>1,156</w:t>
            </w:r>
          </w:p>
        </w:tc>
      </w:tr>
      <w:tr w:rsidR="00AE2255" w14:paraId="60C06385" w14:textId="77777777">
        <w:trPr>
          <w:trHeight w:val="285"/>
        </w:trPr>
        <w:tc>
          <w:tcPr>
            <w:tcW w:w="5320" w:type="dxa"/>
          </w:tcPr>
          <w:p w14:paraId="163929D4" w14:textId="77777777" w:rsidR="00AE2255" w:rsidRDefault="00000000">
            <w:pPr>
              <w:pStyle w:val="TableParagraph"/>
              <w:spacing w:before="0" w:line="229" w:lineRule="exact"/>
              <w:ind w:left="547"/>
              <w:jc w:val="left"/>
              <w:rPr>
                <w:sz w:val="20"/>
              </w:rPr>
            </w:pPr>
            <w:r>
              <w:rPr>
                <w:sz w:val="20"/>
              </w:rPr>
              <w:t>Recognition</w:t>
            </w:r>
            <w:r>
              <w:rPr>
                <w:spacing w:val="-4"/>
                <w:sz w:val="20"/>
              </w:rPr>
              <w:t xml:space="preserve"> </w:t>
            </w:r>
            <w:r>
              <w:rPr>
                <w:sz w:val="20"/>
              </w:rPr>
              <w:t>of</w:t>
            </w:r>
            <w:r>
              <w:rPr>
                <w:spacing w:val="-3"/>
                <w:sz w:val="20"/>
              </w:rPr>
              <w:t xml:space="preserve"> </w:t>
            </w:r>
            <w:r>
              <w:rPr>
                <w:sz w:val="20"/>
              </w:rPr>
              <w:t>net</w:t>
            </w:r>
            <w:r>
              <w:rPr>
                <w:spacing w:val="-4"/>
                <w:sz w:val="20"/>
              </w:rPr>
              <w:t xml:space="preserve"> </w:t>
            </w:r>
            <w:r>
              <w:rPr>
                <w:sz w:val="20"/>
              </w:rPr>
              <w:t>actuarial</w:t>
            </w:r>
            <w:r>
              <w:rPr>
                <w:spacing w:val="-4"/>
                <w:sz w:val="20"/>
              </w:rPr>
              <w:t xml:space="preserve"> </w:t>
            </w:r>
            <w:r>
              <w:rPr>
                <w:spacing w:val="-2"/>
                <w:sz w:val="20"/>
              </w:rPr>
              <w:t>losses</w:t>
            </w:r>
          </w:p>
        </w:tc>
        <w:tc>
          <w:tcPr>
            <w:tcW w:w="1817" w:type="dxa"/>
          </w:tcPr>
          <w:p w14:paraId="2A065F24" w14:textId="77777777" w:rsidR="00AE2255" w:rsidRDefault="00000000">
            <w:pPr>
              <w:pStyle w:val="TableParagraph"/>
              <w:spacing w:before="0" w:line="228" w:lineRule="exact"/>
              <w:ind w:right="136"/>
              <w:rPr>
                <w:b/>
                <w:sz w:val="20"/>
              </w:rPr>
            </w:pPr>
            <w:r>
              <w:rPr>
                <w:b/>
                <w:spacing w:val="-5"/>
                <w:sz w:val="20"/>
              </w:rPr>
              <w:t>337</w:t>
            </w:r>
          </w:p>
        </w:tc>
        <w:tc>
          <w:tcPr>
            <w:tcW w:w="1590" w:type="dxa"/>
          </w:tcPr>
          <w:p w14:paraId="517CB999" w14:textId="77777777" w:rsidR="00AE2255" w:rsidRDefault="00000000">
            <w:pPr>
              <w:pStyle w:val="TableParagraph"/>
              <w:spacing w:before="0" w:line="228" w:lineRule="exact"/>
              <w:ind w:right="136"/>
              <w:rPr>
                <w:b/>
                <w:sz w:val="20"/>
              </w:rPr>
            </w:pPr>
            <w:r>
              <w:rPr>
                <w:b/>
                <w:sz w:val="20"/>
              </w:rPr>
              <w:t>—</w:t>
            </w:r>
          </w:p>
        </w:tc>
        <w:tc>
          <w:tcPr>
            <w:tcW w:w="1534" w:type="dxa"/>
          </w:tcPr>
          <w:p w14:paraId="38E91466" w14:textId="77777777" w:rsidR="00AE2255" w:rsidRDefault="00000000">
            <w:pPr>
              <w:pStyle w:val="TableParagraph"/>
              <w:spacing w:before="0" w:line="228" w:lineRule="exact"/>
              <w:ind w:right="80"/>
              <w:rPr>
                <w:b/>
                <w:sz w:val="20"/>
              </w:rPr>
            </w:pPr>
            <w:r>
              <w:rPr>
                <w:b/>
                <w:spacing w:val="-5"/>
                <w:sz w:val="20"/>
              </w:rPr>
              <w:t>337</w:t>
            </w:r>
          </w:p>
        </w:tc>
      </w:tr>
      <w:tr w:rsidR="00AE2255" w14:paraId="15B7A039" w14:textId="77777777">
        <w:trPr>
          <w:trHeight w:val="285"/>
        </w:trPr>
        <w:tc>
          <w:tcPr>
            <w:tcW w:w="5320" w:type="dxa"/>
            <w:shd w:val="clear" w:color="auto" w:fill="CCEDFF"/>
          </w:tcPr>
          <w:p w14:paraId="4FB6D6AF" w14:textId="77777777" w:rsidR="00AE2255" w:rsidRDefault="00000000">
            <w:pPr>
              <w:pStyle w:val="TableParagraph"/>
              <w:spacing w:before="0" w:line="229" w:lineRule="exact"/>
              <w:ind w:left="547"/>
              <w:jc w:val="left"/>
              <w:rPr>
                <w:sz w:val="20"/>
              </w:rPr>
            </w:pPr>
            <w:r>
              <w:rPr>
                <w:sz w:val="20"/>
              </w:rPr>
              <w:t>Amortization</w:t>
            </w:r>
            <w:r>
              <w:rPr>
                <w:spacing w:val="-3"/>
                <w:sz w:val="20"/>
              </w:rPr>
              <w:t xml:space="preserve"> </w:t>
            </w:r>
            <w:r>
              <w:rPr>
                <w:sz w:val="20"/>
              </w:rPr>
              <w:t>of</w:t>
            </w:r>
            <w:r>
              <w:rPr>
                <w:spacing w:val="-3"/>
                <w:sz w:val="20"/>
              </w:rPr>
              <w:t xml:space="preserve"> </w:t>
            </w:r>
            <w:r>
              <w:rPr>
                <w:sz w:val="20"/>
              </w:rPr>
              <w:t>net</w:t>
            </w:r>
            <w:r>
              <w:rPr>
                <w:spacing w:val="-4"/>
                <w:sz w:val="20"/>
              </w:rPr>
              <w:t xml:space="preserve"> </w:t>
            </w:r>
            <w:r>
              <w:rPr>
                <w:sz w:val="20"/>
              </w:rPr>
              <w:t>prior</w:t>
            </w:r>
            <w:r>
              <w:rPr>
                <w:spacing w:val="-3"/>
                <w:sz w:val="20"/>
              </w:rPr>
              <w:t xml:space="preserve"> </w:t>
            </w:r>
            <w:r>
              <w:rPr>
                <w:sz w:val="20"/>
              </w:rPr>
              <w:t>service</w:t>
            </w:r>
            <w:r>
              <w:rPr>
                <w:spacing w:val="-3"/>
                <w:sz w:val="20"/>
              </w:rPr>
              <w:t xml:space="preserve"> </w:t>
            </w:r>
            <w:r>
              <w:rPr>
                <w:spacing w:val="-2"/>
                <w:sz w:val="20"/>
              </w:rPr>
              <w:t>credits</w:t>
            </w:r>
          </w:p>
        </w:tc>
        <w:tc>
          <w:tcPr>
            <w:tcW w:w="1817" w:type="dxa"/>
            <w:shd w:val="clear" w:color="auto" w:fill="CCEDFF"/>
          </w:tcPr>
          <w:p w14:paraId="3456CA99" w14:textId="77777777" w:rsidR="00AE2255" w:rsidRDefault="00000000">
            <w:pPr>
              <w:pStyle w:val="TableParagraph"/>
              <w:spacing w:before="0" w:line="228" w:lineRule="exact"/>
              <w:ind w:right="71"/>
              <w:rPr>
                <w:b/>
                <w:sz w:val="20"/>
              </w:rPr>
            </w:pPr>
            <w:r>
              <w:rPr>
                <w:b/>
                <w:spacing w:val="-2"/>
                <w:sz w:val="20"/>
              </w:rPr>
              <w:t>(268)</w:t>
            </w:r>
          </w:p>
        </w:tc>
        <w:tc>
          <w:tcPr>
            <w:tcW w:w="1590" w:type="dxa"/>
            <w:shd w:val="clear" w:color="auto" w:fill="CCEDFF"/>
          </w:tcPr>
          <w:p w14:paraId="00A70CF4" w14:textId="77777777" w:rsidR="00AE2255" w:rsidRDefault="00000000">
            <w:pPr>
              <w:pStyle w:val="TableParagraph"/>
              <w:spacing w:before="0" w:line="228" w:lineRule="exact"/>
              <w:ind w:right="136"/>
              <w:rPr>
                <w:b/>
                <w:sz w:val="20"/>
              </w:rPr>
            </w:pPr>
            <w:r>
              <w:rPr>
                <w:b/>
                <w:sz w:val="20"/>
              </w:rPr>
              <w:t>—</w:t>
            </w:r>
          </w:p>
        </w:tc>
        <w:tc>
          <w:tcPr>
            <w:tcW w:w="1534" w:type="dxa"/>
            <w:shd w:val="clear" w:color="auto" w:fill="CCEDFF"/>
          </w:tcPr>
          <w:p w14:paraId="23A8970D" w14:textId="77777777" w:rsidR="00AE2255" w:rsidRDefault="00000000">
            <w:pPr>
              <w:pStyle w:val="TableParagraph"/>
              <w:spacing w:before="0" w:line="228" w:lineRule="exact"/>
              <w:ind w:right="15"/>
              <w:rPr>
                <w:b/>
                <w:sz w:val="20"/>
              </w:rPr>
            </w:pPr>
            <w:r>
              <w:rPr>
                <w:b/>
                <w:spacing w:val="-2"/>
                <w:sz w:val="20"/>
              </w:rPr>
              <w:t>(268)</w:t>
            </w:r>
          </w:p>
        </w:tc>
      </w:tr>
      <w:tr w:rsidR="00AE2255" w14:paraId="44BE90A6" w14:textId="77777777">
        <w:trPr>
          <w:trHeight w:val="275"/>
        </w:trPr>
        <w:tc>
          <w:tcPr>
            <w:tcW w:w="5320" w:type="dxa"/>
            <w:tcBorders>
              <w:bottom w:val="single" w:sz="8" w:space="0" w:color="auto"/>
            </w:tcBorders>
          </w:tcPr>
          <w:p w14:paraId="408A6929" w14:textId="77777777" w:rsidR="00AE2255" w:rsidRDefault="00000000">
            <w:pPr>
              <w:pStyle w:val="TableParagraph"/>
              <w:spacing w:before="0" w:line="229" w:lineRule="exact"/>
              <w:ind w:left="547"/>
              <w:jc w:val="left"/>
              <w:rPr>
                <w:sz w:val="20"/>
              </w:rPr>
            </w:pPr>
            <w:r>
              <w:rPr>
                <w:spacing w:val="-2"/>
                <w:sz w:val="20"/>
              </w:rPr>
              <w:t>Other</w:t>
            </w:r>
          </w:p>
        </w:tc>
        <w:tc>
          <w:tcPr>
            <w:tcW w:w="1817" w:type="dxa"/>
            <w:tcBorders>
              <w:bottom w:val="single" w:sz="8" w:space="0" w:color="auto"/>
            </w:tcBorders>
          </w:tcPr>
          <w:p w14:paraId="18F11FCD" w14:textId="77777777" w:rsidR="00AE2255" w:rsidRDefault="00000000">
            <w:pPr>
              <w:pStyle w:val="TableParagraph"/>
              <w:spacing w:before="0" w:line="228" w:lineRule="exact"/>
              <w:ind w:right="136"/>
              <w:rPr>
                <w:b/>
                <w:sz w:val="20"/>
              </w:rPr>
            </w:pPr>
            <w:r>
              <w:rPr>
                <w:b/>
                <w:sz w:val="20"/>
              </w:rPr>
              <w:t>—</w:t>
            </w:r>
          </w:p>
        </w:tc>
        <w:tc>
          <w:tcPr>
            <w:tcW w:w="1590" w:type="dxa"/>
            <w:tcBorders>
              <w:bottom w:val="single" w:sz="8" w:space="0" w:color="auto"/>
            </w:tcBorders>
          </w:tcPr>
          <w:p w14:paraId="755DCBCB" w14:textId="77777777" w:rsidR="00AE2255" w:rsidRDefault="00000000">
            <w:pPr>
              <w:pStyle w:val="TableParagraph"/>
              <w:spacing w:before="0" w:line="228" w:lineRule="exact"/>
              <w:ind w:right="136"/>
              <w:rPr>
                <w:b/>
                <w:sz w:val="20"/>
              </w:rPr>
            </w:pPr>
            <w:r>
              <w:rPr>
                <w:b/>
                <w:spacing w:val="-5"/>
                <w:sz w:val="20"/>
              </w:rPr>
              <w:t>44</w:t>
            </w:r>
          </w:p>
        </w:tc>
        <w:tc>
          <w:tcPr>
            <w:tcW w:w="1534" w:type="dxa"/>
            <w:tcBorders>
              <w:bottom w:val="single" w:sz="8" w:space="0" w:color="auto"/>
            </w:tcBorders>
          </w:tcPr>
          <w:p w14:paraId="2A602029" w14:textId="77777777" w:rsidR="00AE2255" w:rsidRDefault="00000000">
            <w:pPr>
              <w:pStyle w:val="TableParagraph"/>
              <w:spacing w:before="0" w:line="228" w:lineRule="exact"/>
              <w:ind w:right="80"/>
              <w:rPr>
                <w:b/>
                <w:sz w:val="20"/>
              </w:rPr>
            </w:pPr>
            <w:r>
              <w:rPr>
                <w:b/>
                <w:spacing w:val="-5"/>
                <w:sz w:val="20"/>
              </w:rPr>
              <w:t>44</w:t>
            </w:r>
          </w:p>
        </w:tc>
      </w:tr>
      <w:tr w:rsidR="00AE2255" w14:paraId="7315D6A3" w14:textId="77777777">
        <w:trPr>
          <w:trHeight w:val="265"/>
        </w:trPr>
        <w:tc>
          <w:tcPr>
            <w:tcW w:w="5320" w:type="dxa"/>
            <w:tcBorders>
              <w:top w:val="single" w:sz="8" w:space="0" w:color="CCEDFF"/>
              <w:bottom w:val="single" w:sz="8" w:space="0" w:color="CCEDFF"/>
            </w:tcBorders>
            <w:shd w:val="clear" w:color="auto" w:fill="CCEDFF"/>
          </w:tcPr>
          <w:p w14:paraId="5DBFFC48" w14:textId="77777777" w:rsidR="00AE2255" w:rsidRDefault="00000000">
            <w:pPr>
              <w:pStyle w:val="TableParagraph"/>
              <w:spacing w:before="0" w:line="219" w:lineRule="exact"/>
              <w:ind w:left="412"/>
              <w:jc w:val="left"/>
              <w:rPr>
                <w:sz w:val="20"/>
              </w:rPr>
            </w:pPr>
            <w:r>
              <w:rPr>
                <w:sz w:val="20"/>
              </w:rPr>
              <w:t>Total</w:t>
            </w:r>
            <w:r>
              <w:rPr>
                <w:spacing w:val="-5"/>
                <w:sz w:val="20"/>
              </w:rPr>
              <w:t xml:space="preserve"> </w:t>
            </w:r>
            <w:r>
              <w:rPr>
                <w:sz w:val="20"/>
              </w:rPr>
              <w:t>reclassified</w:t>
            </w:r>
            <w:r>
              <w:rPr>
                <w:spacing w:val="-5"/>
                <w:sz w:val="20"/>
              </w:rPr>
              <w:t xml:space="preserve"> </w:t>
            </w:r>
            <w:r>
              <w:rPr>
                <w:sz w:val="20"/>
              </w:rPr>
              <w:t>from</w:t>
            </w:r>
            <w:r>
              <w:rPr>
                <w:spacing w:val="-4"/>
                <w:sz w:val="20"/>
              </w:rPr>
              <w:t xml:space="preserve"> AOCL</w:t>
            </w:r>
          </w:p>
        </w:tc>
        <w:tc>
          <w:tcPr>
            <w:tcW w:w="1817" w:type="dxa"/>
            <w:tcBorders>
              <w:top w:val="single" w:sz="8" w:space="0" w:color="CCEDFF"/>
              <w:bottom w:val="single" w:sz="8" w:space="0" w:color="CCEDFF"/>
            </w:tcBorders>
            <w:shd w:val="clear" w:color="auto" w:fill="CCEDFF"/>
          </w:tcPr>
          <w:p w14:paraId="293E370A" w14:textId="77777777" w:rsidR="00AE2255" w:rsidRDefault="00000000">
            <w:pPr>
              <w:pStyle w:val="TableParagraph"/>
              <w:spacing w:before="0" w:line="218" w:lineRule="exact"/>
              <w:ind w:right="136"/>
              <w:rPr>
                <w:b/>
                <w:sz w:val="20"/>
              </w:rPr>
            </w:pPr>
            <w:r>
              <w:rPr>
                <w:b/>
                <w:spacing w:val="-2"/>
                <w:sz w:val="20"/>
              </w:rPr>
              <w:t>1,225</w:t>
            </w:r>
          </w:p>
        </w:tc>
        <w:tc>
          <w:tcPr>
            <w:tcW w:w="1590" w:type="dxa"/>
            <w:tcBorders>
              <w:top w:val="single" w:sz="8" w:space="0" w:color="CCEDFF"/>
              <w:bottom w:val="single" w:sz="8" w:space="0" w:color="CCEDFF"/>
            </w:tcBorders>
            <w:shd w:val="clear" w:color="auto" w:fill="CCEDFF"/>
          </w:tcPr>
          <w:p w14:paraId="52D24F27" w14:textId="77777777" w:rsidR="00AE2255" w:rsidRDefault="00000000">
            <w:pPr>
              <w:pStyle w:val="TableParagraph"/>
              <w:spacing w:before="0" w:line="218" w:lineRule="exact"/>
              <w:ind w:right="136"/>
              <w:rPr>
                <w:b/>
                <w:sz w:val="20"/>
              </w:rPr>
            </w:pPr>
            <w:r>
              <w:rPr>
                <w:b/>
                <w:spacing w:val="-5"/>
                <w:sz w:val="20"/>
              </w:rPr>
              <w:t>44</w:t>
            </w:r>
          </w:p>
        </w:tc>
        <w:tc>
          <w:tcPr>
            <w:tcW w:w="1534" w:type="dxa"/>
            <w:tcBorders>
              <w:top w:val="single" w:sz="8" w:space="0" w:color="CCEDFF"/>
              <w:bottom w:val="single" w:sz="8" w:space="0" w:color="CCEDFF"/>
            </w:tcBorders>
            <w:shd w:val="clear" w:color="auto" w:fill="CCEDFF"/>
          </w:tcPr>
          <w:p w14:paraId="693360CF" w14:textId="77777777" w:rsidR="00AE2255" w:rsidRDefault="00000000">
            <w:pPr>
              <w:pStyle w:val="TableParagraph"/>
              <w:spacing w:before="0" w:line="218" w:lineRule="exact"/>
              <w:ind w:right="80"/>
              <w:rPr>
                <w:b/>
                <w:sz w:val="20"/>
              </w:rPr>
            </w:pPr>
            <w:r>
              <w:rPr>
                <w:b/>
                <w:spacing w:val="-2"/>
                <w:sz w:val="20"/>
              </w:rPr>
              <w:t>1,269</w:t>
            </w:r>
          </w:p>
        </w:tc>
      </w:tr>
      <w:tr w:rsidR="00AE2255" w14:paraId="5CB5CCFE" w14:textId="77777777">
        <w:trPr>
          <w:trHeight w:val="265"/>
        </w:trPr>
        <w:tc>
          <w:tcPr>
            <w:tcW w:w="5320" w:type="dxa"/>
            <w:tcBorders>
              <w:top w:val="single" w:sz="8" w:space="0" w:color="auto"/>
              <w:bottom w:val="single" w:sz="8" w:space="0" w:color="auto"/>
            </w:tcBorders>
          </w:tcPr>
          <w:p w14:paraId="27D82B92" w14:textId="77777777" w:rsidR="00AE2255" w:rsidRDefault="00000000">
            <w:pPr>
              <w:pStyle w:val="TableParagraph"/>
              <w:spacing w:before="0" w:line="219" w:lineRule="exact"/>
              <w:ind w:left="277"/>
              <w:jc w:val="left"/>
              <w:rPr>
                <w:sz w:val="20"/>
              </w:rPr>
            </w:pPr>
            <w:r>
              <w:rPr>
                <w:sz w:val="20"/>
              </w:rPr>
              <w:t>Total</w:t>
            </w:r>
            <w:r>
              <w:rPr>
                <w:spacing w:val="-5"/>
                <w:sz w:val="20"/>
              </w:rPr>
              <w:t xml:space="preserve"> </w:t>
            </w:r>
            <w:r>
              <w:rPr>
                <w:sz w:val="20"/>
              </w:rPr>
              <w:t>other</w:t>
            </w:r>
            <w:r>
              <w:rPr>
                <w:spacing w:val="-4"/>
                <w:sz w:val="20"/>
              </w:rPr>
              <w:t xml:space="preserve"> </w:t>
            </w:r>
            <w:r>
              <w:rPr>
                <w:sz w:val="20"/>
              </w:rPr>
              <w:t>comprehensive</w:t>
            </w:r>
            <w:r>
              <w:rPr>
                <w:spacing w:val="-4"/>
                <w:sz w:val="20"/>
              </w:rPr>
              <w:t xml:space="preserve"> </w:t>
            </w:r>
            <w:r>
              <w:rPr>
                <w:sz w:val="20"/>
              </w:rPr>
              <w:t>income</w:t>
            </w:r>
            <w:r>
              <w:rPr>
                <w:spacing w:val="-4"/>
                <w:sz w:val="20"/>
              </w:rPr>
              <w:t xml:space="preserve"> </w:t>
            </w:r>
            <w:r>
              <w:rPr>
                <w:spacing w:val="-2"/>
                <w:sz w:val="20"/>
              </w:rPr>
              <w:t>(loss)</w:t>
            </w:r>
          </w:p>
        </w:tc>
        <w:tc>
          <w:tcPr>
            <w:tcW w:w="1817" w:type="dxa"/>
            <w:tcBorders>
              <w:top w:val="single" w:sz="8" w:space="0" w:color="auto"/>
              <w:bottom w:val="single" w:sz="8" w:space="0" w:color="auto"/>
            </w:tcBorders>
          </w:tcPr>
          <w:p w14:paraId="2B0C395C" w14:textId="77777777" w:rsidR="00AE2255" w:rsidRDefault="00000000">
            <w:pPr>
              <w:pStyle w:val="TableParagraph"/>
              <w:spacing w:before="0" w:line="218" w:lineRule="exact"/>
              <w:ind w:right="136"/>
              <w:rPr>
                <w:b/>
                <w:sz w:val="20"/>
              </w:rPr>
            </w:pPr>
            <w:r>
              <w:rPr>
                <w:b/>
                <w:spacing w:val="-2"/>
                <w:sz w:val="20"/>
              </w:rPr>
              <w:t>3,098</w:t>
            </w:r>
          </w:p>
        </w:tc>
        <w:tc>
          <w:tcPr>
            <w:tcW w:w="1590" w:type="dxa"/>
            <w:tcBorders>
              <w:top w:val="single" w:sz="8" w:space="0" w:color="auto"/>
              <w:bottom w:val="single" w:sz="8" w:space="0" w:color="auto"/>
            </w:tcBorders>
          </w:tcPr>
          <w:p w14:paraId="0F01568A" w14:textId="77777777" w:rsidR="00AE2255" w:rsidRDefault="00000000">
            <w:pPr>
              <w:pStyle w:val="TableParagraph"/>
              <w:spacing w:before="0" w:line="218" w:lineRule="exact"/>
              <w:ind w:right="71"/>
              <w:rPr>
                <w:b/>
                <w:sz w:val="20"/>
              </w:rPr>
            </w:pPr>
            <w:r>
              <w:rPr>
                <w:b/>
                <w:spacing w:val="-2"/>
                <w:sz w:val="20"/>
              </w:rPr>
              <w:t>(115)</w:t>
            </w:r>
          </w:p>
        </w:tc>
        <w:tc>
          <w:tcPr>
            <w:tcW w:w="1534" w:type="dxa"/>
            <w:tcBorders>
              <w:top w:val="single" w:sz="8" w:space="0" w:color="auto"/>
              <w:bottom w:val="single" w:sz="8" w:space="0" w:color="auto"/>
            </w:tcBorders>
          </w:tcPr>
          <w:p w14:paraId="4161B6FD" w14:textId="77777777" w:rsidR="00AE2255" w:rsidRDefault="00000000">
            <w:pPr>
              <w:pStyle w:val="TableParagraph"/>
              <w:spacing w:before="0" w:line="218" w:lineRule="exact"/>
              <w:ind w:right="80"/>
              <w:rPr>
                <w:b/>
                <w:sz w:val="20"/>
              </w:rPr>
            </w:pPr>
            <w:r>
              <w:rPr>
                <w:b/>
                <w:spacing w:val="-2"/>
                <w:sz w:val="20"/>
              </w:rPr>
              <w:t>2,983</w:t>
            </w:r>
          </w:p>
        </w:tc>
      </w:tr>
      <w:tr w:rsidR="00AE2255" w14:paraId="1D608EAC" w14:textId="77777777">
        <w:trPr>
          <w:trHeight w:val="252"/>
        </w:trPr>
        <w:tc>
          <w:tcPr>
            <w:tcW w:w="5320" w:type="dxa"/>
            <w:tcBorders>
              <w:top w:val="single" w:sz="8" w:space="0" w:color="CCEDFF"/>
              <w:bottom w:val="single" w:sz="18" w:space="0" w:color="CCEDFF"/>
            </w:tcBorders>
            <w:shd w:val="clear" w:color="auto" w:fill="CCEDFF"/>
          </w:tcPr>
          <w:p w14:paraId="4586183F" w14:textId="77777777" w:rsidR="00AE2255" w:rsidRDefault="00000000">
            <w:pPr>
              <w:pStyle w:val="TableParagraph"/>
              <w:spacing w:before="0" w:line="218" w:lineRule="exact"/>
              <w:ind w:left="52"/>
              <w:jc w:val="left"/>
              <w:rPr>
                <w:sz w:val="20"/>
              </w:rPr>
            </w:pPr>
            <w:r>
              <w:rPr>
                <w:sz w:val="20"/>
              </w:rPr>
              <w:t>Balance</w:t>
            </w:r>
            <w:r>
              <w:rPr>
                <w:spacing w:val="-4"/>
                <w:sz w:val="20"/>
              </w:rPr>
              <w:t xml:space="preserve"> </w:t>
            </w:r>
            <w:proofErr w:type="gramStart"/>
            <w:r>
              <w:rPr>
                <w:sz w:val="20"/>
              </w:rPr>
              <w:t>at</w:t>
            </w:r>
            <w:proofErr w:type="gramEnd"/>
            <w:r>
              <w:rPr>
                <w:spacing w:val="-4"/>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2022</w:t>
            </w:r>
          </w:p>
        </w:tc>
        <w:tc>
          <w:tcPr>
            <w:tcW w:w="1817" w:type="dxa"/>
            <w:tcBorders>
              <w:top w:val="single" w:sz="8" w:space="0" w:color="CCEDFF"/>
              <w:bottom w:val="single" w:sz="18" w:space="0" w:color="CCEDFF"/>
            </w:tcBorders>
            <w:shd w:val="clear" w:color="auto" w:fill="CCEDFF"/>
          </w:tcPr>
          <w:p w14:paraId="445CF8E9" w14:textId="77777777" w:rsidR="00AE2255" w:rsidRDefault="00000000">
            <w:pPr>
              <w:pStyle w:val="TableParagraph"/>
              <w:tabs>
                <w:tab w:val="left" w:pos="864"/>
              </w:tabs>
              <w:spacing w:before="0" w:line="218" w:lineRule="exact"/>
              <w:ind w:right="71"/>
              <w:rPr>
                <w:b/>
                <w:sz w:val="20"/>
              </w:rPr>
            </w:pPr>
            <w:r>
              <w:rPr>
                <w:b/>
                <w:spacing w:val="-10"/>
                <w:sz w:val="20"/>
              </w:rPr>
              <w:t>$</w:t>
            </w:r>
            <w:r>
              <w:rPr>
                <w:b/>
                <w:sz w:val="20"/>
              </w:rPr>
              <w:tab/>
            </w:r>
            <w:r>
              <w:rPr>
                <w:b/>
                <w:spacing w:val="-2"/>
                <w:sz w:val="20"/>
              </w:rPr>
              <w:t>(7,866)</w:t>
            </w:r>
          </w:p>
        </w:tc>
        <w:tc>
          <w:tcPr>
            <w:tcW w:w="1590" w:type="dxa"/>
            <w:tcBorders>
              <w:top w:val="single" w:sz="8" w:space="0" w:color="CCEDFF"/>
              <w:bottom w:val="single" w:sz="18" w:space="0" w:color="CCEDFF"/>
            </w:tcBorders>
            <w:shd w:val="clear" w:color="auto" w:fill="CCEDFF"/>
          </w:tcPr>
          <w:p w14:paraId="3DC5DC2F" w14:textId="77777777" w:rsidR="00AE2255" w:rsidRDefault="00000000">
            <w:pPr>
              <w:pStyle w:val="TableParagraph"/>
              <w:tabs>
                <w:tab w:val="left" w:pos="1014"/>
              </w:tabs>
              <w:spacing w:before="0" w:line="218" w:lineRule="exact"/>
              <w:ind w:right="71"/>
              <w:rPr>
                <w:b/>
                <w:sz w:val="20"/>
              </w:rPr>
            </w:pPr>
            <w:r>
              <w:rPr>
                <w:b/>
                <w:spacing w:val="-10"/>
                <w:sz w:val="20"/>
              </w:rPr>
              <w:t>$</w:t>
            </w:r>
            <w:r>
              <w:rPr>
                <w:b/>
                <w:sz w:val="20"/>
              </w:rPr>
              <w:tab/>
            </w:r>
            <w:r>
              <w:rPr>
                <w:b/>
                <w:spacing w:val="-2"/>
                <w:sz w:val="20"/>
              </w:rPr>
              <w:t>(157)</w:t>
            </w:r>
          </w:p>
        </w:tc>
        <w:tc>
          <w:tcPr>
            <w:tcW w:w="1534" w:type="dxa"/>
            <w:tcBorders>
              <w:top w:val="single" w:sz="8" w:space="0" w:color="CCEDFF"/>
              <w:bottom w:val="single" w:sz="18" w:space="0" w:color="CCEDFF"/>
            </w:tcBorders>
            <w:shd w:val="clear" w:color="auto" w:fill="CCEDFF"/>
          </w:tcPr>
          <w:p w14:paraId="6A9CD33C" w14:textId="77777777" w:rsidR="00AE2255" w:rsidRDefault="00000000">
            <w:pPr>
              <w:pStyle w:val="TableParagraph"/>
              <w:tabs>
                <w:tab w:val="left" w:pos="864"/>
              </w:tabs>
              <w:spacing w:before="0" w:line="218" w:lineRule="exact"/>
              <w:ind w:right="15"/>
              <w:rPr>
                <w:b/>
                <w:sz w:val="20"/>
              </w:rPr>
            </w:pPr>
            <w:r>
              <w:rPr>
                <w:b/>
                <w:spacing w:val="-10"/>
                <w:sz w:val="20"/>
              </w:rPr>
              <w:t>$</w:t>
            </w:r>
            <w:r>
              <w:rPr>
                <w:b/>
                <w:sz w:val="20"/>
              </w:rPr>
              <w:tab/>
            </w:r>
            <w:r>
              <w:rPr>
                <w:b/>
                <w:spacing w:val="-2"/>
                <w:sz w:val="20"/>
              </w:rPr>
              <w:t>(8,023)</w:t>
            </w:r>
          </w:p>
        </w:tc>
      </w:tr>
    </w:tbl>
    <w:p w14:paraId="1C4E2937" w14:textId="77777777" w:rsidR="00AE2255" w:rsidRDefault="00000000">
      <w:pPr>
        <w:spacing w:before="127" w:line="249" w:lineRule="auto"/>
        <w:ind w:left="970" w:right="425" w:hanging="360"/>
        <w:jc w:val="both"/>
        <w:rPr>
          <w:sz w:val="18"/>
        </w:rPr>
      </w:pPr>
      <w:r>
        <w:rPr>
          <w:sz w:val="18"/>
          <w:vertAlign w:val="superscript"/>
        </w:rPr>
        <w:t>(a)</w:t>
      </w:r>
      <w:r>
        <w:rPr>
          <w:spacing w:val="80"/>
          <w:w w:val="150"/>
          <w:sz w:val="18"/>
        </w:rPr>
        <w:t xml:space="preserve"> </w:t>
      </w:r>
      <w:r>
        <w:rPr>
          <w:sz w:val="18"/>
        </w:rPr>
        <w:t>AOCL</w:t>
      </w:r>
      <w:r>
        <w:rPr>
          <w:spacing w:val="37"/>
          <w:sz w:val="18"/>
        </w:rPr>
        <w:t xml:space="preserve"> </w:t>
      </w:r>
      <w:r>
        <w:rPr>
          <w:sz w:val="18"/>
        </w:rPr>
        <w:t>related</w:t>
      </w:r>
      <w:r>
        <w:rPr>
          <w:spacing w:val="37"/>
          <w:sz w:val="18"/>
        </w:rPr>
        <w:t xml:space="preserve"> </w:t>
      </w:r>
      <w:r>
        <w:rPr>
          <w:sz w:val="18"/>
        </w:rPr>
        <w:t>to</w:t>
      </w:r>
      <w:r>
        <w:rPr>
          <w:spacing w:val="37"/>
          <w:sz w:val="18"/>
        </w:rPr>
        <w:t xml:space="preserve"> </w:t>
      </w:r>
      <w:r>
        <w:rPr>
          <w:sz w:val="18"/>
        </w:rPr>
        <w:t>postretirement</w:t>
      </w:r>
      <w:r>
        <w:rPr>
          <w:spacing w:val="37"/>
          <w:sz w:val="18"/>
        </w:rPr>
        <w:t xml:space="preserve"> </w:t>
      </w:r>
      <w:r>
        <w:rPr>
          <w:sz w:val="18"/>
        </w:rPr>
        <w:t>benefit</w:t>
      </w:r>
      <w:r>
        <w:rPr>
          <w:spacing w:val="37"/>
          <w:sz w:val="18"/>
        </w:rPr>
        <w:t xml:space="preserve"> </w:t>
      </w:r>
      <w:r>
        <w:rPr>
          <w:sz w:val="18"/>
        </w:rPr>
        <w:t>plans</w:t>
      </w:r>
      <w:r>
        <w:rPr>
          <w:spacing w:val="37"/>
          <w:sz w:val="18"/>
        </w:rPr>
        <w:t xml:space="preserve"> </w:t>
      </w:r>
      <w:r>
        <w:rPr>
          <w:sz w:val="18"/>
        </w:rPr>
        <w:t>is</w:t>
      </w:r>
      <w:r>
        <w:rPr>
          <w:spacing w:val="37"/>
          <w:sz w:val="18"/>
        </w:rPr>
        <w:t xml:space="preserve"> </w:t>
      </w:r>
      <w:r>
        <w:rPr>
          <w:sz w:val="18"/>
        </w:rPr>
        <w:t>shown</w:t>
      </w:r>
      <w:r>
        <w:rPr>
          <w:spacing w:val="37"/>
          <w:sz w:val="18"/>
        </w:rPr>
        <w:t xml:space="preserve"> </w:t>
      </w:r>
      <w:r>
        <w:rPr>
          <w:sz w:val="18"/>
        </w:rPr>
        <w:t>net</w:t>
      </w:r>
      <w:r>
        <w:rPr>
          <w:spacing w:val="37"/>
          <w:sz w:val="18"/>
        </w:rPr>
        <w:t xml:space="preserve"> </w:t>
      </w:r>
      <w:r>
        <w:rPr>
          <w:sz w:val="18"/>
        </w:rPr>
        <w:t>of</w:t>
      </w:r>
      <w:r>
        <w:rPr>
          <w:spacing w:val="37"/>
          <w:sz w:val="18"/>
        </w:rPr>
        <w:t xml:space="preserve"> </w:t>
      </w:r>
      <w:r>
        <w:rPr>
          <w:sz w:val="18"/>
        </w:rPr>
        <w:t>tax</w:t>
      </w:r>
      <w:r>
        <w:rPr>
          <w:spacing w:val="37"/>
          <w:sz w:val="18"/>
        </w:rPr>
        <w:t xml:space="preserve"> </w:t>
      </w:r>
      <w:r>
        <w:rPr>
          <w:sz w:val="18"/>
        </w:rPr>
        <w:t>benefits</w:t>
      </w:r>
      <w:r>
        <w:rPr>
          <w:spacing w:val="37"/>
          <w:sz w:val="18"/>
        </w:rPr>
        <w:t xml:space="preserve"> </w:t>
      </w:r>
      <w:r>
        <w:rPr>
          <w:sz w:val="18"/>
        </w:rPr>
        <w:t>of</w:t>
      </w:r>
      <w:r>
        <w:rPr>
          <w:spacing w:val="35"/>
          <w:sz w:val="18"/>
        </w:rPr>
        <w:t xml:space="preserve"> </w:t>
      </w:r>
      <w:r>
        <w:rPr>
          <w:sz w:val="18"/>
        </w:rPr>
        <w:t>$2.1</w:t>
      </w:r>
      <w:r>
        <w:rPr>
          <w:spacing w:val="37"/>
          <w:sz w:val="18"/>
        </w:rPr>
        <w:t xml:space="preserve"> </w:t>
      </w:r>
      <w:r>
        <w:rPr>
          <w:sz w:val="18"/>
        </w:rPr>
        <w:t>billion</w:t>
      </w:r>
      <w:r>
        <w:rPr>
          <w:spacing w:val="37"/>
          <w:sz w:val="18"/>
        </w:rPr>
        <w:t xml:space="preserve"> </w:t>
      </w:r>
      <w:proofErr w:type="gramStart"/>
      <w:r>
        <w:rPr>
          <w:sz w:val="18"/>
        </w:rPr>
        <w:t>at</w:t>
      </w:r>
      <w:proofErr w:type="gramEnd"/>
      <w:r>
        <w:rPr>
          <w:spacing w:val="38"/>
          <w:sz w:val="18"/>
        </w:rPr>
        <w:t xml:space="preserve"> </w:t>
      </w:r>
      <w:r>
        <w:rPr>
          <w:sz w:val="18"/>
        </w:rPr>
        <w:t>December</w:t>
      </w:r>
      <w:r>
        <w:rPr>
          <w:spacing w:val="37"/>
          <w:sz w:val="18"/>
        </w:rPr>
        <w:t xml:space="preserve"> </w:t>
      </w:r>
      <w:r>
        <w:rPr>
          <w:sz w:val="18"/>
        </w:rPr>
        <w:t>31,</w:t>
      </w:r>
      <w:r>
        <w:rPr>
          <w:spacing w:val="37"/>
          <w:sz w:val="18"/>
        </w:rPr>
        <w:t xml:space="preserve"> </w:t>
      </w:r>
      <w:r>
        <w:rPr>
          <w:sz w:val="18"/>
        </w:rPr>
        <w:t>2022,</w:t>
      </w:r>
      <w:r>
        <w:rPr>
          <w:spacing w:val="38"/>
          <w:sz w:val="18"/>
        </w:rPr>
        <w:t xml:space="preserve"> </w:t>
      </w:r>
      <w:r>
        <w:rPr>
          <w:sz w:val="18"/>
        </w:rPr>
        <w:t>$3.0</w:t>
      </w:r>
      <w:r>
        <w:rPr>
          <w:spacing w:val="37"/>
          <w:sz w:val="18"/>
        </w:rPr>
        <w:t xml:space="preserve"> </w:t>
      </w:r>
      <w:r>
        <w:rPr>
          <w:sz w:val="18"/>
        </w:rPr>
        <w:t>billion</w:t>
      </w:r>
      <w:r>
        <w:rPr>
          <w:spacing w:val="37"/>
          <w:sz w:val="18"/>
        </w:rPr>
        <w:t xml:space="preserve"> </w:t>
      </w:r>
      <w:r>
        <w:rPr>
          <w:sz w:val="18"/>
        </w:rPr>
        <w:t>at December 31, 2021 and $4.4 billion at December 31, 2020. These tax benefits include amounts recognized on our income tax returns as current deductions and deferred income taxes, which will be recognized on our tax returns in future years. See “Note 9 – Income Taxes” and “Note 11 – Postretirement Benefit Plans” for more information on our income taxes and postretirement benefit plans.</w:t>
      </w:r>
    </w:p>
    <w:p w14:paraId="7D8FD674" w14:textId="77777777" w:rsidR="00AE2255" w:rsidRDefault="00000000">
      <w:pPr>
        <w:spacing w:before="3" w:line="249" w:lineRule="auto"/>
        <w:ind w:left="970" w:right="423" w:hanging="360"/>
        <w:jc w:val="both"/>
        <w:rPr>
          <w:sz w:val="18"/>
        </w:rPr>
      </w:pPr>
      <w:r>
        <w:rPr>
          <w:b/>
          <w:sz w:val="18"/>
          <w:vertAlign w:val="superscript"/>
        </w:rPr>
        <w:t>(b)</w:t>
      </w:r>
      <w:r>
        <w:rPr>
          <w:b/>
          <w:spacing w:val="80"/>
          <w:w w:val="150"/>
          <w:sz w:val="18"/>
        </w:rPr>
        <w:t xml:space="preserve"> </w:t>
      </w:r>
      <w:r>
        <w:rPr>
          <w:sz w:val="18"/>
        </w:rPr>
        <w:t>During 2022 and 2021, we recognized a noncash, non-operating pension settlement charge of $1.5 billion ($1.2 billion, or $4.33 per</w:t>
      </w:r>
      <w:r>
        <w:rPr>
          <w:spacing w:val="80"/>
          <w:sz w:val="18"/>
        </w:rPr>
        <w:t xml:space="preserve"> </w:t>
      </w:r>
      <w:r>
        <w:rPr>
          <w:sz w:val="18"/>
        </w:rPr>
        <w:t>share, after-tax) and $1.7 billion ($1.3 billion, $4.72 per share, after-tax) related to the accelerated recognition of actuarial losses</w:t>
      </w:r>
      <w:r>
        <w:rPr>
          <w:spacing w:val="40"/>
          <w:sz w:val="18"/>
        </w:rPr>
        <w:t xml:space="preserve"> </w:t>
      </w:r>
      <w:r>
        <w:rPr>
          <w:sz w:val="18"/>
        </w:rPr>
        <w:t>included in AOCL for certain defined benefit pension plans that purchased a group annuity contract from an insurance company (see “Note 11 – Postretirement Benefit Plans”).</w:t>
      </w:r>
    </w:p>
    <w:p w14:paraId="1223182E" w14:textId="77777777" w:rsidR="00AE2255" w:rsidRDefault="00AE2255">
      <w:pPr>
        <w:spacing w:line="249" w:lineRule="auto"/>
        <w:jc w:val="both"/>
        <w:rPr>
          <w:sz w:val="18"/>
        </w:rPr>
        <w:sectPr w:rsidR="00AE2255">
          <w:pgSz w:w="12240" w:h="15840"/>
          <w:pgMar w:top="440" w:right="560" w:bottom="720" w:left="380" w:header="230" w:footer="531" w:gutter="0"/>
          <w:cols w:space="720"/>
        </w:sectPr>
      </w:pPr>
    </w:p>
    <w:p w14:paraId="67634FE3" w14:textId="77777777" w:rsidR="00AE2255" w:rsidRDefault="00AE2255">
      <w:pPr>
        <w:pStyle w:val="BodyText"/>
        <w:spacing w:before="7"/>
        <w:rPr>
          <w:sz w:val="22"/>
        </w:rPr>
      </w:pPr>
    </w:p>
    <w:p w14:paraId="67FC93A0" w14:textId="77777777" w:rsidR="00AE2255" w:rsidRDefault="00000000">
      <w:pPr>
        <w:pStyle w:val="Heading2"/>
        <w:spacing w:before="92" w:line="501" w:lineRule="auto"/>
        <w:ind w:right="7500"/>
      </w:pPr>
      <w:bookmarkStart w:id="60" w:name="Note_13_–_Stock-Based_Compensation"/>
      <w:bookmarkEnd w:id="60"/>
      <w:r>
        <w:t>Note</w:t>
      </w:r>
      <w:r>
        <w:rPr>
          <w:spacing w:val="-11"/>
        </w:rPr>
        <w:t xml:space="preserve"> </w:t>
      </w:r>
      <w:r>
        <w:t>13</w:t>
      </w:r>
      <w:r>
        <w:rPr>
          <w:spacing w:val="-10"/>
        </w:rPr>
        <w:t xml:space="preserve"> </w:t>
      </w:r>
      <w:r>
        <w:t>–</w:t>
      </w:r>
      <w:r>
        <w:rPr>
          <w:spacing w:val="-10"/>
        </w:rPr>
        <w:t xml:space="preserve"> </w:t>
      </w:r>
      <w:r>
        <w:t>Stock-Based</w:t>
      </w:r>
      <w:r>
        <w:rPr>
          <w:spacing w:val="-11"/>
        </w:rPr>
        <w:t xml:space="preserve"> </w:t>
      </w:r>
      <w:r>
        <w:t>Compensation Stock-Based Compensation Plans</w:t>
      </w:r>
    </w:p>
    <w:p w14:paraId="5FB84AFF" w14:textId="77777777" w:rsidR="00AE2255" w:rsidRDefault="00000000">
      <w:pPr>
        <w:pStyle w:val="BodyText"/>
        <w:spacing w:line="192" w:lineRule="exact"/>
        <w:ind w:left="970"/>
        <w:jc w:val="both"/>
      </w:pPr>
      <w:r>
        <w:t>Under</w:t>
      </w:r>
      <w:r>
        <w:rPr>
          <w:spacing w:val="37"/>
        </w:rPr>
        <w:t xml:space="preserve"> </w:t>
      </w:r>
      <w:r>
        <w:t>plans</w:t>
      </w:r>
      <w:r>
        <w:rPr>
          <w:spacing w:val="39"/>
        </w:rPr>
        <w:t xml:space="preserve"> </w:t>
      </w:r>
      <w:r>
        <w:t>approved</w:t>
      </w:r>
      <w:r>
        <w:rPr>
          <w:spacing w:val="40"/>
        </w:rPr>
        <w:t xml:space="preserve"> </w:t>
      </w:r>
      <w:r>
        <w:t>by</w:t>
      </w:r>
      <w:r>
        <w:rPr>
          <w:spacing w:val="39"/>
        </w:rPr>
        <w:t xml:space="preserve"> </w:t>
      </w:r>
      <w:r>
        <w:t>our</w:t>
      </w:r>
      <w:r>
        <w:rPr>
          <w:spacing w:val="40"/>
        </w:rPr>
        <w:t xml:space="preserve"> </w:t>
      </w:r>
      <w:r>
        <w:t>stockholders,</w:t>
      </w:r>
      <w:r>
        <w:rPr>
          <w:spacing w:val="39"/>
        </w:rPr>
        <w:t xml:space="preserve"> </w:t>
      </w:r>
      <w:r>
        <w:t>we</w:t>
      </w:r>
      <w:r>
        <w:rPr>
          <w:spacing w:val="40"/>
        </w:rPr>
        <w:t xml:space="preserve"> </w:t>
      </w:r>
      <w:r>
        <w:t>are</w:t>
      </w:r>
      <w:r>
        <w:rPr>
          <w:spacing w:val="39"/>
        </w:rPr>
        <w:t xml:space="preserve"> </w:t>
      </w:r>
      <w:r>
        <w:t>authorized</w:t>
      </w:r>
      <w:r>
        <w:rPr>
          <w:spacing w:val="40"/>
        </w:rPr>
        <w:t xml:space="preserve"> </w:t>
      </w:r>
      <w:r>
        <w:t>to</w:t>
      </w:r>
      <w:r>
        <w:rPr>
          <w:spacing w:val="39"/>
        </w:rPr>
        <w:t xml:space="preserve"> </w:t>
      </w:r>
      <w:r>
        <w:t>grant</w:t>
      </w:r>
      <w:r>
        <w:rPr>
          <w:spacing w:val="40"/>
        </w:rPr>
        <w:t xml:space="preserve"> </w:t>
      </w:r>
      <w:r>
        <w:t>key</w:t>
      </w:r>
      <w:r>
        <w:rPr>
          <w:spacing w:val="39"/>
        </w:rPr>
        <w:t xml:space="preserve"> </w:t>
      </w:r>
      <w:r>
        <w:t>employees</w:t>
      </w:r>
      <w:r>
        <w:rPr>
          <w:spacing w:val="40"/>
        </w:rPr>
        <w:t xml:space="preserve"> </w:t>
      </w:r>
      <w:r>
        <w:t>stock-based</w:t>
      </w:r>
      <w:r>
        <w:rPr>
          <w:spacing w:val="39"/>
        </w:rPr>
        <w:t xml:space="preserve"> </w:t>
      </w:r>
      <w:r>
        <w:t>incentive</w:t>
      </w:r>
      <w:r>
        <w:rPr>
          <w:spacing w:val="40"/>
        </w:rPr>
        <w:t xml:space="preserve"> </w:t>
      </w:r>
      <w:r>
        <w:rPr>
          <w:spacing w:val="-2"/>
        </w:rPr>
        <w:t>awards,</w:t>
      </w:r>
    </w:p>
    <w:p w14:paraId="3C220BBA" w14:textId="77777777" w:rsidR="00AE2255" w:rsidRDefault="00000000">
      <w:pPr>
        <w:pStyle w:val="BodyText"/>
        <w:spacing w:before="10"/>
        <w:ind w:left="610"/>
      </w:pPr>
      <w:r>
        <w:t>including</w:t>
      </w:r>
      <w:r>
        <w:rPr>
          <w:spacing w:val="-5"/>
        </w:rPr>
        <w:t xml:space="preserve"> </w:t>
      </w:r>
      <w:r>
        <w:t>options</w:t>
      </w:r>
      <w:r>
        <w:rPr>
          <w:spacing w:val="-4"/>
        </w:rPr>
        <w:t xml:space="preserve"> </w:t>
      </w:r>
      <w:r>
        <w:t>to</w:t>
      </w:r>
      <w:r>
        <w:rPr>
          <w:spacing w:val="-3"/>
        </w:rPr>
        <w:t xml:space="preserve"> </w:t>
      </w:r>
      <w:r>
        <w:t>purchase</w:t>
      </w:r>
      <w:r>
        <w:rPr>
          <w:spacing w:val="-4"/>
        </w:rPr>
        <w:t xml:space="preserve"> </w:t>
      </w:r>
      <w:r>
        <w:t>common</w:t>
      </w:r>
      <w:r>
        <w:rPr>
          <w:spacing w:val="-3"/>
        </w:rPr>
        <w:t xml:space="preserve"> </w:t>
      </w:r>
      <w:r>
        <w:t>stock,</w:t>
      </w:r>
      <w:r>
        <w:rPr>
          <w:spacing w:val="-3"/>
        </w:rPr>
        <w:t xml:space="preserve"> </w:t>
      </w:r>
      <w:r>
        <w:t>stock</w:t>
      </w:r>
      <w:r>
        <w:rPr>
          <w:spacing w:val="-3"/>
        </w:rPr>
        <w:t xml:space="preserve"> </w:t>
      </w:r>
      <w:r>
        <w:t>appreciation</w:t>
      </w:r>
      <w:r>
        <w:rPr>
          <w:spacing w:val="-3"/>
        </w:rPr>
        <w:t xml:space="preserve"> </w:t>
      </w:r>
      <w:r>
        <w:t>rights,</w:t>
      </w:r>
      <w:r>
        <w:rPr>
          <w:spacing w:val="-3"/>
        </w:rPr>
        <w:t xml:space="preserve"> </w:t>
      </w:r>
      <w:r>
        <w:t>RSUs,</w:t>
      </w:r>
      <w:r>
        <w:rPr>
          <w:spacing w:val="-3"/>
        </w:rPr>
        <w:t xml:space="preserve"> </w:t>
      </w:r>
      <w:r>
        <w:t>PSUs</w:t>
      </w:r>
      <w:r>
        <w:rPr>
          <w:spacing w:val="-4"/>
        </w:rPr>
        <w:t xml:space="preserve"> </w:t>
      </w:r>
      <w:r>
        <w:t>or</w:t>
      </w:r>
      <w:r>
        <w:rPr>
          <w:spacing w:val="-3"/>
        </w:rPr>
        <w:t xml:space="preserve"> </w:t>
      </w:r>
      <w:r>
        <w:t>other</w:t>
      </w:r>
      <w:r>
        <w:rPr>
          <w:spacing w:val="-3"/>
        </w:rPr>
        <w:t xml:space="preserve"> </w:t>
      </w:r>
      <w:r>
        <w:t>stock</w:t>
      </w:r>
      <w:r>
        <w:rPr>
          <w:spacing w:val="-2"/>
        </w:rPr>
        <w:t xml:space="preserve"> units.</w:t>
      </w:r>
    </w:p>
    <w:p w14:paraId="0128B86A" w14:textId="77777777" w:rsidR="00AE2255" w:rsidRDefault="00AE2255">
      <w:pPr>
        <w:pStyle w:val="BodyText"/>
        <w:spacing w:before="2"/>
        <w:rPr>
          <w:sz w:val="18"/>
        </w:rPr>
      </w:pPr>
    </w:p>
    <w:p w14:paraId="123765D2" w14:textId="77777777" w:rsidR="00AE2255" w:rsidRDefault="00000000">
      <w:pPr>
        <w:pStyle w:val="BodyText"/>
        <w:spacing w:before="1" w:line="249" w:lineRule="auto"/>
        <w:ind w:left="610" w:right="429" w:firstLine="360"/>
        <w:jc w:val="both"/>
      </w:pPr>
      <w:proofErr w:type="gramStart"/>
      <w:r>
        <w:t>At</w:t>
      </w:r>
      <w:proofErr w:type="gramEnd"/>
      <w:r>
        <w:t xml:space="preserve"> December 31, 2022, inclusive of the shares reserved for outstanding RSUs and PSUs, we had approximately 9.1 million shares reserved for issuance under the plans. </w:t>
      </w:r>
      <w:proofErr w:type="gramStart"/>
      <w:r>
        <w:t>At</w:t>
      </w:r>
      <w:proofErr w:type="gramEnd"/>
      <w:r>
        <w:t xml:space="preserve"> December 31, 2022, approximately 6.8 million of the shares reserved for issuance remained available for grant under our stock-based compensation plans. We issue new shares upon the exercise of stock options or when restrictions on RSUs and PSUs have been satisfied. The exercise price of options to purchase common stock may not be less than the fair market value of our stock on the date of grant. The minimum vesting period for restricted stock or stock units payable in stock is generally three years. Award agreements may provide for shorter or pro-rated vesting periods or vesting following termination of employment in the case of death, disability, divestiture, retirement, change of control or layoff. The maximum term of a stock option or any other award is 10 years.</w:t>
      </w:r>
    </w:p>
    <w:p w14:paraId="7249DC50" w14:textId="77777777" w:rsidR="00AE2255" w:rsidRDefault="00AE2255">
      <w:pPr>
        <w:pStyle w:val="BodyText"/>
        <w:spacing w:before="10"/>
        <w:rPr>
          <w:sz w:val="17"/>
        </w:rPr>
      </w:pPr>
    </w:p>
    <w:p w14:paraId="1695E928" w14:textId="77777777" w:rsidR="00AE2255" w:rsidRDefault="00000000">
      <w:pPr>
        <w:pStyle w:val="BodyText"/>
        <w:spacing w:before="1" w:line="249" w:lineRule="auto"/>
        <w:ind w:left="610" w:right="430" w:firstLine="360"/>
        <w:jc w:val="both"/>
      </w:pPr>
      <w:r>
        <w:t xml:space="preserve">During 2022, 2021 and 2020, we recorded noncash stock-based compensation expense totaling $238 million, $227 </w:t>
      </w:r>
      <w:proofErr w:type="gramStart"/>
      <w:r>
        <w:t>million</w:t>
      </w:r>
      <w:proofErr w:type="gramEnd"/>
      <w:r>
        <w:t xml:space="preserve"> and $221 million, which is included as a component of other unallocated, net on our consolidated statements of earnings. The net impact to earnings for the respective years was $188 million, $179 </w:t>
      </w:r>
      <w:proofErr w:type="gramStart"/>
      <w:r>
        <w:t>million</w:t>
      </w:r>
      <w:proofErr w:type="gramEnd"/>
      <w:r>
        <w:t xml:space="preserve"> and $175 million.</w:t>
      </w:r>
    </w:p>
    <w:p w14:paraId="101E579C" w14:textId="77777777" w:rsidR="00AE2255" w:rsidRDefault="00AE2255">
      <w:pPr>
        <w:pStyle w:val="BodyText"/>
        <w:spacing w:before="6"/>
        <w:rPr>
          <w:sz w:val="17"/>
        </w:rPr>
      </w:pPr>
    </w:p>
    <w:p w14:paraId="7713B85C" w14:textId="77777777" w:rsidR="00AE2255" w:rsidRDefault="00000000">
      <w:pPr>
        <w:pStyle w:val="BodyText"/>
        <w:spacing w:before="1" w:line="249" w:lineRule="auto"/>
        <w:ind w:left="610" w:right="429" w:firstLine="360"/>
        <w:jc w:val="both"/>
      </w:pPr>
      <w:r>
        <w:t xml:space="preserve">As of December 31, 2022, we had $181 million of unrecognized compensation cost related to nonvested awards, which is expected to be recognized over a weighted average period of 1.7 years. We received cash from the exercise of stock options totaling $8 million, $28 </w:t>
      </w:r>
      <w:proofErr w:type="gramStart"/>
      <w:r>
        <w:t>million</w:t>
      </w:r>
      <w:proofErr w:type="gramEnd"/>
      <w:r>
        <w:t xml:space="preserve"> and $41 million during 2022, 2021 and 2020. In addition, our income tax liabilities for 2022, 2021 and 2020 were reduced by $124 million, $67 </w:t>
      </w:r>
      <w:proofErr w:type="gramStart"/>
      <w:r>
        <w:t>million</w:t>
      </w:r>
      <w:proofErr w:type="gramEnd"/>
      <w:r>
        <w:t xml:space="preserve"> and $63 million due to recognized tax benefits on stock-based compensation arrangements.</w:t>
      </w:r>
    </w:p>
    <w:p w14:paraId="4A94A692" w14:textId="77777777" w:rsidR="00AE2255" w:rsidRDefault="00AE2255">
      <w:pPr>
        <w:pStyle w:val="BodyText"/>
        <w:spacing w:before="10"/>
      </w:pPr>
    </w:p>
    <w:p w14:paraId="43C70056" w14:textId="77777777" w:rsidR="00AE2255" w:rsidRDefault="00000000">
      <w:pPr>
        <w:pStyle w:val="Heading2"/>
        <w:spacing w:before="1"/>
      </w:pPr>
      <w:r>
        <w:t>Restricted</w:t>
      </w:r>
      <w:r>
        <w:rPr>
          <w:spacing w:val="-6"/>
        </w:rPr>
        <w:t xml:space="preserve"> </w:t>
      </w:r>
      <w:r>
        <w:t>Stock</w:t>
      </w:r>
      <w:r>
        <w:rPr>
          <w:spacing w:val="-5"/>
        </w:rPr>
        <w:t xml:space="preserve"> </w:t>
      </w:r>
      <w:r>
        <w:rPr>
          <w:spacing w:val="-2"/>
        </w:rPr>
        <w:t>Units</w:t>
      </w:r>
    </w:p>
    <w:p w14:paraId="4464C027" w14:textId="77777777" w:rsidR="00AE2255" w:rsidRDefault="00AE2255">
      <w:pPr>
        <w:pStyle w:val="BodyText"/>
        <w:spacing w:before="3"/>
        <w:rPr>
          <w:b/>
          <w:sz w:val="19"/>
        </w:rPr>
      </w:pPr>
    </w:p>
    <w:tbl>
      <w:tblPr>
        <w:tblW w:w="0" w:type="auto"/>
        <w:tblInd w:w="617" w:type="dxa"/>
        <w:tblLayout w:type="fixed"/>
        <w:tblCellMar>
          <w:left w:w="0" w:type="dxa"/>
          <w:right w:w="0" w:type="dxa"/>
        </w:tblCellMar>
        <w:tblLook w:val="01E0" w:firstRow="1" w:lastRow="1" w:firstColumn="1" w:lastColumn="1" w:noHBand="0" w:noVBand="0"/>
      </w:tblPr>
      <w:tblGrid>
        <w:gridCol w:w="6273"/>
        <w:gridCol w:w="1929"/>
        <w:gridCol w:w="2029"/>
      </w:tblGrid>
      <w:tr w:rsidR="00AE2255" w14:paraId="3B652D53" w14:textId="77777777">
        <w:trPr>
          <w:trHeight w:val="262"/>
        </w:trPr>
        <w:tc>
          <w:tcPr>
            <w:tcW w:w="6273" w:type="dxa"/>
          </w:tcPr>
          <w:p w14:paraId="682C7AFF" w14:textId="77777777" w:rsidR="00AE2255" w:rsidRDefault="00000000">
            <w:pPr>
              <w:pStyle w:val="TableParagraph"/>
              <w:spacing w:before="0" w:line="221" w:lineRule="exact"/>
              <w:ind w:left="360"/>
              <w:jc w:val="left"/>
              <w:rPr>
                <w:sz w:val="20"/>
              </w:rPr>
            </w:pPr>
            <w:r>
              <w:rPr>
                <w:sz w:val="20"/>
              </w:rPr>
              <w:t>The</w:t>
            </w:r>
            <w:r>
              <w:rPr>
                <w:spacing w:val="-7"/>
                <w:sz w:val="20"/>
              </w:rPr>
              <w:t xml:space="preserve"> </w:t>
            </w:r>
            <w:r>
              <w:rPr>
                <w:sz w:val="20"/>
              </w:rPr>
              <w:t>following</w:t>
            </w:r>
            <w:r>
              <w:rPr>
                <w:spacing w:val="-4"/>
                <w:sz w:val="20"/>
              </w:rPr>
              <w:t xml:space="preserve"> </w:t>
            </w:r>
            <w:r>
              <w:rPr>
                <w:sz w:val="20"/>
              </w:rPr>
              <w:t>table</w:t>
            </w:r>
            <w:r>
              <w:rPr>
                <w:spacing w:val="-5"/>
                <w:sz w:val="20"/>
              </w:rPr>
              <w:t xml:space="preserve"> </w:t>
            </w:r>
            <w:r>
              <w:rPr>
                <w:sz w:val="20"/>
              </w:rPr>
              <w:t>summarizes</w:t>
            </w:r>
            <w:r>
              <w:rPr>
                <w:spacing w:val="-5"/>
                <w:sz w:val="20"/>
              </w:rPr>
              <w:t xml:space="preserve"> </w:t>
            </w:r>
            <w:r>
              <w:rPr>
                <w:sz w:val="20"/>
              </w:rPr>
              <w:t>activity</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nonvested</w:t>
            </w:r>
            <w:r>
              <w:rPr>
                <w:spacing w:val="-3"/>
                <w:sz w:val="20"/>
              </w:rPr>
              <w:t xml:space="preserve"> </w:t>
            </w:r>
            <w:r>
              <w:rPr>
                <w:spacing w:val="-2"/>
                <w:sz w:val="20"/>
              </w:rPr>
              <w:t>RSUs:</w:t>
            </w:r>
          </w:p>
        </w:tc>
        <w:tc>
          <w:tcPr>
            <w:tcW w:w="3958" w:type="dxa"/>
            <w:gridSpan w:val="2"/>
          </w:tcPr>
          <w:p w14:paraId="0D7778E2" w14:textId="77777777" w:rsidR="00AE2255" w:rsidRDefault="00AE2255">
            <w:pPr>
              <w:pStyle w:val="TableParagraph"/>
              <w:spacing w:before="0"/>
              <w:jc w:val="left"/>
              <w:rPr>
                <w:sz w:val="18"/>
              </w:rPr>
            </w:pPr>
          </w:p>
        </w:tc>
      </w:tr>
      <w:tr w:rsidR="00AE2255" w14:paraId="1F1D3458" w14:textId="77777777">
        <w:trPr>
          <w:trHeight w:val="682"/>
        </w:trPr>
        <w:tc>
          <w:tcPr>
            <w:tcW w:w="6273" w:type="dxa"/>
          </w:tcPr>
          <w:p w14:paraId="33889DF9" w14:textId="77777777" w:rsidR="00AE2255" w:rsidRDefault="00AE2255">
            <w:pPr>
              <w:pStyle w:val="TableParagraph"/>
              <w:spacing w:before="0"/>
              <w:jc w:val="left"/>
              <w:rPr>
                <w:sz w:val="20"/>
              </w:rPr>
            </w:pPr>
          </w:p>
        </w:tc>
        <w:tc>
          <w:tcPr>
            <w:tcW w:w="1929" w:type="dxa"/>
            <w:tcBorders>
              <w:bottom w:val="single" w:sz="8" w:space="0" w:color="000000"/>
            </w:tcBorders>
          </w:tcPr>
          <w:p w14:paraId="1B21249D" w14:textId="77777777" w:rsidR="00AE2255" w:rsidRDefault="00000000">
            <w:pPr>
              <w:pStyle w:val="TableParagraph"/>
              <w:spacing w:before="56" w:line="208" w:lineRule="auto"/>
              <w:ind w:left="766" w:right="449"/>
              <w:jc w:val="center"/>
              <w:rPr>
                <w:b/>
                <w:sz w:val="20"/>
              </w:rPr>
            </w:pPr>
            <w:r>
              <w:rPr>
                <w:b/>
                <w:spacing w:val="-2"/>
                <w:sz w:val="20"/>
              </w:rPr>
              <w:t xml:space="preserve">Number </w:t>
            </w:r>
            <w:r>
              <w:rPr>
                <w:b/>
                <w:sz w:val="20"/>
              </w:rPr>
              <w:t>of</w:t>
            </w:r>
            <w:r>
              <w:rPr>
                <w:b/>
                <w:spacing w:val="-2"/>
                <w:sz w:val="20"/>
              </w:rPr>
              <w:t xml:space="preserve"> </w:t>
            </w:r>
            <w:r>
              <w:rPr>
                <w:b/>
                <w:spacing w:val="-4"/>
                <w:sz w:val="20"/>
              </w:rPr>
              <w:t>RSUs</w:t>
            </w:r>
          </w:p>
          <w:p w14:paraId="618655A1" w14:textId="77777777" w:rsidR="00AE2255" w:rsidRDefault="00000000">
            <w:pPr>
              <w:pStyle w:val="TableParagraph"/>
              <w:spacing w:before="0" w:line="205" w:lineRule="exact"/>
              <w:ind w:left="443" w:right="228"/>
              <w:jc w:val="center"/>
              <w:rPr>
                <w:b/>
                <w:sz w:val="20"/>
              </w:rPr>
            </w:pPr>
            <w:r>
              <w:rPr>
                <w:b/>
                <w:sz w:val="20"/>
              </w:rPr>
              <w:t>(In</w:t>
            </w:r>
            <w:r>
              <w:rPr>
                <w:b/>
                <w:spacing w:val="-2"/>
                <w:sz w:val="20"/>
              </w:rPr>
              <w:t xml:space="preserve"> thousands)</w:t>
            </w:r>
          </w:p>
        </w:tc>
        <w:tc>
          <w:tcPr>
            <w:tcW w:w="2029" w:type="dxa"/>
            <w:tcBorders>
              <w:bottom w:val="single" w:sz="8" w:space="0" w:color="000000"/>
            </w:tcBorders>
          </w:tcPr>
          <w:p w14:paraId="798FDCF9" w14:textId="77777777" w:rsidR="00AE2255" w:rsidRDefault="00000000">
            <w:pPr>
              <w:pStyle w:val="TableParagraph"/>
              <w:spacing w:before="56" w:line="208" w:lineRule="auto"/>
              <w:ind w:left="395" w:right="138" w:hanging="89"/>
              <w:jc w:val="left"/>
              <w:rPr>
                <w:b/>
                <w:sz w:val="20"/>
              </w:rPr>
            </w:pPr>
            <w:r>
              <w:rPr>
                <w:b/>
                <w:sz w:val="20"/>
              </w:rPr>
              <w:t>Weighted</w:t>
            </w:r>
            <w:r>
              <w:rPr>
                <w:b/>
                <w:spacing w:val="-13"/>
                <w:sz w:val="20"/>
              </w:rPr>
              <w:t xml:space="preserve"> </w:t>
            </w:r>
            <w:r>
              <w:rPr>
                <w:b/>
                <w:sz w:val="20"/>
              </w:rPr>
              <w:t>Average Grant-Date Fair Value Per Share</w:t>
            </w:r>
          </w:p>
        </w:tc>
      </w:tr>
      <w:tr w:rsidR="00AE2255" w14:paraId="2C7D71B7" w14:textId="77777777">
        <w:trPr>
          <w:trHeight w:val="275"/>
        </w:trPr>
        <w:tc>
          <w:tcPr>
            <w:tcW w:w="6273" w:type="dxa"/>
            <w:shd w:val="clear" w:color="auto" w:fill="CCEDFF"/>
          </w:tcPr>
          <w:p w14:paraId="3E6DDF6C" w14:textId="77777777" w:rsidR="00AE2255" w:rsidRDefault="00000000">
            <w:pPr>
              <w:pStyle w:val="TableParagraph"/>
              <w:spacing w:before="17"/>
              <w:ind w:left="52"/>
              <w:jc w:val="left"/>
              <w:rPr>
                <w:sz w:val="20"/>
              </w:rPr>
            </w:pPr>
            <w:r>
              <w:rPr>
                <w:sz w:val="20"/>
              </w:rPr>
              <w:t>Nonvested</w:t>
            </w:r>
            <w:r>
              <w:rPr>
                <w:spacing w:val="-4"/>
                <w:sz w:val="20"/>
              </w:rPr>
              <w:t xml:space="preserve"> </w:t>
            </w:r>
            <w:proofErr w:type="gramStart"/>
            <w:r>
              <w:rPr>
                <w:sz w:val="20"/>
              </w:rPr>
              <w:t>at</w:t>
            </w:r>
            <w:proofErr w:type="gramEnd"/>
            <w:r>
              <w:rPr>
                <w:spacing w:val="-3"/>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2021</w:t>
            </w:r>
          </w:p>
        </w:tc>
        <w:tc>
          <w:tcPr>
            <w:tcW w:w="1929" w:type="dxa"/>
            <w:tcBorders>
              <w:top w:val="single" w:sz="8" w:space="0" w:color="000000"/>
            </w:tcBorders>
            <w:shd w:val="clear" w:color="auto" w:fill="CCEDFF"/>
          </w:tcPr>
          <w:p w14:paraId="182108B4" w14:textId="77777777" w:rsidR="00AE2255" w:rsidRDefault="00000000">
            <w:pPr>
              <w:pStyle w:val="TableParagraph"/>
              <w:spacing w:before="15"/>
              <w:ind w:right="286"/>
              <w:rPr>
                <w:sz w:val="20"/>
              </w:rPr>
            </w:pPr>
            <w:r>
              <w:rPr>
                <w:spacing w:val="-5"/>
                <w:sz w:val="20"/>
              </w:rPr>
              <w:t>810</w:t>
            </w:r>
          </w:p>
        </w:tc>
        <w:tc>
          <w:tcPr>
            <w:tcW w:w="2029" w:type="dxa"/>
            <w:tcBorders>
              <w:top w:val="single" w:sz="8" w:space="0" w:color="000000"/>
            </w:tcBorders>
            <w:shd w:val="clear" w:color="auto" w:fill="CCEDFF"/>
          </w:tcPr>
          <w:p w14:paraId="4657AC65" w14:textId="77777777" w:rsidR="00AE2255" w:rsidRDefault="00000000">
            <w:pPr>
              <w:pStyle w:val="TableParagraph"/>
              <w:tabs>
                <w:tab w:val="left" w:pos="980"/>
              </w:tabs>
              <w:spacing w:before="15"/>
              <w:ind w:right="275"/>
              <w:rPr>
                <w:sz w:val="20"/>
              </w:rPr>
            </w:pPr>
            <w:r>
              <w:rPr>
                <w:spacing w:val="-10"/>
                <w:sz w:val="20"/>
              </w:rPr>
              <w:t>$</w:t>
            </w:r>
            <w:r>
              <w:rPr>
                <w:sz w:val="20"/>
              </w:rPr>
              <w:tab/>
            </w:r>
            <w:r>
              <w:rPr>
                <w:spacing w:val="-2"/>
                <w:sz w:val="20"/>
              </w:rPr>
              <w:t>345.37</w:t>
            </w:r>
          </w:p>
        </w:tc>
      </w:tr>
      <w:tr w:rsidR="00AE2255" w14:paraId="2815DF27" w14:textId="77777777">
        <w:trPr>
          <w:trHeight w:val="285"/>
        </w:trPr>
        <w:tc>
          <w:tcPr>
            <w:tcW w:w="6273" w:type="dxa"/>
          </w:tcPr>
          <w:p w14:paraId="638036D8" w14:textId="77777777" w:rsidR="00AE2255" w:rsidRDefault="00000000">
            <w:pPr>
              <w:pStyle w:val="TableParagraph"/>
              <w:spacing w:before="27"/>
              <w:ind w:left="187"/>
              <w:jc w:val="left"/>
              <w:rPr>
                <w:sz w:val="20"/>
              </w:rPr>
            </w:pPr>
            <w:r>
              <w:rPr>
                <w:spacing w:val="-2"/>
                <w:sz w:val="20"/>
              </w:rPr>
              <w:t>Granted</w:t>
            </w:r>
          </w:p>
        </w:tc>
        <w:tc>
          <w:tcPr>
            <w:tcW w:w="1929" w:type="dxa"/>
          </w:tcPr>
          <w:p w14:paraId="48C4F39B" w14:textId="77777777" w:rsidR="00AE2255" w:rsidRDefault="00000000">
            <w:pPr>
              <w:pStyle w:val="TableParagraph"/>
              <w:ind w:right="286"/>
              <w:rPr>
                <w:b/>
                <w:sz w:val="20"/>
              </w:rPr>
            </w:pPr>
            <w:r>
              <w:rPr>
                <w:b/>
                <w:spacing w:val="-5"/>
                <w:sz w:val="20"/>
              </w:rPr>
              <w:t>562</w:t>
            </w:r>
          </w:p>
        </w:tc>
        <w:tc>
          <w:tcPr>
            <w:tcW w:w="2029" w:type="dxa"/>
          </w:tcPr>
          <w:p w14:paraId="46C253CE" w14:textId="77777777" w:rsidR="00AE2255" w:rsidRDefault="00000000">
            <w:pPr>
              <w:pStyle w:val="TableParagraph"/>
              <w:ind w:right="275"/>
              <w:rPr>
                <w:b/>
                <w:sz w:val="20"/>
              </w:rPr>
            </w:pPr>
            <w:r>
              <w:rPr>
                <w:b/>
                <w:spacing w:val="-2"/>
                <w:sz w:val="20"/>
              </w:rPr>
              <w:t>388.82</w:t>
            </w:r>
          </w:p>
        </w:tc>
      </w:tr>
      <w:tr w:rsidR="00AE2255" w14:paraId="7CE8A25A" w14:textId="77777777">
        <w:trPr>
          <w:trHeight w:val="285"/>
        </w:trPr>
        <w:tc>
          <w:tcPr>
            <w:tcW w:w="6273" w:type="dxa"/>
            <w:shd w:val="clear" w:color="auto" w:fill="CCEDFF"/>
          </w:tcPr>
          <w:p w14:paraId="6A1EA26C" w14:textId="77777777" w:rsidR="00AE2255" w:rsidRDefault="00000000">
            <w:pPr>
              <w:pStyle w:val="TableParagraph"/>
              <w:spacing w:before="27"/>
              <w:ind w:left="187"/>
              <w:jc w:val="left"/>
              <w:rPr>
                <w:sz w:val="20"/>
              </w:rPr>
            </w:pPr>
            <w:r>
              <w:rPr>
                <w:spacing w:val="-2"/>
                <w:sz w:val="20"/>
              </w:rPr>
              <w:t>Vested</w:t>
            </w:r>
          </w:p>
        </w:tc>
        <w:tc>
          <w:tcPr>
            <w:tcW w:w="1929" w:type="dxa"/>
            <w:shd w:val="clear" w:color="auto" w:fill="CCEDFF"/>
          </w:tcPr>
          <w:p w14:paraId="3449FF79" w14:textId="77777777" w:rsidR="00AE2255" w:rsidRDefault="00000000">
            <w:pPr>
              <w:pStyle w:val="TableParagraph"/>
              <w:ind w:right="221"/>
              <w:rPr>
                <w:b/>
                <w:sz w:val="20"/>
              </w:rPr>
            </w:pPr>
            <w:r>
              <w:rPr>
                <w:b/>
                <w:spacing w:val="-2"/>
                <w:sz w:val="20"/>
              </w:rPr>
              <w:t>(461)</w:t>
            </w:r>
          </w:p>
        </w:tc>
        <w:tc>
          <w:tcPr>
            <w:tcW w:w="2029" w:type="dxa"/>
            <w:shd w:val="clear" w:color="auto" w:fill="CCEDFF"/>
          </w:tcPr>
          <w:p w14:paraId="15DA9090" w14:textId="77777777" w:rsidR="00AE2255" w:rsidRDefault="00000000">
            <w:pPr>
              <w:pStyle w:val="TableParagraph"/>
              <w:ind w:right="275"/>
              <w:rPr>
                <w:b/>
                <w:sz w:val="20"/>
              </w:rPr>
            </w:pPr>
            <w:r>
              <w:rPr>
                <w:b/>
                <w:spacing w:val="-2"/>
                <w:sz w:val="20"/>
              </w:rPr>
              <w:t>347.37</w:t>
            </w:r>
          </w:p>
        </w:tc>
      </w:tr>
      <w:tr w:rsidR="00AE2255" w14:paraId="12678989" w14:textId="77777777">
        <w:trPr>
          <w:trHeight w:val="275"/>
        </w:trPr>
        <w:tc>
          <w:tcPr>
            <w:tcW w:w="6273" w:type="dxa"/>
            <w:tcBorders>
              <w:bottom w:val="single" w:sz="8" w:space="0" w:color="auto"/>
            </w:tcBorders>
          </w:tcPr>
          <w:p w14:paraId="03A93FD3" w14:textId="77777777" w:rsidR="00AE2255" w:rsidRDefault="00000000">
            <w:pPr>
              <w:pStyle w:val="TableParagraph"/>
              <w:spacing w:before="27" w:line="228" w:lineRule="exact"/>
              <w:ind w:left="187"/>
              <w:jc w:val="left"/>
              <w:rPr>
                <w:sz w:val="20"/>
              </w:rPr>
            </w:pPr>
            <w:r>
              <w:rPr>
                <w:spacing w:val="-2"/>
                <w:sz w:val="20"/>
              </w:rPr>
              <w:t>Forfeited</w:t>
            </w:r>
          </w:p>
        </w:tc>
        <w:tc>
          <w:tcPr>
            <w:tcW w:w="1929" w:type="dxa"/>
            <w:tcBorders>
              <w:bottom w:val="single" w:sz="8" w:space="0" w:color="auto"/>
            </w:tcBorders>
          </w:tcPr>
          <w:p w14:paraId="0F022F23" w14:textId="77777777" w:rsidR="00AE2255" w:rsidRDefault="00000000">
            <w:pPr>
              <w:pStyle w:val="TableParagraph"/>
              <w:spacing w:line="230" w:lineRule="exact"/>
              <w:ind w:right="221"/>
              <w:rPr>
                <w:b/>
                <w:sz w:val="20"/>
              </w:rPr>
            </w:pPr>
            <w:r>
              <w:rPr>
                <w:b/>
                <w:spacing w:val="-4"/>
                <w:sz w:val="20"/>
              </w:rPr>
              <w:t>(34)</w:t>
            </w:r>
          </w:p>
        </w:tc>
        <w:tc>
          <w:tcPr>
            <w:tcW w:w="2029" w:type="dxa"/>
            <w:tcBorders>
              <w:bottom w:val="single" w:sz="8" w:space="0" w:color="auto"/>
            </w:tcBorders>
          </w:tcPr>
          <w:p w14:paraId="61D70F01" w14:textId="77777777" w:rsidR="00AE2255" w:rsidRDefault="00000000">
            <w:pPr>
              <w:pStyle w:val="TableParagraph"/>
              <w:spacing w:line="230" w:lineRule="exact"/>
              <w:ind w:right="275"/>
              <w:rPr>
                <w:b/>
                <w:sz w:val="20"/>
              </w:rPr>
            </w:pPr>
            <w:r>
              <w:rPr>
                <w:b/>
                <w:spacing w:val="-2"/>
                <w:sz w:val="20"/>
              </w:rPr>
              <w:t>371.01</w:t>
            </w:r>
          </w:p>
        </w:tc>
      </w:tr>
      <w:tr w:rsidR="00AE2255" w14:paraId="5DDDFC43" w14:textId="77777777">
        <w:trPr>
          <w:trHeight w:val="252"/>
        </w:trPr>
        <w:tc>
          <w:tcPr>
            <w:tcW w:w="6273" w:type="dxa"/>
            <w:tcBorders>
              <w:top w:val="single" w:sz="8" w:space="0" w:color="CCEDFF"/>
              <w:bottom w:val="single" w:sz="18" w:space="0" w:color="CCEDFF"/>
            </w:tcBorders>
            <w:shd w:val="clear" w:color="auto" w:fill="CCEDFF"/>
          </w:tcPr>
          <w:p w14:paraId="2913FD06" w14:textId="77777777" w:rsidR="00AE2255" w:rsidRDefault="00000000">
            <w:pPr>
              <w:pStyle w:val="TableParagraph"/>
              <w:spacing w:before="17" w:line="216" w:lineRule="exact"/>
              <w:ind w:left="52"/>
              <w:jc w:val="left"/>
              <w:rPr>
                <w:sz w:val="20"/>
              </w:rPr>
            </w:pPr>
            <w:r>
              <w:rPr>
                <w:sz w:val="20"/>
              </w:rPr>
              <w:t>Nonvested</w:t>
            </w:r>
            <w:r>
              <w:rPr>
                <w:spacing w:val="-4"/>
                <w:sz w:val="20"/>
              </w:rPr>
              <w:t xml:space="preserve"> </w:t>
            </w:r>
            <w:proofErr w:type="gramStart"/>
            <w:r>
              <w:rPr>
                <w:sz w:val="20"/>
              </w:rPr>
              <w:t>at</w:t>
            </w:r>
            <w:proofErr w:type="gramEnd"/>
            <w:r>
              <w:rPr>
                <w:spacing w:val="-3"/>
                <w:sz w:val="20"/>
              </w:rPr>
              <w:t xml:space="preserve"> </w:t>
            </w:r>
            <w:r>
              <w:rPr>
                <w:sz w:val="20"/>
              </w:rPr>
              <w:t>December</w:t>
            </w:r>
            <w:r>
              <w:rPr>
                <w:spacing w:val="-3"/>
                <w:sz w:val="20"/>
              </w:rPr>
              <w:t xml:space="preserve"> </w:t>
            </w:r>
            <w:r>
              <w:rPr>
                <w:sz w:val="20"/>
              </w:rPr>
              <w:t>31,</w:t>
            </w:r>
            <w:r>
              <w:rPr>
                <w:spacing w:val="-3"/>
                <w:sz w:val="20"/>
              </w:rPr>
              <w:t xml:space="preserve"> </w:t>
            </w:r>
            <w:r>
              <w:rPr>
                <w:spacing w:val="-4"/>
                <w:sz w:val="20"/>
              </w:rPr>
              <w:t>2022</w:t>
            </w:r>
          </w:p>
        </w:tc>
        <w:tc>
          <w:tcPr>
            <w:tcW w:w="1929" w:type="dxa"/>
            <w:tcBorders>
              <w:top w:val="single" w:sz="8" w:space="0" w:color="CCEDFF"/>
              <w:bottom w:val="single" w:sz="18" w:space="0" w:color="CCEDFF"/>
            </w:tcBorders>
            <w:shd w:val="clear" w:color="auto" w:fill="CCEDFF"/>
          </w:tcPr>
          <w:p w14:paraId="7EDEA81E" w14:textId="77777777" w:rsidR="00AE2255" w:rsidRDefault="00000000">
            <w:pPr>
              <w:pStyle w:val="TableParagraph"/>
              <w:spacing w:before="15" w:line="217" w:lineRule="exact"/>
              <w:ind w:right="286"/>
              <w:rPr>
                <w:b/>
                <w:sz w:val="20"/>
              </w:rPr>
            </w:pPr>
            <w:r>
              <w:rPr>
                <w:b/>
                <w:spacing w:val="-5"/>
                <w:sz w:val="20"/>
              </w:rPr>
              <w:t>877</w:t>
            </w:r>
          </w:p>
        </w:tc>
        <w:tc>
          <w:tcPr>
            <w:tcW w:w="2029" w:type="dxa"/>
            <w:tcBorders>
              <w:top w:val="single" w:sz="8" w:space="0" w:color="CCEDFF"/>
              <w:bottom w:val="single" w:sz="18" w:space="0" w:color="CCEDFF"/>
            </w:tcBorders>
            <w:shd w:val="clear" w:color="auto" w:fill="CCEDFF"/>
          </w:tcPr>
          <w:p w14:paraId="3EE4780A" w14:textId="77777777" w:rsidR="00AE2255" w:rsidRDefault="00000000">
            <w:pPr>
              <w:pStyle w:val="TableParagraph"/>
              <w:tabs>
                <w:tab w:val="left" w:pos="980"/>
              </w:tabs>
              <w:spacing w:before="15" w:line="217" w:lineRule="exact"/>
              <w:ind w:right="275"/>
              <w:rPr>
                <w:b/>
                <w:sz w:val="20"/>
              </w:rPr>
            </w:pPr>
            <w:r>
              <w:rPr>
                <w:b/>
                <w:spacing w:val="-10"/>
                <w:sz w:val="20"/>
              </w:rPr>
              <w:t>$</w:t>
            </w:r>
            <w:r>
              <w:rPr>
                <w:b/>
                <w:sz w:val="20"/>
              </w:rPr>
              <w:tab/>
            </w:r>
            <w:r>
              <w:rPr>
                <w:b/>
                <w:spacing w:val="-2"/>
                <w:sz w:val="20"/>
              </w:rPr>
              <w:t>371.17</w:t>
            </w:r>
          </w:p>
        </w:tc>
      </w:tr>
    </w:tbl>
    <w:p w14:paraId="28236E02" w14:textId="77777777" w:rsidR="00AE2255" w:rsidRDefault="00000000">
      <w:pPr>
        <w:pStyle w:val="BodyText"/>
        <w:spacing w:before="195"/>
        <w:ind w:left="970"/>
        <w:jc w:val="both"/>
      </w:pPr>
      <w:r>
        <w:t>In</w:t>
      </w:r>
      <w:r>
        <w:rPr>
          <w:spacing w:val="13"/>
        </w:rPr>
        <w:t xml:space="preserve"> </w:t>
      </w:r>
      <w:r>
        <w:t>2022,</w:t>
      </w:r>
      <w:r>
        <w:rPr>
          <w:spacing w:val="13"/>
        </w:rPr>
        <w:t xml:space="preserve"> </w:t>
      </w:r>
      <w:r>
        <w:t>we</w:t>
      </w:r>
      <w:r>
        <w:rPr>
          <w:spacing w:val="12"/>
        </w:rPr>
        <w:t xml:space="preserve"> </w:t>
      </w:r>
      <w:r>
        <w:t>granted</w:t>
      </w:r>
      <w:r>
        <w:rPr>
          <w:spacing w:val="13"/>
        </w:rPr>
        <w:t xml:space="preserve"> </w:t>
      </w:r>
      <w:r>
        <w:t>certain</w:t>
      </w:r>
      <w:r>
        <w:rPr>
          <w:spacing w:val="13"/>
        </w:rPr>
        <w:t xml:space="preserve"> </w:t>
      </w:r>
      <w:r>
        <w:t>employees</w:t>
      </w:r>
      <w:r>
        <w:rPr>
          <w:spacing w:val="13"/>
        </w:rPr>
        <w:t xml:space="preserve"> </w:t>
      </w:r>
      <w:r>
        <w:t>approximately</w:t>
      </w:r>
      <w:r>
        <w:rPr>
          <w:spacing w:val="13"/>
        </w:rPr>
        <w:t xml:space="preserve"> </w:t>
      </w:r>
      <w:r>
        <w:t>0.6</w:t>
      </w:r>
      <w:r>
        <w:rPr>
          <w:spacing w:val="13"/>
        </w:rPr>
        <w:t xml:space="preserve"> </w:t>
      </w:r>
      <w:r>
        <w:t>million</w:t>
      </w:r>
      <w:r>
        <w:rPr>
          <w:spacing w:val="13"/>
        </w:rPr>
        <w:t xml:space="preserve"> </w:t>
      </w:r>
      <w:r>
        <w:t>RSUs</w:t>
      </w:r>
      <w:r>
        <w:rPr>
          <w:spacing w:val="12"/>
        </w:rPr>
        <w:t xml:space="preserve"> </w:t>
      </w:r>
      <w:r>
        <w:t>with</w:t>
      </w:r>
      <w:r>
        <w:rPr>
          <w:spacing w:val="13"/>
        </w:rPr>
        <w:t xml:space="preserve"> </w:t>
      </w:r>
      <w:r>
        <w:t>a</w:t>
      </w:r>
      <w:r>
        <w:rPr>
          <w:spacing w:val="13"/>
        </w:rPr>
        <w:t xml:space="preserve"> </w:t>
      </w:r>
      <w:r>
        <w:t>weighted</w:t>
      </w:r>
      <w:r>
        <w:rPr>
          <w:spacing w:val="13"/>
        </w:rPr>
        <w:t xml:space="preserve"> </w:t>
      </w:r>
      <w:r>
        <w:t>average</w:t>
      </w:r>
      <w:r>
        <w:rPr>
          <w:spacing w:val="12"/>
        </w:rPr>
        <w:t xml:space="preserve"> </w:t>
      </w:r>
      <w:r>
        <w:t>grant-date</w:t>
      </w:r>
      <w:r>
        <w:rPr>
          <w:spacing w:val="12"/>
        </w:rPr>
        <w:t xml:space="preserve"> </w:t>
      </w:r>
      <w:r>
        <w:t>fair</w:t>
      </w:r>
      <w:r>
        <w:rPr>
          <w:spacing w:val="13"/>
        </w:rPr>
        <w:t xml:space="preserve"> </w:t>
      </w:r>
      <w:r>
        <w:t>value</w:t>
      </w:r>
      <w:r>
        <w:rPr>
          <w:spacing w:val="13"/>
        </w:rPr>
        <w:t xml:space="preserve"> </w:t>
      </w:r>
      <w:r>
        <w:rPr>
          <w:spacing w:val="-5"/>
        </w:rPr>
        <w:t>of</w:t>
      </w:r>
    </w:p>
    <w:p w14:paraId="72400A21" w14:textId="77777777" w:rsidR="00AE2255" w:rsidRDefault="00000000">
      <w:pPr>
        <w:pStyle w:val="BodyText"/>
        <w:spacing w:before="10" w:line="249" w:lineRule="auto"/>
        <w:ind w:left="610" w:right="430"/>
        <w:jc w:val="both"/>
      </w:pPr>
      <w:r>
        <w:t>$388.82 per RSU. The grant-date fair value of these RSUs is equal to the closing market price of our common stock on the</w:t>
      </w:r>
      <w:r>
        <w:rPr>
          <w:spacing w:val="40"/>
        </w:rPr>
        <w:t xml:space="preserve"> </w:t>
      </w:r>
      <w:r>
        <w:t>grant</w:t>
      </w:r>
      <w:r>
        <w:rPr>
          <w:spacing w:val="-2"/>
        </w:rPr>
        <w:t xml:space="preserve"> </w:t>
      </w:r>
      <w:r>
        <w:t>date</w:t>
      </w:r>
      <w:r>
        <w:rPr>
          <w:spacing w:val="-2"/>
        </w:rPr>
        <w:t xml:space="preserve"> </w:t>
      </w:r>
      <w:r>
        <w:t>less</w:t>
      </w:r>
      <w:r>
        <w:rPr>
          <w:spacing w:val="-2"/>
        </w:rPr>
        <w:t xml:space="preserve"> </w:t>
      </w:r>
      <w:r>
        <w:t>a</w:t>
      </w:r>
      <w:r>
        <w:rPr>
          <w:spacing w:val="-2"/>
        </w:rPr>
        <w:t xml:space="preserve"> </w:t>
      </w:r>
      <w:r>
        <w:t>discount</w:t>
      </w:r>
      <w:r>
        <w:rPr>
          <w:spacing w:val="-2"/>
        </w:rPr>
        <w:t xml:space="preserve"> </w:t>
      </w:r>
      <w:r>
        <w:t>to</w:t>
      </w:r>
      <w:r>
        <w:rPr>
          <w:spacing w:val="-1"/>
        </w:rPr>
        <w:t xml:space="preserve"> </w:t>
      </w:r>
      <w:r>
        <w:t>reflect</w:t>
      </w:r>
      <w:r>
        <w:rPr>
          <w:spacing w:val="-2"/>
        </w:rPr>
        <w:t xml:space="preserve"> </w:t>
      </w:r>
      <w:r>
        <w:t>the</w:t>
      </w:r>
      <w:r>
        <w:rPr>
          <w:spacing w:val="-2"/>
        </w:rPr>
        <w:t xml:space="preserve"> </w:t>
      </w:r>
      <w:r>
        <w:t>delay</w:t>
      </w:r>
      <w:r>
        <w:rPr>
          <w:spacing w:val="-1"/>
        </w:rPr>
        <w:t xml:space="preserve"> </w:t>
      </w:r>
      <w:r>
        <w:t>in</w:t>
      </w:r>
      <w:r>
        <w:rPr>
          <w:spacing w:val="-1"/>
        </w:rPr>
        <w:t xml:space="preserve"> </w:t>
      </w:r>
      <w:r>
        <w:t>payment</w:t>
      </w:r>
      <w:r>
        <w:rPr>
          <w:spacing w:val="-2"/>
        </w:rPr>
        <w:t xml:space="preserve"> </w:t>
      </w:r>
      <w:r>
        <w:t>of</w:t>
      </w:r>
      <w:r>
        <w:rPr>
          <w:spacing w:val="-1"/>
        </w:rPr>
        <w:t xml:space="preserve"> </w:t>
      </w:r>
      <w:r>
        <w:t>dividend-equivalent</w:t>
      </w:r>
      <w:r>
        <w:rPr>
          <w:spacing w:val="-2"/>
        </w:rPr>
        <w:t xml:space="preserve"> </w:t>
      </w:r>
      <w:r>
        <w:t>cash</w:t>
      </w:r>
      <w:r>
        <w:rPr>
          <w:spacing w:val="-1"/>
        </w:rPr>
        <w:t xml:space="preserve"> </w:t>
      </w:r>
      <w:r>
        <w:t>payments</w:t>
      </w:r>
      <w:r>
        <w:rPr>
          <w:spacing w:val="-2"/>
        </w:rPr>
        <w:t xml:space="preserve"> </w:t>
      </w:r>
      <w:r>
        <w:t>that</w:t>
      </w:r>
      <w:r>
        <w:rPr>
          <w:spacing w:val="-2"/>
        </w:rPr>
        <w:t xml:space="preserve"> </w:t>
      </w:r>
      <w:r>
        <w:t>are</w:t>
      </w:r>
      <w:r>
        <w:rPr>
          <w:spacing w:val="-2"/>
        </w:rPr>
        <w:t xml:space="preserve"> </w:t>
      </w:r>
      <w:r>
        <w:t>made</w:t>
      </w:r>
      <w:r>
        <w:rPr>
          <w:spacing w:val="-2"/>
        </w:rPr>
        <w:t xml:space="preserve"> </w:t>
      </w:r>
      <w:r>
        <w:t>only</w:t>
      </w:r>
      <w:r>
        <w:rPr>
          <w:spacing w:val="-1"/>
        </w:rPr>
        <w:t xml:space="preserve"> </w:t>
      </w:r>
      <w:r>
        <w:t>upon</w:t>
      </w:r>
      <w:r>
        <w:rPr>
          <w:spacing w:val="-1"/>
        </w:rPr>
        <w:t xml:space="preserve"> </w:t>
      </w:r>
      <w:r>
        <w:t>vesting, which occurs at least one year from the grant date and most often occurs three years from the grant date.</w:t>
      </w:r>
    </w:p>
    <w:p w14:paraId="1DD1982A" w14:textId="77777777" w:rsidR="00AE2255" w:rsidRDefault="00AE2255">
      <w:pPr>
        <w:pStyle w:val="BodyText"/>
        <w:spacing w:before="4"/>
        <w:rPr>
          <w:sz w:val="17"/>
        </w:rPr>
      </w:pPr>
    </w:p>
    <w:p w14:paraId="0CC7469F" w14:textId="77777777" w:rsidR="00AE2255" w:rsidRDefault="00000000">
      <w:pPr>
        <w:pStyle w:val="Heading2"/>
      </w:pPr>
      <w:r>
        <w:t>Performance</w:t>
      </w:r>
      <w:r>
        <w:rPr>
          <w:spacing w:val="-5"/>
        </w:rPr>
        <w:t xml:space="preserve"> </w:t>
      </w:r>
      <w:r>
        <w:t>Stock</w:t>
      </w:r>
      <w:r>
        <w:rPr>
          <w:spacing w:val="-5"/>
        </w:rPr>
        <w:t xml:space="preserve"> </w:t>
      </w:r>
      <w:r>
        <w:rPr>
          <w:spacing w:val="-2"/>
        </w:rPr>
        <w:t>Units</w:t>
      </w:r>
    </w:p>
    <w:p w14:paraId="53ED008D" w14:textId="77777777" w:rsidR="00AE2255" w:rsidRDefault="00AE2255">
      <w:pPr>
        <w:pStyle w:val="BodyText"/>
        <w:spacing w:before="6"/>
        <w:rPr>
          <w:b/>
          <w:sz w:val="18"/>
        </w:rPr>
      </w:pPr>
    </w:p>
    <w:p w14:paraId="463B034E" w14:textId="77777777" w:rsidR="00AE2255" w:rsidRDefault="00000000">
      <w:pPr>
        <w:pStyle w:val="BodyText"/>
        <w:spacing w:line="249" w:lineRule="auto"/>
        <w:ind w:left="610" w:right="428" w:firstLine="360"/>
        <w:jc w:val="both"/>
      </w:pPr>
      <w:r>
        <w:t xml:space="preserve">In 2022, we granted certain employees PSUs with an aggregate target award of approximately 0.1 million shares of our common stock. The PSUs generally vest three years from the grant date based on continuous service, with the number of shares earned (0% to 200% of the target award) depending upon the extent to which we achieve certain financial and market performance targets measured over the period from January 1, </w:t>
      </w:r>
      <w:proofErr w:type="gramStart"/>
      <w:r>
        <w:t>2022</w:t>
      </w:r>
      <w:proofErr w:type="gramEnd"/>
      <w:r>
        <w:t xml:space="preserve"> through December 31, 2024. About half of the PSUs were valued at a weighted average grant-date fair value of $388.07 per PSU in a manner </w:t>
      </w:r>
      <w:proofErr w:type="gramStart"/>
      <w:r>
        <w:t>similar to</w:t>
      </w:r>
      <w:proofErr w:type="gramEnd"/>
      <w:r>
        <w:t xml:space="preserve"> RSUs mentioned above as the financial targets are based on our operating results. The remaining PSUs were valued at a weighted-average grant-date fair</w:t>
      </w:r>
      <w:r>
        <w:rPr>
          <w:spacing w:val="40"/>
        </w:rPr>
        <w:t xml:space="preserve"> </w:t>
      </w:r>
      <w:r>
        <w:t>value</w:t>
      </w:r>
      <w:r>
        <w:rPr>
          <w:spacing w:val="-2"/>
        </w:rPr>
        <w:t xml:space="preserve"> </w:t>
      </w:r>
      <w:r>
        <w:t>of</w:t>
      </w:r>
      <w:r>
        <w:rPr>
          <w:spacing w:val="-2"/>
        </w:rPr>
        <w:t xml:space="preserve"> </w:t>
      </w:r>
      <w:r>
        <w:t>$537.32</w:t>
      </w:r>
      <w:r>
        <w:rPr>
          <w:spacing w:val="-2"/>
        </w:rPr>
        <w:t xml:space="preserve"> </w:t>
      </w:r>
      <w:r>
        <w:t>per</w:t>
      </w:r>
      <w:r>
        <w:rPr>
          <w:spacing w:val="-2"/>
        </w:rPr>
        <w:t xml:space="preserve"> </w:t>
      </w:r>
      <w:r>
        <w:t>PSU</w:t>
      </w:r>
      <w:r>
        <w:rPr>
          <w:spacing w:val="-2"/>
        </w:rPr>
        <w:t xml:space="preserve"> </w:t>
      </w:r>
      <w:r>
        <w:t>using</w:t>
      </w:r>
      <w:r>
        <w:rPr>
          <w:spacing w:val="-2"/>
        </w:rPr>
        <w:t xml:space="preserve"> </w:t>
      </w:r>
      <w:r>
        <w:t>a</w:t>
      </w:r>
      <w:r>
        <w:rPr>
          <w:spacing w:val="-2"/>
        </w:rPr>
        <w:t xml:space="preserve"> </w:t>
      </w:r>
      <w:r>
        <w:t>Monte</w:t>
      </w:r>
      <w:r>
        <w:rPr>
          <w:spacing w:val="-2"/>
        </w:rPr>
        <w:t xml:space="preserve"> </w:t>
      </w:r>
      <w:r>
        <w:t>Carlo</w:t>
      </w:r>
      <w:r>
        <w:rPr>
          <w:spacing w:val="-2"/>
        </w:rPr>
        <w:t xml:space="preserve"> </w:t>
      </w:r>
      <w:r>
        <w:t>model</w:t>
      </w:r>
      <w:r>
        <w:rPr>
          <w:spacing w:val="-2"/>
        </w:rPr>
        <w:t xml:space="preserve"> </w:t>
      </w:r>
      <w:r>
        <w:t>as</w:t>
      </w:r>
      <w:r>
        <w:rPr>
          <w:spacing w:val="-2"/>
        </w:rPr>
        <w:t xml:space="preserve"> </w:t>
      </w:r>
      <w:r>
        <w:t>the</w:t>
      </w:r>
      <w:r>
        <w:rPr>
          <w:spacing w:val="-2"/>
        </w:rPr>
        <w:t xml:space="preserve"> </w:t>
      </w:r>
      <w:r>
        <w:t>performance</w:t>
      </w:r>
      <w:r>
        <w:rPr>
          <w:spacing w:val="-2"/>
        </w:rPr>
        <w:t xml:space="preserve"> </w:t>
      </w:r>
      <w:r>
        <w:t>target</w:t>
      </w:r>
      <w:r>
        <w:rPr>
          <w:spacing w:val="-2"/>
        </w:rPr>
        <w:t xml:space="preserve"> </w:t>
      </w:r>
      <w:r>
        <w:t>is</w:t>
      </w:r>
      <w:r>
        <w:rPr>
          <w:spacing w:val="-2"/>
        </w:rPr>
        <w:t xml:space="preserve"> </w:t>
      </w:r>
      <w:r>
        <w:t>related</w:t>
      </w:r>
      <w:r>
        <w:rPr>
          <w:spacing w:val="-2"/>
        </w:rPr>
        <w:t xml:space="preserve"> </w:t>
      </w:r>
      <w:r>
        <w:t>to</w:t>
      </w:r>
      <w:r>
        <w:rPr>
          <w:spacing w:val="-2"/>
        </w:rPr>
        <w:t xml:space="preserve"> </w:t>
      </w:r>
      <w:r>
        <w:t>our</w:t>
      </w:r>
      <w:r>
        <w:rPr>
          <w:spacing w:val="-2"/>
        </w:rPr>
        <w:t xml:space="preserve"> </w:t>
      </w:r>
      <w:r>
        <w:t>total</w:t>
      </w:r>
      <w:r>
        <w:rPr>
          <w:spacing w:val="-2"/>
        </w:rPr>
        <w:t xml:space="preserve"> </w:t>
      </w:r>
      <w:r>
        <w:t>shareholder</w:t>
      </w:r>
      <w:r>
        <w:rPr>
          <w:spacing w:val="-2"/>
        </w:rPr>
        <w:t xml:space="preserve"> </w:t>
      </w:r>
      <w:r>
        <w:t>return</w:t>
      </w:r>
      <w:r>
        <w:rPr>
          <w:spacing w:val="-2"/>
        </w:rPr>
        <w:t xml:space="preserve"> </w:t>
      </w:r>
      <w:r>
        <w:t>relative to our peer group. We recognize the grant-date fair value of these awards, less estimated forfeitures, as compensation expense ratably over the vesting period.</w:t>
      </w:r>
    </w:p>
    <w:p w14:paraId="60FA9842" w14:textId="77777777" w:rsidR="00AE2255" w:rsidRDefault="00AE2255">
      <w:pPr>
        <w:pStyle w:val="BodyText"/>
        <w:spacing w:before="2"/>
        <w:rPr>
          <w:sz w:val="28"/>
        </w:rPr>
      </w:pPr>
    </w:p>
    <w:p w14:paraId="08AFFC6A" w14:textId="77777777" w:rsidR="00AE2255" w:rsidRDefault="00000000">
      <w:pPr>
        <w:pStyle w:val="Heading2"/>
      </w:pPr>
      <w:bookmarkStart w:id="61" w:name="Note_14_–_Legal_Proceedings,_Commitments"/>
      <w:bookmarkEnd w:id="61"/>
      <w:r>
        <w:t>Note</w:t>
      </w:r>
      <w:r>
        <w:rPr>
          <w:spacing w:val="-4"/>
        </w:rPr>
        <w:t xml:space="preserve"> </w:t>
      </w:r>
      <w:r>
        <w:t>14</w:t>
      </w:r>
      <w:r>
        <w:rPr>
          <w:spacing w:val="-2"/>
        </w:rPr>
        <w:t xml:space="preserve"> </w:t>
      </w:r>
      <w:r>
        <w:t>–</w:t>
      </w:r>
      <w:r>
        <w:rPr>
          <w:spacing w:val="-3"/>
        </w:rPr>
        <w:t xml:space="preserve"> </w:t>
      </w:r>
      <w:r>
        <w:t>Legal</w:t>
      </w:r>
      <w:r>
        <w:rPr>
          <w:spacing w:val="-3"/>
        </w:rPr>
        <w:t xml:space="preserve"> </w:t>
      </w:r>
      <w:r>
        <w:t>Proceedings,</w:t>
      </w:r>
      <w:r>
        <w:rPr>
          <w:spacing w:val="-3"/>
        </w:rPr>
        <w:t xml:space="preserve"> </w:t>
      </w:r>
      <w:r>
        <w:t>Commitments</w:t>
      </w:r>
      <w:r>
        <w:rPr>
          <w:spacing w:val="-3"/>
        </w:rPr>
        <w:t xml:space="preserve"> </w:t>
      </w:r>
      <w:r>
        <w:t>and</w:t>
      </w:r>
      <w:r>
        <w:rPr>
          <w:spacing w:val="-3"/>
        </w:rPr>
        <w:t xml:space="preserve"> </w:t>
      </w:r>
      <w:r>
        <w:rPr>
          <w:spacing w:val="-2"/>
        </w:rPr>
        <w:t>Contingencies</w:t>
      </w:r>
    </w:p>
    <w:p w14:paraId="62731937" w14:textId="77777777" w:rsidR="00AE2255" w:rsidRDefault="00AE2255">
      <w:pPr>
        <w:pStyle w:val="BodyText"/>
        <w:spacing w:before="6"/>
        <w:rPr>
          <w:b/>
          <w:sz w:val="18"/>
        </w:rPr>
      </w:pPr>
    </w:p>
    <w:p w14:paraId="749B4159" w14:textId="77777777" w:rsidR="00AE2255" w:rsidRDefault="00000000">
      <w:pPr>
        <w:pStyle w:val="BodyText"/>
        <w:spacing w:before="1" w:line="249" w:lineRule="auto"/>
        <w:ind w:left="610" w:right="430" w:firstLine="360"/>
        <w:jc w:val="both"/>
      </w:pPr>
      <w:r>
        <w:t>We</w:t>
      </w:r>
      <w:r>
        <w:rPr>
          <w:spacing w:val="-2"/>
        </w:rPr>
        <w:t xml:space="preserve"> </w:t>
      </w:r>
      <w:r>
        <w:t>are</w:t>
      </w:r>
      <w:r>
        <w:rPr>
          <w:spacing w:val="-2"/>
        </w:rPr>
        <w:t xml:space="preserve"> </w:t>
      </w:r>
      <w:r>
        <w:t>a</w:t>
      </w:r>
      <w:r>
        <w:rPr>
          <w:spacing w:val="-2"/>
        </w:rPr>
        <w:t xml:space="preserve"> </w:t>
      </w:r>
      <w:r>
        <w:t>party</w:t>
      </w:r>
      <w:r>
        <w:rPr>
          <w:spacing w:val="-2"/>
        </w:rPr>
        <w:t xml:space="preserve"> </w:t>
      </w:r>
      <w:r>
        <w:t>to</w:t>
      </w:r>
      <w:r>
        <w:rPr>
          <w:spacing w:val="-2"/>
        </w:rPr>
        <w:t xml:space="preserve"> </w:t>
      </w:r>
      <w:r>
        <w:t>litigation</w:t>
      </w:r>
      <w:r>
        <w:rPr>
          <w:spacing w:val="-2"/>
        </w:rPr>
        <w:t xml:space="preserve"> </w:t>
      </w:r>
      <w:r>
        <w:t>and</w:t>
      </w:r>
      <w:r>
        <w:rPr>
          <w:spacing w:val="-2"/>
        </w:rPr>
        <w:t xml:space="preserve"> </w:t>
      </w:r>
      <w:r>
        <w:t>other</w:t>
      </w:r>
      <w:r>
        <w:rPr>
          <w:spacing w:val="-2"/>
        </w:rPr>
        <w:t xml:space="preserve"> </w:t>
      </w:r>
      <w:r>
        <w:t>proceedings</w:t>
      </w:r>
      <w:r>
        <w:rPr>
          <w:spacing w:val="-2"/>
        </w:rPr>
        <w:t xml:space="preserve"> </w:t>
      </w:r>
      <w:r>
        <w:t>that</w:t>
      </w:r>
      <w:r>
        <w:rPr>
          <w:spacing w:val="-2"/>
        </w:rPr>
        <w:t xml:space="preserve"> </w:t>
      </w:r>
      <w:r>
        <w:t>arise</w:t>
      </w:r>
      <w:r>
        <w:rPr>
          <w:spacing w:val="-2"/>
        </w:rPr>
        <w:t xml:space="preserve"> </w:t>
      </w:r>
      <w:r>
        <w:t>in</w:t>
      </w:r>
      <w:r>
        <w:rPr>
          <w:spacing w:val="-2"/>
        </w:rPr>
        <w:t xml:space="preserve"> </w:t>
      </w:r>
      <w:r>
        <w:t>the</w:t>
      </w:r>
      <w:r>
        <w:rPr>
          <w:spacing w:val="-2"/>
        </w:rPr>
        <w:t xml:space="preserve"> </w:t>
      </w:r>
      <w:r>
        <w:t>ordinary</w:t>
      </w:r>
      <w:r>
        <w:rPr>
          <w:spacing w:val="-2"/>
        </w:rPr>
        <w:t xml:space="preserve"> </w:t>
      </w:r>
      <w:r>
        <w:t>course</w:t>
      </w:r>
      <w:r>
        <w:rPr>
          <w:spacing w:val="-2"/>
        </w:rPr>
        <w:t xml:space="preserve"> </w:t>
      </w:r>
      <w:r>
        <w:t>of</w:t>
      </w:r>
      <w:r>
        <w:rPr>
          <w:spacing w:val="-2"/>
        </w:rPr>
        <w:t xml:space="preserve"> </w:t>
      </w:r>
      <w:r>
        <w:t>our</w:t>
      </w:r>
      <w:r>
        <w:rPr>
          <w:spacing w:val="-2"/>
        </w:rPr>
        <w:t xml:space="preserve"> </w:t>
      </w:r>
      <w:r>
        <w:t>business,</w:t>
      </w:r>
      <w:r>
        <w:rPr>
          <w:spacing w:val="-2"/>
        </w:rPr>
        <w:t xml:space="preserve"> </w:t>
      </w:r>
      <w:r>
        <w:t>including</w:t>
      </w:r>
      <w:r>
        <w:rPr>
          <w:spacing w:val="-2"/>
        </w:rPr>
        <w:t xml:space="preserve"> </w:t>
      </w:r>
      <w:r>
        <w:t>matters</w:t>
      </w:r>
      <w:r>
        <w:rPr>
          <w:spacing w:val="-2"/>
        </w:rPr>
        <w:t xml:space="preserve"> </w:t>
      </w:r>
      <w:r>
        <w:t>arising under provisions relating to the protection of the environment, and are subject to contingencies related to certain businesses we</w:t>
      </w:r>
    </w:p>
    <w:p w14:paraId="0326E288" w14:textId="77777777" w:rsidR="00AE2255" w:rsidRDefault="00AE2255">
      <w:pPr>
        <w:spacing w:line="249" w:lineRule="auto"/>
        <w:jc w:val="both"/>
        <w:sectPr w:rsidR="00AE2255">
          <w:pgSz w:w="12240" w:h="15840"/>
          <w:pgMar w:top="440" w:right="560" w:bottom="720" w:left="380" w:header="230" w:footer="531" w:gutter="0"/>
          <w:cols w:space="720"/>
        </w:sectPr>
      </w:pPr>
    </w:p>
    <w:p w14:paraId="05CD1DCD" w14:textId="77777777" w:rsidR="00AE2255" w:rsidRDefault="00AE2255">
      <w:pPr>
        <w:pStyle w:val="BodyText"/>
        <w:spacing w:before="10"/>
        <w:rPr>
          <w:sz w:val="22"/>
        </w:rPr>
      </w:pPr>
    </w:p>
    <w:p w14:paraId="28FD0344" w14:textId="77777777" w:rsidR="00AE2255" w:rsidRDefault="00000000">
      <w:pPr>
        <w:pStyle w:val="BodyText"/>
        <w:spacing w:before="92" w:line="249" w:lineRule="auto"/>
        <w:ind w:left="610" w:right="428"/>
        <w:jc w:val="both"/>
      </w:pPr>
      <w:r>
        <w:t>previously owned. These types of matters could result in fines, penalties, cost reimbursements or contributions, compensatory</w:t>
      </w:r>
      <w:r>
        <w:rPr>
          <w:spacing w:val="40"/>
        </w:rPr>
        <w:t xml:space="preserve"> </w:t>
      </w:r>
      <w:r>
        <w:t xml:space="preserve">or treble damages or non-monetary sanctions or relief. We believe the probability is remote that the outcome of each of these matters, including the legal proceedings described below, will have a material adverse effect on the corporation as a whole, notwithstanding that the unfavorable resolution of any matter may have a material effect on our net earnings and cash flows in any </w:t>
      </w:r>
      <w:proofErr w:type="gramStart"/>
      <w:r>
        <w:t>particular interim</w:t>
      </w:r>
      <w:proofErr w:type="gramEnd"/>
      <w:r>
        <w:t xml:space="preserve"> reporting period. Among the factors that we consider in this assessment are the nature of existing legal proceedings and claims, the asserted or possible damages or loss contingency (if estimable), the progress of the case, existing law and precedent, the opinions or views of legal counsel and other advisers, our experience in similar cases and the experience of other companies, the facts available to us at the time of assessment and how we intend to respond to the proceeding or claim. Our assessment of these factors may change over time as individual proceedings or claims progress.</w:t>
      </w:r>
    </w:p>
    <w:p w14:paraId="0D72FE3F" w14:textId="77777777" w:rsidR="00AE2255" w:rsidRDefault="00AE2255">
      <w:pPr>
        <w:pStyle w:val="BodyText"/>
        <w:rPr>
          <w:sz w:val="18"/>
        </w:rPr>
      </w:pPr>
    </w:p>
    <w:p w14:paraId="0F90641C" w14:textId="77777777" w:rsidR="00AE2255" w:rsidRDefault="00000000">
      <w:pPr>
        <w:pStyle w:val="BodyText"/>
        <w:spacing w:line="249" w:lineRule="auto"/>
        <w:ind w:left="610" w:right="428" w:firstLine="360"/>
        <w:jc w:val="both"/>
      </w:pPr>
      <w:r>
        <w:t>As a U.S. Government contractor, we are subject to various audits and investigations by the U.S. Government to determine whether our operations are being conducted in accordance with applicable regulatory requirements. U.S. Government investigations of us, whether relating to government contracts or conducted for other reasons, could result in administrative, civil, or criminal liabilities, including repayments, fines or penalties being imposed upon us, suspension, proposed debarment, debarment</w:t>
      </w:r>
      <w:r>
        <w:rPr>
          <w:spacing w:val="-3"/>
        </w:rPr>
        <w:t xml:space="preserve"> </w:t>
      </w:r>
      <w:r>
        <w:t>from</w:t>
      </w:r>
      <w:r>
        <w:rPr>
          <w:spacing w:val="-3"/>
        </w:rPr>
        <w:t xml:space="preserve"> </w:t>
      </w:r>
      <w:r>
        <w:t>eligibility</w:t>
      </w:r>
      <w:r>
        <w:rPr>
          <w:spacing w:val="-3"/>
        </w:rPr>
        <w:t xml:space="preserve"> </w:t>
      </w:r>
      <w:r>
        <w:t>for</w:t>
      </w:r>
      <w:r>
        <w:rPr>
          <w:spacing w:val="-3"/>
        </w:rPr>
        <w:t xml:space="preserve"> </w:t>
      </w:r>
      <w:r>
        <w:t>future</w:t>
      </w:r>
      <w:r>
        <w:rPr>
          <w:spacing w:val="-3"/>
        </w:rPr>
        <w:t xml:space="preserve"> </w:t>
      </w:r>
      <w:r>
        <w:t>U.S.</w:t>
      </w:r>
      <w:r>
        <w:rPr>
          <w:spacing w:val="-3"/>
        </w:rPr>
        <w:t xml:space="preserve"> </w:t>
      </w:r>
      <w:r>
        <w:t>Government</w:t>
      </w:r>
      <w:r>
        <w:rPr>
          <w:spacing w:val="-3"/>
        </w:rPr>
        <w:t xml:space="preserve"> </w:t>
      </w:r>
      <w:r>
        <w:t>contracting,</w:t>
      </w:r>
      <w:r>
        <w:rPr>
          <w:spacing w:val="-3"/>
        </w:rPr>
        <w:t xml:space="preserve"> </w:t>
      </w:r>
      <w:r>
        <w:t>or</w:t>
      </w:r>
      <w:r>
        <w:rPr>
          <w:spacing w:val="-3"/>
        </w:rPr>
        <w:t xml:space="preserve"> </w:t>
      </w:r>
      <w:r>
        <w:t>suspension</w:t>
      </w:r>
      <w:r>
        <w:rPr>
          <w:spacing w:val="-3"/>
        </w:rPr>
        <w:t xml:space="preserve"> </w:t>
      </w:r>
      <w:r>
        <w:t>of</w:t>
      </w:r>
      <w:r>
        <w:rPr>
          <w:spacing w:val="-3"/>
        </w:rPr>
        <w:t xml:space="preserve"> </w:t>
      </w:r>
      <w:r>
        <w:t>export</w:t>
      </w:r>
      <w:r>
        <w:rPr>
          <w:spacing w:val="-3"/>
        </w:rPr>
        <w:t xml:space="preserve"> </w:t>
      </w:r>
      <w:r>
        <w:t>privileges.</w:t>
      </w:r>
      <w:r>
        <w:rPr>
          <w:spacing w:val="-3"/>
        </w:rPr>
        <w:t xml:space="preserve"> </w:t>
      </w:r>
      <w:r>
        <w:t>Suspension</w:t>
      </w:r>
      <w:r>
        <w:rPr>
          <w:spacing w:val="-3"/>
        </w:rPr>
        <w:t xml:space="preserve"> </w:t>
      </w:r>
      <w:r>
        <w:t>or</w:t>
      </w:r>
      <w:r>
        <w:rPr>
          <w:spacing w:val="-3"/>
        </w:rPr>
        <w:t xml:space="preserve"> </w:t>
      </w:r>
      <w:r>
        <w:t>debarment could</w:t>
      </w:r>
      <w:r>
        <w:rPr>
          <w:spacing w:val="-2"/>
        </w:rPr>
        <w:t xml:space="preserve"> </w:t>
      </w:r>
      <w:r>
        <w:t>have</w:t>
      </w:r>
      <w:r>
        <w:rPr>
          <w:spacing w:val="-2"/>
        </w:rPr>
        <w:t xml:space="preserve"> </w:t>
      </w:r>
      <w:r>
        <w:t>a</w:t>
      </w:r>
      <w:r>
        <w:rPr>
          <w:spacing w:val="-2"/>
        </w:rPr>
        <w:t xml:space="preserve"> </w:t>
      </w:r>
      <w:r>
        <w:t>material</w:t>
      </w:r>
      <w:r>
        <w:rPr>
          <w:spacing w:val="-2"/>
        </w:rPr>
        <w:t xml:space="preserve"> </w:t>
      </w:r>
      <w:r>
        <w:t>adverse</w:t>
      </w:r>
      <w:r>
        <w:rPr>
          <w:spacing w:val="-2"/>
        </w:rPr>
        <w:t xml:space="preserve"> </w:t>
      </w:r>
      <w:r>
        <w:t>effect</w:t>
      </w:r>
      <w:r>
        <w:rPr>
          <w:spacing w:val="-2"/>
        </w:rPr>
        <w:t xml:space="preserve"> </w:t>
      </w:r>
      <w:r>
        <w:t>on</w:t>
      </w:r>
      <w:r>
        <w:rPr>
          <w:spacing w:val="-2"/>
        </w:rPr>
        <w:t xml:space="preserve"> </w:t>
      </w:r>
      <w:r>
        <w:t>us</w:t>
      </w:r>
      <w:r>
        <w:rPr>
          <w:spacing w:val="-2"/>
        </w:rPr>
        <w:t xml:space="preserve"> </w:t>
      </w:r>
      <w:r>
        <w:t>because</w:t>
      </w:r>
      <w:r>
        <w:rPr>
          <w:spacing w:val="-2"/>
        </w:rPr>
        <w:t xml:space="preserve"> </w:t>
      </w:r>
      <w:r>
        <w:t>of</w:t>
      </w:r>
      <w:r>
        <w:rPr>
          <w:spacing w:val="-2"/>
        </w:rPr>
        <w:t xml:space="preserve"> </w:t>
      </w:r>
      <w:r>
        <w:t>our</w:t>
      </w:r>
      <w:r>
        <w:rPr>
          <w:spacing w:val="-2"/>
        </w:rPr>
        <w:t xml:space="preserve"> </w:t>
      </w:r>
      <w:r>
        <w:t>dependence</w:t>
      </w:r>
      <w:r>
        <w:rPr>
          <w:spacing w:val="-2"/>
        </w:rPr>
        <w:t xml:space="preserve"> </w:t>
      </w:r>
      <w:r>
        <w:t>on</w:t>
      </w:r>
      <w:r>
        <w:rPr>
          <w:spacing w:val="-2"/>
        </w:rPr>
        <w:t xml:space="preserve"> </w:t>
      </w:r>
      <w:r>
        <w:t>contracts</w:t>
      </w:r>
      <w:r>
        <w:rPr>
          <w:spacing w:val="-2"/>
        </w:rPr>
        <w:t xml:space="preserve"> </w:t>
      </w:r>
      <w:r>
        <w:t>with</w:t>
      </w:r>
      <w:r>
        <w:rPr>
          <w:spacing w:val="-2"/>
        </w:rPr>
        <w:t xml:space="preserve"> </w:t>
      </w:r>
      <w:r>
        <w:t>the</w:t>
      </w:r>
      <w:r>
        <w:rPr>
          <w:spacing w:val="-2"/>
        </w:rPr>
        <w:t xml:space="preserve"> </w:t>
      </w:r>
      <w:r>
        <w:t>U.S.</w:t>
      </w:r>
      <w:r>
        <w:rPr>
          <w:spacing w:val="-2"/>
        </w:rPr>
        <w:t xml:space="preserve"> </w:t>
      </w:r>
      <w:r>
        <w:t>Government.</w:t>
      </w:r>
      <w:r>
        <w:rPr>
          <w:spacing w:val="-2"/>
        </w:rPr>
        <w:t xml:space="preserve"> </w:t>
      </w:r>
      <w:r>
        <w:t>U.S.</w:t>
      </w:r>
      <w:r>
        <w:rPr>
          <w:spacing w:val="-2"/>
        </w:rPr>
        <w:t xml:space="preserve"> </w:t>
      </w:r>
      <w:r>
        <w:t>Government investigations often take years to complete and many result in no adverse action against us. We also provide products and services to customers outside of the U.S., which are subject to U.S. and foreign laws and regulations and foreign procurement policies</w:t>
      </w:r>
      <w:r>
        <w:rPr>
          <w:spacing w:val="-1"/>
        </w:rPr>
        <w:t xml:space="preserve"> </w:t>
      </w:r>
      <w:r>
        <w:t>and</w:t>
      </w:r>
      <w:r>
        <w:rPr>
          <w:spacing w:val="-1"/>
        </w:rPr>
        <w:t xml:space="preserve"> </w:t>
      </w:r>
      <w:r>
        <w:t>practices.</w:t>
      </w:r>
      <w:r>
        <w:rPr>
          <w:spacing w:val="-1"/>
        </w:rPr>
        <w:t xml:space="preserve"> </w:t>
      </w:r>
      <w:r>
        <w:t>Our</w:t>
      </w:r>
      <w:r>
        <w:rPr>
          <w:spacing w:val="-1"/>
        </w:rPr>
        <w:t xml:space="preserve"> </w:t>
      </w:r>
      <w:r>
        <w:t>compliance</w:t>
      </w:r>
      <w:r>
        <w:rPr>
          <w:spacing w:val="-1"/>
        </w:rPr>
        <w:t xml:space="preserve"> </w:t>
      </w:r>
      <w:r>
        <w:t>with</w:t>
      </w:r>
      <w:r>
        <w:rPr>
          <w:spacing w:val="-1"/>
        </w:rPr>
        <w:t xml:space="preserve"> </w:t>
      </w:r>
      <w:r>
        <w:t>local</w:t>
      </w:r>
      <w:r>
        <w:rPr>
          <w:spacing w:val="-1"/>
        </w:rPr>
        <w:t xml:space="preserve"> </w:t>
      </w:r>
      <w:r>
        <w:t>regulations</w:t>
      </w:r>
      <w:r>
        <w:rPr>
          <w:spacing w:val="-1"/>
        </w:rPr>
        <w:t xml:space="preserve"> </w:t>
      </w:r>
      <w:r>
        <w:t>or</w:t>
      </w:r>
      <w:r>
        <w:rPr>
          <w:spacing w:val="-1"/>
        </w:rPr>
        <w:t xml:space="preserve"> </w:t>
      </w:r>
      <w:r>
        <w:t>applicable</w:t>
      </w:r>
      <w:r>
        <w:rPr>
          <w:spacing w:val="-1"/>
        </w:rPr>
        <w:t xml:space="preserve"> </w:t>
      </w:r>
      <w:r>
        <w:t>U.S.</w:t>
      </w:r>
      <w:r>
        <w:rPr>
          <w:spacing w:val="-1"/>
        </w:rPr>
        <w:t xml:space="preserve"> </w:t>
      </w:r>
      <w:r>
        <w:t>Government</w:t>
      </w:r>
      <w:r>
        <w:rPr>
          <w:spacing w:val="-1"/>
        </w:rPr>
        <w:t xml:space="preserve"> </w:t>
      </w:r>
      <w:r>
        <w:t>regulations</w:t>
      </w:r>
      <w:r>
        <w:rPr>
          <w:spacing w:val="-1"/>
        </w:rPr>
        <w:t xml:space="preserve"> </w:t>
      </w:r>
      <w:r>
        <w:t>also</w:t>
      </w:r>
      <w:r>
        <w:rPr>
          <w:spacing w:val="-1"/>
        </w:rPr>
        <w:t xml:space="preserve"> </w:t>
      </w:r>
      <w:r>
        <w:t>may</w:t>
      </w:r>
      <w:r>
        <w:rPr>
          <w:spacing w:val="-1"/>
        </w:rPr>
        <w:t xml:space="preserve"> </w:t>
      </w:r>
      <w:r>
        <w:t>be</w:t>
      </w:r>
      <w:r>
        <w:rPr>
          <w:spacing w:val="-1"/>
        </w:rPr>
        <w:t xml:space="preserve"> </w:t>
      </w:r>
      <w:r>
        <w:t>audited</w:t>
      </w:r>
      <w:r>
        <w:rPr>
          <w:spacing w:val="-1"/>
        </w:rPr>
        <w:t xml:space="preserve"> </w:t>
      </w:r>
      <w:r>
        <w:t xml:space="preserve">or </w:t>
      </w:r>
      <w:r>
        <w:rPr>
          <w:spacing w:val="-2"/>
        </w:rPr>
        <w:t>investigated.</w:t>
      </w:r>
    </w:p>
    <w:p w14:paraId="315D3E42" w14:textId="77777777" w:rsidR="00AE2255" w:rsidRDefault="00AE2255">
      <w:pPr>
        <w:pStyle w:val="BodyText"/>
        <w:spacing w:before="1"/>
        <w:rPr>
          <w:sz w:val="18"/>
        </w:rPr>
      </w:pPr>
    </w:p>
    <w:p w14:paraId="612A2F05" w14:textId="77777777" w:rsidR="00AE2255" w:rsidRDefault="00000000">
      <w:pPr>
        <w:pStyle w:val="BodyText"/>
        <w:spacing w:line="249" w:lineRule="auto"/>
        <w:ind w:left="610" w:right="428" w:firstLine="360"/>
        <w:jc w:val="both"/>
      </w:pPr>
      <w:r>
        <w:t>In the normal course of business, we provide warranties to our customers associated with certain product sales. We record estimated warranty costs in the period in which the related products are delivered. The warranty liability is generally based on the number of months of warranty coverage remaining for the products delivered and the average historical monthly warranty payments. Warranty obligations incurred in connection with long-term production contracts are accounted for within the contract estimates at completion.</w:t>
      </w:r>
    </w:p>
    <w:p w14:paraId="2A5ACE7D" w14:textId="77777777" w:rsidR="00AE2255" w:rsidRDefault="00AE2255">
      <w:pPr>
        <w:pStyle w:val="BodyText"/>
        <w:spacing w:before="9"/>
        <w:rPr>
          <w:sz w:val="17"/>
        </w:rPr>
      </w:pPr>
    </w:p>
    <w:p w14:paraId="78B05059" w14:textId="77777777" w:rsidR="00AE2255" w:rsidRDefault="00000000">
      <w:pPr>
        <w:pStyle w:val="BodyText"/>
        <w:spacing w:line="249" w:lineRule="auto"/>
        <w:ind w:left="610" w:right="429" w:firstLine="360"/>
        <w:jc w:val="both"/>
      </w:pPr>
      <w:r>
        <w:t>Although we cannot predict the outcome of legal or other proceedings with certainty, where there is at least a reasonable possibility that a loss may have been incurred, GAAP requires us to disclose an estimate of the reasonably possible loss or</w:t>
      </w:r>
      <w:r>
        <w:rPr>
          <w:spacing w:val="40"/>
        </w:rPr>
        <w:t xml:space="preserve"> </w:t>
      </w:r>
      <w:r>
        <w:t>range of loss or make a statement that such an estimate cannot be made. We follow a thorough process in which we seek to estimate the reasonably possible loss or range of loss, and only if we are unable to make such an estimate do we conclude and disclose</w:t>
      </w:r>
      <w:r>
        <w:rPr>
          <w:spacing w:val="-1"/>
        </w:rPr>
        <w:t xml:space="preserve"> </w:t>
      </w:r>
      <w:r>
        <w:t>that</w:t>
      </w:r>
      <w:r>
        <w:rPr>
          <w:spacing w:val="-1"/>
        </w:rPr>
        <w:t xml:space="preserve"> </w:t>
      </w:r>
      <w:r>
        <w:t>an</w:t>
      </w:r>
      <w:r>
        <w:rPr>
          <w:spacing w:val="-1"/>
        </w:rPr>
        <w:t xml:space="preserve"> </w:t>
      </w:r>
      <w:r>
        <w:t>estimate</w:t>
      </w:r>
      <w:r>
        <w:rPr>
          <w:spacing w:val="-1"/>
        </w:rPr>
        <w:t xml:space="preserve"> </w:t>
      </w:r>
      <w:r>
        <w:t>cannot</w:t>
      </w:r>
      <w:r>
        <w:rPr>
          <w:spacing w:val="-1"/>
        </w:rPr>
        <w:t xml:space="preserve"> </w:t>
      </w:r>
      <w:r>
        <w:t>be</w:t>
      </w:r>
      <w:r>
        <w:rPr>
          <w:spacing w:val="-1"/>
        </w:rPr>
        <w:t xml:space="preserve"> </w:t>
      </w:r>
      <w:r>
        <w:t>made.</w:t>
      </w:r>
      <w:r>
        <w:rPr>
          <w:spacing w:val="-1"/>
        </w:rPr>
        <w:t xml:space="preserve"> </w:t>
      </w:r>
      <w:r>
        <w:t>Accordingly,</w:t>
      </w:r>
      <w:r>
        <w:rPr>
          <w:spacing w:val="-1"/>
        </w:rPr>
        <w:t xml:space="preserve"> </w:t>
      </w:r>
      <w:r>
        <w:t>unless</w:t>
      </w:r>
      <w:r>
        <w:rPr>
          <w:spacing w:val="-1"/>
        </w:rPr>
        <w:t xml:space="preserve"> </w:t>
      </w:r>
      <w:r>
        <w:t>otherwise</w:t>
      </w:r>
      <w:r>
        <w:rPr>
          <w:spacing w:val="-1"/>
        </w:rPr>
        <w:t xml:space="preserve"> </w:t>
      </w:r>
      <w:r>
        <w:t>indicated</w:t>
      </w:r>
      <w:r>
        <w:rPr>
          <w:spacing w:val="-1"/>
        </w:rPr>
        <w:t xml:space="preserve"> </w:t>
      </w:r>
      <w:r>
        <w:t>below</w:t>
      </w:r>
      <w:r>
        <w:rPr>
          <w:spacing w:val="-1"/>
        </w:rPr>
        <w:t xml:space="preserve"> </w:t>
      </w:r>
      <w:r>
        <w:t>in</w:t>
      </w:r>
      <w:r>
        <w:rPr>
          <w:spacing w:val="-1"/>
        </w:rPr>
        <w:t xml:space="preserve"> </w:t>
      </w:r>
      <w:r>
        <w:t>our</w:t>
      </w:r>
      <w:r>
        <w:rPr>
          <w:spacing w:val="-1"/>
        </w:rPr>
        <w:t xml:space="preserve"> </w:t>
      </w:r>
      <w:r>
        <w:t>discussion</w:t>
      </w:r>
      <w:r>
        <w:rPr>
          <w:spacing w:val="-1"/>
        </w:rPr>
        <w:t xml:space="preserve"> </w:t>
      </w:r>
      <w:r>
        <w:t>of</w:t>
      </w:r>
      <w:r>
        <w:rPr>
          <w:spacing w:val="-1"/>
        </w:rPr>
        <w:t xml:space="preserve"> </w:t>
      </w:r>
      <w:r>
        <w:t>legal</w:t>
      </w:r>
      <w:r>
        <w:rPr>
          <w:spacing w:val="-1"/>
        </w:rPr>
        <w:t xml:space="preserve"> </w:t>
      </w:r>
      <w:r>
        <w:t>proceedings, a reasonably possible loss or range of loss associated with any individual legal proceeding cannot be estimated.</w:t>
      </w:r>
    </w:p>
    <w:p w14:paraId="1F07565A" w14:textId="77777777" w:rsidR="00AE2255" w:rsidRDefault="00AE2255">
      <w:pPr>
        <w:pStyle w:val="BodyText"/>
        <w:rPr>
          <w:sz w:val="21"/>
        </w:rPr>
      </w:pPr>
    </w:p>
    <w:p w14:paraId="77888373" w14:textId="77777777" w:rsidR="00AE2255" w:rsidRDefault="00000000">
      <w:pPr>
        <w:pStyle w:val="Heading2"/>
        <w:jc w:val="both"/>
      </w:pPr>
      <w:r>
        <w:t>Legal</w:t>
      </w:r>
      <w:r>
        <w:rPr>
          <w:spacing w:val="-5"/>
        </w:rPr>
        <w:t xml:space="preserve"> </w:t>
      </w:r>
      <w:r>
        <w:rPr>
          <w:spacing w:val="-2"/>
        </w:rPr>
        <w:t>Proceedings</w:t>
      </w:r>
    </w:p>
    <w:p w14:paraId="4B27BAED" w14:textId="77777777" w:rsidR="00AE2255" w:rsidRDefault="00AE2255">
      <w:pPr>
        <w:pStyle w:val="BodyText"/>
        <w:spacing w:before="6"/>
        <w:rPr>
          <w:b/>
          <w:sz w:val="18"/>
        </w:rPr>
      </w:pPr>
    </w:p>
    <w:p w14:paraId="4E3B0285" w14:textId="77777777" w:rsidR="00AE2255" w:rsidRDefault="00000000">
      <w:pPr>
        <w:spacing w:before="1"/>
        <w:ind w:left="610"/>
        <w:jc w:val="both"/>
        <w:rPr>
          <w:i/>
          <w:sz w:val="20"/>
        </w:rPr>
      </w:pPr>
      <w:r>
        <w:rPr>
          <w:i/>
          <w:sz w:val="20"/>
        </w:rPr>
        <w:t>United</w:t>
      </w:r>
      <w:r>
        <w:rPr>
          <w:i/>
          <w:spacing w:val="-6"/>
          <w:sz w:val="20"/>
        </w:rPr>
        <w:t xml:space="preserve"> </w:t>
      </w:r>
      <w:r>
        <w:rPr>
          <w:i/>
          <w:sz w:val="20"/>
        </w:rPr>
        <w:t>States</w:t>
      </w:r>
      <w:r>
        <w:rPr>
          <w:i/>
          <w:spacing w:val="-4"/>
          <w:sz w:val="20"/>
        </w:rPr>
        <w:t xml:space="preserve"> </w:t>
      </w:r>
      <w:r>
        <w:rPr>
          <w:i/>
          <w:sz w:val="20"/>
        </w:rPr>
        <w:t>of</w:t>
      </w:r>
      <w:r>
        <w:rPr>
          <w:i/>
          <w:spacing w:val="-4"/>
          <w:sz w:val="20"/>
        </w:rPr>
        <w:t xml:space="preserve"> </w:t>
      </w:r>
      <w:r>
        <w:rPr>
          <w:i/>
          <w:sz w:val="20"/>
        </w:rPr>
        <w:t>America,</w:t>
      </w:r>
      <w:r>
        <w:rPr>
          <w:i/>
          <w:spacing w:val="-3"/>
          <w:sz w:val="20"/>
        </w:rPr>
        <w:t xml:space="preserve"> </w:t>
      </w:r>
      <w:r>
        <w:rPr>
          <w:i/>
          <w:sz w:val="20"/>
        </w:rPr>
        <w:t>ex</w:t>
      </w:r>
      <w:r>
        <w:rPr>
          <w:i/>
          <w:spacing w:val="-4"/>
          <w:sz w:val="20"/>
        </w:rPr>
        <w:t xml:space="preserve"> </w:t>
      </w:r>
      <w:r>
        <w:rPr>
          <w:i/>
          <w:sz w:val="20"/>
        </w:rPr>
        <w:t>rel.</w:t>
      </w:r>
      <w:r>
        <w:rPr>
          <w:i/>
          <w:spacing w:val="-3"/>
          <w:sz w:val="20"/>
        </w:rPr>
        <w:t xml:space="preserve"> </w:t>
      </w:r>
      <w:r>
        <w:rPr>
          <w:i/>
          <w:sz w:val="20"/>
        </w:rPr>
        <w:t>Patzer;</w:t>
      </w:r>
      <w:r>
        <w:rPr>
          <w:i/>
          <w:spacing w:val="-4"/>
          <w:sz w:val="20"/>
        </w:rPr>
        <w:t xml:space="preserve"> </w:t>
      </w:r>
      <w:proofErr w:type="spellStart"/>
      <w:r>
        <w:rPr>
          <w:i/>
          <w:sz w:val="20"/>
        </w:rPr>
        <w:t>Cimma</w:t>
      </w:r>
      <w:proofErr w:type="spellEnd"/>
      <w:r>
        <w:rPr>
          <w:i/>
          <w:spacing w:val="-3"/>
          <w:sz w:val="20"/>
        </w:rPr>
        <w:t xml:space="preserve"> </w:t>
      </w:r>
      <w:r>
        <w:rPr>
          <w:i/>
          <w:sz w:val="20"/>
        </w:rPr>
        <w:t>v.</w:t>
      </w:r>
      <w:r>
        <w:rPr>
          <w:i/>
          <w:spacing w:val="-3"/>
          <w:sz w:val="20"/>
        </w:rPr>
        <w:t xml:space="preserve"> </w:t>
      </w:r>
      <w:r>
        <w:rPr>
          <w:i/>
          <w:sz w:val="20"/>
        </w:rPr>
        <w:t>Sikorsky</w:t>
      </w:r>
      <w:r>
        <w:rPr>
          <w:i/>
          <w:spacing w:val="-4"/>
          <w:sz w:val="20"/>
        </w:rPr>
        <w:t xml:space="preserve"> </w:t>
      </w:r>
      <w:r>
        <w:rPr>
          <w:i/>
          <w:sz w:val="20"/>
        </w:rPr>
        <w:t>Aircraft</w:t>
      </w:r>
      <w:r>
        <w:rPr>
          <w:i/>
          <w:spacing w:val="-4"/>
          <w:sz w:val="20"/>
        </w:rPr>
        <w:t xml:space="preserve"> </w:t>
      </w:r>
      <w:r>
        <w:rPr>
          <w:i/>
          <w:sz w:val="20"/>
        </w:rPr>
        <w:t>Corp.,</w:t>
      </w:r>
      <w:r>
        <w:rPr>
          <w:i/>
          <w:spacing w:val="-3"/>
          <w:sz w:val="20"/>
        </w:rPr>
        <w:t xml:space="preserve"> </w:t>
      </w:r>
      <w:r>
        <w:rPr>
          <w:i/>
          <w:sz w:val="20"/>
        </w:rPr>
        <w:t>et</w:t>
      </w:r>
      <w:r>
        <w:rPr>
          <w:i/>
          <w:spacing w:val="-4"/>
          <w:sz w:val="20"/>
        </w:rPr>
        <w:t xml:space="preserve"> </w:t>
      </w:r>
      <w:r>
        <w:rPr>
          <w:i/>
          <w:spacing w:val="-5"/>
          <w:sz w:val="20"/>
        </w:rPr>
        <w:t>al.</w:t>
      </w:r>
    </w:p>
    <w:p w14:paraId="48DC7BC9" w14:textId="77777777" w:rsidR="00AE2255" w:rsidRDefault="00AE2255">
      <w:pPr>
        <w:pStyle w:val="BodyText"/>
        <w:spacing w:before="4"/>
        <w:rPr>
          <w:i/>
          <w:sz w:val="17"/>
        </w:rPr>
      </w:pPr>
    </w:p>
    <w:p w14:paraId="4D85B532" w14:textId="77777777" w:rsidR="00AE2255" w:rsidRDefault="00000000">
      <w:pPr>
        <w:pStyle w:val="BodyText"/>
        <w:spacing w:line="249" w:lineRule="auto"/>
        <w:ind w:left="610" w:right="428" w:firstLine="450"/>
        <w:jc w:val="both"/>
      </w:pPr>
      <w:r>
        <w:t>As a result of our acquisition of Sikorsky Aircraft Corporation (Sikorsky), we assumed the defense of and any potential liability for two civil False Claims Act lawsuits pending in the U.S. District Court for the Eastern District of Wisconsin. In October 2014, the U.S. Government filed a complaint in intervention in the first suit, which was brought by qui tam relator Mary</w:t>
      </w:r>
      <w:r>
        <w:rPr>
          <w:spacing w:val="-2"/>
        </w:rPr>
        <w:t xml:space="preserve"> </w:t>
      </w:r>
      <w:r>
        <w:t>Patzer,</w:t>
      </w:r>
      <w:r>
        <w:rPr>
          <w:spacing w:val="-2"/>
        </w:rPr>
        <w:t xml:space="preserve"> </w:t>
      </w:r>
      <w:r>
        <w:t>a</w:t>
      </w:r>
      <w:r>
        <w:rPr>
          <w:spacing w:val="-2"/>
        </w:rPr>
        <w:t xml:space="preserve"> </w:t>
      </w:r>
      <w:r>
        <w:t>former</w:t>
      </w:r>
      <w:r>
        <w:rPr>
          <w:spacing w:val="-2"/>
        </w:rPr>
        <w:t xml:space="preserve"> </w:t>
      </w:r>
      <w:proofErr w:type="spellStart"/>
      <w:r>
        <w:t>Derco</w:t>
      </w:r>
      <w:proofErr w:type="spellEnd"/>
      <w:r>
        <w:rPr>
          <w:spacing w:val="-2"/>
        </w:rPr>
        <w:t xml:space="preserve"> </w:t>
      </w:r>
      <w:r>
        <w:t>Aerospace</w:t>
      </w:r>
      <w:r>
        <w:rPr>
          <w:spacing w:val="-2"/>
        </w:rPr>
        <w:t xml:space="preserve"> </w:t>
      </w:r>
      <w:r>
        <w:t>(</w:t>
      </w:r>
      <w:proofErr w:type="spellStart"/>
      <w:r>
        <w:t>Derco</w:t>
      </w:r>
      <w:proofErr w:type="spellEnd"/>
      <w:r>
        <w:t>)</w:t>
      </w:r>
      <w:r>
        <w:rPr>
          <w:spacing w:val="-2"/>
        </w:rPr>
        <w:t xml:space="preserve"> </w:t>
      </w:r>
      <w:r>
        <w:t>employee.</w:t>
      </w:r>
      <w:r>
        <w:rPr>
          <w:spacing w:val="-2"/>
        </w:rPr>
        <w:t xml:space="preserve"> </w:t>
      </w:r>
      <w:r>
        <w:t>In</w:t>
      </w:r>
      <w:r>
        <w:rPr>
          <w:spacing w:val="-2"/>
        </w:rPr>
        <w:t xml:space="preserve"> </w:t>
      </w:r>
      <w:r>
        <w:t>May</w:t>
      </w:r>
      <w:r>
        <w:rPr>
          <w:spacing w:val="-2"/>
        </w:rPr>
        <w:t xml:space="preserve"> </w:t>
      </w:r>
      <w:r>
        <w:t>2017,</w:t>
      </w:r>
      <w:r>
        <w:rPr>
          <w:spacing w:val="-2"/>
        </w:rPr>
        <w:t xml:space="preserve"> </w:t>
      </w:r>
      <w:r>
        <w:t>the</w:t>
      </w:r>
      <w:r>
        <w:rPr>
          <w:spacing w:val="-2"/>
        </w:rPr>
        <w:t xml:space="preserve"> </w:t>
      </w:r>
      <w:r>
        <w:t>U.S.</w:t>
      </w:r>
      <w:r>
        <w:rPr>
          <w:spacing w:val="-2"/>
        </w:rPr>
        <w:t xml:space="preserve"> </w:t>
      </w:r>
      <w:r>
        <w:t>Government</w:t>
      </w:r>
      <w:r>
        <w:rPr>
          <w:spacing w:val="-2"/>
        </w:rPr>
        <w:t xml:space="preserve"> </w:t>
      </w:r>
      <w:r>
        <w:t>filed</w:t>
      </w:r>
      <w:r>
        <w:rPr>
          <w:spacing w:val="-2"/>
        </w:rPr>
        <w:t xml:space="preserve"> </w:t>
      </w:r>
      <w:r>
        <w:t>a</w:t>
      </w:r>
      <w:r>
        <w:rPr>
          <w:spacing w:val="-2"/>
        </w:rPr>
        <w:t xml:space="preserve"> </w:t>
      </w:r>
      <w:r>
        <w:t>complaint</w:t>
      </w:r>
      <w:r>
        <w:rPr>
          <w:spacing w:val="-2"/>
        </w:rPr>
        <w:t xml:space="preserve"> </w:t>
      </w:r>
      <w:r>
        <w:t>in</w:t>
      </w:r>
      <w:r>
        <w:rPr>
          <w:spacing w:val="-2"/>
        </w:rPr>
        <w:t xml:space="preserve"> </w:t>
      </w:r>
      <w:r>
        <w:t>intervention in</w:t>
      </w:r>
      <w:r>
        <w:rPr>
          <w:spacing w:val="-2"/>
        </w:rPr>
        <w:t xml:space="preserve"> </w:t>
      </w:r>
      <w:r>
        <w:t>a</w:t>
      </w:r>
      <w:r>
        <w:rPr>
          <w:spacing w:val="-2"/>
        </w:rPr>
        <w:t xml:space="preserve"> </w:t>
      </w:r>
      <w:r>
        <w:t>second</w:t>
      </w:r>
      <w:r>
        <w:rPr>
          <w:spacing w:val="-2"/>
        </w:rPr>
        <w:t xml:space="preserve"> </w:t>
      </w:r>
      <w:r>
        <w:t>suit,</w:t>
      </w:r>
      <w:r>
        <w:rPr>
          <w:spacing w:val="-2"/>
        </w:rPr>
        <w:t xml:space="preserve"> </w:t>
      </w:r>
      <w:r>
        <w:t>which</w:t>
      </w:r>
      <w:r>
        <w:rPr>
          <w:spacing w:val="-2"/>
        </w:rPr>
        <w:t xml:space="preserve"> </w:t>
      </w:r>
      <w:r>
        <w:t>was</w:t>
      </w:r>
      <w:r>
        <w:rPr>
          <w:spacing w:val="-2"/>
        </w:rPr>
        <w:t xml:space="preserve"> </w:t>
      </w:r>
      <w:r>
        <w:t>brought</w:t>
      </w:r>
      <w:r>
        <w:rPr>
          <w:spacing w:val="-2"/>
        </w:rPr>
        <w:t xml:space="preserve"> </w:t>
      </w:r>
      <w:r>
        <w:t>by</w:t>
      </w:r>
      <w:r>
        <w:rPr>
          <w:spacing w:val="-2"/>
        </w:rPr>
        <w:t xml:space="preserve"> </w:t>
      </w:r>
      <w:r>
        <w:t>qui</w:t>
      </w:r>
      <w:r>
        <w:rPr>
          <w:spacing w:val="-2"/>
        </w:rPr>
        <w:t xml:space="preserve"> </w:t>
      </w:r>
      <w:r>
        <w:t>tam</w:t>
      </w:r>
      <w:r>
        <w:rPr>
          <w:spacing w:val="-2"/>
        </w:rPr>
        <w:t xml:space="preserve"> </w:t>
      </w:r>
      <w:r>
        <w:t>relator</w:t>
      </w:r>
      <w:r>
        <w:rPr>
          <w:spacing w:val="-2"/>
        </w:rPr>
        <w:t xml:space="preserve"> </w:t>
      </w:r>
      <w:r>
        <w:t>Peter</w:t>
      </w:r>
      <w:r>
        <w:rPr>
          <w:spacing w:val="-2"/>
        </w:rPr>
        <w:t xml:space="preserve"> </w:t>
      </w:r>
      <w:proofErr w:type="spellStart"/>
      <w:r>
        <w:t>Cimma</w:t>
      </w:r>
      <w:proofErr w:type="spellEnd"/>
      <w:r>
        <w:t>,</w:t>
      </w:r>
      <w:r>
        <w:rPr>
          <w:spacing w:val="-2"/>
        </w:rPr>
        <w:t xml:space="preserve"> </w:t>
      </w:r>
      <w:r>
        <w:t>a</w:t>
      </w:r>
      <w:r>
        <w:rPr>
          <w:spacing w:val="-2"/>
        </w:rPr>
        <w:t xml:space="preserve"> </w:t>
      </w:r>
      <w:r>
        <w:t>former</w:t>
      </w:r>
      <w:r>
        <w:rPr>
          <w:spacing w:val="-2"/>
        </w:rPr>
        <w:t xml:space="preserve"> </w:t>
      </w:r>
      <w:r>
        <w:t>Sikorsky</w:t>
      </w:r>
      <w:r>
        <w:rPr>
          <w:spacing w:val="-2"/>
        </w:rPr>
        <w:t xml:space="preserve"> </w:t>
      </w:r>
      <w:r>
        <w:t>Support</w:t>
      </w:r>
      <w:r>
        <w:rPr>
          <w:spacing w:val="-2"/>
        </w:rPr>
        <w:t xml:space="preserve"> </w:t>
      </w:r>
      <w:r>
        <w:t>Services,</w:t>
      </w:r>
      <w:r>
        <w:rPr>
          <w:spacing w:val="-2"/>
        </w:rPr>
        <w:t xml:space="preserve"> </w:t>
      </w:r>
      <w:r>
        <w:t>Inc.</w:t>
      </w:r>
      <w:r>
        <w:rPr>
          <w:spacing w:val="-2"/>
        </w:rPr>
        <w:t xml:space="preserve"> </w:t>
      </w:r>
      <w:r>
        <w:t>(SSSI)</w:t>
      </w:r>
      <w:r>
        <w:rPr>
          <w:spacing w:val="-2"/>
        </w:rPr>
        <w:t xml:space="preserve"> </w:t>
      </w:r>
      <w:r>
        <w:t>employee. In November 2017, the Court consolidated the cases into a single action for discovery and trial.</w:t>
      </w:r>
    </w:p>
    <w:p w14:paraId="1D851D93" w14:textId="77777777" w:rsidR="00AE2255" w:rsidRDefault="00AE2255">
      <w:pPr>
        <w:pStyle w:val="BodyText"/>
        <w:spacing w:before="9"/>
        <w:rPr>
          <w:sz w:val="17"/>
        </w:rPr>
      </w:pPr>
    </w:p>
    <w:p w14:paraId="16CC6526" w14:textId="77777777" w:rsidR="00AE2255" w:rsidRDefault="00000000">
      <w:pPr>
        <w:pStyle w:val="BodyText"/>
        <w:spacing w:line="249" w:lineRule="auto"/>
        <w:ind w:left="610" w:right="428" w:firstLine="450"/>
        <w:jc w:val="both"/>
      </w:pPr>
      <w:r>
        <w:t xml:space="preserve">The U.S. Government alleges that Sikorsky and two of its </w:t>
      </w:r>
      <w:proofErr w:type="gramStart"/>
      <w:r>
        <w:t>wholly-owned</w:t>
      </w:r>
      <w:proofErr w:type="gramEnd"/>
      <w:r>
        <w:t xml:space="preserve"> subsidiaries, </w:t>
      </w:r>
      <w:proofErr w:type="spellStart"/>
      <w:r>
        <w:t>Derco</w:t>
      </w:r>
      <w:proofErr w:type="spellEnd"/>
      <w:r>
        <w:t xml:space="preserve"> and SSSI, violated the civil False Claims Act and the Truth in Negotiations Act in connection with a contract the U.S. Navy awarded to SSSI in June 2006 to support the Navy’s T-34 and T-44 fixed-wing turboprop training aircraft. SSSI subcontracted with </w:t>
      </w:r>
      <w:proofErr w:type="spellStart"/>
      <w:r>
        <w:t>Derco</w:t>
      </w:r>
      <w:proofErr w:type="spellEnd"/>
      <w:r>
        <w:t xml:space="preserve">, primarily to procure and manage spare parts for the training aircraft. The U.S. Government contends that SSSI overbilled the Navy on the contract as the result of </w:t>
      </w:r>
      <w:proofErr w:type="spellStart"/>
      <w:r>
        <w:t>Derco’s</w:t>
      </w:r>
      <w:proofErr w:type="spellEnd"/>
      <w:r>
        <w:t xml:space="preserve"> use of prohibited cost-plus-percentage-of-cost (CPPC) pricing to add profit and overhead costs as</w:t>
      </w:r>
      <w:r>
        <w:rPr>
          <w:spacing w:val="-1"/>
        </w:rPr>
        <w:t xml:space="preserve"> </w:t>
      </w:r>
      <w:r>
        <w:t>a</w:t>
      </w:r>
      <w:r>
        <w:rPr>
          <w:spacing w:val="-1"/>
        </w:rPr>
        <w:t xml:space="preserve"> </w:t>
      </w:r>
      <w:r>
        <w:t>percentage</w:t>
      </w:r>
      <w:r>
        <w:rPr>
          <w:spacing w:val="-1"/>
        </w:rPr>
        <w:t xml:space="preserve"> </w:t>
      </w:r>
      <w:r>
        <w:t>of the</w:t>
      </w:r>
      <w:r>
        <w:rPr>
          <w:spacing w:val="-1"/>
        </w:rPr>
        <w:t xml:space="preserve"> </w:t>
      </w:r>
      <w:r>
        <w:t>price</w:t>
      </w:r>
      <w:r>
        <w:rPr>
          <w:spacing w:val="-1"/>
        </w:rPr>
        <w:t xml:space="preserve"> </w:t>
      </w:r>
      <w:r>
        <w:t>of the</w:t>
      </w:r>
      <w:r>
        <w:rPr>
          <w:spacing w:val="-1"/>
        </w:rPr>
        <w:t xml:space="preserve"> </w:t>
      </w:r>
      <w:r>
        <w:t>spare</w:t>
      </w:r>
      <w:r>
        <w:rPr>
          <w:spacing w:val="-1"/>
        </w:rPr>
        <w:t xml:space="preserve"> </w:t>
      </w:r>
      <w:r>
        <w:t>parts</w:t>
      </w:r>
      <w:r>
        <w:rPr>
          <w:spacing w:val="-1"/>
        </w:rPr>
        <w:t xml:space="preserve"> </w:t>
      </w:r>
      <w:r>
        <w:t>that</w:t>
      </w:r>
      <w:r>
        <w:rPr>
          <w:spacing w:val="-1"/>
        </w:rPr>
        <w:t xml:space="preserve"> </w:t>
      </w:r>
      <w:proofErr w:type="spellStart"/>
      <w:r>
        <w:t>Derco</w:t>
      </w:r>
      <w:proofErr w:type="spellEnd"/>
      <w:r>
        <w:t xml:space="preserve"> procured and then sold to SSSI. The</w:t>
      </w:r>
      <w:r>
        <w:rPr>
          <w:spacing w:val="-1"/>
        </w:rPr>
        <w:t xml:space="preserve"> </w:t>
      </w:r>
      <w:r>
        <w:t>U.S. Government</w:t>
      </w:r>
      <w:r>
        <w:rPr>
          <w:spacing w:val="-1"/>
        </w:rPr>
        <w:t xml:space="preserve"> </w:t>
      </w:r>
      <w:r>
        <w:t>also alleges</w:t>
      </w:r>
      <w:r>
        <w:rPr>
          <w:spacing w:val="-1"/>
        </w:rPr>
        <w:t xml:space="preserve"> </w:t>
      </w:r>
      <w:r>
        <w:t xml:space="preserve">that </w:t>
      </w:r>
      <w:proofErr w:type="spellStart"/>
      <w:r>
        <w:t>Derco’s</w:t>
      </w:r>
      <w:proofErr w:type="spellEnd"/>
      <w:r>
        <w:t xml:space="preserve"> claims to SSSI, SSSI’s claims to the Navy, and SSSI’s yearly Certificates of Final Indirect Costs from 2006 through 2012 were false and that SSSI submitted inaccurate cost or pricing data in violation of the Truth in Negotiations Act for a sole- sourced, follow-on “bridge” contract. The U.S. Government’s complaints assert common law claims for breach of contract and unjust enrichment. On November 29, 2021, the District Court granted the U.S. Government’s motion for partial summary judgment, finding that the </w:t>
      </w:r>
      <w:proofErr w:type="spellStart"/>
      <w:r>
        <w:t>Derco</w:t>
      </w:r>
      <w:proofErr w:type="spellEnd"/>
      <w:r>
        <w:t>-SSSI agreement was a CPPC contract.</w:t>
      </w:r>
    </w:p>
    <w:p w14:paraId="3A5126FD" w14:textId="77777777" w:rsidR="00AE2255" w:rsidRDefault="00AE2255">
      <w:pPr>
        <w:pStyle w:val="BodyText"/>
        <w:spacing w:before="2"/>
        <w:rPr>
          <w:sz w:val="18"/>
        </w:rPr>
      </w:pPr>
    </w:p>
    <w:p w14:paraId="56519CFD" w14:textId="77777777" w:rsidR="00AE2255" w:rsidRDefault="00000000">
      <w:pPr>
        <w:pStyle w:val="BodyText"/>
        <w:spacing w:line="249" w:lineRule="auto"/>
        <w:ind w:left="610" w:right="428" w:firstLine="450"/>
        <w:jc w:val="both"/>
      </w:pPr>
      <w:r>
        <w:t>We believe that we have legal and factual defenses to the U.S. Government’s remaining claims. The U.S. Government seeks damages of approximately $52 million, subject to trebling, plus statutory penalties. Although we continue to evaluate our liability</w:t>
      </w:r>
      <w:r>
        <w:rPr>
          <w:spacing w:val="26"/>
        </w:rPr>
        <w:t xml:space="preserve"> </w:t>
      </w:r>
      <w:r>
        <w:t>and</w:t>
      </w:r>
      <w:r>
        <w:rPr>
          <w:spacing w:val="26"/>
        </w:rPr>
        <w:t xml:space="preserve"> </w:t>
      </w:r>
      <w:r>
        <w:t>exposure,</w:t>
      </w:r>
      <w:r>
        <w:rPr>
          <w:spacing w:val="26"/>
        </w:rPr>
        <w:t xml:space="preserve"> </w:t>
      </w:r>
      <w:r>
        <w:t>we</w:t>
      </w:r>
      <w:r>
        <w:rPr>
          <w:spacing w:val="26"/>
        </w:rPr>
        <w:t xml:space="preserve"> </w:t>
      </w:r>
      <w:r>
        <w:t>do</w:t>
      </w:r>
      <w:r>
        <w:rPr>
          <w:spacing w:val="26"/>
        </w:rPr>
        <w:t xml:space="preserve"> </w:t>
      </w:r>
      <w:r>
        <w:t>not</w:t>
      </w:r>
      <w:r>
        <w:rPr>
          <w:spacing w:val="26"/>
        </w:rPr>
        <w:t xml:space="preserve"> </w:t>
      </w:r>
      <w:r>
        <w:t>currently</w:t>
      </w:r>
      <w:r>
        <w:rPr>
          <w:spacing w:val="26"/>
        </w:rPr>
        <w:t xml:space="preserve"> </w:t>
      </w:r>
      <w:r>
        <w:t>believe</w:t>
      </w:r>
      <w:r>
        <w:rPr>
          <w:spacing w:val="26"/>
        </w:rPr>
        <w:t xml:space="preserve"> </w:t>
      </w:r>
      <w:r>
        <w:t>that</w:t>
      </w:r>
      <w:r>
        <w:rPr>
          <w:spacing w:val="26"/>
        </w:rPr>
        <w:t xml:space="preserve"> </w:t>
      </w:r>
      <w:r>
        <w:t>it</w:t>
      </w:r>
      <w:r>
        <w:rPr>
          <w:spacing w:val="26"/>
        </w:rPr>
        <w:t xml:space="preserve"> </w:t>
      </w:r>
      <w:r>
        <w:t>is</w:t>
      </w:r>
      <w:r>
        <w:rPr>
          <w:spacing w:val="26"/>
        </w:rPr>
        <w:t xml:space="preserve"> </w:t>
      </w:r>
      <w:r>
        <w:t>probable</w:t>
      </w:r>
      <w:r>
        <w:rPr>
          <w:spacing w:val="26"/>
        </w:rPr>
        <w:t xml:space="preserve"> </w:t>
      </w:r>
      <w:r>
        <w:t>that</w:t>
      </w:r>
      <w:r>
        <w:rPr>
          <w:spacing w:val="26"/>
        </w:rPr>
        <w:t xml:space="preserve"> </w:t>
      </w:r>
      <w:r>
        <w:t>we</w:t>
      </w:r>
      <w:r>
        <w:rPr>
          <w:spacing w:val="26"/>
        </w:rPr>
        <w:t xml:space="preserve"> </w:t>
      </w:r>
      <w:r>
        <w:t>will</w:t>
      </w:r>
      <w:r>
        <w:rPr>
          <w:spacing w:val="26"/>
        </w:rPr>
        <w:t xml:space="preserve"> </w:t>
      </w:r>
      <w:r>
        <w:t>incur</w:t>
      </w:r>
      <w:r>
        <w:rPr>
          <w:spacing w:val="26"/>
        </w:rPr>
        <w:t xml:space="preserve"> </w:t>
      </w:r>
      <w:r>
        <w:t>a</w:t>
      </w:r>
      <w:r>
        <w:rPr>
          <w:spacing w:val="26"/>
        </w:rPr>
        <w:t xml:space="preserve"> </w:t>
      </w:r>
      <w:r>
        <w:t>material</w:t>
      </w:r>
      <w:r>
        <w:rPr>
          <w:spacing w:val="26"/>
        </w:rPr>
        <w:t xml:space="preserve"> </w:t>
      </w:r>
      <w:r>
        <w:t>loss.</w:t>
      </w:r>
      <w:r>
        <w:rPr>
          <w:spacing w:val="26"/>
        </w:rPr>
        <w:t xml:space="preserve"> </w:t>
      </w:r>
      <w:r>
        <w:t>If,</w:t>
      </w:r>
      <w:r>
        <w:rPr>
          <w:spacing w:val="26"/>
        </w:rPr>
        <w:t xml:space="preserve"> </w:t>
      </w:r>
      <w:r>
        <w:t>contrary</w:t>
      </w:r>
      <w:r>
        <w:rPr>
          <w:spacing w:val="26"/>
        </w:rPr>
        <w:t xml:space="preserve"> </w:t>
      </w:r>
      <w:r>
        <w:t>to</w:t>
      </w:r>
      <w:r>
        <w:rPr>
          <w:spacing w:val="26"/>
        </w:rPr>
        <w:t xml:space="preserve"> </w:t>
      </w:r>
      <w:proofErr w:type="gramStart"/>
      <w:r>
        <w:t>our</w:t>
      </w:r>
      <w:proofErr w:type="gramEnd"/>
    </w:p>
    <w:p w14:paraId="14007107" w14:textId="77777777" w:rsidR="00AE2255" w:rsidRDefault="00AE2255">
      <w:pPr>
        <w:spacing w:line="249" w:lineRule="auto"/>
        <w:jc w:val="both"/>
        <w:sectPr w:rsidR="00AE2255">
          <w:pgSz w:w="12240" w:h="15840"/>
          <w:pgMar w:top="440" w:right="560" w:bottom="720" w:left="380" w:header="230" w:footer="531" w:gutter="0"/>
          <w:cols w:space="720"/>
        </w:sectPr>
      </w:pPr>
    </w:p>
    <w:p w14:paraId="6FFCC838" w14:textId="77777777" w:rsidR="00AE2255" w:rsidRDefault="00AE2255">
      <w:pPr>
        <w:pStyle w:val="BodyText"/>
        <w:spacing w:before="10"/>
        <w:rPr>
          <w:sz w:val="22"/>
        </w:rPr>
      </w:pPr>
    </w:p>
    <w:p w14:paraId="4F9A12C4" w14:textId="77777777" w:rsidR="00AE2255" w:rsidRDefault="00000000">
      <w:pPr>
        <w:pStyle w:val="BodyText"/>
        <w:spacing w:before="92" w:line="249" w:lineRule="auto"/>
        <w:ind w:left="610" w:right="428"/>
        <w:jc w:val="both"/>
      </w:pPr>
      <w:r>
        <w:t>expectations, the U.S. Government prevails on the remaining issues in this matter and proves damages at or near $52 million and is successful in having such damages trebled, the outcome could have an adverse effect on our results of operations in the period in which a liability is recognized and on our cash flows for the period in which any damages are paid.</w:t>
      </w:r>
    </w:p>
    <w:p w14:paraId="64CEBDF2" w14:textId="77777777" w:rsidR="00AE2255" w:rsidRDefault="00AE2255">
      <w:pPr>
        <w:pStyle w:val="BodyText"/>
        <w:spacing w:before="2"/>
        <w:rPr>
          <w:sz w:val="22"/>
        </w:rPr>
      </w:pPr>
    </w:p>
    <w:p w14:paraId="6A59D776" w14:textId="77777777" w:rsidR="00AE2255" w:rsidRDefault="00000000">
      <w:pPr>
        <w:ind w:left="610"/>
        <w:jc w:val="both"/>
        <w:rPr>
          <w:i/>
          <w:sz w:val="20"/>
        </w:rPr>
      </w:pPr>
      <w:r>
        <w:rPr>
          <w:i/>
          <w:sz w:val="20"/>
        </w:rPr>
        <w:t>Lockheed</w:t>
      </w:r>
      <w:r>
        <w:rPr>
          <w:i/>
          <w:spacing w:val="-5"/>
          <w:sz w:val="20"/>
        </w:rPr>
        <w:t xml:space="preserve"> </w:t>
      </w:r>
      <w:r>
        <w:rPr>
          <w:i/>
          <w:sz w:val="20"/>
        </w:rPr>
        <w:t>Martin</w:t>
      </w:r>
      <w:r>
        <w:rPr>
          <w:i/>
          <w:spacing w:val="-4"/>
          <w:sz w:val="20"/>
        </w:rPr>
        <w:t xml:space="preserve"> </w:t>
      </w:r>
      <w:r>
        <w:rPr>
          <w:i/>
          <w:sz w:val="20"/>
        </w:rPr>
        <w:t>v.</w:t>
      </w:r>
      <w:r>
        <w:rPr>
          <w:i/>
          <w:spacing w:val="-5"/>
          <w:sz w:val="20"/>
        </w:rPr>
        <w:t xml:space="preserve"> </w:t>
      </w:r>
      <w:r>
        <w:rPr>
          <w:i/>
          <w:sz w:val="20"/>
        </w:rPr>
        <w:t>Metropolitan</w:t>
      </w:r>
      <w:r>
        <w:rPr>
          <w:i/>
          <w:spacing w:val="-4"/>
          <w:sz w:val="20"/>
        </w:rPr>
        <w:t xml:space="preserve"> </w:t>
      </w:r>
      <w:r>
        <w:rPr>
          <w:i/>
          <w:sz w:val="20"/>
        </w:rPr>
        <w:t>Transportation</w:t>
      </w:r>
      <w:r>
        <w:rPr>
          <w:i/>
          <w:spacing w:val="-4"/>
          <w:sz w:val="20"/>
        </w:rPr>
        <w:t xml:space="preserve"> </w:t>
      </w:r>
      <w:r>
        <w:rPr>
          <w:i/>
          <w:spacing w:val="-2"/>
          <w:sz w:val="20"/>
        </w:rPr>
        <w:t>Authority</w:t>
      </w:r>
    </w:p>
    <w:p w14:paraId="13ABAEF3" w14:textId="77777777" w:rsidR="00AE2255" w:rsidRDefault="00AE2255">
      <w:pPr>
        <w:pStyle w:val="BodyText"/>
        <w:spacing w:before="5"/>
        <w:rPr>
          <w:i/>
          <w:sz w:val="17"/>
        </w:rPr>
      </w:pPr>
    </w:p>
    <w:p w14:paraId="3C635507" w14:textId="77777777" w:rsidR="00AE2255" w:rsidRDefault="00000000">
      <w:pPr>
        <w:pStyle w:val="BodyText"/>
        <w:spacing w:line="249" w:lineRule="auto"/>
        <w:ind w:left="610" w:right="428" w:firstLine="495"/>
        <w:jc w:val="both"/>
      </w:pPr>
      <w:r>
        <w:t>On April 24, 2009, we filed a declaratory judgment action against the New York Metropolitan Transportation Authority and its Capital Construction Company (collectively, the MTA) asking the U.S. District Court for the Southern District of New York to find that the MTA is in material breach of our agreement based on the MTA’s failure to provide access to sites where work must be performed and the customer-furnished equipment necessary to complete the contract. The MTA filed an answer and counterclaim alleging that we breached the contract and subsequently terminated the contract for alleged default. The primary damages sought by the MTA are the costs to complete the contract and potential re-procurement costs. While we are unable to estimate the cost of another contractor to complete the contract and the costs of re-procurement, we note that our contract with the MTA had a total value of $323 million, of which $241 million was paid to us, and that the MTA is seeking damages of approximately $190 million. We dispute the MTA’s allegations and are defending against them. Additionally, following an investigation, our sureties on a performance bond related to this matter, who were represented by independent counsel,</w:t>
      </w:r>
      <w:r>
        <w:rPr>
          <w:spacing w:val="-1"/>
        </w:rPr>
        <w:t xml:space="preserve"> </w:t>
      </w:r>
      <w:r>
        <w:t>concluded</w:t>
      </w:r>
      <w:r>
        <w:rPr>
          <w:spacing w:val="-1"/>
        </w:rPr>
        <w:t xml:space="preserve"> </w:t>
      </w:r>
      <w:r>
        <w:t>that</w:t>
      </w:r>
      <w:r>
        <w:rPr>
          <w:spacing w:val="-1"/>
        </w:rPr>
        <w:t xml:space="preserve"> </w:t>
      </w:r>
      <w:r>
        <w:t>the</w:t>
      </w:r>
      <w:r>
        <w:rPr>
          <w:spacing w:val="-1"/>
        </w:rPr>
        <w:t xml:space="preserve"> </w:t>
      </w:r>
      <w:r>
        <w:t>MTA’s</w:t>
      </w:r>
      <w:r>
        <w:rPr>
          <w:spacing w:val="-1"/>
        </w:rPr>
        <w:t xml:space="preserve"> </w:t>
      </w:r>
      <w:r>
        <w:t>termination</w:t>
      </w:r>
      <w:r>
        <w:rPr>
          <w:spacing w:val="-1"/>
        </w:rPr>
        <w:t xml:space="preserve"> </w:t>
      </w:r>
      <w:r>
        <w:t>of</w:t>
      </w:r>
      <w:r>
        <w:rPr>
          <w:spacing w:val="-1"/>
        </w:rPr>
        <w:t xml:space="preserve"> </w:t>
      </w:r>
      <w:r>
        <w:t>the</w:t>
      </w:r>
      <w:r>
        <w:rPr>
          <w:spacing w:val="-1"/>
        </w:rPr>
        <w:t xml:space="preserve"> </w:t>
      </w:r>
      <w:r>
        <w:t>contract</w:t>
      </w:r>
      <w:r>
        <w:rPr>
          <w:spacing w:val="-1"/>
        </w:rPr>
        <w:t xml:space="preserve"> </w:t>
      </w:r>
      <w:r>
        <w:t>was</w:t>
      </w:r>
      <w:r>
        <w:rPr>
          <w:spacing w:val="-1"/>
        </w:rPr>
        <w:t xml:space="preserve"> </w:t>
      </w:r>
      <w:r>
        <w:t>improper.</w:t>
      </w:r>
      <w:r>
        <w:rPr>
          <w:spacing w:val="-1"/>
        </w:rPr>
        <w:t xml:space="preserve"> </w:t>
      </w:r>
      <w:r>
        <w:t>Finally,</w:t>
      </w:r>
      <w:r>
        <w:rPr>
          <w:spacing w:val="-1"/>
        </w:rPr>
        <w:t xml:space="preserve"> </w:t>
      </w:r>
      <w:r>
        <w:t>our</w:t>
      </w:r>
      <w:r>
        <w:rPr>
          <w:spacing w:val="-1"/>
        </w:rPr>
        <w:t xml:space="preserve"> </w:t>
      </w:r>
      <w:r>
        <w:t>declaratory</w:t>
      </w:r>
      <w:r>
        <w:rPr>
          <w:spacing w:val="-1"/>
        </w:rPr>
        <w:t xml:space="preserve"> </w:t>
      </w:r>
      <w:r>
        <w:t>judgment</w:t>
      </w:r>
      <w:r>
        <w:rPr>
          <w:spacing w:val="-1"/>
        </w:rPr>
        <w:t xml:space="preserve"> </w:t>
      </w:r>
      <w:r>
        <w:t>action</w:t>
      </w:r>
      <w:r>
        <w:rPr>
          <w:spacing w:val="-1"/>
        </w:rPr>
        <w:t xml:space="preserve"> </w:t>
      </w:r>
      <w:r>
        <w:t>was</w:t>
      </w:r>
      <w:r>
        <w:rPr>
          <w:spacing w:val="-1"/>
        </w:rPr>
        <w:t xml:space="preserve"> </w:t>
      </w:r>
      <w:r>
        <w:t>later amended to include claims for monetary damages against the MTA of approximately $95 million. This matter was taken under submission by the District Court in December 2014, after a five-week bench trial and the filing of post-trial pleadings by the parties.</w:t>
      </w:r>
      <w:r>
        <w:rPr>
          <w:spacing w:val="-1"/>
        </w:rPr>
        <w:t xml:space="preserve"> </w:t>
      </w:r>
      <w:r>
        <w:t>We</w:t>
      </w:r>
      <w:r>
        <w:rPr>
          <w:spacing w:val="-2"/>
        </w:rPr>
        <w:t xml:space="preserve"> </w:t>
      </w:r>
      <w:r>
        <w:t>continue</w:t>
      </w:r>
      <w:r>
        <w:rPr>
          <w:spacing w:val="-2"/>
        </w:rPr>
        <w:t xml:space="preserve"> </w:t>
      </w:r>
      <w:r>
        <w:t>to</w:t>
      </w:r>
      <w:r>
        <w:rPr>
          <w:spacing w:val="-1"/>
        </w:rPr>
        <w:t xml:space="preserve"> </w:t>
      </w:r>
      <w:r>
        <w:t>await</w:t>
      </w:r>
      <w:r>
        <w:rPr>
          <w:spacing w:val="-2"/>
        </w:rPr>
        <w:t xml:space="preserve"> </w:t>
      </w:r>
      <w:r>
        <w:t>a</w:t>
      </w:r>
      <w:r>
        <w:rPr>
          <w:spacing w:val="-2"/>
        </w:rPr>
        <w:t xml:space="preserve"> </w:t>
      </w:r>
      <w:r>
        <w:t>decision</w:t>
      </w:r>
      <w:r>
        <w:rPr>
          <w:spacing w:val="-1"/>
        </w:rPr>
        <w:t xml:space="preserve"> </w:t>
      </w:r>
      <w:r>
        <w:t>from</w:t>
      </w:r>
      <w:r>
        <w:rPr>
          <w:spacing w:val="-2"/>
        </w:rPr>
        <w:t xml:space="preserve"> </w:t>
      </w:r>
      <w:r>
        <w:t>the</w:t>
      </w:r>
      <w:r>
        <w:rPr>
          <w:spacing w:val="-2"/>
        </w:rPr>
        <w:t xml:space="preserve"> </w:t>
      </w:r>
      <w:r>
        <w:t>District</w:t>
      </w:r>
      <w:r>
        <w:rPr>
          <w:spacing w:val="-2"/>
        </w:rPr>
        <w:t xml:space="preserve"> </w:t>
      </w:r>
      <w:r>
        <w:t>Court.</w:t>
      </w:r>
      <w:r>
        <w:rPr>
          <w:spacing w:val="-1"/>
        </w:rPr>
        <w:t xml:space="preserve"> </w:t>
      </w:r>
      <w:r>
        <w:t>Although</w:t>
      </w:r>
      <w:r>
        <w:rPr>
          <w:spacing w:val="-1"/>
        </w:rPr>
        <w:t xml:space="preserve"> </w:t>
      </w:r>
      <w:r>
        <w:t>this</w:t>
      </w:r>
      <w:r>
        <w:rPr>
          <w:spacing w:val="-2"/>
        </w:rPr>
        <w:t xml:space="preserve"> </w:t>
      </w:r>
      <w:r>
        <w:t>matter</w:t>
      </w:r>
      <w:r>
        <w:rPr>
          <w:spacing w:val="-1"/>
        </w:rPr>
        <w:t xml:space="preserve"> </w:t>
      </w:r>
      <w:r>
        <w:t>relates</w:t>
      </w:r>
      <w:r>
        <w:rPr>
          <w:spacing w:val="-2"/>
        </w:rPr>
        <w:t xml:space="preserve"> </w:t>
      </w:r>
      <w:r>
        <w:t>to</w:t>
      </w:r>
      <w:r>
        <w:rPr>
          <w:spacing w:val="-1"/>
        </w:rPr>
        <w:t xml:space="preserve"> </w:t>
      </w:r>
      <w:r>
        <w:t>our</w:t>
      </w:r>
      <w:r>
        <w:rPr>
          <w:spacing w:val="-1"/>
        </w:rPr>
        <w:t xml:space="preserve"> </w:t>
      </w:r>
      <w:r>
        <w:t>former</w:t>
      </w:r>
      <w:r>
        <w:rPr>
          <w:spacing w:val="-1"/>
        </w:rPr>
        <w:t xml:space="preserve"> </w:t>
      </w:r>
      <w:r>
        <w:t>Information</w:t>
      </w:r>
      <w:r>
        <w:rPr>
          <w:spacing w:val="-1"/>
        </w:rPr>
        <w:t xml:space="preserve"> </w:t>
      </w:r>
      <w:r>
        <w:t>Systems &amp; Global Solutions (IS&amp;GS) business, we retained responsibility for the litigation when we divested IS&amp;GS in 2016.</w:t>
      </w:r>
    </w:p>
    <w:p w14:paraId="49C1C296" w14:textId="77777777" w:rsidR="00AE2255" w:rsidRDefault="00AE2255">
      <w:pPr>
        <w:pStyle w:val="BodyText"/>
        <w:spacing w:before="7"/>
        <w:rPr>
          <w:sz w:val="21"/>
        </w:rPr>
      </w:pPr>
    </w:p>
    <w:p w14:paraId="2952D48D" w14:textId="77777777" w:rsidR="00AE2255" w:rsidRDefault="00000000">
      <w:pPr>
        <w:pStyle w:val="Heading2"/>
        <w:jc w:val="both"/>
      </w:pPr>
      <w:r>
        <w:t>Environmental</w:t>
      </w:r>
      <w:r>
        <w:rPr>
          <w:spacing w:val="-8"/>
        </w:rPr>
        <w:t xml:space="preserve"> </w:t>
      </w:r>
      <w:r>
        <w:rPr>
          <w:spacing w:val="-2"/>
        </w:rPr>
        <w:t>Matters</w:t>
      </w:r>
    </w:p>
    <w:p w14:paraId="69B0F9D1" w14:textId="77777777" w:rsidR="00AE2255" w:rsidRDefault="00AE2255">
      <w:pPr>
        <w:pStyle w:val="BodyText"/>
        <w:spacing w:before="6"/>
        <w:rPr>
          <w:b/>
          <w:sz w:val="18"/>
        </w:rPr>
      </w:pPr>
    </w:p>
    <w:p w14:paraId="456CA38A" w14:textId="77777777" w:rsidR="00AE2255" w:rsidRDefault="00000000">
      <w:pPr>
        <w:pStyle w:val="BodyText"/>
        <w:spacing w:before="1" w:line="249" w:lineRule="auto"/>
        <w:ind w:left="610" w:right="430" w:firstLine="450"/>
        <w:jc w:val="both"/>
      </w:pPr>
      <w:r>
        <w:t>We are involved in proceedings and potential proceedings relating to soil, sediment, surface water, and groundwater contamination, disposal of hazardous substances, and other environmental matters at several of our current or former facilities, facilities for which we may have contractual responsibility, and at third-party sites where we have been designated as a potentially responsible party (PRP).</w:t>
      </w:r>
    </w:p>
    <w:p w14:paraId="73CAAC16" w14:textId="77777777" w:rsidR="00AE2255" w:rsidRDefault="00AE2255">
      <w:pPr>
        <w:pStyle w:val="BodyText"/>
        <w:spacing w:before="1"/>
        <w:rPr>
          <w:sz w:val="21"/>
        </w:rPr>
      </w:pPr>
    </w:p>
    <w:p w14:paraId="4138C8B8" w14:textId="77777777" w:rsidR="00AE2255" w:rsidRDefault="00000000">
      <w:pPr>
        <w:pStyle w:val="BodyText"/>
        <w:ind w:left="970"/>
      </w:pPr>
      <w:proofErr w:type="gramStart"/>
      <w:r>
        <w:t>At</w:t>
      </w:r>
      <w:proofErr w:type="gramEnd"/>
      <w:r>
        <w:rPr>
          <w:spacing w:val="37"/>
        </w:rPr>
        <w:t xml:space="preserve"> </w:t>
      </w:r>
      <w:r>
        <w:t>December</w:t>
      </w:r>
      <w:r>
        <w:rPr>
          <w:spacing w:val="38"/>
        </w:rPr>
        <w:t xml:space="preserve"> </w:t>
      </w:r>
      <w:r>
        <w:t>31,</w:t>
      </w:r>
      <w:r>
        <w:rPr>
          <w:spacing w:val="38"/>
        </w:rPr>
        <w:t xml:space="preserve"> </w:t>
      </w:r>
      <w:r>
        <w:t>2022</w:t>
      </w:r>
      <w:r>
        <w:rPr>
          <w:spacing w:val="38"/>
        </w:rPr>
        <w:t xml:space="preserve"> </w:t>
      </w:r>
      <w:r>
        <w:t>and</w:t>
      </w:r>
      <w:r>
        <w:rPr>
          <w:spacing w:val="39"/>
        </w:rPr>
        <w:t xml:space="preserve"> </w:t>
      </w:r>
      <w:r>
        <w:t>2021,</w:t>
      </w:r>
      <w:r>
        <w:rPr>
          <w:spacing w:val="38"/>
        </w:rPr>
        <w:t xml:space="preserve"> </w:t>
      </w:r>
      <w:r>
        <w:t>the</w:t>
      </w:r>
      <w:r>
        <w:rPr>
          <w:spacing w:val="37"/>
        </w:rPr>
        <w:t xml:space="preserve"> </w:t>
      </w:r>
      <w:r>
        <w:t>aggregate</w:t>
      </w:r>
      <w:r>
        <w:rPr>
          <w:spacing w:val="37"/>
        </w:rPr>
        <w:t xml:space="preserve"> </w:t>
      </w:r>
      <w:r>
        <w:t>amount</w:t>
      </w:r>
      <w:r>
        <w:rPr>
          <w:spacing w:val="38"/>
        </w:rPr>
        <w:t xml:space="preserve"> </w:t>
      </w:r>
      <w:r>
        <w:t>of</w:t>
      </w:r>
      <w:r>
        <w:rPr>
          <w:spacing w:val="38"/>
        </w:rPr>
        <w:t xml:space="preserve"> </w:t>
      </w:r>
      <w:r>
        <w:t>liabilities</w:t>
      </w:r>
      <w:r>
        <w:rPr>
          <w:spacing w:val="37"/>
        </w:rPr>
        <w:t xml:space="preserve"> </w:t>
      </w:r>
      <w:r>
        <w:t>recorded</w:t>
      </w:r>
      <w:r>
        <w:rPr>
          <w:spacing w:val="38"/>
        </w:rPr>
        <w:t xml:space="preserve"> </w:t>
      </w:r>
      <w:r>
        <w:t>relative</w:t>
      </w:r>
      <w:r>
        <w:rPr>
          <w:spacing w:val="38"/>
        </w:rPr>
        <w:t xml:space="preserve"> </w:t>
      </w:r>
      <w:r>
        <w:t>to</w:t>
      </w:r>
      <w:r>
        <w:rPr>
          <w:spacing w:val="38"/>
        </w:rPr>
        <w:t xml:space="preserve"> </w:t>
      </w:r>
      <w:r>
        <w:t>environmental</w:t>
      </w:r>
      <w:r>
        <w:rPr>
          <w:spacing w:val="37"/>
        </w:rPr>
        <w:t xml:space="preserve"> </w:t>
      </w:r>
      <w:r>
        <w:t>matters</w:t>
      </w:r>
      <w:r>
        <w:rPr>
          <w:spacing w:val="38"/>
        </w:rPr>
        <w:t xml:space="preserve"> </w:t>
      </w:r>
      <w:r>
        <w:rPr>
          <w:spacing w:val="-5"/>
        </w:rPr>
        <w:t>was</w:t>
      </w:r>
    </w:p>
    <w:p w14:paraId="3A791715" w14:textId="77777777" w:rsidR="00AE2255" w:rsidRDefault="00000000">
      <w:pPr>
        <w:pStyle w:val="BodyText"/>
        <w:spacing w:before="10" w:line="249" w:lineRule="auto"/>
        <w:ind w:left="610" w:right="430"/>
      </w:pPr>
      <w:r>
        <w:t>$696 million and $742 million, most of which are recorded in other noncurrent liabilities on our consolidated balance sheets.</w:t>
      </w:r>
      <w:r>
        <w:rPr>
          <w:spacing w:val="40"/>
        </w:rPr>
        <w:t xml:space="preserve"> </w:t>
      </w:r>
      <w:r>
        <w:t>We</w:t>
      </w:r>
      <w:r>
        <w:rPr>
          <w:spacing w:val="8"/>
        </w:rPr>
        <w:t xml:space="preserve"> </w:t>
      </w:r>
      <w:r>
        <w:t>have</w:t>
      </w:r>
      <w:r>
        <w:rPr>
          <w:spacing w:val="11"/>
        </w:rPr>
        <w:t xml:space="preserve"> </w:t>
      </w:r>
      <w:r>
        <w:t>recorded</w:t>
      </w:r>
      <w:r>
        <w:rPr>
          <w:spacing w:val="11"/>
        </w:rPr>
        <w:t xml:space="preserve"> </w:t>
      </w:r>
      <w:r>
        <w:t>assets</w:t>
      </w:r>
      <w:r>
        <w:rPr>
          <w:spacing w:val="11"/>
        </w:rPr>
        <w:t xml:space="preserve"> </w:t>
      </w:r>
      <w:r>
        <w:t>for</w:t>
      </w:r>
      <w:r>
        <w:rPr>
          <w:spacing w:val="11"/>
        </w:rPr>
        <w:t xml:space="preserve"> </w:t>
      </w:r>
      <w:r>
        <w:t>the</w:t>
      </w:r>
      <w:r>
        <w:rPr>
          <w:spacing w:val="11"/>
        </w:rPr>
        <w:t xml:space="preserve"> </w:t>
      </w:r>
      <w:r>
        <w:t>portion</w:t>
      </w:r>
      <w:r>
        <w:rPr>
          <w:spacing w:val="10"/>
        </w:rPr>
        <w:t xml:space="preserve"> </w:t>
      </w:r>
      <w:r>
        <w:t>of</w:t>
      </w:r>
      <w:r>
        <w:rPr>
          <w:spacing w:val="11"/>
        </w:rPr>
        <w:t xml:space="preserve"> </w:t>
      </w:r>
      <w:r>
        <w:t>environmental</w:t>
      </w:r>
      <w:r>
        <w:rPr>
          <w:spacing w:val="11"/>
        </w:rPr>
        <w:t xml:space="preserve"> </w:t>
      </w:r>
      <w:r>
        <w:t>costs</w:t>
      </w:r>
      <w:r>
        <w:rPr>
          <w:spacing w:val="11"/>
        </w:rPr>
        <w:t xml:space="preserve"> </w:t>
      </w:r>
      <w:r>
        <w:t>that</w:t>
      </w:r>
      <w:r>
        <w:rPr>
          <w:spacing w:val="11"/>
        </w:rPr>
        <w:t xml:space="preserve"> </w:t>
      </w:r>
      <w:r>
        <w:t>are</w:t>
      </w:r>
      <w:r>
        <w:rPr>
          <w:spacing w:val="11"/>
        </w:rPr>
        <w:t xml:space="preserve"> </w:t>
      </w:r>
      <w:r>
        <w:t>probable</w:t>
      </w:r>
      <w:r>
        <w:rPr>
          <w:spacing w:val="10"/>
        </w:rPr>
        <w:t xml:space="preserve"> </w:t>
      </w:r>
      <w:r>
        <w:t>of</w:t>
      </w:r>
      <w:r>
        <w:rPr>
          <w:spacing w:val="11"/>
        </w:rPr>
        <w:t xml:space="preserve"> </w:t>
      </w:r>
      <w:r>
        <w:t>future</w:t>
      </w:r>
      <w:r>
        <w:rPr>
          <w:spacing w:val="11"/>
        </w:rPr>
        <w:t xml:space="preserve"> </w:t>
      </w:r>
      <w:r>
        <w:t>recovery</w:t>
      </w:r>
      <w:r>
        <w:rPr>
          <w:spacing w:val="11"/>
        </w:rPr>
        <w:t xml:space="preserve"> </w:t>
      </w:r>
      <w:r>
        <w:t>totaling</w:t>
      </w:r>
      <w:r>
        <w:rPr>
          <w:spacing w:val="11"/>
        </w:rPr>
        <w:t xml:space="preserve"> </w:t>
      </w:r>
      <w:r>
        <w:t>$618</w:t>
      </w:r>
      <w:r>
        <w:rPr>
          <w:spacing w:val="11"/>
        </w:rPr>
        <w:t xml:space="preserve"> </w:t>
      </w:r>
      <w:r>
        <w:t>million</w:t>
      </w:r>
      <w:r>
        <w:rPr>
          <w:spacing w:val="11"/>
        </w:rPr>
        <w:t xml:space="preserve"> </w:t>
      </w:r>
      <w:r>
        <w:rPr>
          <w:spacing w:val="-5"/>
        </w:rPr>
        <w:t>and</w:t>
      </w:r>
    </w:p>
    <w:p w14:paraId="52774B1B" w14:textId="77777777" w:rsidR="00AE2255" w:rsidRDefault="00000000">
      <w:pPr>
        <w:pStyle w:val="BodyText"/>
        <w:spacing w:before="2" w:line="249" w:lineRule="auto"/>
        <w:ind w:left="610"/>
      </w:pPr>
      <w:r>
        <w:t>$645</w:t>
      </w:r>
      <w:r>
        <w:rPr>
          <w:spacing w:val="30"/>
        </w:rPr>
        <w:t xml:space="preserve"> </w:t>
      </w:r>
      <w:r>
        <w:t>million</w:t>
      </w:r>
      <w:r>
        <w:rPr>
          <w:spacing w:val="30"/>
        </w:rPr>
        <w:t xml:space="preserve"> </w:t>
      </w:r>
      <w:proofErr w:type="gramStart"/>
      <w:r>
        <w:t>at</w:t>
      </w:r>
      <w:proofErr w:type="gramEnd"/>
      <w:r>
        <w:rPr>
          <w:spacing w:val="30"/>
        </w:rPr>
        <w:t xml:space="preserve"> </w:t>
      </w:r>
      <w:r>
        <w:t>December</w:t>
      </w:r>
      <w:r>
        <w:rPr>
          <w:spacing w:val="30"/>
        </w:rPr>
        <w:t xml:space="preserve"> </w:t>
      </w:r>
      <w:r>
        <w:t>31,</w:t>
      </w:r>
      <w:r>
        <w:rPr>
          <w:spacing w:val="30"/>
        </w:rPr>
        <w:t xml:space="preserve"> </w:t>
      </w:r>
      <w:r>
        <w:t>2022</w:t>
      </w:r>
      <w:r>
        <w:rPr>
          <w:spacing w:val="30"/>
        </w:rPr>
        <w:t xml:space="preserve"> </w:t>
      </w:r>
      <w:r>
        <w:t>and</w:t>
      </w:r>
      <w:r>
        <w:rPr>
          <w:spacing w:val="30"/>
        </w:rPr>
        <w:t xml:space="preserve"> </w:t>
      </w:r>
      <w:r>
        <w:t>2021,</w:t>
      </w:r>
      <w:r>
        <w:rPr>
          <w:spacing w:val="30"/>
        </w:rPr>
        <w:t xml:space="preserve"> </w:t>
      </w:r>
      <w:r>
        <w:t>most</w:t>
      </w:r>
      <w:r>
        <w:rPr>
          <w:spacing w:val="30"/>
        </w:rPr>
        <w:t xml:space="preserve"> </w:t>
      </w:r>
      <w:r>
        <w:t>of</w:t>
      </w:r>
      <w:r>
        <w:rPr>
          <w:spacing w:val="30"/>
        </w:rPr>
        <w:t xml:space="preserve"> </w:t>
      </w:r>
      <w:r>
        <w:t>which</w:t>
      </w:r>
      <w:r>
        <w:rPr>
          <w:spacing w:val="30"/>
        </w:rPr>
        <w:t xml:space="preserve"> </w:t>
      </w:r>
      <w:r>
        <w:t>are</w:t>
      </w:r>
      <w:r>
        <w:rPr>
          <w:spacing w:val="30"/>
        </w:rPr>
        <w:t xml:space="preserve"> </w:t>
      </w:r>
      <w:r>
        <w:t>recorded</w:t>
      </w:r>
      <w:r>
        <w:rPr>
          <w:spacing w:val="30"/>
        </w:rPr>
        <w:t xml:space="preserve"> </w:t>
      </w:r>
      <w:r>
        <w:t>in</w:t>
      </w:r>
      <w:r>
        <w:rPr>
          <w:spacing w:val="30"/>
        </w:rPr>
        <w:t xml:space="preserve"> </w:t>
      </w:r>
      <w:r>
        <w:t>other</w:t>
      </w:r>
      <w:r>
        <w:rPr>
          <w:spacing w:val="30"/>
        </w:rPr>
        <w:t xml:space="preserve"> </w:t>
      </w:r>
      <w:r>
        <w:t>noncurrent</w:t>
      </w:r>
      <w:r>
        <w:rPr>
          <w:spacing w:val="30"/>
        </w:rPr>
        <w:t xml:space="preserve"> </w:t>
      </w:r>
      <w:r>
        <w:t>assets</w:t>
      </w:r>
      <w:r>
        <w:rPr>
          <w:spacing w:val="30"/>
        </w:rPr>
        <w:t xml:space="preserve"> </w:t>
      </w:r>
      <w:r>
        <w:t>on</w:t>
      </w:r>
      <w:r>
        <w:rPr>
          <w:spacing w:val="30"/>
        </w:rPr>
        <w:t xml:space="preserve"> </w:t>
      </w:r>
      <w:r>
        <w:t>our</w:t>
      </w:r>
      <w:r>
        <w:rPr>
          <w:spacing w:val="30"/>
        </w:rPr>
        <w:t xml:space="preserve"> </w:t>
      </w:r>
      <w:r>
        <w:t>consolidated balance sheets. See “Note 1 – Organization and Significant Accounting Policies” for more information.</w:t>
      </w:r>
    </w:p>
    <w:p w14:paraId="458939C7" w14:textId="77777777" w:rsidR="00AE2255" w:rsidRDefault="00AE2255">
      <w:pPr>
        <w:pStyle w:val="BodyText"/>
        <w:spacing w:before="6"/>
        <w:rPr>
          <w:sz w:val="17"/>
        </w:rPr>
      </w:pPr>
    </w:p>
    <w:p w14:paraId="3C7A6182" w14:textId="77777777" w:rsidR="00AE2255" w:rsidRDefault="00000000">
      <w:pPr>
        <w:pStyle w:val="BodyText"/>
        <w:spacing w:line="249" w:lineRule="auto"/>
        <w:ind w:left="610" w:right="427" w:firstLine="450"/>
        <w:jc w:val="both"/>
      </w:pPr>
      <w:r>
        <w:t xml:space="preserve">Environmental remediation activities usually span many years, which makes estimating liabilities a matter of judgment because of uncertainties with respect to assessing the extent of the contamination as well as such factors as changing remediation technologies and changing regulatory environmental standards. We are monitoring or investigating </w:t>
      </w:r>
      <w:proofErr w:type="gramStart"/>
      <w:r>
        <w:t>a number of</w:t>
      </w:r>
      <w:proofErr w:type="gramEnd"/>
      <w:r>
        <w:t xml:space="preserve"> former and present operating facilities for potential future remediation. We perform quarterly reviews of the status of our environmental remediation sites and the related liabilities and receivables. Additionally, in our quarterly reviews, we consider these and other factors in estimating the timing and amount of any future costs that may be required for remediation activities, and we record a liability when it is probable that a loss has occurred or will occur for a particular site and the loss can be reasonably estimated. The amount of liability recorded is based on our estimate of the costs to be incurred for remediation for that site. We do not discount the recorded liabilities, as the amount and timing of future cash payments are not fixed or cannot be</w:t>
      </w:r>
      <w:r>
        <w:rPr>
          <w:spacing w:val="-2"/>
        </w:rPr>
        <w:t xml:space="preserve"> </w:t>
      </w:r>
      <w:r>
        <w:t>reliably</w:t>
      </w:r>
      <w:r>
        <w:rPr>
          <w:spacing w:val="-2"/>
        </w:rPr>
        <w:t xml:space="preserve"> </w:t>
      </w:r>
      <w:r>
        <w:t>determined.</w:t>
      </w:r>
      <w:r>
        <w:rPr>
          <w:spacing w:val="-2"/>
        </w:rPr>
        <w:t xml:space="preserve"> </w:t>
      </w:r>
      <w:r>
        <w:t>We</w:t>
      </w:r>
      <w:r>
        <w:rPr>
          <w:spacing w:val="-2"/>
        </w:rPr>
        <w:t xml:space="preserve"> </w:t>
      </w:r>
      <w:r>
        <w:t>cannot</w:t>
      </w:r>
      <w:r>
        <w:rPr>
          <w:spacing w:val="-2"/>
        </w:rPr>
        <w:t xml:space="preserve"> </w:t>
      </w:r>
      <w:r>
        <w:t>reasonably</w:t>
      </w:r>
      <w:r>
        <w:rPr>
          <w:spacing w:val="-2"/>
        </w:rPr>
        <w:t xml:space="preserve"> </w:t>
      </w:r>
      <w:r>
        <w:t>determine</w:t>
      </w:r>
      <w:r>
        <w:rPr>
          <w:spacing w:val="-2"/>
        </w:rPr>
        <w:t xml:space="preserve"> </w:t>
      </w:r>
      <w:r>
        <w:t>the</w:t>
      </w:r>
      <w:r>
        <w:rPr>
          <w:spacing w:val="-2"/>
        </w:rPr>
        <w:t xml:space="preserve"> </w:t>
      </w:r>
      <w:r>
        <w:t>extent</w:t>
      </w:r>
      <w:r>
        <w:rPr>
          <w:spacing w:val="-2"/>
        </w:rPr>
        <w:t xml:space="preserve"> </w:t>
      </w:r>
      <w:r>
        <w:t>of</w:t>
      </w:r>
      <w:r>
        <w:rPr>
          <w:spacing w:val="-2"/>
        </w:rPr>
        <w:t xml:space="preserve"> </w:t>
      </w:r>
      <w:r>
        <w:t>our</w:t>
      </w:r>
      <w:r>
        <w:rPr>
          <w:spacing w:val="-2"/>
        </w:rPr>
        <w:t xml:space="preserve"> </w:t>
      </w:r>
      <w:r>
        <w:t>financial</w:t>
      </w:r>
      <w:r>
        <w:rPr>
          <w:spacing w:val="-2"/>
        </w:rPr>
        <w:t xml:space="preserve"> </w:t>
      </w:r>
      <w:r>
        <w:t>exposure</w:t>
      </w:r>
      <w:r>
        <w:rPr>
          <w:spacing w:val="-2"/>
        </w:rPr>
        <w:t xml:space="preserve"> </w:t>
      </w:r>
      <w:r>
        <w:t>in</w:t>
      </w:r>
      <w:r>
        <w:rPr>
          <w:spacing w:val="-2"/>
        </w:rPr>
        <w:t xml:space="preserve"> </w:t>
      </w:r>
      <w:r>
        <w:t>all</w:t>
      </w:r>
      <w:r>
        <w:rPr>
          <w:spacing w:val="-2"/>
        </w:rPr>
        <w:t xml:space="preserve"> </w:t>
      </w:r>
      <w:r>
        <w:t>cases</w:t>
      </w:r>
      <w:r>
        <w:rPr>
          <w:spacing w:val="-2"/>
        </w:rPr>
        <w:t xml:space="preserve"> </w:t>
      </w:r>
      <w:r>
        <w:t>as,</w:t>
      </w:r>
      <w:r>
        <w:rPr>
          <w:spacing w:val="-2"/>
        </w:rPr>
        <w:t xml:space="preserve"> </w:t>
      </w:r>
      <w:r>
        <w:t>although</w:t>
      </w:r>
      <w:r>
        <w:rPr>
          <w:spacing w:val="-2"/>
        </w:rPr>
        <w:t xml:space="preserve"> </w:t>
      </w:r>
      <w:r>
        <w:t>a</w:t>
      </w:r>
      <w:r>
        <w:rPr>
          <w:spacing w:val="-2"/>
        </w:rPr>
        <w:t xml:space="preserve"> </w:t>
      </w:r>
      <w:r>
        <w:t>loss</w:t>
      </w:r>
      <w:r>
        <w:rPr>
          <w:spacing w:val="-2"/>
        </w:rPr>
        <w:t xml:space="preserve"> </w:t>
      </w:r>
      <w:r>
        <w:t>may be probable or reasonably possible, in some cases it is not possible at this time to estimate the reasonably possible loss or range of loss. We project costs and recovery of costs over approximately 20 years.</w:t>
      </w:r>
    </w:p>
    <w:p w14:paraId="3DFB8661" w14:textId="77777777" w:rsidR="00AE2255" w:rsidRDefault="00AE2255">
      <w:pPr>
        <w:pStyle w:val="BodyText"/>
        <w:spacing w:before="3"/>
        <w:rPr>
          <w:sz w:val="18"/>
        </w:rPr>
      </w:pPr>
    </w:p>
    <w:p w14:paraId="755EFC05" w14:textId="77777777" w:rsidR="00AE2255" w:rsidRDefault="00000000">
      <w:pPr>
        <w:pStyle w:val="BodyText"/>
        <w:spacing w:line="249" w:lineRule="auto"/>
        <w:ind w:left="610" w:right="428" w:firstLine="450"/>
        <w:jc w:val="both"/>
      </w:pPr>
      <w:r>
        <w:t>We also pursue claims for recovery of costs incurred or for contribution to site remediation costs against other PRPs, including the U.S. Government, and are conducting remediation activities under various consent decrees, orders, and agreements relating to soil, groundwater, sediment, or surface water contamination at certain sites of former or current operations.</w:t>
      </w:r>
      <w:r>
        <w:rPr>
          <w:spacing w:val="-3"/>
        </w:rPr>
        <w:t xml:space="preserve"> </w:t>
      </w:r>
      <w:r>
        <w:t>Under</w:t>
      </w:r>
      <w:r>
        <w:rPr>
          <w:spacing w:val="-3"/>
        </w:rPr>
        <w:t xml:space="preserve"> </w:t>
      </w:r>
      <w:r>
        <w:t>agreements</w:t>
      </w:r>
      <w:r>
        <w:rPr>
          <w:spacing w:val="-3"/>
        </w:rPr>
        <w:t xml:space="preserve"> </w:t>
      </w:r>
      <w:r>
        <w:t>related</w:t>
      </w:r>
      <w:r>
        <w:rPr>
          <w:spacing w:val="-3"/>
        </w:rPr>
        <w:t xml:space="preserve"> </w:t>
      </w:r>
      <w:r>
        <w:t>to</w:t>
      </w:r>
      <w:r>
        <w:rPr>
          <w:spacing w:val="-3"/>
        </w:rPr>
        <w:t xml:space="preserve"> </w:t>
      </w:r>
      <w:r>
        <w:t>certain</w:t>
      </w:r>
      <w:r>
        <w:rPr>
          <w:spacing w:val="-3"/>
        </w:rPr>
        <w:t xml:space="preserve"> </w:t>
      </w:r>
      <w:r>
        <w:t>sites</w:t>
      </w:r>
      <w:r>
        <w:rPr>
          <w:spacing w:val="-3"/>
        </w:rPr>
        <w:t xml:space="preserve"> </w:t>
      </w:r>
      <w:r>
        <w:t>in</w:t>
      </w:r>
      <w:r>
        <w:rPr>
          <w:spacing w:val="-3"/>
        </w:rPr>
        <w:t xml:space="preserve"> </w:t>
      </w:r>
      <w:r>
        <w:t>California,</w:t>
      </w:r>
      <w:r>
        <w:rPr>
          <w:spacing w:val="-3"/>
        </w:rPr>
        <w:t xml:space="preserve"> </w:t>
      </w:r>
      <w:r>
        <w:t>New</w:t>
      </w:r>
      <w:r>
        <w:rPr>
          <w:spacing w:val="-3"/>
        </w:rPr>
        <w:t xml:space="preserve"> </w:t>
      </w:r>
      <w:r>
        <w:t>York,</w:t>
      </w:r>
      <w:r>
        <w:rPr>
          <w:spacing w:val="-3"/>
        </w:rPr>
        <w:t xml:space="preserve"> </w:t>
      </w:r>
      <w:r>
        <w:t>United</w:t>
      </w:r>
      <w:r>
        <w:rPr>
          <w:spacing w:val="-3"/>
        </w:rPr>
        <w:t xml:space="preserve"> </w:t>
      </w:r>
      <w:r>
        <w:t>States</w:t>
      </w:r>
      <w:r>
        <w:rPr>
          <w:spacing w:val="-3"/>
        </w:rPr>
        <w:t xml:space="preserve"> </w:t>
      </w:r>
      <w:r>
        <w:t>Virgin</w:t>
      </w:r>
      <w:r>
        <w:rPr>
          <w:spacing w:val="-3"/>
        </w:rPr>
        <w:t xml:space="preserve"> </w:t>
      </w:r>
      <w:r>
        <w:t>Islands</w:t>
      </w:r>
      <w:r>
        <w:rPr>
          <w:spacing w:val="-3"/>
        </w:rPr>
        <w:t xml:space="preserve"> </w:t>
      </w:r>
      <w:r>
        <w:t>and</w:t>
      </w:r>
      <w:r>
        <w:rPr>
          <w:spacing w:val="-3"/>
        </w:rPr>
        <w:t xml:space="preserve"> </w:t>
      </w:r>
      <w:r>
        <w:t>Washington,</w:t>
      </w:r>
      <w:r>
        <w:rPr>
          <w:spacing w:val="-3"/>
        </w:rPr>
        <w:t xml:space="preserve"> </w:t>
      </w:r>
      <w:r>
        <w:t>the</w:t>
      </w:r>
    </w:p>
    <w:p w14:paraId="57F74247" w14:textId="77777777" w:rsidR="00AE2255" w:rsidRDefault="00000000">
      <w:pPr>
        <w:pStyle w:val="BodyText"/>
        <w:spacing w:before="3" w:line="249" w:lineRule="auto"/>
        <w:ind w:left="610" w:right="428"/>
        <w:jc w:val="both"/>
      </w:pPr>
      <w:r>
        <w:t>U.S.</w:t>
      </w:r>
      <w:r>
        <w:rPr>
          <w:spacing w:val="-2"/>
        </w:rPr>
        <w:t xml:space="preserve"> </w:t>
      </w:r>
      <w:r>
        <w:t>Government</w:t>
      </w:r>
      <w:r>
        <w:rPr>
          <w:spacing w:val="-2"/>
        </w:rPr>
        <w:t xml:space="preserve"> </w:t>
      </w:r>
      <w:r>
        <w:t>and/or</w:t>
      </w:r>
      <w:r>
        <w:rPr>
          <w:spacing w:val="-2"/>
        </w:rPr>
        <w:t xml:space="preserve"> </w:t>
      </w:r>
      <w:r>
        <w:t>a</w:t>
      </w:r>
      <w:r>
        <w:rPr>
          <w:spacing w:val="-2"/>
        </w:rPr>
        <w:t xml:space="preserve"> </w:t>
      </w:r>
      <w:r>
        <w:t>private</w:t>
      </w:r>
      <w:r>
        <w:rPr>
          <w:spacing w:val="-2"/>
        </w:rPr>
        <w:t xml:space="preserve"> </w:t>
      </w:r>
      <w:r>
        <w:t>party</w:t>
      </w:r>
      <w:r>
        <w:rPr>
          <w:spacing w:val="-2"/>
        </w:rPr>
        <w:t xml:space="preserve"> </w:t>
      </w:r>
      <w:r>
        <w:t>reimburses</w:t>
      </w:r>
      <w:r>
        <w:rPr>
          <w:spacing w:val="-2"/>
        </w:rPr>
        <w:t xml:space="preserve"> </w:t>
      </w:r>
      <w:r>
        <w:t>us</w:t>
      </w:r>
      <w:r>
        <w:rPr>
          <w:spacing w:val="-2"/>
        </w:rPr>
        <w:t xml:space="preserve"> </w:t>
      </w:r>
      <w:r>
        <w:t>an</w:t>
      </w:r>
      <w:r>
        <w:rPr>
          <w:spacing w:val="-2"/>
        </w:rPr>
        <w:t xml:space="preserve"> </w:t>
      </w:r>
      <w:r>
        <w:t>amount</w:t>
      </w:r>
      <w:r>
        <w:rPr>
          <w:spacing w:val="-2"/>
        </w:rPr>
        <w:t xml:space="preserve"> </w:t>
      </w:r>
      <w:r>
        <w:t>equal</w:t>
      </w:r>
      <w:r>
        <w:rPr>
          <w:spacing w:val="-2"/>
        </w:rPr>
        <w:t xml:space="preserve"> </w:t>
      </w:r>
      <w:r>
        <w:t>to</w:t>
      </w:r>
      <w:r>
        <w:rPr>
          <w:spacing w:val="-2"/>
        </w:rPr>
        <w:t xml:space="preserve"> </w:t>
      </w:r>
      <w:r>
        <w:t>a</w:t>
      </w:r>
      <w:r>
        <w:rPr>
          <w:spacing w:val="-2"/>
        </w:rPr>
        <w:t xml:space="preserve"> </w:t>
      </w:r>
      <w:r>
        <w:t>percentage,</w:t>
      </w:r>
      <w:r>
        <w:rPr>
          <w:spacing w:val="-2"/>
        </w:rPr>
        <w:t xml:space="preserve"> </w:t>
      </w:r>
      <w:r>
        <w:t>specific</w:t>
      </w:r>
      <w:r>
        <w:rPr>
          <w:spacing w:val="-2"/>
        </w:rPr>
        <w:t xml:space="preserve"> </w:t>
      </w:r>
      <w:r>
        <w:t>to</w:t>
      </w:r>
      <w:r>
        <w:rPr>
          <w:spacing w:val="-2"/>
        </w:rPr>
        <w:t xml:space="preserve"> </w:t>
      </w:r>
      <w:r>
        <w:t>each</w:t>
      </w:r>
      <w:r>
        <w:rPr>
          <w:spacing w:val="-2"/>
        </w:rPr>
        <w:t xml:space="preserve"> </w:t>
      </w:r>
      <w:r>
        <w:t>site,</w:t>
      </w:r>
      <w:r>
        <w:rPr>
          <w:spacing w:val="-2"/>
        </w:rPr>
        <w:t xml:space="preserve"> </w:t>
      </w:r>
      <w:r>
        <w:t>of</w:t>
      </w:r>
      <w:r>
        <w:rPr>
          <w:spacing w:val="-2"/>
        </w:rPr>
        <w:t xml:space="preserve"> </w:t>
      </w:r>
      <w:r>
        <w:t>expenditures</w:t>
      </w:r>
      <w:r>
        <w:rPr>
          <w:spacing w:val="-2"/>
        </w:rPr>
        <w:t xml:space="preserve"> </w:t>
      </w:r>
      <w:r>
        <w:t>for certain remediation activities in their capacity as PRPs under the Comprehensive Environmental Response, Compensation and Liability Act (CERCLA).</w:t>
      </w:r>
    </w:p>
    <w:p w14:paraId="43B67E60" w14:textId="77777777" w:rsidR="00AE2255" w:rsidRDefault="00AE2255">
      <w:pPr>
        <w:pStyle w:val="BodyText"/>
        <w:spacing w:before="7"/>
        <w:rPr>
          <w:sz w:val="17"/>
        </w:rPr>
      </w:pPr>
    </w:p>
    <w:p w14:paraId="4B1B07E2" w14:textId="77777777" w:rsidR="00AE2255" w:rsidRDefault="00000000">
      <w:pPr>
        <w:pStyle w:val="BodyText"/>
        <w:spacing w:line="249" w:lineRule="auto"/>
        <w:ind w:left="610" w:right="428" w:firstLine="450"/>
        <w:jc w:val="both"/>
      </w:pPr>
      <w:r>
        <w:t>In addition to the proceedings and potential proceedings discussed above, potential new regulations of perchlorate and hexavalent chromium at the federal and state level could adversely affect us. In particular, the U.S. Environmental Protection</w:t>
      </w:r>
    </w:p>
    <w:p w14:paraId="670A4F3A" w14:textId="77777777" w:rsidR="00AE2255" w:rsidRDefault="00AE2255">
      <w:pPr>
        <w:spacing w:line="249" w:lineRule="auto"/>
        <w:jc w:val="both"/>
        <w:sectPr w:rsidR="00AE2255">
          <w:pgSz w:w="12240" w:h="15840"/>
          <w:pgMar w:top="440" w:right="560" w:bottom="720" w:left="380" w:header="230" w:footer="531" w:gutter="0"/>
          <w:cols w:space="720"/>
        </w:sectPr>
      </w:pPr>
    </w:p>
    <w:p w14:paraId="118E5404" w14:textId="77777777" w:rsidR="00AE2255" w:rsidRDefault="00AE2255">
      <w:pPr>
        <w:pStyle w:val="BodyText"/>
        <w:spacing w:before="10"/>
        <w:rPr>
          <w:sz w:val="22"/>
        </w:rPr>
      </w:pPr>
    </w:p>
    <w:p w14:paraId="1C39DF2B" w14:textId="77777777" w:rsidR="00AE2255" w:rsidRDefault="00000000">
      <w:pPr>
        <w:pStyle w:val="BodyText"/>
        <w:spacing w:before="92" w:line="249" w:lineRule="auto"/>
        <w:ind w:left="610"/>
      </w:pPr>
      <w:r>
        <w:t>Agency</w:t>
      </w:r>
      <w:r>
        <w:rPr>
          <w:spacing w:val="27"/>
        </w:rPr>
        <w:t xml:space="preserve"> </w:t>
      </w:r>
      <w:r>
        <w:t>(EPA)</w:t>
      </w:r>
      <w:r>
        <w:rPr>
          <w:spacing w:val="27"/>
        </w:rPr>
        <w:t xml:space="preserve"> </w:t>
      </w:r>
      <w:r>
        <w:t>is</w:t>
      </w:r>
      <w:r>
        <w:rPr>
          <w:spacing w:val="27"/>
        </w:rPr>
        <w:t xml:space="preserve"> </w:t>
      </w:r>
      <w:r>
        <w:t>considering</w:t>
      </w:r>
      <w:r>
        <w:rPr>
          <w:spacing w:val="27"/>
        </w:rPr>
        <w:t xml:space="preserve"> </w:t>
      </w:r>
      <w:r>
        <w:t>whether</w:t>
      </w:r>
      <w:r>
        <w:rPr>
          <w:spacing w:val="27"/>
        </w:rPr>
        <w:t xml:space="preserve"> </w:t>
      </w:r>
      <w:r>
        <w:t>to</w:t>
      </w:r>
      <w:r>
        <w:rPr>
          <w:spacing w:val="27"/>
        </w:rPr>
        <w:t xml:space="preserve"> </w:t>
      </w:r>
      <w:r>
        <w:t>regulate</w:t>
      </w:r>
      <w:r>
        <w:rPr>
          <w:spacing w:val="27"/>
        </w:rPr>
        <w:t xml:space="preserve"> </w:t>
      </w:r>
      <w:r>
        <w:t>hexavalent</w:t>
      </w:r>
      <w:r>
        <w:rPr>
          <w:spacing w:val="27"/>
        </w:rPr>
        <w:t xml:space="preserve"> </w:t>
      </w:r>
      <w:r>
        <w:t>chromium</w:t>
      </w:r>
      <w:r>
        <w:rPr>
          <w:spacing w:val="27"/>
        </w:rPr>
        <w:t xml:space="preserve"> </w:t>
      </w:r>
      <w:r>
        <w:t>at</w:t>
      </w:r>
      <w:r>
        <w:rPr>
          <w:spacing w:val="27"/>
        </w:rPr>
        <w:t xml:space="preserve"> </w:t>
      </w:r>
      <w:r>
        <w:t>the</w:t>
      </w:r>
      <w:r>
        <w:rPr>
          <w:spacing w:val="27"/>
        </w:rPr>
        <w:t xml:space="preserve"> </w:t>
      </w:r>
      <w:r>
        <w:t>federal</w:t>
      </w:r>
      <w:r>
        <w:rPr>
          <w:spacing w:val="27"/>
        </w:rPr>
        <w:t xml:space="preserve"> </w:t>
      </w:r>
      <w:r>
        <w:t>level</w:t>
      </w:r>
      <w:r>
        <w:rPr>
          <w:spacing w:val="27"/>
        </w:rPr>
        <w:t xml:space="preserve"> </w:t>
      </w:r>
      <w:r>
        <w:t>and</w:t>
      </w:r>
      <w:r>
        <w:rPr>
          <w:spacing w:val="27"/>
        </w:rPr>
        <w:t xml:space="preserve"> </w:t>
      </w:r>
      <w:r>
        <w:t>the</w:t>
      </w:r>
      <w:r>
        <w:rPr>
          <w:spacing w:val="27"/>
        </w:rPr>
        <w:t xml:space="preserve"> </w:t>
      </w:r>
      <w:r>
        <w:t>California</w:t>
      </w:r>
      <w:r>
        <w:rPr>
          <w:spacing w:val="27"/>
        </w:rPr>
        <w:t xml:space="preserve"> </w:t>
      </w:r>
      <w:r>
        <w:t>State</w:t>
      </w:r>
      <w:r>
        <w:rPr>
          <w:spacing w:val="27"/>
        </w:rPr>
        <w:t xml:space="preserve"> </w:t>
      </w:r>
      <w:r>
        <w:t>Water Resources Control Board continues to reevaluate its existing drinking water standard of 6 ppb for perchlorate.</w:t>
      </w:r>
    </w:p>
    <w:p w14:paraId="7333338F" w14:textId="77777777" w:rsidR="00AE2255" w:rsidRDefault="00AE2255">
      <w:pPr>
        <w:pStyle w:val="BodyText"/>
        <w:spacing w:before="6"/>
        <w:rPr>
          <w:sz w:val="17"/>
        </w:rPr>
      </w:pPr>
    </w:p>
    <w:p w14:paraId="0E4DE4F8" w14:textId="77777777" w:rsidR="00AE2255" w:rsidRDefault="00000000">
      <w:pPr>
        <w:pStyle w:val="BodyText"/>
        <w:spacing w:line="249" w:lineRule="auto"/>
        <w:ind w:left="610" w:right="428" w:firstLine="450"/>
        <w:jc w:val="both"/>
      </w:pPr>
      <w:r>
        <w:t xml:space="preserve">If substantially lower standards are adopted for perchlorate in California or for hexavalent chromium at the federal level, we expect a material increase in our estimates for environmental liabilities and the related assets for the portion of the increased costs that are probable of future recovery in the pricing of our products and services for the U.S. Government. The amount that would be allocable to our non-U.S. Government contracts or that is determined not to be recoverable under U.S. Government contracts would be expensed, which may have a material effect on our earnings in any </w:t>
      </w:r>
      <w:proofErr w:type="gramStart"/>
      <w:r>
        <w:t>particular interim</w:t>
      </w:r>
      <w:proofErr w:type="gramEnd"/>
      <w:r>
        <w:t xml:space="preserve"> reporting period.</w:t>
      </w:r>
    </w:p>
    <w:p w14:paraId="5D55C6D9" w14:textId="77777777" w:rsidR="00AE2255" w:rsidRDefault="00AE2255">
      <w:pPr>
        <w:pStyle w:val="BodyText"/>
        <w:spacing w:before="8"/>
        <w:rPr>
          <w:sz w:val="17"/>
        </w:rPr>
      </w:pPr>
    </w:p>
    <w:p w14:paraId="3EBA5AFC" w14:textId="77777777" w:rsidR="00AE2255" w:rsidRDefault="00000000">
      <w:pPr>
        <w:pStyle w:val="BodyText"/>
        <w:spacing w:before="1" w:line="249" w:lineRule="auto"/>
        <w:ind w:left="610" w:right="428" w:firstLine="450"/>
        <w:jc w:val="both"/>
      </w:pPr>
      <w:r>
        <w:t>We also are evaluating the potential impact of existing and contemplated legal requirements addressing a class of chemicals known generally as per- and polyfluoroalkyl substances (PFAS). PFAS have been used ubiquitously, such as in fire- fighting foams, manufacturing processes, and stain- and stick-resistant products (e.g., Teflon, stain-resistant fabrics). Because we have used products and processes over the years containing some of those compounds, they likely exist as contaminants at many of our environmental remediation sites. Governmental authorities have announced plans, and in some instances have begun, to regulate certain of these compounds at extremely low concentrations in drinking water, which could lead to increased cleanup costs at many of our environmental remediation sites.</w:t>
      </w:r>
    </w:p>
    <w:p w14:paraId="0E413B75" w14:textId="77777777" w:rsidR="00AE2255" w:rsidRDefault="00AE2255">
      <w:pPr>
        <w:pStyle w:val="BodyText"/>
        <w:rPr>
          <w:sz w:val="21"/>
        </w:rPr>
      </w:pPr>
    </w:p>
    <w:p w14:paraId="7792BD09" w14:textId="77777777" w:rsidR="00AE2255" w:rsidRDefault="00000000">
      <w:pPr>
        <w:pStyle w:val="Heading2"/>
        <w:spacing w:before="1"/>
      </w:pPr>
      <w:r>
        <w:t>Letters</w:t>
      </w:r>
      <w:r>
        <w:rPr>
          <w:spacing w:val="-5"/>
        </w:rPr>
        <w:t xml:space="preserve"> </w:t>
      </w:r>
      <w:r>
        <w:t>of</w:t>
      </w:r>
      <w:r>
        <w:rPr>
          <w:spacing w:val="-3"/>
        </w:rPr>
        <w:t xml:space="preserve"> </w:t>
      </w:r>
      <w:r>
        <w:t>Credit,</w:t>
      </w:r>
      <w:r>
        <w:rPr>
          <w:spacing w:val="-4"/>
        </w:rPr>
        <w:t xml:space="preserve"> </w:t>
      </w:r>
      <w:r>
        <w:t>Surety</w:t>
      </w:r>
      <w:r>
        <w:rPr>
          <w:spacing w:val="-3"/>
        </w:rPr>
        <w:t xml:space="preserve"> </w:t>
      </w:r>
      <w:r>
        <w:t>Bonds</w:t>
      </w:r>
      <w:r>
        <w:rPr>
          <w:spacing w:val="-5"/>
        </w:rPr>
        <w:t xml:space="preserve"> </w:t>
      </w:r>
      <w:r>
        <w:t>and</w:t>
      </w:r>
      <w:r>
        <w:rPr>
          <w:spacing w:val="-4"/>
        </w:rPr>
        <w:t xml:space="preserve"> </w:t>
      </w:r>
      <w:r>
        <w:t>Third-Party</w:t>
      </w:r>
      <w:r>
        <w:rPr>
          <w:spacing w:val="-3"/>
        </w:rPr>
        <w:t xml:space="preserve"> </w:t>
      </w:r>
      <w:r>
        <w:rPr>
          <w:spacing w:val="-2"/>
        </w:rPr>
        <w:t>Guarantees</w:t>
      </w:r>
    </w:p>
    <w:p w14:paraId="536AF1B0" w14:textId="77777777" w:rsidR="00AE2255" w:rsidRDefault="00AE2255">
      <w:pPr>
        <w:pStyle w:val="BodyText"/>
        <w:spacing w:before="6"/>
        <w:rPr>
          <w:b/>
          <w:sz w:val="18"/>
        </w:rPr>
      </w:pPr>
    </w:p>
    <w:p w14:paraId="48C6CAAC" w14:textId="77777777" w:rsidR="00AE2255" w:rsidRDefault="00000000">
      <w:pPr>
        <w:pStyle w:val="BodyText"/>
        <w:spacing w:line="249" w:lineRule="auto"/>
        <w:ind w:left="610" w:right="429" w:firstLine="360"/>
        <w:jc w:val="both"/>
      </w:pPr>
      <w:r>
        <w:t xml:space="preserve">We have </w:t>
      </w:r>
      <w:proofErr w:type="gramStart"/>
      <w:r>
        <w:t>entered into</w:t>
      </w:r>
      <w:proofErr w:type="gramEnd"/>
      <w:r>
        <w:t xml:space="preserve"> standby letters of credit and surety bonds issued on our behalf by financial institutions, and we have directly issued guarantees to third parties primarily relating to advances received from customers and the guarantee of future performance on certain contracts. Letters of credit and surety bonds generally are available for draw down in the event we do not perform. In some cases, we may guarantee the contractual performance of third parties such as joint venture partners. We had total outstanding letters of credit, surety bonds and third-party guarantees aggregating $3.8 billion and $3.6 billion </w:t>
      </w:r>
      <w:proofErr w:type="gramStart"/>
      <w:r>
        <w:t>at</w:t>
      </w:r>
      <w:proofErr w:type="gramEnd"/>
      <w:r>
        <w:t xml:space="preserve"> December 31, 2022 and December 31, 2021. Third-party guarantees do not include guarantees issued on behalf of subsidiaries and other consolidated entities.</w:t>
      </w:r>
    </w:p>
    <w:p w14:paraId="0D5A0B3E" w14:textId="77777777" w:rsidR="00AE2255" w:rsidRDefault="00AE2255">
      <w:pPr>
        <w:pStyle w:val="BodyText"/>
        <w:spacing w:before="10"/>
        <w:rPr>
          <w:sz w:val="17"/>
        </w:rPr>
      </w:pPr>
    </w:p>
    <w:p w14:paraId="526E0C6F" w14:textId="77777777" w:rsidR="00AE2255" w:rsidRDefault="00000000">
      <w:pPr>
        <w:pStyle w:val="BodyText"/>
        <w:spacing w:line="249" w:lineRule="auto"/>
        <w:ind w:left="610" w:right="430" w:firstLine="360"/>
        <w:jc w:val="both"/>
      </w:pPr>
      <w:proofErr w:type="gramStart"/>
      <w:r>
        <w:t>At</w:t>
      </w:r>
      <w:proofErr w:type="gramEnd"/>
      <w:r>
        <w:t xml:space="preserve"> December 31, 2022 and 2021, third-party guarantees totaled $904 million and $838 million, of which approximately 71% and 69% related to guarantees of contractual performance of joint ventures to which we currently are or previously were a party. These amounts represent our estimate of the maximum amounts we would expect to incur upon the contractual non- performance of the joint venture, joint venture partners or divested businesses. Generally, we also have cross-indemnities in place that may enable us to recover amounts that may be paid on behalf of a joint venture partner.</w:t>
      </w:r>
    </w:p>
    <w:p w14:paraId="62DFE007" w14:textId="77777777" w:rsidR="00AE2255" w:rsidRDefault="00AE2255">
      <w:pPr>
        <w:pStyle w:val="BodyText"/>
        <w:spacing w:before="9"/>
        <w:rPr>
          <w:sz w:val="17"/>
        </w:rPr>
      </w:pPr>
    </w:p>
    <w:p w14:paraId="41A2675A" w14:textId="77777777" w:rsidR="00AE2255" w:rsidRDefault="00000000">
      <w:pPr>
        <w:pStyle w:val="BodyText"/>
        <w:spacing w:line="249" w:lineRule="auto"/>
        <w:ind w:left="610" w:right="429" w:firstLine="360"/>
        <w:jc w:val="both"/>
      </w:pPr>
      <w:r>
        <w:t>In determining our exposures, we evaluate the reputation, performance on contractual obligations, technical capabilities</w:t>
      </w:r>
      <w:r>
        <w:rPr>
          <w:spacing w:val="40"/>
        </w:rPr>
        <w:t xml:space="preserve"> </w:t>
      </w:r>
      <w:r>
        <w:t xml:space="preserve">and credit quality of our current and former joint venture partners and the transferee under novation agreements all of which include a guarantee as required by the FAR. </w:t>
      </w:r>
      <w:proofErr w:type="gramStart"/>
      <w:r>
        <w:t>At</w:t>
      </w:r>
      <w:proofErr w:type="gramEnd"/>
      <w:r>
        <w:t xml:space="preserve"> December 31, 2022 and 2021, there were no material amounts recorded in our financial statements related to third-party guarantees or novation agreements.</w:t>
      </w:r>
    </w:p>
    <w:p w14:paraId="0E63B660" w14:textId="77777777" w:rsidR="00AE2255" w:rsidRDefault="00AE2255">
      <w:pPr>
        <w:pStyle w:val="BodyText"/>
        <w:spacing w:before="4"/>
        <w:rPr>
          <w:sz w:val="17"/>
        </w:rPr>
      </w:pPr>
    </w:p>
    <w:p w14:paraId="225829B7" w14:textId="77777777" w:rsidR="00AE2255" w:rsidRDefault="00000000">
      <w:pPr>
        <w:pStyle w:val="Heading2"/>
      </w:pPr>
      <w:bookmarkStart w:id="62" w:name="Note_15_–_Fair_Value_Measurements"/>
      <w:bookmarkEnd w:id="62"/>
      <w:r>
        <w:t>Note</w:t>
      </w:r>
      <w:r>
        <w:rPr>
          <w:spacing w:val="-3"/>
        </w:rPr>
        <w:t xml:space="preserve"> </w:t>
      </w:r>
      <w:r>
        <w:t>15</w:t>
      </w:r>
      <w:r>
        <w:rPr>
          <w:spacing w:val="-1"/>
        </w:rPr>
        <w:t xml:space="preserve"> </w:t>
      </w:r>
      <w:r>
        <w:t>–</w:t>
      </w:r>
      <w:r>
        <w:rPr>
          <w:spacing w:val="-1"/>
        </w:rPr>
        <w:t xml:space="preserve"> </w:t>
      </w:r>
      <w:r>
        <w:t>Fair</w:t>
      </w:r>
      <w:r>
        <w:rPr>
          <w:spacing w:val="-2"/>
        </w:rPr>
        <w:t xml:space="preserve"> </w:t>
      </w:r>
      <w:r>
        <w:t>Value</w:t>
      </w:r>
      <w:r>
        <w:rPr>
          <w:spacing w:val="-2"/>
        </w:rPr>
        <w:t xml:space="preserve"> Measurements</w:t>
      </w:r>
    </w:p>
    <w:p w14:paraId="2B4504BC" w14:textId="77777777" w:rsidR="00AE2255" w:rsidRDefault="00AE2255">
      <w:pPr>
        <w:pStyle w:val="BodyText"/>
        <w:spacing w:before="6"/>
        <w:rPr>
          <w:b/>
          <w:sz w:val="18"/>
        </w:rPr>
      </w:pPr>
    </w:p>
    <w:p w14:paraId="11D35D11" w14:textId="77777777" w:rsidR="00AE2255" w:rsidRDefault="00000000">
      <w:pPr>
        <w:pStyle w:val="BodyText"/>
        <w:spacing w:before="1"/>
        <w:ind w:left="970"/>
      </w:pPr>
      <w:r>
        <w:t>Assets</w:t>
      </w:r>
      <w:r>
        <w:rPr>
          <w:spacing w:val="-6"/>
        </w:rPr>
        <w:t xml:space="preserve"> </w:t>
      </w:r>
      <w:r>
        <w:t>and</w:t>
      </w:r>
      <w:r>
        <w:rPr>
          <w:spacing w:val="-3"/>
        </w:rPr>
        <w:t xml:space="preserve"> </w:t>
      </w:r>
      <w:r>
        <w:t>liabilities</w:t>
      </w:r>
      <w:r>
        <w:rPr>
          <w:spacing w:val="-3"/>
        </w:rPr>
        <w:t xml:space="preserve"> </w:t>
      </w:r>
      <w:r>
        <w:t>measured</w:t>
      </w:r>
      <w:r>
        <w:rPr>
          <w:spacing w:val="-3"/>
        </w:rPr>
        <w:t xml:space="preserve"> </w:t>
      </w:r>
      <w:r>
        <w:t>and</w:t>
      </w:r>
      <w:r>
        <w:rPr>
          <w:spacing w:val="-3"/>
        </w:rPr>
        <w:t xml:space="preserve"> </w:t>
      </w:r>
      <w:r>
        <w:t>recorded</w:t>
      </w:r>
      <w:r>
        <w:rPr>
          <w:spacing w:val="-2"/>
        </w:rPr>
        <w:t xml:space="preserve"> </w:t>
      </w:r>
      <w:r>
        <w:t>at</w:t>
      </w:r>
      <w:r>
        <w:rPr>
          <w:spacing w:val="-4"/>
        </w:rPr>
        <w:t xml:space="preserve"> </w:t>
      </w:r>
      <w:r>
        <w:t>fair</w:t>
      </w:r>
      <w:r>
        <w:rPr>
          <w:spacing w:val="-2"/>
        </w:rPr>
        <w:t xml:space="preserve"> </w:t>
      </w:r>
      <w:r>
        <w:t>value</w:t>
      </w:r>
      <w:r>
        <w:rPr>
          <w:spacing w:val="-4"/>
        </w:rPr>
        <w:t xml:space="preserve"> </w:t>
      </w:r>
      <w:r>
        <w:t>on</w:t>
      </w:r>
      <w:r>
        <w:rPr>
          <w:spacing w:val="-3"/>
        </w:rPr>
        <w:t xml:space="preserve"> </w:t>
      </w:r>
      <w:r>
        <w:t>a</w:t>
      </w:r>
      <w:r>
        <w:rPr>
          <w:spacing w:val="-3"/>
        </w:rPr>
        <w:t xml:space="preserve"> </w:t>
      </w:r>
      <w:r>
        <w:t>recurring</w:t>
      </w:r>
      <w:r>
        <w:rPr>
          <w:spacing w:val="-3"/>
        </w:rPr>
        <w:t xml:space="preserve"> </w:t>
      </w:r>
      <w:r>
        <w:t>basis</w:t>
      </w:r>
      <w:r>
        <w:rPr>
          <w:spacing w:val="-3"/>
        </w:rPr>
        <w:t xml:space="preserve"> </w:t>
      </w:r>
      <w:r>
        <w:t>consisted</w:t>
      </w:r>
      <w:r>
        <w:rPr>
          <w:spacing w:val="-3"/>
        </w:rPr>
        <w:t xml:space="preserve"> </w:t>
      </w:r>
      <w:r>
        <w:t>of</w:t>
      </w:r>
      <w:r>
        <w:rPr>
          <w:spacing w:val="-3"/>
        </w:rPr>
        <w:t xml:space="preserve"> </w:t>
      </w:r>
      <w:r>
        <w:t>the</w:t>
      </w:r>
      <w:r>
        <w:rPr>
          <w:spacing w:val="-3"/>
        </w:rPr>
        <w:t xml:space="preserve"> </w:t>
      </w:r>
      <w:r>
        <w:t>following</w:t>
      </w:r>
      <w:r>
        <w:rPr>
          <w:spacing w:val="-3"/>
        </w:rPr>
        <w:t xml:space="preserve"> </w:t>
      </w:r>
      <w:r>
        <w:t>(in</w:t>
      </w:r>
      <w:r>
        <w:rPr>
          <w:spacing w:val="-2"/>
        </w:rPr>
        <w:t xml:space="preserve"> millions):</w:t>
      </w:r>
    </w:p>
    <w:p w14:paraId="74A61490" w14:textId="77777777" w:rsidR="00AE2255" w:rsidRDefault="00AE2255">
      <w:pPr>
        <w:pStyle w:val="BodyText"/>
        <w:spacing w:before="1"/>
      </w:pPr>
    </w:p>
    <w:p w14:paraId="226FCBC7" w14:textId="77777777" w:rsidR="00AE2255" w:rsidRDefault="00000000">
      <w:pPr>
        <w:pStyle w:val="Heading2"/>
        <w:tabs>
          <w:tab w:val="left" w:pos="8157"/>
        </w:tabs>
        <w:spacing w:before="92" w:after="30"/>
        <w:ind w:left="4279"/>
      </w:pPr>
      <w:r>
        <w:t>December</w:t>
      </w:r>
      <w:r>
        <w:rPr>
          <w:spacing w:val="-4"/>
        </w:rPr>
        <w:t xml:space="preserve"> </w:t>
      </w:r>
      <w:r>
        <w:t>31,</w:t>
      </w:r>
      <w:r>
        <w:rPr>
          <w:spacing w:val="-3"/>
        </w:rPr>
        <w:t xml:space="preserve"> </w:t>
      </w:r>
      <w:proofErr w:type="gramStart"/>
      <w:r>
        <w:rPr>
          <w:spacing w:val="-4"/>
        </w:rPr>
        <w:t>2022</w:t>
      </w:r>
      <w:proofErr w:type="gramEnd"/>
      <w:r>
        <w:tab/>
        <w:t>December</w:t>
      </w:r>
      <w:r>
        <w:rPr>
          <w:spacing w:val="-6"/>
        </w:rPr>
        <w:t xml:space="preserve"> </w:t>
      </w:r>
      <w:r>
        <w:t>31,</w:t>
      </w:r>
      <w:r>
        <w:rPr>
          <w:spacing w:val="-3"/>
        </w:rPr>
        <w:t xml:space="preserve"> </w:t>
      </w:r>
      <w:r>
        <w:rPr>
          <w:spacing w:val="-4"/>
        </w:rPr>
        <w:t>2021</w:t>
      </w:r>
    </w:p>
    <w:tbl>
      <w:tblPr>
        <w:tblW w:w="0" w:type="auto"/>
        <w:tblInd w:w="617" w:type="dxa"/>
        <w:tblLayout w:type="fixed"/>
        <w:tblCellMar>
          <w:left w:w="0" w:type="dxa"/>
          <w:right w:w="0" w:type="dxa"/>
        </w:tblCellMar>
        <w:tblLook w:val="01E0" w:firstRow="1" w:lastRow="1" w:firstColumn="1" w:lastColumn="1" w:noHBand="0" w:noVBand="0"/>
      </w:tblPr>
      <w:tblGrid>
        <w:gridCol w:w="2565"/>
        <w:gridCol w:w="938"/>
        <w:gridCol w:w="975"/>
        <w:gridCol w:w="975"/>
        <w:gridCol w:w="968"/>
        <w:gridCol w:w="968"/>
        <w:gridCol w:w="975"/>
        <w:gridCol w:w="968"/>
        <w:gridCol w:w="931"/>
      </w:tblGrid>
      <w:tr w:rsidR="00AE2255" w14:paraId="6B9C12D7" w14:textId="77777777">
        <w:trPr>
          <w:trHeight w:val="265"/>
        </w:trPr>
        <w:tc>
          <w:tcPr>
            <w:tcW w:w="2565" w:type="dxa"/>
            <w:tcBorders>
              <w:bottom w:val="single" w:sz="8" w:space="0" w:color="auto"/>
            </w:tcBorders>
          </w:tcPr>
          <w:p w14:paraId="35E967B0" w14:textId="77777777" w:rsidR="00AE2255" w:rsidRDefault="00AE2255">
            <w:pPr>
              <w:pStyle w:val="TableParagraph"/>
              <w:spacing w:before="0"/>
              <w:jc w:val="left"/>
              <w:rPr>
                <w:sz w:val="18"/>
              </w:rPr>
            </w:pPr>
          </w:p>
        </w:tc>
        <w:tc>
          <w:tcPr>
            <w:tcW w:w="938" w:type="dxa"/>
            <w:tcBorders>
              <w:top w:val="single" w:sz="8" w:space="0" w:color="000000"/>
              <w:bottom w:val="single" w:sz="8" w:space="0" w:color="auto"/>
            </w:tcBorders>
          </w:tcPr>
          <w:p w14:paraId="563B8EF9" w14:textId="77777777" w:rsidR="00AE2255" w:rsidRDefault="00000000">
            <w:pPr>
              <w:pStyle w:val="TableParagraph"/>
              <w:spacing w:before="15" w:line="230" w:lineRule="exact"/>
              <w:ind w:right="88"/>
              <w:rPr>
                <w:b/>
                <w:sz w:val="20"/>
              </w:rPr>
            </w:pPr>
            <w:r>
              <w:rPr>
                <w:b/>
                <w:spacing w:val="-2"/>
                <w:sz w:val="20"/>
              </w:rPr>
              <w:t>Total</w:t>
            </w:r>
          </w:p>
        </w:tc>
        <w:tc>
          <w:tcPr>
            <w:tcW w:w="975" w:type="dxa"/>
            <w:tcBorders>
              <w:top w:val="single" w:sz="8" w:space="0" w:color="000000"/>
              <w:bottom w:val="single" w:sz="8" w:space="0" w:color="auto"/>
            </w:tcBorders>
          </w:tcPr>
          <w:p w14:paraId="45E8BD99" w14:textId="77777777" w:rsidR="00AE2255" w:rsidRDefault="00000000">
            <w:pPr>
              <w:pStyle w:val="TableParagraph"/>
              <w:spacing w:before="15" w:line="230" w:lineRule="exact"/>
              <w:ind w:right="88"/>
              <w:rPr>
                <w:b/>
                <w:sz w:val="20"/>
              </w:rPr>
            </w:pPr>
            <w:r>
              <w:rPr>
                <w:b/>
                <w:sz w:val="20"/>
              </w:rPr>
              <w:t>Level</w:t>
            </w:r>
            <w:r>
              <w:rPr>
                <w:b/>
                <w:spacing w:val="-6"/>
                <w:sz w:val="20"/>
              </w:rPr>
              <w:t xml:space="preserve"> </w:t>
            </w:r>
            <w:r>
              <w:rPr>
                <w:b/>
                <w:spacing w:val="-10"/>
                <w:sz w:val="20"/>
              </w:rPr>
              <w:t>1</w:t>
            </w:r>
          </w:p>
        </w:tc>
        <w:tc>
          <w:tcPr>
            <w:tcW w:w="975" w:type="dxa"/>
            <w:tcBorders>
              <w:top w:val="single" w:sz="8" w:space="0" w:color="000000"/>
              <w:bottom w:val="single" w:sz="8" w:space="0" w:color="auto"/>
            </w:tcBorders>
          </w:tcPr>
          <w:p w14:paraId="0CBE79F1" w14:textId="77777777" w:rsidR="00AE2255" w:rsidRDefault="00000000">
            <w:pPr>
              <w:pStyle w:val="TableParagraph"/>
              <w:spacing w:before="15" w:line="230" w:lineRule="exact"/>
              <w:ind w:right="88"/>
              <w:rPr>
                <w:b/>
                <w:sz w:val="20"/>
              </w:rPr>
            </w:pPr>
            <w:r>
              <w:rPr>
                <w:b/>
                <w:sz w:val="20"/>
              </w:rPr>
              <w:t>Level</w:t>
            </w:r>
            <w:r>
              <w:rPr>
                <w:b/>
                <w:spacing w:val="-6"/>
                <w:sz w:val="20"/>
              </w:rPr>
              <w:t xml:space="preserve"> </w:t>
            </w:r>
            <w:r>
              <w:rPr>
                <w:b/>
                <w:spacing w:val="-10"/>
                <w:sz w:val="20"/>
              </w:rPr>
              <w:t>2</w:t>
            </w:r>
          </w:p>
        </w:tc>
        <w:tc>
          <w:tcPr>
            <w:tcW w:w="968" w:type="dxa"/>
            <w:tcBorders>
              <w:top w:val="single" w:sz="8" w:space="0" w:color="000000"/>
              <w:bottom w:val="single" w:sz="8" w:space="0" w:color="auto"/>
            </w:tcBorders>
          </w:tcPr>
          <w:p w14:paraId="0258C07C" w14:textId="77777777" w:rsidR="00AE2255" w:rsidRDefault="00000000">
            <w:pPr>
              <w:pStyle w:val="TableParagraph"/>
              <w:spacing w:before="15" w:line="230" w:lineRule="exact"/>
              <w:ind w:right="81"/>
              <w:rPr>
                <w:b/>
                <w:sz w:val="20"/>
              </w:rPr>
            </w:pPr>
            <w:r>
              <w:rPr>
                <w:b/>
                <w:sz w:val="20"/>
              </w:rPr>
              <w:t>Level</w:t>
            </w:r>
            <w:r>
              <w:rPr>
                <w:b/>
                <w:spacing w:val="-6"/>
                <w:sz w:val="20"/>
              </w:rPr>
              <w:t xml:space="preserve"> </w:t>
            </w:r>
            <w:r>
              <w:rPr>
                <w:b/>
                <w:spacing w:val="-10"/>
                <w:sz w:val="20"/>
              </w:rPr>
              <w:t>3</w:t>
            </w:r>
          </w:p>
        </w:tc>
        <w:tc>
          <w:tcPr>
            <w:tcW w:w="968" w:type="dxa"/>
            <w:tcBorders>
              <w:top w:val="single" w:sz="8" w:space="0" w:color="000000"/>
              <w:bottom w:val="single" w:sz="8" w:space="0" w:color="auto"/>
            </w:tcBorders>
          </w:tcPr>
          <w:p w14:paraId="21DD15C9" w14:textId="77777777" w:rsidR="00AE2255" w:rsidRDefault="00000000">
            <w:pPr>
              <w:pStyle w:val="TableParagraph"/>
              <w:spacing w:before="15" w:line="230" w:lineRule="exact"/>
              <w:ind w:right="89"/>
              <w:rPr>
                <w:b/>
                <w:sz w:val="20"/>
              </w:rPr>
            </w:pPr>
            <w:r>
              <w:rPr>
                <w:b/>
                <w:spacing w:val="-2"/>
                <w:sz w:val="20"/>
              </w:rPr>
              <w:t>Total</w:t>
            </w:r>
          </w:p>
        </w:tc>
        <w:tc>
          <w:tcPr>
            <w:tcW w:w="975" w:type="dxa"/>
            <w:tcBorders>
              <w:top w:val="single" w:sz="8" w:space="0" w:color="000000"/>
              <w:bottom w:val="single" w:sz="8" w:space="0" w:color="auto"/>
            </w:tcBorders>
          </w:tcPr>
          <w:p w14:paraId="39999777" w14:textId="77777777" w:rsidR="00AE2255" w:rsidRDefault="00000000">
            <w:pPr>
              <w:pStyle w:val="TableParagraph"/>
              <w:spacing w:before="15" w:line="230" w:lineRule="exact"/>
              <w:ind w:right="89"/>
              <w:rPr>
                <w:b/>
                <w:sz w:val="20"/>
              </w:rPr>
            </w:pPr>
            <w:r>
              <w:rPr>
                <w:b/>
                <w:sz w:val="20"/>
              </w:rPr>
              <w:t>Level</w:t>
            </w:r>
            <w:r>
              <w:rPr>
                <w:b/>
                <w:spacing w:val="-6"/>
                <w:sz w:val="20"/>
              </w:rPr>
              <w:t xml:space="preserve"> </w:t>
            </w:r>
            <w:r>
              <w:rPr>
                <w:b/>
                <w:spacing w:val="-10"/>
                <w:sz w:val="20"/>
              </w:rPr>
              <w:t>1</w:t>
            </w:r>
          </w:p>
        </w:tc>
        <w:tc>
          <w:tcPr>
            <w:tcW w:w="968" w:type="dxa"/>
            <w:tcBorders>
              <w:top w:val="single" w:sz="8" w:space="0" w:color="000000"/>
              <w:bottom w:val="single" w:sz="8" w:space="0" w:color="auto"/>
            </w:tcBorders>
          </w:tcPr>
          <w:p w14:paraId="545479BC" w14:textId="77777777" w:rsidR="00AE2255" w:rsidRDefault="00000000">
            <w:pPr>
              <w:pStyle w:val="TableParagraph"/>
              <w:spacing w:before="15" w:line="230" w:lineRule="exact"/>
              <w:ind w:right="82"/>
              <w:rPr>
                <w:b/>
                <w:sz w:val="20"/>
              </w:rPr>
            </w:pPr>
            <w:r>
              <w:rPr>
                <w:b/>
                <w:sz w:val="20"/>
              </w:rPr>
              <w:t>Level</w:t>
            </w:r>
            <w:r>
              <w:rPr>
                <w:b/>
                <w:spacing w:val="-6"/>
                <w:sz w:val="20"/>
              </w:rPr>
              <w:t xml:space="preserve"> </w:t>
            </w:r>
            <w:r>
              <w:rPr>
                <w:b/>
                <w:spacing w:val="-10"/>
                <w:sz w:val="20"/>
              </w:rPr>
              <w:t>2</w:t>
            </w:r>
          </w:p>
        </w:tc>
        <w:tc>
          <w:tcPr>
            <w:tcW w:w="931" w:type="dxa"/>
            <w:tcBorders>
              <w:top w:val="single" w:sz="8" w:space="0" w:color="000000"/>
              <w:bottom w:val="single" w:sz="8" w:space="0" w:color="auto"/>
            </w:tcBorders>
          </w:tcPr>
          <w:p w14:paraId="47CF0267" w14:textId="77777777" w:rsidR="00AE2255" w:rsidRDefault="00000000">
            <w:pPr>
              <w:pStyle w:val="TableParagraph"/>
              <w:spacing w:before="15" w:line="230" w:lineRule="exact"/>
              <w:ind w:right="53"/>
              <w:rPr>
                <w:b/>
                <w:sz w:val="20"/>
              </w:rPr>
            </w:pPr>
            <w:r>
              <w:rPr>
                <w:b/>
                <w:sz w:val="20"/>
              </w:rPr>
              <w:t>Level</w:t>
            </w:r>
            <w:r>
              <w:rPr>
                <w:b/>
                <w:spacing w:val="-6"/>
                <w:sz w:val="20"/>
              </w:rPr>
              <w:t xml:space="preserve"> </w:t>
            </w:r>
            <w:r>
              <w:rPr>
                <w:b/>
                <w:spacing w:val="-10"/>
                <w:sz w:val="20"/>
              </w:rPr>
              <w:t>3</w:t>
            </w:r>
          </w:p>
        </w:tc>
      </w:tr>
      <w:tr w:rsidR="00AE2255" w14:paraId="3E5A63C8" w14:textId="77777777">
        <w:trPr>
          <w:trHeight w:val="275"/>
        </w:trPr>
        <w:tc>
          <w:tcPr>
            <w:tcW w:w="2565" w:type="dxa"/>
            <w:tcBorders>
              <w:top w:val="single" w:sz="8" w:space="0" w:color="CCEDFF"/>
            </w:tcBorders>
            <w:shd w:val="clear" w:color="auto" w:fill="CCEDFF"/>
          </w:tcPr>
          <w:p w14:paraId="5D8BB1BF" w14:textId="77777777" w:rsidR="00AE2255" w:rsidRDefault="00000000">
            <w:pPr>
              <w:pStyle w:val="TableParagraph"/>
              <w:spacing w:before="13"/>
              <w:ind w:left="52"/>
              <w:jc w:val="left"/>
              <w:rPr>
                <w:b/>
                <w:sz w:val="20"/>
              </w:rPr>
            </w:pPr>
            <w:r>
              <w:rPr>
                <w:b/>
                <w:spacing w:val="-2"/>
                <w:sz w:val="20"/>
              </w:rPr>
              <w:t>Assets</w:t>
            </w:r>
          </w:p>
        </w:tc>
        <w:tc>
          <w:tcPr>
            <w:tcW w:w="938" w:type="dxa"/>
            <w:tcBorders>
              <w:top w:val="single" w:sz="8" w:space="0" w:color="CCEDFF"/>
            </w:tcBorders>
            <w:shd w:val="clear" w:color="auto" w:fill="CCEDFF"/>
          </w:tcPr>
          <w:p w14:paraId="532EDF1A" w14:textId="77777777" w:rsidR="00AE2255" w:rsidRDefault="00AE2255">
            <w:pPr>
              <w:pStyle w:val="TableParagraph"/>
              <w:spacing w:before="0"/>
              <w:jc w:val="left"/>
              <w:rPr>
                <w:sz w:val="20"/>
              </w:rPr>
            </w:pPr>
          </w:p>
        </w:tc>
        <w:tc>
          <w:tcPr>
            <w:tcW w:w="975" w:type="dxa"/>
            <w:tcBorders>
              <w:top w:val="single" w:sz="8" w:space="0" w:color="CCEDFF"/>
            </w:tcBorders>
            <w:shd w:val="clear" w:color="auto" w:fill="CCEDFF"/>
          </w:tcPr>
          <w:p w14:paraId="4831C5CE" w14:textId="77777777" w:rsidR="00AE2255" w:rsidRDefault="00AE2255">
            <w:pPr>
              <w:pStyle w:val="TableParagraph"/>
              <w:spacing w:before="0"/>
              <w:jc w:val="left"/>
              <w:rPr>
                <w:sz w:val="20"/>
              </w:rPr>
            </w:pPr>
          </w:p>
        </w:tc>
        <w:tc>
          <w:tcPr>
            <w:tcW w:w="975" w:type="dxa"/>
            <w:tcBorders>
              <w:top w:val="single" w:sz="8" w:space="0" w:color="CCEDFF"/>
            </w:tcBorders>
            <w:shd w:val="clear" w:color="auto" w:fill="CCEDFF"/>
          </w:tcPr>
          <w:p w14:paraId="387E561D" w14:textId="77777777" w:rsidR="00AE2255" w:rsidRDefault="00AE2255">
            <w:pPr>
              <w:pStyle w:val="TableParagraph"/>
              <w:spacing w:before="0"/>
              <w:jc w:val="left"/>
              <w:rPr>
                <w:sz w:val="20"/>
              </w:rPr>
            </w:pPr>
          </w:p>
        </w:tc>
        <w:tc>
          <w:tcPr>
            <w:tcW w:w="968" w:type="dxa"/>
            <w:tcBorders>
              <w:top w:val="single" w:sz="8" w:space="0" w:color="CCEDFF"/>
            </w:tcBorders>
            <w:shd w:val="clear" w:color="auto" w:fill="CCEDFF"/>
          </w:tcPr>
          <w:p w14:paraId="61BA6E0D" w14:textId="77777777" w:rsidR="00AE2255" w:rsidRDefault="00AE2255">
            <w:pPr>
              <w:pStyle w:val="TableParagraph"/>
              <w:spacing w:before="0"/>
              <w:jc w:val="left"/>
              <w:rPr>
                <w:sz w:val="20"/>
              </w:rPr>
            </w:pPr>
          </w:p>
        </w:tc>
        <w:tc>
          <w:tcPr>
            <w:tcW w:w="968" w:type="dxa"/>
            <w:tcBorders>
              <w:top w:val="single" w:sz="8" w:space="0" w:color="CCEDFF"/>
            </w:tcBorders>
            <w:shd w:val="clear" w:color="auto" w:fill="CCEDFF"/>
          </w:tcPr>
          <w:p w14:paraId="481CC88E" w14:textId="77777777" w:rsidR="00AE2255" w:rsidRDefault="00AE2255">
            <w:pPr>
              <w:pStyle w:val="TableParagraph"/>
              <w:spacing w:before="0"/>
              <w:jc w:val="left"/>
              <w:rPr>
                <w:sz w:val="20"/>
              </w:rPr>
            </w:pPr>
          </w:p>
        </w:tc>
        <w:tc>
          <w:tcPr>
            <w:tcW w:w="975" w:type="dxa"/>
            <w:tcBorders>
              <w:top w:val="single" w:sz="8" w:space="0" w:color="CCEDFF"/>
            </w:tcBorders>
            <w:shd w:val="clear" w:color="auto" w:fill="CCEDFF"/>
          </w:tcPr>
          <w:p w14:paraId="1346D5A4" w14:textId="77777777" w:rsidR="00AE2255" w:rsidRDefault="00AE2255">
            <w:pPr>
              <w:pStyle w:val="TableParagraph"/>
              <w:spacing w:before="0"/>
              <w:jc w:val="left"/>
              <w:rPr>
                <w:sz w:val="20"/>
              </w:rPr>
            </w:pPr>
          </w:p>
        </w:tc>
        <w:tc>
          <w:tcPr>
            <w:tcW w:w="968" w:type="dxa"/>
            <w:tcBorders>
              <w:top w:val="single" w:sz="8" w:space="0" w:color="CCEDFF"/>
            </w:tcBorders>
            <w:shd w:val="clear" w:color="auto" w:fill="CCEDFF"/>
          </w:tcPr>
          <w:p w14:paraId="1F7EB731" w14:textId="77777777" w:rsidR="00AE2255" w:rsidRDefault="00AE2255">
            <w:pPr>
              <w:pStyle w:val="TableParagraph"/>
              <w:spacing w:before="0"/>
              <w:jc w:val="left"/>
              <w:rPr>
                <w:sz w:val="20"/>
              </w:rPr>
            </w:pPr>
          </w:p>
        </w:tc>
        <w:tc>
          <w:tcPr>
            <w:tcW w:w="931" w:type="dxa"/>
            <w:tcBorders>
              <w:top w:val="single" w:sz="8" w:space="0" w:color="CCEDFF"/>
            </w:tcBorders>
            <w:shd w:val="clear" w:color="auto" w:fill="CCEDFF"/>
          </w:tcPr>
          <w:p w14:paraId="5B4698A2" w14:textId="77777777" w:rsidR="00AE2255" w:rsidRDefault="00AE2255">
            <w:pPr>
              <w:pStyle w:val="TableParagraph"/>
              <w:spacing w:before="0"/>
              <w:jc w:val="left"/>
              <w:rPr>
                <w:sz w:val="20"/>
              </w:rPr>
            </w:pPr>
          </w:p>
        </w:tc>
      </w:tr>
      <w:tr w:rsidR="00AE2255" w14:paraId="4255D024" w14:textId="77777777">
        <w:trPr>
          <w:trHeight w:val="285"/>
        </w:trPr>
        <w:tc>
          <w:tcPr>
            <w:tcW w:w="2565" w:type="dxa"/>
          </w:tcPr>
          <w:p w14:paraId="2CB2BCD5" w14:textId="77777777" w:rsidR="00AE2255" w:rsidRDefault="00000000">
            <w:pPr>
              <w:pStyle w:val="TableParagraph"/>
              <w:spacing w:before="27"/>
              <w:ind w:left="187"/>
              <w:jc w:val="left"/>
              <w:rPr>
                <w:sz w:val="20"/>
              </w:rPr>
            </w:pPr>
            <w:r>
              <w:rPr>
                <w:sz w:val="20"/>
              </w:rPr>
              <w:t>Mutual</w:t>
            </w:r>
            <w:r>
              <w:rPr>
                <w:spacing w:val="-4"/>
                <w:sz w:val="20"/>
              </w:rPr>
              <w:t xml:space="preserve"> </w:t>
            </w:r>
            <w:r>
              <w:rPr>
                <w:spacing w:val="-2"/>
                <w:sz w:val="20"/>
              </w:rPr>
              <w:t>funds</w:t>
            </w:r>
          </w:p>
        </w:tc>
        <w:tc>
          <w:tcPr>
            <w:tcW w:w="938" w:type="dxa"/>
          </w:tcPr>
          <w:p w14:paraId="600314AA" w14:textId="77777777" w:rsidR="00AE2255" w:rsidRDefault="00000000">
            <w:pPr>
              <w:pStyle w:val="TableParagraph"/>
              <w:tabs>
                <w:tab w:val="left" w:pos="465"/>
              </w:tabs>
              <w:ind w:right="117"/>
              <w:rPr>
                <w:b/>
                <w:sz w:val="20"/>
              </w:rPr>
            </w:pPr>
            <w:r>
              <w:rPr>
                <w:b/>
                <w:spacing w:val="-10"/>
                <w:sz w:val="20"/>
              </w:rPr>
              <w:t>$</w:t>
            </w:r>
            <w:r>
              <w:rPr>
                <w:b/>
                <w:sz w:val="20"/>
              </w:rPr>
              <w:tab/>
            </w:r>
            <w:r>
              <w:rPr>
                <w:b/>
                <w:spacing w:val="-5"/>
                <w:sz w:val="20"/>
              </w:rPr>
              <w:t>897</w:t>
            </w:r>
          </w:p>
        </w:tc>
        <w:tc>
          <w:tcPr>
            <w:tcW w:w="975" w:type="dxa"/>
          </w:tcPr>
          <w:p w14:paraId="713C9D10" w14:textId="77777777" w:rsidR="00AE2255" w:rsidRDefault="00000000">
            <w:pPr>
              <w:pStyle w:val="TableParagraph"/>
              <w:tabs>
                <w:tab w:val="left" w:pos="465"/>
              </w:tabs>
              <w:ind w:right="117"/>
              <w:rPr>
                <w:b/>
                <w:sz w:val="20"/>
              </w:rPr>
            </w:pPr>
            <w:r>
              <w:rPr>
                <w:b/>
                <w:spacing w:val="-10"/>
                <w:sz w:val="20"/>
              </w:rPr>
              <w:t>$</w:t>
            </w:r>
            <w:r>
              <w:rPr>
                <w:b/>
                <w:sz w:val="20"/>
              </w:rPr>
              <w:tab/>
            </w:r>
            <w:r>
              <w:rPr>
                <w:b/>
                <w:spacing w:val="-5"/>
                <w:sz w:val="20"/>
              </w:rPr>
              <w:t>897</w:t>
            </w:r>
          </w:p>
        </w:tc>
        <w:tc>
          <w:tcPr>
            <w:tcW w:w="975" w:type="dxa"/>
          </w:tcPr>
          <w:p w14:paraId="3D6270D0" w14:textId="77777777" w:rsidR="00AE2255" w:rsidRDefault="00000000">
            <w:pPr>
              <w:pStyle w:val="TableParagraph"/>
              <w:tabs>
                <w:tab w:val="left" w:pos="565"/>
              </w:tabs>
              <w:ind w:right="117"/>
              <w:rPr>
                <w:b/>
                <w:sz w:val="20"/>
              </w:rPr>
            </w:pPr>
            <w:r>
              <w:rPr>
                <w:b/>
                <w:spacing w:val="-10"/>
                <w:sz w:val="20"/>
              </w:rPr>
              <w:t>$</w:t>
            </w:r>
            <w:r>
              <w:rPr>
                <w:b/>
                <w:sz w:val="20"/>
              </w:rPr>
              <w:tab/>
            </w:r>
            <w:r>
              <w:rPr>
                <w:b/>
                <w:spacing w:val="-10"/>
                <w:sz w:val="20"/>
              </w:rPr>
              <w:t>—</w:t>
            </w:r>
          </w:p>
        </w:tc>
        <w:tc>
          <w:tcPr>
            <w:tcW w:w="968" w:type="dxa"/>
          </w:tcPr>
          <w:p w14:paraId="048EBB1A" w14:textId="77777777" w:rsidR="00AE2255" w:rsidRDefault="00000000">
            <w:pPr>
              <w:pStyle w:val="TableParagraph"/>
              <w:tabs>
                <w:tab w:val="left" w:pos="565"/>
              </w:tabs>
              <w:ind w:right="110"/>
              <w:rPr>
                <w:b/>
                <w:sz w:val="20"/>
              </w:rPr>
            </w:pPr>
            <w:r>
              <w:rPr>
                <w:b/>
                <w:spacing w:val="-10"/>
                <w:sz w:val="20"/>
              </w:rPr>
              <w:t>$</w:t>
            </w:r>
            <w:r>
              <w:rPr>
                <w:b/>
                <w:sz w:val="20"/>
              </w:rPr>
              <w:tab/>
            </w:r>
            <w:r>
              <w:rPr>
                <w:b/>
                <w:spacing w:val="-10"/>
                <w:sz w:val="20"/>
              </w:rPr>
              <w:t>—</w:t>
            </w:r>
          </w:p>
        </w:tc>
        <w:tc>
          <w:tcPr>
            <w:tcW w:w="968" w:type="dxa"/>
          </w:tcPr>
          <w:p w14:paraId="72AC7842" w14:textId="77777777" w:rsidR="00AE2255" w:rsidRDefault="00000000">
            <w:pPr>
              <w:pStyle w:val="TableParagraph"/>
              <w:tabs>
                <w:tab w:val="left" w:pos="315"/>
              </w:tabs>
              <w:ind w:right="118"/>
              <w:rPr>
                <w:sz w:val="20"/>
              </w:rPr>
            </w:pPr>
            <w:r>
              <w:rPr>
                <w:spacing w:val="-10"/>
                <w:sz w:val="20"/>
              </w:rPr>
              <w:t>$</w:t>
            </w:r>
            <w:r>
              <w:rPr>
                <w:sz w:val="20"/>
              </w:rPr>
              <w:tab/>
            </w:r>
            <w:r>
              <w:rPr>
                <w:spacing w:val="-2"/>
                <w:sz w:val="20"/>
              </w:rPr>
              <w:t>1,434</w:t>
            </w:r>
          </w:p>
        </w:tc>
        <w:tc>
          <w:tcPr>
            <w:tcW w:w="975" w:type="dxa"/>
          </w:tcPr>
          <w:p w14:paraId="5D8E756F" w14:textId="77777777" w:rsidR="00AE2255" w:rsidRDefault="00000000">
            <w:pPr>
              <w:pStyle w:val="TableParagraph"/>
              <w:tabs>
                <w:tab w:val="left" w:pos="315"/>
              </w:tabs>
              <w:ind w:right="118"/>
              <w:rPr>
                <w:sz w:val="20"/>
              </w:rPr>
            </w:pPr>
            <w:r>
              <w:rPr>
                <w:spacing w:val="-10"/>
                <w:sz w:val="20"/>
              </w:rPr>
              <w:t>$</w:t>
            </w:r>
            <w:r>
              <w:rPr>
                <w:sz w:val="20"/>
              </w:rPr>
              <w:tab/>
            </w:r>
            <w:r>
              <w:rPr>
                <w:spacing w:val="-2"/>
                <w:sz w:val="20"/>
              </w:rPr>
              <w:t>1,434</w:t>
            </w:r>
          </w:p>
        </w:tc>
        <w:tc>
          <w:tcPr>
            <w:tcW w:w="968" w:type="dxa"/>
          </w:tcPr>
          <w:p w14:paraId="3D3C0E19" w14:textId="77777777" w:rsidR="00AE2255" w:rsidRDefault="00000000">
            <w:pPr>
              <w:pStyle w:val="TableParagraph"/>
              <w:tabs>
                <w:tab w:val="left" w:pos="565"/>
              </w:tabs>
              <w:ind w:right="111"/>
              <w:rPr>
                <w:sz w:val="20"/>
              </w:rPr>
            </w:pPr>
            <w:r>
              <w:rPr>
                <w:spacing w:val="-10"/>
                <w:sz w:val="20"/>
              </w:rPr>
              <w:t>$</w:t>
            </w:r>
            <w:r>
              <w:rPr>
                <w:sz w:val="20"/>
              </w:rPr>
              <w:tab/>
            </w:r>
            <w:r>
              <w:rPr>
                <w:spacing w:val="-10"/>
                <w:sz w:val="20"/>
              </w:rPr>
              <w:t>—</w:t>
            </w:r>
          </w:p>
        </w:tc>
        <w:tc>
          <w:tcPr>
            <w:tcW w:w="931" w:type="dxa"/>
          </w:tcPr>
          <w:p w14:paraId="43F5A8B4" w14:textId="77777777" w:rsidR="00AE2255" w:rsidRDefault="00000000">
            <w:pPr>
              <w:pStyle w:val="TableParagraph"/>
              <w:tabs>
                <w:tab w:val="left" w:pos="565"/>
              </w:tabs>
              <w:ind w:right="82"/>
              <w:rPr>
                <w:sz w:val="20"/>
              </w:rPr>
            </w:pPr>
            <w:r>
              <w:rPr>
                <w:spacing w:val="-10"/>
                <w:sz w:val="20"/>
              </w:rPr>
              <w:t>$</w:t>
            </w:r>
            <w:r>
              <w:rPr>
                <w:sz w:val="20"/>
              </w:rPr>
              <w:tab/>
            </w:r>
            <w:r>
              <w:rPr>
                <w:spacing w:val="-10"/>
                <w:sz w:val="20"/>
              </w:rPr>
              <w:t>—</w:t>
            </w:r>
          </w:p>
        </w:tc>
      </w:tr>
      <w:tr w:rsidR="00AE2255" w14:paraId="0A5B6F0E" w14:textId="77777777">
        <w:trPr>
          <w:trHeight w:val="285"/>
        </w:trPr>
        <w:tc>
          <w:tcPr>
            <w:tcW w:w="2565" w:type="dxa"/>
            <w:shd w:val="clear" w:color="auto" w:fill="CCEDFF"/>
          </w:tcPr>
          <w:p w14:paraId="711ECB3E" w14:textId="77777777" w:rsidR="00AE2255" w:rsidRDefault="00000000">
            <w:pPr>
              <w:pStyle w:val="TableParagraph"/>
              <w:spacing w:before="27"/>
              <w:ind w:left="187"/>
              <w:jc w:val="left"/>
              <w:rPr>
                <w:sz w:val="20"/>
              </w:rPr>
            </w:pPr>
            <w:r>
              <w:rPr>
                <w:sz w:val="20"/>
              </w:rPr>
              <w:t>U.S.</w:t>
            </w:r>
            <w:r>
              <w:rPr>
                <w:spacing w:val="-4"/>
                <w:sz w:val="20"/>
              </w:rPr>
              <w:t xml:space="preserve"> </w:t>
            </w:r>
            <w:r>
              <w:rPr>
                <w:sz w:val="20"/>
              </w:rPr>
              <w:t>Government</w:t>
            </w:r>
            <w:r>
              <w:rPr>
                <w:spacing w:val="-3"/>
                <w:sz w:val="20"/>
              </w:rPr>
              <w:t xml:space="preserve"> </w:t>
            </w:r>
            <w:r>
              <w:rPr>
                <w:spacing w:val="-2"/>
                <w:sz w:val="20"/>
              </w:rPr>
              <w:t>securities</w:t>
            </w:r>
          </w:p>
        </w:tc>
        <w:tc>
          <w:tcPr>
            <w:tcW w:w="938" w:type="dxa"/>
            <w:shd w:val="clear" w:color="auto" w:fill="CCEDFF"/>
          </w:tcPr>
          <w:p w14:paraId="45680561" w14:textId="77777777" w:rsidR="00AE2255" w:rsidRDefault="00000000">
            <w:pPr>
              <w:pStyle w:val="TableParagraph"/>
              <w:ind w:right="117"/>
              <w:rPr>
                <w:b/>
                <w:sz w:val="20"/>
              </w:rPr>
            </w:pPr>
            <w:r>
              <w:rPr>
                <w:b/>
                <w:spacing w:val="-5"/>
                <w:sz w:val="20"/>
              </w:rPr>
              <w:t>118</w:t>
            </w:r>
          </w:p>
        </w:tc>
        <w:tc>
          <w:tcPr>
            <w:tcW w:w="975" w:type="dxa"/>
            <w:shd w:val="clear" w:color="auto" w:fill="CCEDFF"/>
          </w:tcPr>
          <w:p w14:paraId="42A33DD1" w14:textId="77777777" w:rsidR="00AE2255" w:rsidRDefault="00000000">
            <w:pPr>
              <w:pStyle w:val="TableParagraph"/>
              <w:ind w:right="117"/>
              <w:rPr>
                <w:b/>
                <w:sz w:val="20"/>
              </w:rPr>
            </w:pPr>
            <w:r>
              <w:rPr>
                <w:b/>
                <w:sz w:val="20"/>
              </w:rPr>
              <w:t>—</w:t>
            </w:r>
          </w:p>
        </w:tc>
        <w:tc>
          <w:tcPr>
            <w:tcW w:w="975" w:type="dxa"/>
            <w:shd w:val="clear" w:color="auto" w:fill="CCEDFF"/>
          </w:tcPr>
          <w:p w14:paraId="0B876421" w14:textId="77777777" w:rsidR="00AE2255" w:rsidRDefault="00000000">
            <w:pPr>
              <w:pStyle w:val="TableParagraph"/>
              <w:ind w:right="117"/>
              <w:rPr>
                <w:b/>
                <w:sz w:val="20"/>
              </w:rPr>
            </w:pPr>
            <w:r>
              <w:rPr>
                <w:b/>
                <w:spacing w:val="-5"/>
                <w:sz w:val="20"/>
              </w:rPr>
              <w:t>118</w:t>
            </w:r>
          </w:p>
        </w:tc>
        <w:tc>
          <w:tcPr>
            <w:tcW w:w="968" w:type="dxa"/>
            <w:shd w:val="clear" w:color="auto" w:fill="CCEDFF"/>
          </w:tcPr>
          <w:p w14:paraId="6418FA5C" w14:textId="77777777" w:rsidR="00AE2255" w:rsidRDefault="00000000">
            <w:pPr>
              <w:pStyle w:val="TableParagraph"/>
              <w:ind w:right="110"/>
              <w:rPr>
                <w:b/>
                <w:sz w:val="20"/>
              </w:rPr>
            </w:pPr>
            <w:r>
              <w:rPr>
                <w:b/>
                <w:sz w:val="20"/>
              </w:rPr>
              <w:t>—</w:t>
            </w:r>
          </w:p>
        </w:tc>
        <w:tc>
          <w:tcPr>
            <w:tcW w:w="968" w:type="dxa"/>
            <w:shd w:val="clear" w:color="auto" w:fill="CCEDFF"/>
          </w:tcPr>
          <w:p w14:paraId="2D499A5A" w14:textId="77777777" w:rsidR="00AE2255" w:rsidRDefault="00000000">
            <w:pPr>
              <w:pStyle w:val="TableParagraph"/>
              <w:ind w:right="118"/>
              <w:rPr>
                <w:sz w:val="20"/>
              </w:rPr>
            </w:pPr>
            <w:r>
              <w:rPr>
                <w:spacing w:val="-5"/>
                <w:sz w:val="20"/>
              </w:rPr>
              <w:t>121</w:t>
            </w:r>
          </w:p>
        </w:tc>
        <w:tc>
          <w:tcPr>
            <w:tcW w:w="975" w:type="dxa"/>
            <w:shd w:val="clear" w:color="auto" w:fill="CCEDFF"/>
          </w:tcPr>
          <w:p w14:paraId="7BB33CFE" w14:textId="77777777" w:rsidR="00AE2255" w:rsidRDefault="00000000">
            <w:pPr>
              <w:pStyle w:val="TableParagraph"/>
              <w:ind w:right="118"/>
              <w:rPr>
                <w:sz w:val="20"/>
              </w:rPr>
            </w:pPr>
            <w:r>
              <w:rPr>
                <w:sz w:val="20"/>
              </w:rPr>
              <w:t>—</w:t>
            </w:r>
          </w:p>
        </w:tc>
        <w:tc>
          <w:tcPr>
            <w:tcW w:w="968" w:type="dxa"/>
            <w:shd w:val="clear" w:color="auto" w:fill="CCEDFF"/>
          </w:tcPr>
          <w:p w14:paraId="2637D55C" w14:textId="77777777" w:rsidR="00AE2255" w:rsidRDefault="00000000">
            <w:pPr>
              <w:pStyle w:val="TableParagraph"/>
              <w:ind w:right="111"/>
              <w:rPr>
                <w:sz w:val="20"/>
              </w:rPr>
            </w:pPr>
            <w:r>
              <w:rPr>
                <w:spacing w:val="-5"/>
                <w:sz w:val="20"/>
              </w:rPr>
              <w:t>121</w:t>
            </w:r>
          </w:p>
        </w:tc>
        <w:tc>
          <w:tcPr>
            <w:tcW w:w="931" w:type="dxa"/>
            <w:shd w:val="clear" w:color="auto" w:fill="CCEDFF"/>
          </w:tcPr>
          <w:p w14:paraId="4700F247" w14:textId="77777777" w:rsidR="00AE2255" w:rsidRDefault="00000000">
            <w:pPr>
              <w:pStyle w:val="TableParagraph"/>
              <w:ind w:right="82"/>
              <w:rPr>
                <w:sz w:val="20"/>
              </w:rPr>
            </w:pPr>
            <w:r>
              <w:rPr>
                <w:sz w:val="20"/>
              </w:rPr>
              <w:t>—</w:t>
            </w:r>
          </w:p>
        </w:tc>
      </w:tr>
      <w:tr w:rsidR="00AE2255" w14:paraId="4CD167C8" w14:textId="77777777">
        <w:trPr>
          <w:trHeight w:val="285"/>
        </w:trPr>
        <w:tc>
          <w:tcPr>
            <w:tcW w:w="2565" w:type="dxa"/>
          </w:tcPr>
          <w:p w14:paraId="70C016B8" w14:textId="77777777" w:rsidR="00AE2255" w:rsidRDefault="00000000">
            <w:pPr>
              <w:pStyle w:val="TableParagraph"/>
              <w:spacing w:before="27"/>
              <w:ind w:left="187"/>
              <w:jc w:val="left"/>
              <w:rPr>
                <w:sz w:val="20"/>
              </w:rPr>
            </w:pPr>
            <w:r>
              <w:rPr>
                <w:sz w:val="20"/>
              </w:rPr>
              <w:t>Other</w:t>
            </w:r>
            <w:r>
              <w:rPr>
                <w:spacing w:val="-3"/>
                <w:sz w:val="20"/>
              </w:rPr>
              <w:t xml:space="preserve"> </w:t>
            </w:r>
            <w:r>
              <w:rPr>
                <w:spacing w:val="-2"/>
                <w:sz w:val="20"/>
              </w:rPr>
              <w:t>securities</w:t>
            </w:r>
          </w:p>
        </w:tc>
        <w:tc>
          <w:tcPr>
            <w:tcW w:w="938" w:type="dxa"/>
          </w:tcPr>
          <w:p w14:paraId="1434783F" w14:textId="77777777" w:rsidR="00AE2255" w:rsidRDefault="00000000">
            <w:pPr>
              <w:pStyle w:val="TableParagraph"/>
              <w:ind w:right="117"/>
              <w:rPr>
                <w:b/>
                <w:sz w:val="20"/>
              </w:rPr>
            </w:pPr>
            <w:r>
              <w:rPr>
                <w:b/>
                <w:spacing w:val="-5"/>
                <w:sz w:val="20"/>
              </w:rPr>
              <w:t>660</w:t>
            </w:r>
          </w:p>
        </w:tc>
        <w:tc>
          <w:tcPr>
            <w:tcW w:w="975" w:type="dxa"/>
          </w:tcPr>
          <w:p w14:paraId="3BF5D5D7" w14:textId="77777777" w:rsidR="00AE2255" w:rsidRDefault="00000000">
            <w:pPr>
              <w:pStyle w:val="TableParagraph"/>
              <w:ind w:right="117"/>
              <w:rPr>
                <w:b/>
                <w:sz w:val="20"/>
              </w:rPr>
            </w:pPr>
            <w:r>
              <w:rPr>
                <w:b/>
                <w:spacing w:val="-5"/>
                <w:sz w:val="20"/>
              </w:rPr>
              <w:t>333</w:t>
            </w:r>
          </w:p>
        </w:tc>
        <w:tc>
          <w:tcPr>
            <w:tcW w:w="975" w:type="dxa"/>
          </w:tcPr>
          <w:p w14:paraId="6119617C" w14:textId="77777777" w:rsidR="00AE2255" w:rsidRDefault="00000000">
            <w:pPr>
              <w:pStyle w:val="TableParagraph"/>
              <w:ind w:right="117"/>
              <w:rPr>
                <w:b/>
                <w:sz w:val="20"/>
              </w:rPr>
            </w:pPr>
            <w:r>
              <w:rPr>
                <w:b/>
                <w:spacing w:val="-5"/>
                <w:sz w:val="20"/>
              </w:rPr>
              <w:t>264</w:t>
            </w:r>
          </w:p>
        </w:tc>
        <w:tc>
          <w:tcPr>
            <w:tcW w:w="968" w:type="dxa"/>
          </w:tcPr>
          <w:p w14:paraId="25BDBDB9" w14:textId="77777777" w:rsidR="00AE2255" w:rsidRDefault="00000000">
            <w:pPr>
              <w:pStyle w:val="TableParagraph"/>
              <w:ind w:right="110"/>
              <w:rPr>
                <w:b/>
                <w:sz w:val="20"/>
              </w:rPr>
            </w:pPr>
            <w:r>
              <w:rPr>
                <w:b/>
                <w:spacing w:val="-5"/>
                <w:sz w:val="20"/>
              </w:rPr>
              <w:t>63</w:t>
            </w:r>
          </w:p>
        </w:tc>
        <w:tc>
          <w:tcPr>
            <w:tcW w:w="968" w:type="dxa"/>
          </w:tcPr>
          <w:p w14:paraId="7B24165B" w14:textId="77777777" w:rsidR="00AE2255" w:rsidRDefault="00000000">
            <w:pPr>
              <w:pStyle w:val="TableParagraph"/>
              <w:ind w:right="118"/>
              <w:rPr>
                <w:sz w:val="20"/>
              </w:rPr>
            </w:pPr>
            <w:r>
              <w:rPr>
                <w:spacing w:val="-5"/>
                <w:sz w:val="20"/>
              </w:rPr>
              <w:t>684</w:t>
            </w:r>
          </w:p>
        </w:tc>
        <w:tc>
          <w:tcPr>
            <w:tcW w:w="975" w:type="dxa"/>
          </w:tcPr>
          <w:p w14:paraId="327A8B15" w14:textId="77777777" w:rsidR="00AE2255" w:rsidRDefault="00000000">
            <w:pPr>
              <w:pStyle w:val="TableParagraph"/>
              <w:ind w:right="118"/>
              <w:rPr>
                <w:sz w:val="20"/>
              </w:rPr>
            </w:pPr>
            <w:r>
              <w:rPr>
                <w:spacing w:val="-5"/>
                <w:sz w:val="20"/>
              </w:rPr>
              <w:t>492</w:t>
            </w:r>
          </w:p>
        </w:tc>
        <w:tc>
          <w:tcPr>
            <w:tcW w:w="968" w:type="dxa"/>
          </w:tcPr>
          <w:p w14:paraId="22367F5F" w14:textId="77777777" w:rsidR="00AE2255" w:rsidRDefault="00000000">
            <w:pPr>
              <w:pStyle w:val="TableParagraph"/>
              <w:ind w:right="111"/>
              <w:rPr>
                <w:sz w:val="20"/>
              </w:rPr>
            </w:pPr>
            <w:r>
              <w:rPr>
                <w:spacing w:val="-5"/>
                <w:sz w:val="20"/>
              </w:rPr>
              <w:t>192</w:t>
            </w:r>
          </w:p>
        </w:tc>
        <w:tc>
          <w:tcPr>
            <w:tcW w:w="931" w:type="dxa"/>
          </w:tcPr>
          <w:p w14:paraId="1FC111B7" w14:textId="77777777" w:rsidR="00AE2255" w:rsidRDefault="00000000">
            <w:pPr>
              <w:pStyle w:val="TableParagraph"/>
              <w:ind w:right="82"/>
              <w:rPr>
                <w:sz w:val="20"/>
              </w:rPr>
            </w:pPr>
            <w:r>
              <w:rPr>
                <w:sz w:val="20"/>
              </w:rPr>
              <w:t>—</w:t>
            </w:r>
          </w:p>
        </w:tc>
      </w:tr>
      <w:tr w:rsidR="00AE2255" w14:paraId="3420F278" w14:textId="77777777">
        <w:trPr>
          <w:trHeight w:val="285"/>
        </w:trPr>
        <w:tc>
          <w:tcPr>
            <w:tcW w:w="2565" w:type="dxa"/>
            <w:shd w:val="clear" w:color="auto" w:fill="CCEDFF"/>
          </w:tcPr>
          <w:p w14:paraId="18873661" w14:textId="77777777" w:rsidR="00AE2255" w:rsidRDefault="00000000">
            <w:pPr>
              <w:pStyle w:val="TableParagraph"/>
              <w:spacing w:before="27"/>
              <w:ind w:left="187"/>
              <w:jc w:val="left"/>
              <w:rPr>
                <w:sz w:val="20"/>
              </w:rPr>
            </w:pPr>
            <w:r>
              <w:rPr>
                <w:spacing w:val="-2"/>
                <w:sz w:val="20"/>
              </w:rPr>
              <w:t>Derivatives</w:t>
            </w:r>
          </w:p>
        </w:tc>
        <w:tc>
          <w:tcPr>
            <w:tcW w:w="938" w:type="dxa"/>
            <w:shd w:val="clear" w:color="auto" w:fill="CCEDFF"/>
          </w:tcPr>
          <w:p w14:paraId="163DEF19" w14:textId="77777777" w:rsidR="00AE2255" w:rsidRDefault="00000000">
            <w:pPr>
              <w:pStyle w:val="TableParagraph"/>
              <w:ind w:right="117"/>
              <w:rPr>
                <w:b/>
                <w:sz w:val="20"/>
              </w:rPr>
            </w:pPr>
            <w:r>
              <w:rPr>
                <w:b/>
                <w:spacing w:val="-5"/>
                <w:sz w:val="20"/>
              </w:rPr>
              <w:t>18</w:t>
            </w:r>
          </w:p>
        </w:tc>
        <w:tc>
          <w:tcPr>
            <w:tcW w:w="975" w:type="dxa"/>
            <w:shd w:val="clear" w:color="auto" w:fill="CCEDFF"/>
          </w:tcPr>
          <w:p w14:paraId="610A4CF9" w14:textId="77777777" w:rsidR="00AE2255" w:rsidRDefault="00000000">
            <w:pPr>
              <w:pStyle w:val="TableParagraph"/>
              <w:ind w:right="117"/>
              <w:rPr>
                <w:b/>
                <w:sz w:val="20"/>
              </w:rPr>
            </w:pPr>
            <w:r>
              <w:rPr>
                <w:b/>
                <w:sz w:val="20"/>
              </w:rPr>
              <w:t>—</w:t>
            </w:r>
          </w:p>
        </w:tc>
        <w:tc>
          <w:tcPr>
            <w:tcW w:w="975" w:type="dxa"/>
            <w:shd w:val="clear" w:color="auto" w:fill="CCEDFF"/>
          </w:tcPr>
          <w:p w14:paraId="6337E3D1" w14:textId="77777777" w:rsidR="00AE2255" w:rsidRDefault="00000000">
            <w:pPr>
              <w:pStyle w:val="TableParagraph"/>
              <w:ind w:right="117"/>
              <w:rPr>
                <w:b/>
                <w:sz w:val="20"/>
              </w:rPr>
            </w:pPr>
            <w:r>
              <w:rPr>
                <w:b/>
                <w:spacing w:val="-5"/>
                <w:sz w:val="20"/>
              </w:rPr>
              <w:t>18</w:t>
            </w:r>
          </w:p>
        </w:tc>
        <w:tc>
          <w:tcPr>
            <w:tcW w:w="968" w:type="dxa"/>
            <w:shd w:val="clear" w:color="auto" w:fill="CCEDFF"/>
          </w:tcPr>
          <w:p w14:paraId="722BB053" w14:textId="77777777" w:rsidR="00AE2255" w:rsidRDefault="00000000">
            <w:pPr>
              <w:pStyle w:val="TableParagraph"/>
              <w:ind w:right="110"/>
              <w:rPr>
                <w:b/>
                <w:sz w:val="20"/>
              </w:rPr>
            </w:pPr>
            <w:r>
              <w:rPr>
                <w:b/>
                <w:sz w:val="20"/>
              </w:rPr>
              <w:t>—</w:t>
            </w:r>
          </w:p>
        </w:tc>
        <w:tc>
          <w:tcPr>
            <w:tcW w:w="968" w:type="dxa"/>
            <w:shd w:val="clear" w:color="auto" w:fill="CCEDFF"/>
          </w:tcPr>
          <w:p w14:paraId="11185378" w14:textId="77777777" w:rsidR="00AE2255" w:rsidRDefault="00000000">
            <w:pPr>
              <w:pStyle w:val="TableParagraph"/>
              <w:ind w:right="118"/>
              <w:rPr>
                <w:sz w:val="20"/>
              </w:rPr>
            </w:pPr>
            <w:r>
              <w:rPr>
                <w:spacing w:val="-5"/>
                <w:sz w:val="20"/>
              </w:rPr>
              <w:t>15</w:t>
            </w:r>
          </w:p>
        </w:tc>
        <w:tc>
          <w:tcPr>
            <w:tcW w:w="975" w:type="dxa"/>
            <w:shd w:val="clear" w:color="auto" w:fill="CCEDFF"/>
          </w:tcPr>
          <w:p w14:paraId="6D46EB0C" w14:textId="77777777" w:rsidR="00AE2255" w:rsidRDefault="00000000">
            <w:pPr>
              <w:pStyle w:val="TableParagraph"/>
              <w:ind w:right="118"/>
              <w:rPr>
                <w:sz w:val="20"/>
              </w:rPr>
            </w:pPr>
            <w:r>
              <w:rPr>
                <w:sz w:val="20"/>
              </w:rPr>
              <w:t>—</w:t>
            </w:r>
          </w:p>
        </w:tc>
        <w:tc>
          <w:tcPr>
            <w:tcW w:w="968" w:type="dxa"/>
            <w:shd w:val="clear" w:color="auto" w:fill="CCEDFF"/>
          </w:tcPr>
          <w:p w14:paraId="54B41E00" w14:textId="77777777" w:rsidR="00AE2255" w:rsidRDefault="00000000">
            <w:pPr>
              <w:pStyle w:val="TableParagraph"/>
              <w:ind w:right="111"/>
              <w:rPr>
                <w:sz w:val="20"/>
              </w:rPr>
            </w:pPr>
            <w:r>
              <w:rPr>
                <w:spacing w:val="-5"/>
                <w:sz w:val="20"/>
              </w:rPr>
              <w:t>15</w:t>
            </w:r>
          </w:p>
        </w:tc>
        <w:tc>
          <w:tcPr>
            <w:tcW w:w="931" w:type="dxa"/>
            <w:shd w:val="clear" w:color="auto" w:fill="CCEDFF"/>
          </w:tcPr>
          <w:p w14:paraId="1CEFBC8B" w14:textId="77777777" w:rsidR="00AE2255" w:rsidRDefault="00000000">
            <w:pPr>
              <w:pStyle w:val="TableParagraph"/>
              <w:ind w:right="82"/>
              <w:rPr>
                <w:sz w:val="20"/>
              </w:rPr>
            </w:pPr>
            <w:r>
              <w:rPr>
                <w:sz w:val="20"/>
              </w:rPr>
              <w:t>—</w:t>
            </w:r>
          </w:p>
        </w:tc>
      </w:tr>
      <w:tr w:rsidR="00AE2255" w14:paraId="14CFD849" w14:textId="77777777">
        <w:trPr>
          <w:trHeight w:val="285"/>
        </w:trPr>
        <w:tc>
          <w:tcPr>
            <w:tcW w:w="2565" w:type="dxa"/>
          </w:tcPr>
          <w:p w14:paraId="6F02B47E" w14:textId="77777777" w:rsidR="00AE2255" w:rsidRDefault="00000000">
            <w:pPr>
              <w:pStyle w:val="TableParagraph"/>
              <w:spacing w:before="23"/>
              <w:ind w:left="52"/>
              <w:jc w:val="left"/>
              <w:rPr>
                <w:b/>
                <w:sz w:val="20"/>
              </w:rPr>
            </w:pPr>
            <w:r>
              <w:rPr>
                <w:b/>
                <w:spacing w:val="-2"/>
                <w:sz w:val="20"/>
              </w:rPr>
              <w:t>Liabilities</w:t>
            </w:r>
          </w:p>
        </w:tc>
        <w:tc>
          <w:tcPr>
            <w:tcW w:w="938" w:type="dxa"/>
          </w:tcPr>
          <w:p w14:paraId="55D329E0" w14:textId="77777777" w:rsidR="00AE2255" w:rsidRDefault="00AE2255">
            <w:pPr>
              <w:pStyle w:val="TableParagraph"/>
              <w:spacing w:before="0"/>
              <w:jc w:val="left"/>
              <w:rPr>
                <w:sz w:val="20"/>
              </w:rPr>
            </w:pPr>
          </w:p>
        </w:tc>
        <w:tc>
          <w:tcPr>
            <w:tcW w:w="975" w:type="dxa"/>
          </w:tcPr>
          <w:p w14:paraId="20FA69FE" w14:textId="77777777" w:rsidR="00AE2255" w:rsidRDefault="00AE2255">
            <w:pPr>
              <w:pStyle w:val="TableParagraph"/>
              <w:spacing w:before="0"/>
              <w:jc w:val="left"/>
              <w:rPr>
                <w:sz w:val="20"/>
              </w:rPr>
            </w:pPr>
          </w:p>
        </w:tc>
        <w:tc>
          <w:tcPr>
            <w:tcW w:w="975" w:type="dxa"/>
          </w:tcPr>
          <w:p w14:paraId="41C0F32A" w14:textId="77777777" w:rsidR="00AE2255" w:rsidRDefault="00AE2255">
            <w:pPr>
              <w:pStyle w:val="TableParagraph"/>
              <w:spacing w:before="0"/>
              <w:jc w:val="left"/>
              <w:rPr>
                <w:sz w:val="20"/>
              </w:rPr>
            </w:pPr>
          </w:p>
        </w:tc>
        <w:tc>
          <w:tcPr>
            <w:tcW w:w="968" w:type="dxa"/>
          </w:tcPr>
          <w:p w14:paraId="223D6D73" w14:textId="77777777" w:rsidR="00AE2255" w:rsidRDefault="00AE2255">
            <w:pPr>
              <w:pStyle w:val="TableParagraph"/>
              <w:spacing w:before="0"/>
              <w:jc w:val="left"/>
              <w:rPr>
                <w:sz w:val="20"/>
              </w:rPr>
            </w:pPr>
          </w:p>
        </w:tc>
        <w:tc>
          <w:tcPr>
            <w:tcW w:w="968" w:type="dxa"/>
          </w:tcPr>
          <w:p w14:paraId="299C8A6D" w14:textId="77777777" w:rsidR="00AE2255" w:rsidRDefault="00AE2255">
            <w:pPr>
              <w:pStyle w:val="TableParagraph"/>
              <w:spacing w:before="0"/>
              <w:jc w:val="left"/>
              <w:rPr>
                <w:sz w:val="20"/>
              </w:rPr>
            </w:pPr>
          </w:p>
        </w:tc>
        <w:tc>
          <w:tcPr>
            <w:tcW w:w="975" w:type="dxa"/>
          </w:tcPr>
          <w:p w14:paraId="75775388" w14:textId="77777777" w:rsidR="00AE2255" w:rsidRDefault="00AE2255">
            <w:pPr>
              <w:pStyle w:val="TableParagraph"/>
              <w:spacing w:before="0"/>
              <w:jc w:val="left"/>
              <w:rPr>
                <w:sz w:val="20"/>
              </w:rPr>
            </w:pPr>
          </w:p>
        </w:tc>
        <w:tc>
          <w:tcPr>
            <w:tcW w:w="968" w:type="dxa"/>
          </w:tcPr>
          <w:p w14:paraId="7DCC83BC" w14:textId="77777777" w:rsidR="00AE2255" w:rsidRDefault="00AE2255">
            <w:pPr>
              <w:pStyle w:val="TableParagraph"/>
              <w:spacing w:before="0"/>
              <w:jc w:val="left"/>
              <w:rPr>
                <w:sz w:val="20"/>
              </w:rPr>
            </w:pPr>
          </w:p>
        </w:tc>
        <w:tc>
          <w:tcPr>
            <w:tcW w:w="931" w:type="dxa"/>
          </w:tcPr>
          <w:p w14:paraId="29E6C2E7" w14:textId="77777777" w:rsidR="00AE2255" w:rsidRDefault="00AE2255">
            <w:pPr>
              <w:pStyle w:val="TableParagraph"/>
              <w:spacing w:before="0"/>
              <w:jc w:val="left"/>
              <w:rPr>
                <w:sz w:val="20"/>
              </w:rPr>
            </w:pPr>
          </w:p>
        </w:tc>
      </w:tr>
      <w:tr w:rsidR="00AE2255" w14:paraId="71694330" w14:textId="77777777">
        <w:trPr>
          <w:trHeight w:val="285"/>
        </w:trPr>
        <w:tc>
          <w:tcPr>
            <w:tcW w:w="2565" w:type="dxa"/>
            <w:shd w:val="clear" w:color="auto" w:fill="CCEDFF"/>
          </w:tcPr>
          <w:p w14:paraId="04A91D20" w14:textId="77777777" w:rsidR="00AE2255" w:rsidRDefault="00000000">
            <w:pPr>
              <w:pStyle w:val="TableParagraph"/>
              <w:spacing w:before="27"/>
              <w:ind w:left="187"/>
              <w:jc w:val="left"/>
              <w:rPr>
                <w:sz w:val="20"/>
              </w:rPr>
            </w:pPr>
            <w:r>
              <w:rPr>
                <w:spacing w:val="-2"/>
                <w:sz w:val="20"/>
              </w:rPr>
              <w:t>Derivatives</w:t>
            </w:r>
          </w:p>
        </w:tc>
        <w:tc>
          <w:tcPr>
            <w:tcW w:w="938" w:type="dxa"/>
            <w:shd w:val="clear" w:color="auto" w:fill="CCEDFF"/>
          </w:tcPr>
          <w:p w14:paraId="66CEF55E" w14:textId="77777777" w:rsidR="00AE2255" w:rsidRDefault="00000000">
            <w:pPr>
              <w:pStyle w:val="TableParagraph"/>
              <w:ind w:right="117"/>
              <w:rPr>
                <w:b/>
                <w:sz w:val="20"/>
              </w:rPr>
            </w:pPr>
            <w:r>
              <w:rPr>
                <w:b/>
                <w:spacing w:val="-5"/>
                <w:sz w:val="20"/>
              </w:rPr>
              <w:t>196</w:t>
            </w:r>
          </w:p>
        </w:tc>
        <w:tc>
          <w:tcPr>
            <w:tcW w:w="975" w:type="dxa"/>
            <w:shd w:val="clear" w:color="auto" w:fill="CCEDFF"/>
          </w:tcPr>
          <w:p w14:paraId="2CA7FF73" w14:textId="77777777" w:rsidR="00AE2255" w:rsidRDefault="00000000">
            <w:pPr>
              <w:pStyle w:val="TableParagraph"/>
              <w:ind w:right="117"/>
              <w:rPr>
                <w:b/>
                <w:sz w:val="20"/>
              </w:rPr>
            </w:pPr>
            <w:r>
              <w:rPr>
                <w:b/>
                <w:sz w:val="20"/>
              </w:rPr>
              <w:t>—</w:t>
            </w:r>
          </w:p>
        </w:tc>
        <w:tc>
          <w:tcPr>
            <w:tcW w:w="975" w:type="dxa"/>
            <w:shd w:val="clear" w:color="auto" w:fill="CCEDFF"/>
          </w:tcPr>
          <w:p w14:paraId="43FFB29F" w14:textId="77777777" w:rsidR="00AE2255" w:rsidRDefault="00000000">
            <w:pPr>
              <w:pStyle w:val="TableParagraph"/>
              <w:ind w:right="117"/>
              <w:rPr>
                <w:b/>
                <w:sz w:val="20"/>
              </w:rPr>
            </w:pPr>
            <w:r>
              <w:rPr>
                <w:b/>
                <w:spacing w:val="-5"/>
                <w:sz w:val="20"/>
              </w:rPr>
              <w:t>196</w:t>
            </w:r>
          </w:p>
        </w:tc>
        <w:tc>
          <w:tcPr>
            <w:tcW w:w="968" w:type="dxa"/>
            <w:shd w:val="clear" w:color="auto" w:fill="CCEDFF"/>
          </w:tcPr>
          <w:p w14:paraId="4374616B" w14:textId="77777777" w:rsidR="00AE2255" w:rsidRDefault="00000000">
            <w:pPr>
              <w:pStyle w:val="TableParagraph"/>
              <w:ind w:right="110"/>
              <w:rPr>
                <w:b/>
                <w:sz w:val="20"/>
              </w:rPr>
            </w:pPr>
            <w:r>
              <w:rPr>
                <w:b/>
                <w:sz w:val="20"/>
              </w:rPr>
              <w:t>—</w:t>
            </w:r>
          </w:p>
        </w:tc>
        <w:tc>
          <w:tcPr>
            <w:tcW w:w="968" w:type="dxa"/>
            <w:shd w:val="clear" w:color="auto" w:fill="CCEDFF"/>
          </w:tcPr>
          <w:p w14:paraId="62CA0FAC" w14:textId="77777777" w:rsidR="00AE2255" w:rsidRDefault="00000000">
            <w:pPr>
              <w:pStyle w:val="TableParagraph"/>
              <w:ind w:right="118"/>
              <w:rPr>
                <w:sz w:val="20"/>
              </w:rPr>
            </w:pPr>
            <w:r>
              <w:rPr>
                <w:spacing w:val="-5"/>
                <w:sz w:val="20"/>
              </w:rPr>
              <w:t>60</w:t>
            </w:r>
          </w:p>
        </w:tc>
        <w:tc>
          <w:tcPr>
            <w:tcW w:w="975" w:type="dxa"/>
            <w:shd w:val="clear" w:color="auto" w:fill="CCEDFF"/>
          </w:tcPr>
          <w:p w14:paraId="7CC83676" w14:textId="77777777" w:rsidR="00AE2255" w:rsidRDefault="00000000">
            <w:pPr>
              <w:pStyle w:val="TableParagraph"/>
              <w:ind w:right="118"/>
              <w:rPr>
                <w:sz w:val="20"/>
              </w:rPr>
            </w:pPr>
            <w:r>
              <w:rPr>
                <w:sz w:val="20"/>
              </w:rPr>
              <w:t>—</w:t>
            </w:r>
          </w:p>
        </w:tc>
        <w:tc>
          <w:tcPr>
            <w:tcW w:w="968" w:type="dxa"/>
            <w:shd w:val="clear" w:color="auto" w:fill="CCEDFF"/>
          </w:tcPr>
          <w:p w14:paraId="27DE4C2C" w14:textId="77777777" w:rsidR="00AE2255" w:rsidRDefault="00000000">
            <w:pPr>
              <w:pStyle w:val="TableParagraph"/>
              <w:ind w:right="111"/>
              <w:rPr>
                <w:sz w:val="20"/>
              </w:rPr>
            </w:pPr>
            <w:r>
              <w:rPr>
                <w:spacing w:val="-5"/>
                <w:sz w:val="20"/>
              </w:rPr>
              <w:t>60</w:t>
            </w:r>
          </w:p>
        </w:tc>
        <w:tc>
          <w:tcPr>
            <w:tcW w:w="931" w:type="dxa"/>
            <w:shd w:val="clear" w:color="auto" w:fill="CCEDFF"/>
          </w:tcPr>
          <w:p w14:paraId="161CFED7" w14:textId="77777777" w:rsidR="00AE2255" w:rsidRDefault="00000000">
            <w:pPr>
              <w:pStyle w:val="TableParagraph"/>
              <w:ind w:right="82"/>
              <w:rPr>
                <w:sz w:val="20"/>
              </w:rPr>
            </w:pPr>
            <w:r>
              <w:rPr>
                <w:sz w:val="20"/>
              </w:rPr>
              <w:t>—</w:t>
            </w:r>
          </w:p>
        </w:tc>
      </w:tr>
      <w:tr w:rsidR="00AE2255" w14:paraId="08A37394" w14:textId="77777777">
        <w:trPr>
          <w:trHeight w:val="285"/>
        </w:trPr>
        <w:tc>
          <w:tcPr>
            <w:tcW w:w="2565" w:type="dxa"/>
          </w:tcPr>
          <w:p w14:paraId="6E437468" w14:textId="77777777" w:rsidR="00AE2255" w:rsidRDefault="00000000">
            <w:pPr>
              <w:pStyle w:val="TableParagraph"/>
              <w:spacing w:before="23"/>
              <w:ind w:left="52"/>
              <w:jc w:val="left"/>
              <w:rPr>
                <w:b/>
                <w:sz w:val="20"/>
              </w:rPr>
            </w:pPr>
            <w:r>
              <w:rPr>
                <w:b/>
                <w:sz w:val="20"/>
              </w:rPr>
              <w:t>Assets</w:t>
            </w:r>
            <w:r>
              <w:rPr>
                <w:b/>
                <w:spacing w:val="-4"/>
                <w:sz w:val="20"/>
              </w:rPr>
              <w:t xml:space="preserve"> </w:t>
            </w:r>
            <w:r>
              <w:rPr>
                <w:b/>
                <w:sz w:val="20"/>
              </w:rPr>
              <w:t>measured</w:t>
            </w:r>
            <w:r>
              <w:rPr>
                <w:b/>
                <w:spacing w:val="-4"/>
                <w:sz w:val="20"/>
              </w:rPr>
              <w:t xml:space="preserve"> </w:t>
            </w:r>
            <w:r>
              <w:rPr>
                <w:b/>
                <w:sz w:val="20"/>
              </w:rPr>
              <w:t>at</w:t>
            </w:r>
            <w:r>
              <w:rPr>
                <w:b/>
                <w:spacing w:val="-3"/>
                <w:sz w:val="20"/>
              </w:rPr>
              <w:t xml:space="preserve"> </w:t>
            </w:r>
            <w:r>
              <w:rPr>
                <w:b/>
                <w:spacing w:val="-5"/>
                <w:sz w:val="20"/>
              </w:rPr>
              <w:t>NAV</w:t>
            </w:r>
          </w:p>
        </w:tc>
        <w:tc>
          <w:tcPr>
            <w:tcW w:w="938" w:type="dxa"/>
          </w:tcPr>
          <w:p w14:paraId="2CD5B03F" w14:textId="77777777" w:rsidR="00AE2255" w:rsidRDefault="00AE2255">
            <w:pPr>
              <w:pStyle w:val="TableParagraph"/>
              <w:spacing w:before="0"/>
              <w:jc w:val="left"/>
              <w:rPr>
                <w:sz w:val="20"/>
              </w:rPr>
            </w:pPr>
          </w:p>
        </w:tc>
        <w:tc>
          <w:tcPr>
            <w:tcW w:w="975" w:type="dxa"/>
          </w:tcPr>
          <w:p w14:paraId="1CD71B1C" w14:textId="77777777" w:rsidR="00AE2255" w:rsidRDefault="00AE2255">
            <w:pPr>
              <w:pStyle w:val="TableParagraph"/>
              <w:spacing w:before="0"/>
              <w:jc w:val="left"/>
              <w:rPr>
                <w:sz w:val="20"/>
              </w:rPr>
            </w:pPr>
          </w:p>
        </w:tc>
        <w:tc>
          <w:tcPr>
            <w:tcW w:w="975" w:type="dxa"/>
          </w:tcPr>
          <w:p w14:paraId="0337B9D2" w14:textId="77777777" w:rsidR="00AE2255" w:rsidRDefault="00AE2255">
            <w:pPr>
              <w:pStyle w:val="TableParagraph"/>
              <w:spacing w:before="0"/>
              <w:jc w:val="left"/>
              <w:rPr>
                <w:sz w:val="20"/>
              </w:rPr>
            </w:pPr>
          </w:p>
        </w:tc>
        <w:tc>
          <w:tcPr>
            <w:tcW w:w="968" w:type="dxa"/>
          </w:tcPr>
          <w:p w14:paraId="0BE06D0E" w14:textId="77777777" w:rsidR="00AE2255" w:rsidRDefault="00AE2255">
            <w:pPr>
              <w:pStyle w:val="TableParagraph"/>
              <w:spacing w:before="0"/>
              <w:jc w:val="left"/>
              <w:rPr>
                <w:sz w:val="20"/>
              </w:rPr>
            </w:pPr>
          </w:p>
        </w:tc>
        <w:tc>
          <w:tcPr>
            <w:tcW w:w="968" w:type="dxa"/>
          </w:tcPr>
          <w:p w14:paraId="3BC47BAB" w14:textId="77777777" w:rsidR="00AE2255" w:rsidRDefault="00AE2255">
            <w:pPr>
              <w:pStyle w:val="TableParagraph"/>
              <w:spacing w:before="0"/>
              <w:jc w:val="left"/>
              <w:rPr>
                <w:sz w:val="20"/>
              </w:rPr>
            </w:pPr>
          </w:p>
        </w:tc>
        <w:tc>
          <w:tcPr>
            <w:tcW w:w="975" w:type="dxa"/>
          </w:tcPr>
          <w:p w14:paraId="7BC927D3" w14:textId="77777777" w:rsidR="00AE2255" w:rsidRDefault="00AE2255">
            <w:pPr>
              <w:pStyle w:val="TableParagraph"/>
              <w:spacing w:before="0"/>
              <w:jc w:val="left"/>
              <w:rPr>
                <w:sz w:val="20"/>
              </w:rPr>
            </w:pPr>
          </w:p>
        </w:tc>
        <w:tc>
          <w:tcPr>
            <w:tcW w:w="968" w:type="dxa"/>
          </w:tcPr>
          <w:p w14:paraId="6F09BCF7" w14:textId="77777777" w:rsidR="00AE2255" w:rsidRDefault="00AE2255">
            <w:pPr>
              <w:pStyle w:val="TableParagraph"/>
              <w:spacing w:before="0"/>
              <w:jc w:val="left"/>
              <w:rPr>
                <w:sz w:val="20"/>
              </w:rPr>
            </w:pPr>
          </w:p>
        </w:tc>
        <w:tc>
          <w:tcPr>
            <w:tcW w:w="931" w:type="dxa"/>
          </w:tcPr>
          <w:p w14:paraId="63A33E8C" w14:textId="77777777" w:rsidR="00AE2255" w:rsidRDefault="00AE2255">
            <w:pPr>
              <w:pStyle w:val="TableParagraph"/>
              <w:spacing w:before="0"/>
              <w:jc w:val="left"/>
              <w:rPr>
                <w:sz w:val="20"/>
              </w:rPr>
            </w:pPr>
          </w:p>
        </w:tc>
      </w:tr>
      <w:tr w:rsidR="00AE2255" w14:paraId="32A2844C" w14:textId="77777777">
        <w:trPr>
          <w:trHeight w:val="262"/>
        </w:trPr>
        <w:tc>
          <w:tcPr>
            <w:tcW w:w="2565" w:type="dxa"/>
            <w:tcBorders>
              <w:bottom w:val="single" w:sz="18" w:space="0" w:color="CCEDFF"/>
            </w:tcBorders>
            <w:shd w:val="clear" w:color="auto" w:fill="CCEDFF"/>
          </w:tcPr>
          <w:p w14:paraId="0195ABC4" w14:textId="77777777" w:rsidR="00AE2255" w:rsidRDefault="00000000">
            <w:pPr>
              <w:pStyle w:val="TableParagraph"/>
              <w:spacing w:before="27" w:line="216" w:lineRule="exact"/>
              <w:ind w:left="187"/>
              <w:jc w:val="left"/>
              <w:rPr>
                <w:sz w:val="20"/>
              </w:rPr>
            </w:pPr>
            <w:r>
              <w:rPr>
                <w:sz w:val="20"/>
              </w:rPr>
              <w:t>Other</w:t>
            </w:r>
            <w:r>
              <w:rPr>
                <w:spacing w:val="-5"/>
                <w:sz w:val="20"/>
              </w:rPr>
              <w:t xml:space="preserve"> </w:t>
            </w:r>
            <w:r>
              <w:rPr>
                <w:sz w:val="20"/>
              </w:rPr>
              <w:t>commingled</w:t>
            </w:r>
            <w:r>
              <w:rPr>
                <w:spacing w:val="-4"/>
                <w:sz w:val="20"/>
              </w:rPr>
              <w:t xml:space="preserve"> </w:t>
            </w:r>
            <w:r>
              <w:rPr>
                <w:spacing w:val="-2"/>
                <w:sz w:val="20"/>
              </w:rPr>
              <w:t>funds</w:t>
            </w:r>
          </w:p>
        </w:tc>
        <w:tc>
          <w:tcPr>
            <w:tcW w:w="938" w:type="dxa"/>
            <w:tcBorders>
              <w:bottom w:val="single" w:sz="18" w:space="0" w:color="CCEDFF"/>
            </w:tcBorders>
            <w:shd w:val="clear" w:color="auto" w:fill="CCEDFF"/>
          </w:tcPr>
          <w:p w14:paraId="65EB3E1D" w14:textId="77777777" w:rsidR="00AE2255" w:rsidRDefault="00000000">
            <w:pPr>
              <w:pStyle w:val="TableParagraph"/>
              <w:spacing w:line="217" w:lineRule="exact"/>
              <w:ind w:right="117"/>
              <w:rPr>
                <w:b/>
                <w:sz w:val="20"/>
              </w:rPr>
            </w:pPr>
            <w:r>
              <w:rPr>
                <w:b/>
                <w:sz w:val="20"/>
              </w:rPr>
              <w:t>—</w:t>
            </w:r>
          </w:p>
        </w:tc>
        <w:tc>
          <w:tcPr>
            <w:tcW w:w="975" w:type="dxa"/>
            <w:tcBorders>
              <w:bottom w:val="single" w:sz="18" w:space="0" w:color="CCEDFF"/>
            </w:tcBorders>
            <w:shd w:val="clear" w:color="auto" w:fill="CCEDFF"/>
          </w:tcPr>
          <w:p w14:paraId="0CBADC6B" w14:textId="77777777" w:rsidR="00AE2255" w:rsidRDefault="00AE2255">
            <w:pPr>
              <w:pStyle w:val="TableParagraph"/>
              <w:spacing w:before="0"/>
              <w:jc w:val="left"/>
              <w:rPr>
                <w:sz w:val="18"/>
              </w:rPr>
            </w:pPr>
          </w:p>
        </w:tc>
        <w:tc>
          <w:tcPr>
            <w:tcW w:w="975" w:type="dxa"/>
            <w:tcBorders>
              <w:bottom w:val="single" w:sz="18" w:space="0" w:color="CCEDFF"/>
            </w:tcBorders>
            <w:shd w:val="clear" w:color="auto" w:fill="CCEDFF"/>
          </w:tcPr>
          <w:p w14:paraId="77A6B9CD" w14:textId="77777777" w:rsidR="00AE2255" w:rsidRDefault="00AE2255">
            <w:pPr>
              <w:pStyle w:val="TableParagraph"/>
              <w:spacing w:before="0"/>
              <w:jc w:val="left"/>
              <w:rPr>
                <w:sz w:val="18"/>
              </w:rPr>
            </w:pPr>
          </w:p>
        </w:tc>
        <w:tc>
          <w:tcPr>
            <w:tcW w:w="968" w:type="dxa"/>
            <w:tcBorders>
              <w:bottom w:val="single" w:sz="18" w:space="0" w:color="CCEDFF"/>
            </w:tcBorders>
            <w:shd w:val="clear" w:color="auto" w:fill="CCEDFF"/>
          </w:tcPr>
          <w:p w14:paraId="5232F1DF" w14:textId="77777777" w:rsidR="00AE2255" w:rsidRDefault="00AE2255">
            <w:pPr>
              <w:pStyle w:val="TableParagraph"/>
              <w:spacing w:before="0"/>
              <w:jc w:val="left"/>
              <w:rPr>
                <w:sz w:val="18"/>
              </w:rPr>
            </w:pPr>
          </w:p>
        </w:tc>
        <w:tc>
          <w:tcPr>
            <w:tcW w:w="968" w:type="dxa"/>
            <w:tcBorders>
              <w:bottom w:val="single" w:sz="18" w:space="0" w:color="CCEDFF"/>
            </w:tcBorders>
            <w:shd w:val="clear" w:color="auto" w:fill="CCEDFF"/>
          </w:tcPr>
          <w:p w14:paraId="0775D05B" w14:textId="77777777" w:rsidR="00AE2255" w:rsidRDefault="00000000">
            <w:pPr>
              <w:pStyle w:val="TableParagraph"/>
              <w:spacing w:line="217" w:lineRule="exact"/>
              <w:ind w:right="118"/>
              <w:rPr>
                <w:sz w:val="20"/>
              </w:rPr>
            </w:pPr>
            <w:r>
              <w:rPr>
                <w:spacing w:val="-5"/>
                <w:sz w:val="20"/>
              </w:rPr>
              <w:t>20</w:t>
            </w:r>
          </w:p>
        </w:tc>
        <w:tc>
          <w:tcPr>
            <w:tcW w:w="975" w:type="dxa"/>
            <w:tcBorders>
              <w:bottom w:val="single" w:sz="18" w:space="0" w:color="CCEDFF"/>
            </w:tcBorders>
            <w:shd w:val="clear" w:color="auto" w:fill="CCEDFF"/>
          </w:tcPr>
          <w:p w14:paraId="4DC6EC74" w14:textId="77777777" w:rsidR="00AE2255" w:rsidRDefault="00AE2255">
            <w:pPr>
              <w:pStyle w:val="TableParagraph"/>
              <w:spacing w:before="0"/>
              <w:jc w:val="left"/>
              <w:rPr>
                <w:sz w:val="18"/>
              </w:rPr>
            </w:pPr>
          </w:p>
        </w:tc>
        <w:tc>
          <w:tcPr>
            <w:tcW w:w="968" w:type="dxa"/>
            <w:tcBorders>
              <w:bottom w:val="single" w:sz="18" w:space="0" w:color="CCEDFF"/>
            </w:tcBorders>
            <w:shd w:val="clear" w:color="auto" w:fill="CCEDFF"/>
          </w:tcPr>
          <w:p w14:paraId="6369FD39" w14:textId="77777777" w:rsidR="00AE2255" w:rsidRDefault="00AE2255">
            <w:pPr>
              <w:pStyle w:val="TableParagraph"/>
              <w:spacing w:before="0"/>
              <w:jc w:val="left"/>
              <w:rPr>
                <w:sz w:val="18"/>
              </w:rPr>
            </w:pPr>
          </w:p>
        </w:tc>
        <w:tc>
          <w:tcPr>
            <w:tcW w:w="931" w:type="dxa"/>
            <w:tcBorders>
              <w:bottom w:val="single" w:sz="18" w:space="0" w:color="CCEDFF"/>
            </w:tcBorders>
            <w:shd w:val="clear" w:color="auto" w:fill="CCEDFF"/>
          </w:tcPr>
          <w:p w14:paraId="742460CD" w14:textId="77777777" w:rsidR="00AE2255" w:rsidRDefault="00AE2255">
            <w:pPr>
              <w:pStyle w:val="TableParagraph"/>
              <w:spacing w:before="0"/>
              <w:jc w:val="left"/>
              <w:rPr>
                <w:sz w:val="18"/>
              </w:rPr>
            </w:pPr>
          </w:p>
        </w:tc>
      </w:tr>
    </w:tbl>
    <w:p w14:paraId="1FBA19C6" w14:textId="77777777" w:rsidR="00AE2255" w:rsidRDefault="00AE2255">
      <w:pPr>
        <w:pStyle w:val="BodyText"/>
        <w:spacing w:before="3"/>
        <w:rPr>
          <w:b/>
          <w:sz w:val="24"/>
        </w:rPr>
      </w:pPr>
    </w:p>
    <w:p w14:paraId="417B8351" w14:textId="77777777" w:rsidR="00AE2255" w:rsidRDefault="00000000">
      <w:pPr>
        <w:pStyle w:val="BodyText"/>
        <w:spacing w:before="1"/>
        <w:ind w:left="610" w:right="428" w:firstLine="495"/>
        <w:jc w:val="both"/>
      </w:pPr>
      <w:r>
        <w:t>Substantially all assets measured at fair value, other than derivatives, represent investments held in a separate trust to</w:t>
      </w:r>
      <w:r>
        <w:rPr>
          <w:spacing w:val="40"/>
        </w:rPr>
        <w:t xml:space="preserve"> </w:t>
      </w:r>
      <w:r>
        <w:t xml:space="preserve">fund certain of our non-qualified deferred compensation plan liabilities. As of December 31, </w:t>
      </w:r>
      <w:proofErr w:type="gramStart"/>
      <w:r>
        <w:t>2022</w:t>
      </w:r>
      <w:proofErr w:type="gramEnd"/>
      <w:r>
        <w:t xml:space="preserve"> and 2021, the fair value of our</w:t>
      </w:r>
      <w:r>
        <w:rPr>
          <w:spacing w:val="50"/>
        </w:rPr>
        <w:t xml:space="preserve"> </w:t>
      </w:r>
      <w:r>
        <w:t>investments</w:t>
      </w:r>
      <w:r>
        <w:rPr>
          <w:spacing w:val="40"/>
        </w:rPr>
        <w:t xml:space="preserve"> </w:t>
      </w:r>
      <w:r>
        <w:t>held</w:t>
      </w:r>
      <w:r>
        <w:rPr>
          <w:spacing w:val="50"/>
        </w:rPr>
        <w:t xml:space="preserve"> </w:t>
      </w:r>
      <w:r>
        <w:t>in</w:t>
      </w:r>
      <w:r>
        <w:rPr>
          <w:spacing w:val="50"/>
        </w:rPr>
        <w:t xml:space="preserve"> </w:t>
      </w:r>
      <w:r>
        <w:t>trust</w:t>
      </w:r>
      <w:r>
        <w:rPr>
          <w:spacing w:val="40"/>
        </w:rPr>
        <w:t xml:space="preserve"> </w:t>
      </w:r>
      <w:r>
        <w:t>totaled</w:t>
      </w:r>
      <w:r>
        <w:rPr>
          <w:spacing w:val="50"/>
        </w:rPr>
        <w:t xml:space="preserve"> </w:t>
      </w:r>
      <w:r>
        <w:t>$1.6</w:t>
      </w:r>
      <w:r>
        <w:rPr>
          <w:spacing w:val="50"/>
        </w:rPr>
        <w:t xml:space="preserve"> </w:t>
      </w:r>
      <w:r>
        <w:t>billion</w:t>
      </w:r>
      <w:r>
        <w:rPr>
          <w:spacing w:val="50"/>
        </w:rPr>
        <w:t xml:space="preserve"> </w:t>
      </w:r>
      <w:r>
        <w:t>and</w:t>
      </w:r>
      <w:r>
        <w:rPr>
          <w:spacing w:val="50"/>
        </w:rPr>
        <w:t xml:space="preserve"> </w:t>
      </w:r>
      <w:r>
        <w:t>$2.1</w:t>
      </w:r>
      <w:r>
        <w:rPr>
          <w:spacing w:val="50"/>
        </w:rPr>
        <w:t xml:space="preserve"> </w:t>
      </w:r>
      <w:r>
        <w:t>billion</w:t>
      </w:r>
      <w:r>
        <w:rPr>
          <w:spacing w:val="50"/>
        </w:rPr>
        <w:t xml:space="preserve"> </w:t>
      </w:r>
      <w:r>
        <w:t>and</w:t>
      </w:r>
      <w:r>
        <w:rPr>
          <w:spacing w:val="50"/>
        </w:rPr>
        <w:t xml:space="preserve"> </w:t>
      </w:r>
      <w:r>
        <w:t>was</w:t>
      </w:r>
      <w:r>
        <w:rPr>
          <w:spacing w:val="40"/>
        </w:rPr>
        <w:t xml:space="preserve"> </w:t>
      </w:r>
      <w:r>
        <w:t>included</w:t>
      </w:r>
      <w:r>
        <w:rPr>
          <w:spacing w:val="50"/>
        </w:rPr>
        <w:t xml:space="preserve"> </w:t>
      </w:r>
      <w:r>
        <w:t>in</w:t>
      </w:r>
      <w:r>
        <w:rPr>
          <w:spacing w:val="50"/>
        </w:rPr>
        <w:t xml:space="preserve"> </w:t>
      </w:r>
      <w:r>
        <w:t>other</w:t>
      </w:r>
      <w:r>
        <w:rPr>
          <w:spacing w:val="50"/>
        </w:rPr>
        <w:t xml:space="preserve"> </w:t>
      </w:r>
      <w:r>
        <w:t>noncurrent</w:t>
      </w:r>
      <w:r>
        <w:rPr>
          <w:spacing w:val="40"/>
        </w:rPr>
        <w:t xml:space="preserve"> </w:t>
      </w:r>
      <w:r>
        <w:t>assets</w:t>
      </w:r>
      <w:r>
        <w:rPr>
          <w:spacing w:val="40"/>
        </w:rPr>
        <w:t xml:space="preserve"> </w:t>
      </w:r>
      <w:r>
        <w:t>on</w:t>
      </w:r>
      <w:r>
        <w:rPr>
          <w:spacing w:val="50"/>
        </w:rPr>
        <w:t xml:space="preserve"> </w:t>
      </w:r>
      <w:r>
        <w:t>our</w:t>
      </w:r>
    </w:p>
    <w:p w14:paraId="3A6991B8" w14:textId="77777777" w:rsidR="00AE2255" w:rsidRDefault="00AE2255">
      <w:pPr>
        <w:jc w:val="both"/>
        <w:sectPr w:rsidR="00AE2255">
          <w:pgSz w:w="12240" w:h="15840"/>
          <w:pgMar w:top="440" w:right="560" w:bottom="720" w:left="380" w:header="230" w:footer="531" w:gutter="0"/>
          <w:cols w:space="720"/>
        </w:sectPr>
      </w:pPr>
    </w:p>
    <w:p w14:paraId="7F080AC5" w14:textId="77777777" w:rsidR="00AE2255" w:rsidRDefault="00AE2255">
      <w:pPr>
        <w:pStyle w:val="BodyText"/>
        <w:spacing w:before="10"/>
        <w:rPr>
          <w:sz w:val="22"/>
        </w:rPr>
      </w:pPr>
    </w:p>
    <w:p w14:paraId="729219FB" w14:textId="77777777" w:rsidR="00AE2255" w:rsidRDefault="00000000">
      <w:pPr>
        <w:pStyle w:val="BodyText"/>
        <w:spacing w:before="92"/>
        <w:ind w:left="610"/>
        <w:jc w:val="both"/>
      </w:pPr>
      <w:r>
        <w:t>consolidated</w:t>
      </w:r>
      <w:r>
        <w:rPr>
          <w:spacing w:val="34"/>
        </w:rPr>
        <w:t xml:space="preserve"> </w:t>
      </w:r>
      <w:r>
        <w:t>balance</w:t>
      </w:r>
      <w:r>
        <w:rPr>
          <w:spacing w:val="34"/>
        </w:rPr>
        <w:t xml:space="preserve"> </w:t>
      </w:r>
      <w:r>
        <w:t>sheets.</w:t>
      </w:r>
      <w:r>
        <w:rPr>
          <w:spacing w:val="35"/>
        </w:rPr>
        <w:t xml:space="preserve"> </w:t>
      </w:r>
      <w:r>
        <w:t>Net</w:t>
      </w:r>
      <w:r>
        <w:rPr>
          <w:spacing w:val="34"/>
        </w:rPr>
        <w:t xml:space="preserve"> </w:t>
      </w:r>
      <w:r>
        <w:t>losses</w:t>
      </w:r>
      <w:r>
        <w:rPr>
          <w:spacing w:val="35"/>
        </w:rPr>
        <w:t xml:space="preserve"> </w:t>
      </w:r>
      <w:r>
        <w:t>on</w:t>
      </w:r>
      <w:r>
        <w:rPr>
          <w:spacing w:val="34"/>
        </w:rPr>
        <w:t xml:space="preserve"> </w:t>
      </w:r>
      <w:r>
        <w:t>these</w:t>
      </w:r>
      <w:r>
        <w:rPr>
          <w:spacing w:val="34"/>
        </w:rPr>
        <w:t xml:space="preserve"> </w:t>
      </w:r>
      <w:r>
        <w:t>securities</w:t>
      </w:r>
      <w:r>
        <w:rPr>
          <w:spacing w:val="35"/>
        </w:rPr>
        <w:t xml:space="preserve"> </w:t>
      </w:r>
      <w:r>
        <w:t>were</w:t>
      </w:r>
      <w:r>
        <w:rPr>
          <w:spacing w:val="34"/>
        </w:rPr>
        <w:t xml:space="preserve"> </w:t>
      </w:r>
      <w:r>
        <w:t>$323</w:t>
      </w:r>
      <w:r>
        <w:rPr>
          <w:spacing w:val="35"/>
        </w:rPr>
        <w:t xml:space="preserve"> </w:t>
      </w:r>
      <w:r>
        <w:t>million</w:t>
      </w:r>
      <w:r>
        <w:rPr>
          <w:spacing w:val="34"/>
        </w:rPr>
        <w:t xml:space="preserve"> </w:t>
      </w:r>
      <w:r>
        <w:t>in</w:t>
      </w:r>
      <w:r>
        <w:rPr>
          <w:spacing w:val="35"/>
        </w:rPr>
        <w:t xml:space="preserve"> </w:t>
      </w:r>
      <w:r>
        <w:t>2022</w:t>
      </w:r>
      <w:r>
        <w:rPr>
          <w:spacing w:val="34"/>
        </w:rPr>
        <w:t xml:space="preserve"> </w:t>
      </w:r>
      <w:r>
        <w:t>and</w:t>
      </w:r>
      <w:r>
        <w:rPr>
          <w:spacing w:val="34"/>
        </w:rPr>
        <w:t xml:space="preserve"> </w:t>
      </w:r>
      <w:r>
        <w:t>net</w:t>
      </w:r>
      <w:r>
        <w:rPr>
          <w:spacing w:val="35"/>
        </w:rPr>
        <w:t xml:space="preserve"> </w:t>
      </w:r>
      <w:r>
        <w:t>gains</w:t>
      </w:r>
      <w:r>
        <w:rPr>
          <w:spacing w:val="34"/>
        </w:rPr>
        <w:t xml:space="preserve"> </w:t>
      </w:r>
      <w:r>
        <w:t>of</w:t>
      </w:r>
      <w:r>
        <w:rPr>
          <w:spacing w:val="35"/>
        </w:rPr>
        <w:t xml:space="preserve"> </w:t>
      </w:r>
      <w:r>
        <w:t>$205</w:t>
      </w:r>
      <w:r>
        <w:rPr>
          <w:spacing w:val="34"/>
        </w:rPr>
        <w:t xml:space="preserve"> </w:t>
      </w:r>
      <w:r>
        <w:t>million</w:t>
      </w:r>
      <w:r>
        <w:rPr>
          <w:spacing w:val="35"/>
        </w:rPr>
        <w:t xml:space="preserve"> </w:t>
      </w:r>
      <w:r>
        <w:rPr>
          <w:spacing w:val="-5"/>
        </w:rPr>
        <w:t>and</w:t>
      </w:r>
    </w:p>
    <w:p w14:paraId="69FB9A1B" w14:textId="77777777" w:rsidR="00AE2255" w:rsidRDefault="00000000">
      <w:pPr>
        <w:pStyle w:val="BodyText"/>
        <w:ind w:left="610" w:right="428"/>
        <w:jc w:val="both"/>
      </w:pPr>
      <w:r>
        <w:t>$231 million in 2021 and 2020. Gains</w:t>
      </w:r>
      <w:r>
        <w:rPr>
          <w:spacing w:val="-1"/>
        </w:rPr>
        <w:t xml:space="preserve"> </w:t>
      </w:r>
      <w:r>
        <w:t>and losses</w:t>
      </w:r>
      <w:r>
        <w:rPr>
          <w:spacing w:val="-1"/>
        </w:rPr>
        <w:t xml:space="preserve"> </w:t>
      </w:r>
      <w:r>
        <w:t>on these</w:t>
      </w:r>
      <w:r>
        <w:rPr>
          <w:spacing w:val="-1"/>
        </w:rPr>
        <w:t xml:space="preserve"> </w:t>
      </w:r>
      <w:r>
        <w:t>investments</w:t>
      </w:r>
      <w:r>
        <w:rPr>
          <w:spacing w:val="-1"/>
        </w:rPr>
        <w:t xml:space="preserve"> </w:t>
      </w:r>
      <w:r>
        <w:t>are</w:t>
      </w:r>
      <w:r>
        <w:rPr>
          <w:spacing w:val="-1"/>
        </w:rPr>
        <w:t xml:space="preserve"> </w:t>
      </w:r>
      <w:r>
        <w:t>included in other unallocated, net</w:t>
      </w:r>
      <w:r>
        <w:rPr>
          <w:spacing w:val="-1"/>
        </w:rPr>
        <w:t xml:space="preserve"> </w:t>
      </w:r>
      <w:r>
        <w:t>within cost</w:t>
      </w:r>
      <w:r>
        <w:rPr>
          <w:spacing w:val="-1"/>
        </w:rPr>
        <w:t xml:space="preserve"> </w:t>
      </w:r>
      <w:r>
        <w:t>of sales on</w:t>
      </w:r>
      <w:r>
        <w:rPr>
          <w:spacing w:val="-3"/>
        </w:rPr>
        <w:t xml:space="preserve"> </w:t>
      </w:r>
      <w:r>
        <w:t>our</w:t>
      </w:r>
      <w:r>
        <w:rPr>
          <w:spacing w:val="-3"/>
        </w:rPr>
        <w:t xml:space="preserve"> </w:t>
      </w:r>
      <w:r>
        <w:t>consolidated</w:t>
      </w:r>
      <w:r>
        <w:rPr>
          <w:spacing w:val="-3"/>
        </w:rPr>
        <w:t xml:space="preserve"> </w:t>
      </w:r>
      <w:r>
        <w:t>statements</w:t>
      </w:r>
      <w:r>
        <w:rPr>
          <w:spacing w:val="-3"/>
        </w:rPr>
        <w:t xml:space="preserve"> </w:t>
      </w:r>
      <w:r>
        <w:t>of</w:t>
      </w:r>
      <w:r>
        <w:rPr>
          <w:spacing w:val="-3"/>
        </w:rPr>
        <w:t xml:space="preserve"> </w:t>
      </w:r>
      <w:r>
        <w:t>earnings</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align</w:t>
      </w:r>
      <w:r>
        <w:rPr>
          <w:spacing w:val="-3"/>
        </w:rPr>
        <w:t xml:space="preserve"> </w:t>
      </w:r>
      <w:r>
        <w:t>the</w:t>
      </w:r>
      <w:r>
        <w:rPr>
          <w:spacing w:val="-3"/>
        </w:rPr>
        <w:t xml:space="preserve"> </w:t>
      </w:r>
      <w:r>
        <w:t>classification</w:t>
      </w:r>
      <w:r>
        <w:rPr>
          <w:spacing w:val="-3"/>
        </w:rPr>
        <w:t xml:space="preserve"> </w:t>
      </w:r>
      <w:r>
        <w:t>of</w:t>
      </w:r>
      <w:r>
        <w:rPr>
          <w:spacing w:val="-3"/>
        </w:rPr>
        <w:t xml:space="preserve"> </w:t>
      </w:r>
      <w:r>
        <w:t>changes</w:t>
      </w:r>
      <w:r>
        <w:rPr>
          <w:spacing w:val="-3"/>
        </w:rPr>
        <w:t xml:space="preserve"> </w:t>
      </w:r>
      <w:r>
        <w:t>in</w:t>
      </w:r>
      <w:r>
        <w:rPr>
          <w:spacing w:val="-3"/>
        </w:rPr>
        <w:t xml:space="preserve"> </w:t>
      </w:r>
      <w:r>
        <w:t>the</w:t>
      </w:r>
      <w:r>
        <w:rPr>
          <w:spacing w:val="-3"/>
        </w:rPr>
        <w:t xml:space="preserve"> </w:t>
      </w:r>
      <w:r>
        <w:t>market</w:t>
      </w:r>
      <w:r>
        <w:rPr>
          <w:spacing w:val="-3"/>
        </w:rPr>
        <w:t xml:space="preserve"> </w:t>
      </w:r>
      <w:r>
        <w:t>value</w:t>
      </w:r>
      <w:r>
        <w:rPr>
          <w:spacing w:val="-3"/>
        </w:rPr>
        <w:t xml:space="preserve"> </w:t>
      </w:r>
      <w:r>
        <w:t>of</w:t>
      </w:r>
      <w:r>
        <w:rPr>
          <w:spacing w:val="-3"/>
        </w:rPr>
        <w:t xml:space="preserve"> </w:t>
      </w:r>
      <w:r>
        <w:t>investments</w:t>
      </w:r>
      <w:r>
        <w:rPr>
          <w:spacing w:val="-3"/>
        </w:rPr>
        <w:t xml:space="preserve"> </w:t>
      </w:r>
      <w:r>
        <w:t>held for the plan with changes in the value of the corresponding plan liabilities.</w:t>
      </w:r>
    </w:p>
    <w:p w14:paraId="7453FB9C" w14:textId="77777777" w:rsidR="00AE2255" w:rsidRDefault="00AE2255">
      <w:pPr>
        <w:pStyle w:val="BodyText"/>
        <w:spacing w:before="4"/>
        <w:rPr>
          <w:sz w:val="17"/>
        </w:rPr>
      </w:pPr>
    </w:p>
    <w:p w14:paraId="54E88EE6" w14:textId="77777777" w:rsidR="00AE2255" w:rsidRDefault="00000000">
      <w:pPr>
        <w:pStyle w:val="BodyText"/>
        <w:ind w:left="610" w:right="428" w:firstLine="495"/>
        <w:jc w:val="both"/>
      </w:pPr>
      <w:r>
        <w:t>The fair values of mutual funds and certain other securities are determined by reference to the quoted market price per unit in active markets multiplied by the number of units held without consideration of transaction costs. The fair values of U.S. Government and certain other securities are determined using pricing models that use observable inputs (e.g., interest rates and yield curves observable at commonly quoted intervals), bids provided by brokers or dealers or quoted prices of securities with similar characteristics. The fair values of derivative instruments, which consist of foreign currency forward contracts, including embedded</w:t>
      </w:r>
      <w:r>
        <w:rPr>
          <w:spacing w:val="-2"/>
        </w:rPr>
        <w:t xml:space="preserve"> </w:t>
      </w:r>
      <w:r>
        <w:t>derivatives,</w:t>
      </w:r>
      <w:r>
        <w:rPr>
          <w:spacing w:val="-2"/>
        </w:rPr>
        <w:t xml:space="preserve"> </w:t>
      </w:r>
      <w:r>
        <w:t>and</w:t>
      </w:r>
      <w:r>
        <w:rPr>
          <w:spacing w:val="-2"/>
        </w:rPr>
        <w:t xml:space="preserve"> </w:t>
      </w:r>
      <w:r>
        <w:t>interest</w:t>
      </w:r>
      <w:r>
        <w:rPr>
          <w:spacing w:val="-2"/>
        </w:rPr>
        <w:t xml:space="preserve"> </w:t>
      </w:r>
      <w:r>
        <w:t>rate</w:t>
      </w:r>
      <w:r>
        <w:rPr>
          <w:spacing w:val="-2"/>
        </w:rPr>
        <w:t xml:space="preserve"> </w:t>
      </w:r>
      <w:r>
        <w:t>swap</w:t>
      </w:r>
      <w:r>
        <w:rPr>
          <w:spacing w:val="-2"/>
        </w:rPr>
        <w:t xml:space="preserve"> </w:t>
      </w:r>
      <w:r>
        <w:t>contracts,</w:t>
      </w:r>
      <w:r>
        <w:rPr>
          <w:spacing w:val="-2"/>
        </w:rPr>
        <w:t xml:space="preserve"> </w:t>
      </w:r>
      <w:r>
        <w:t>are</w:t>
      </w:r>
      <w:r>
        <w:rPr>
          <w:spacing w:val="-2"/>
        </w:rPr>
        <w:t xml:space="preserve"> </w:t>
      </w:r>
      <w:r>
        <w:t>primarily</w:t>
      </w:r>
      <w:r>
        <w:rPr>
          <w:spacing w:val="-2"/>
        </w:rPr>
        <w:t xml:space="preserve"> </w:t>
      </w:r>
      <w:r>
        <w:t>determined</w:t>
      </w:r>
      <w:r>
        <w:rPr>
          <w:spacing w:val="-2"/>
        </w:rPr>
        <w:t xml:space="preserve"> </w:t>
      </w:r>
      <w:r>
        <w:t>based</w:t>
      </w:r>
      <w:r>
        <w:rPr>
          <w:spacing w:val="-2"/>
        </w:rPr>
        <w:t xml:space="preserve"> </w:t>
      </w:r>
      <w:r>
        <w:t>on</w:t>
      </w:r>
      <w:r>
        <w:rPr>
          <w:spacing w:val="-2"/>
        </w:rPr>
        <w:t xml:space="preserve"> </w:t>
      </w:r>
      <w:r>
        <w:t>the</w:t>
      </w:r>
      <w:r>
        <w:rPr>
          <w:spacing w:val="-2"/>
        </w:rPr>
        <w:t xml:space="preserve"> </w:t>
      </w:r>
      <w:r>
        <w:t>present</w:t>
      </w:r>
      <w:r>
        <w:rPr>
          <w:spacing w:val="-2"/>
        </w:rPr>
        <w:t xml:space="preserve"> </w:t>
      </w:r>
      <w:r>
        <w:t>value</w:t>
      </w:r>
      <w:r>
        <w:rPr>
          <w:spacing w:val="-2"/>
        </w:rPr>
        <w:t xml:space="preserve"> </w:t>
      </w:r>
      <w:r>
        <w:t>of</w:t>
      </w:r>
      <w:r>
        <w:rPr>
          <w:spacing w:val="-2"/>
        </w:rPr>
        <w:t xml:space="preserve"> </w:t>
      </w:r>
      <w:r>
        <w:t>future</w:t>
      </w:r>
      <w:r>
        <w:rPr>
          <w:spacing w:val="-2"/>
        </w:rPr>
        <w:t xml:space="preserve"> </w:t>
      </w:r>
      <w:r>
        <w:t>cash</w:t>
      </w:r>
      <w:r>
        <w:rPr>
          <w:spacing w:val="-2"/>
        </w:rPr>
        <w:t xml:space="preserve"> </w:t>
      </w:r>
      <w:r>
        <w:t xml:space="preserve">flows using model-derived valuations that use observable inputs such as interest rates, credit spreads and foreign currency exchange </w:t>
      </w:r>
      <w:r>
        <w:rPr>
          <w:spacing w:val="-2"/>
        </w:rPr>
        <w:t>rates.</w:t>
      </w:r>
    </w:p>
    <w:p w14:paraId="78BEF7E0" w14:textId="77777777" w:rsidR="00AE2255" w:rsidRDefault="00AE2255">
      <w:pPr>
        <w:pStyle w:val="BodyText"/>
        <w:spacing w:before="5"/>
        <w:rPr>
          <w:sz w:val="9"/>
        </w:rPr>
      </w:pPr>
    </w:p>
    <w:p w14:paraId="513842E9" w14:textId="77777777" w:rsidR="00AE2255" w:rsidRDefault="00000000">
      <w:pPr>
        <w:pStyle w:val="BodyText"/>
        <w:spacing w:before="92"/>
        <w:ind w:left="610" w:right="428" w:firstLine="495"/>
        <w:jc w:val="both"/>
      </w:pPr>
      <w:r>
        <w:t xml:space="preserve">We use derivative instruments principally to reduce our exposure to market risks from changes in foreign currency exchange rates and interest rates. We do not </w:t>
      </w:r>
      <w:proofErr w:type="gramStart"/>
      <w:r>
        <w:t>enter into</w:t>
      </w:r>
      <w:proofErr w:type="gramEnd"/>
      <w:r>
        <w:t xml:space="preserve"> or hold derivative instruments for speculative trading purposes. We transact business globally and are subject to risks associated with changing foreign currency exchange rates. We </w:t>
      </w:r>
      <w:proofErr w:type="gramStart"/>
      <w:r>
        <w:t>enter into</w:t>
      </w:r>
      <w:proofErr w:type="gramEnd"/>
      <w:r>
        <w:t xml:space="preserve"> foreign currency hedges such as forward and option contracts that change in value as foreign currency exchange rates change. Our most significant foreign currency exposures relate to the British pound sterling, the euro, the Canadian dollar, the Australian dollar, the Norwegian </w:t>
      </w:r>
      <w:proofErr w:type="gramStart"/>
      <w:r>
        <w:t>kroner</w:t>
      </w:r>
      <w:proofErr w:type="gramEnd"/>
      <w:r>
        <w:t xml:space="preserve"> and the Polish zloty. These contracts hedge forecasted foreign currency transactions </w:t>
      </w:r>
      <w:proofErr w:type="gramStart"/>
      <w:r>
        <w:t>in order to</w:t>
      </w:r>
      <w:proofErr w:type="gramEnd"/>
      <w:r>
        <w:t xml:space="preserve"> minimize fluctuations in our earnings and cash flows associated with changes in foreign currency exchange rates. We designate foreign currency hedges as cash flow hedges. We also are exposed to the impact of interest rate changes primarily through our borrowing activities. For fixed rate borrowings, we may use variable interest rate swaps, effectively converting fixed rate borrowings to variable rate borrowings </w:t>
      </w:r>
      <w:proofErr w:type="gramStart"/>
      <w:r>
        <w:t>in order to</w:t>
      </w:r>
      <w:proofErr w:type="gramEnd"/>
      <w:r>
        <w:t xml:space="preserve"> hedge changes in the fair value of the debt. These swaps are designated as fair value hedges. For variable rate borrowings, we may use fixed interest rate swaps, effectively converting variable rate borrowings to fixed rate borrowings </w:t>
      </w:r>
      <w:proofErr w:type="gramStart"/>
      <w:r>
        <w:t>in order to</w:t>
      </w:r>
      <w:proofErr w:type="gramEnd"/>
      <w:r>
        <w:t xml:space="preserve"> minimize the impact of interest rate changes on earnings. These swaps are designated as cash flow hedges. We also may </w:t>
      </w:r>
      <w:proofErr w:type="gramStart"/>
      <w:r>
        <w:t>enter into</w:t>
      </w:r>
      <w:proofErr w:type="gramEnd"/>
      <w:r>
        <w:t xml:space="preserve"> derivative instruments that are not designated as hedges and do not qualify for hedge accounting, which are intended to minimize certain economic exposures.</w:t>
      </w:r>
    </w:p>
    <w:p w14:paraId="766BCC44" w14:textId="77777777" w:rsidR="00AE2255" w:rsidRDefault="00AE2255">
      <w:pPr>
        <w:pStyle w:val="BodyText"/>
        <w:spacing w:before="5"/>
        <w:rPr>
          <w:sz w:val="17"/>
        </w:rPr>
      </w:pPr>
    </w:p>
    <w:p w14:paraId="208854ED" w14:textId="77777777" w:rsidR="00AE2255" w:rsidRDefault="00000000">
      <w:pPr>
        <w:pStyle w:val="BodyText"/>
        <w:ind w:left="970"/>
        <w:jc w:val="both"/>
      </w:pPr>
      <w:r>
        <w:t>The</w:t>
      </w:r>
      <w:r>
        <w:rPr>
          <w:spacing w:val="-1"/>
        </w:rPr>
        <w:t xml:space="preserve"> </w:t>
      </w:r>
      <w:r>
        <w:t>aggregate</w:t>
      </w:r>
      <w:r>
        <w:rPr>
          <w:spacing w:val="2"/>
        </w:rPr>
        <w:t xml:space="preserve"> </w:t>
      </w:r>
      <w:r>
        <w:t>notional</w:t>
      </w:r>
      <w:r>
        <w:rPr>
          <w:spacing w:val="2"/>
        </w:rPr>
        <w:t xml:space="preserve"> </w:t>
      </w:r>
      <w:r>
        <w:t>amount</w:t>
      </w:r>
      <w:r>
        <w:rPr>
          <w:spacing w:val="2"/>
        </w:rPr>
        <w:t xml:space="preserve"> </w:t>
      </w:r>
      <w:r>
        <w:t>of</w:t>
      </w:r>
      <w:r>
        <w:rPr>
          <w:spacing w:val="2"/>
        </w:rPr>
        <w:t xml:space="preserve"> </w:t>
      </w:r>
      <w:r>
        <w:t>our</w:t>
      </w:r>
      <w:r>
        <w:rPr>
          <w:spacing w:val="2"/>
        </w:rPr>
        <w:t xml:space="preserve"> </w:t>
      </w:r>
      <w:r>
        <w:t>outstanding</w:t>
      </w:r>
      <w:r>
        <w:rPr>
          <w:spacing w:val="2"/>
        </w:rPr>
        <w:t xml:space="preserve"> </w:t>
      </w:r>
      <w:r>
        <w:t>interest</w:t>
      </w:r>
      <w:r>
        <w:rPr>
          <w:spacing w:val="2"/>
        </w:rPr>
        <w:t xml:space="preserve"> </w:t>
      </w:r>
      <w:r>
        <w:t>rate</w:t>
      </w:r>
      <w:r>
        <w:rPr>
          <w:spacing w:val="2"/>
        </w:rPr>
        <w:t xml:space="preserve"> </w:t>
      </w:r>
      <w:r>
        <w:t>swaps</w:t>
      </w:r>
      <w:r>
        <w:rPr>
          <w:spacing w:val="2"/>
        </w:rPr>
        <w:t xml:space="preserve"> </w:t>
      </w:r>
      <w:proofErr w:type="gramStart"/>
      <w:r>
        <w:t>at</w:t>
      </w:r>
      <w:proofErr w:type="gramEnd"/>
      <w:r>
        <w:rPr>
          <w:spacing w:val="2"/>
        </w:rPr>
        <w:t xml:space="preserve"> </w:t>
      </w:r>
      <w:r>
        <w:t>December</w:t>
      </w:r>
      <w:r>
        <w:rPr>
          <w:spacing w:val="2"/>
        </w:rPr>
        <w:t xml:space="preserve"> </w:t>
      </w:r>
      <w:r>
        <w:t>31,</w:t>
      </w:r>
      <w:r>
        <w:rPr>
          <w:spacing w:val="2"/>
        </w:rPr>
        <w:t xml:space="preserve"> </w:t>
      </w:r>
      <w:r>
        <w:t>2022</w:t>
      </w:r>
      <w:r>
        <w:rPr>
          <w:spacing w:val="2"/>
        </w:rPr>
        <w:t xml:space="preserve"> </w:t>
      </w:r>
      <w:r>
        <w:t>and</w:t>
      </w:r>
      <w:r>
        <w:rPr>
          <w:spacing w:val="2"/>
        </w:rPr>
        <w:t xml:space="preserve"> </w:t>
      </w:r>
      <w:r>
        <w:t>2021</w:t>
      </w:r>
      <w:r>
        <w:rPr>
          <w:spacing w:val="2"/>
        </w:rPr>
        <w:t xml:space="preserve"> </w:t>
      </w:r>
      <w:r>
        <w:t>was</w:t>
      </w:r>
      <w:r>
        <w:rPr>
          <w:spacing w:val="2"/>
        </w:rPr>
        <w:t xml:space="preserve"> </w:t>
      </w:r>
      <w:r>
        <w:t>$1.3</w:t>
      </w:r>
      <w:r>
        <w:rPr>
          <w:spacing w:val="2"/>
        </w:rPr>
        <w:t xml:space="preserve"> </w:t>
      </w:r>
      <w:r>
        <w:t>billion</w:t>
      </w:r>
      <w:r>
        <w:rPr>
          <w:spacing w:val="2"/>
        </w:rPr>
        <w:t xml:space="preserve"> </w:t>
      </w:r>
      <w:r>
        <w:rPr>
          <w:spacing w:val="-5"/>
        </w:rPr>
        <w:t>and</w:t>
      </w:r>
    </w:p>
    <w:p w14:paraId="292EC444" w14:textId="77777777" w:rsidR="00AE2255" w:rsidRDefault="00000000">
      <w:pPr>
        <w:pStyle w:val="BodyText"/>
        <w:ind w:left="610" w:right="427"/>
        <w:jc w:val="both"/>
      </w:pPr>
      <w:r>
        <w:t>$500 million and the increase from 2021 was due to interest rate swaps being designated on the additional debt we issued</w:t>
      </w:r>
      <w:r>
        <w:rPr>
          <w:spacing w:val="40"/>
        </w:rPr>
        <w:t xml:space="preserve"> </w:t>
      </w:r>
      <w:r>
        <w:t xml:space="preserve">during the fourth quarter. The aggregate notional amount of our outstanding foreign currency hedges </w:t>
      </w:r>
      <w:proofErr w:type="gramStart"/>
      <w:r>
        <w:t>at</w:t>
      </w:r>
      <w:proofErr w:type="gramEnd"/>
      <w:r>
        <w:t xml:space="preserve"> December 31, 2022 and 2021 was $7.3 billion and $4.0 billion and the increase from 2021 is due to the timing of contract awards denominated in foreign currencies. The fair values of our outstanding interest rate swaps and foreign currency hedges </w:t>
      </w:r>
      <w:proofErr w:type="gramStart"/>
      <w:r>
        <w:t>at</w:t>
      </w:r>
      <w:proofErr w:type="gramEnd"/>
      <w:r>
        <w:t xml:space="preserve"> December 31, 2022</w:t>
      </w:r>
      <w:r>
        <w:rPr>
          <w:spacing w:val="40"/>
        </w:rPr>
        <w:t xml:space="preserve"> </w:t>
      </w:r>
      <w:r>
        <w:t>and 2021 were not significant. Derivative instruments did not have a material impact on net earnings and comprehensive</w:t>
      </w:r>
      <w:r>
        <w:rPr>
          <w:spacing w:val="40"/>
        </w:rPr>
        <w:t xml:space="preserve"> </w:t>
      </w:r>
      <w:r>
        <w:t xml:space="preserve">income during the years ended December 31, </w:t>
      </w:r>
      <w:proofErr w:type="gramStart"/>
      <w:r>
        <w:t>2022</w:t>
      </w:r>
      <w:proofErr w:type="gramEnd"/>
      <w:r>
        <w:t xml:space="preserve"> and 2021. The impact of derivative instruments on our consolidated statements of cash flows is included in net cash provided by operating activities. Substantially </w:t>
      </w:r>
      <w:proofErr w:type="gramStart"/>
      <w:r>
        <w:t>all of</w:t>
      </w:r>
      <w:proofErr w:type="gramEnd"/>
      <w:r>
        <w:t xml:space="preserve"> our derivatives are designated for hedge accounting. See “Note 1 – Organization and Significant Accounting Policies - Derivative financial </w:t>
      </w:r>
      <w:r>
        <w:rPr>
          <w:spacing w:val="-2"/>
        </w:rPr>
        <w:t>instruments”.</w:t>
      </w:r>
    </w:p>
    <w:p w14:paraId="022C3914" w14:textId="77777777" w:rsidR="00AE2255" w:rsidRDefault="00AE2255">
      <w:pPr>
        <w:pStyle w:val="BodyText"/>
        <w:spacing w:before="10"/>
      </w:pPr>
    </w:p>
    <w:p w14:paraId="7596559B" w14:textId="77777777" w:rsidR="00AE2255" w:rsidRDefault="00000000">
      <w:pPr>
        <w:pStyle w:val="BodyText"/>
        <w:spacing w:line="249" w:lineRule="auto"/>
        <w:ind w:left="610" w:right="428" w:firstLine="360"/>
        <w:jc w:val="both"/>
      </w:pPr>
      <w:r>
        <w:t xml:space="preserve">In addition to the financial instruments listed in the table above, we hold other financial instruments, including cash and cash equivalents, receivables, accounts payable and debt. The carrying amounts for cash and cash equivalents, </w:t>
      </w:r>
      <w:proofErr w:type="gramStart"/>
      <w:r>
        <w:t>receivables</w:t>
      </w:r>
      <w:proofErr w:type="gramEnd"/>
      <w:r>
        <w:t xml:space="preserve"> and accounts</w:t>
      </w:r>
      <w:r>
        <w:rPr>
          <w:spacing w:val="39"/>
        </w:rPr>
        <w:t xml:space="preserve"> </w:t>
      </w:r>
      <w:r>
        <w:t>payable</w:t>
      </w:r>
      <w:r>
        <w:rPr>
          <w:spacing w:val="39"/>
        </w:rPr>
        <w:t xml:space="preserve"> </w:t>
      </w:r>
      <w:r>
        <w:t>approximated</w:t>
      </w:r>
      <w:r>
        <w:rPr>
          <w:spacing w:val="39"/>
        </w:rPr>
        <w:t xml:space="preserve"> </w:t>
      </w:r>
      <w:r>
        <w:t>their</w:t>
      </w:r>
      <w:r>
        <w:rPr>
          <w:spacing w:val="39"/>
        </w:rPr>
        <w:t xml:space="preserve"> </w:t>
      </w:r>
      <w:r>
        <w:t>fair</w:t>
      </w:r>
      <w:r>
        <w:rPr>
          <w:spacing w:val="39"/>
        </w:rPr>
        <w:t xml:space="preserve"> </w:t>
      </w:r>
      <w:r>
        <w:t>values.</w:t>
      </w:r>
      <w:r>
        <w:rPr>
          <w:spacing w:val="39"/>
        </w:rPr>
        <w:t xml:space="preserve"> </w:t>
      </w:r>
      <w:r>
        <w:t>The</w:t>
      </w:r>
      <w:r>
        <w:rPr>
          <w:spacing w:val="39"/>
        </w:rPr>
        <w:t xml:space="preserve"> </w:t>
      </w:r>
      <w:r>
        <w:t>estimated</w:t>
      </w:r>
      <w:r>
        <w:rPr>
          <w:spacing w:val="39"/>
        </w:rPr>
        <w:t xml:space="preserve"> </w:t>
      </w:r>
      <w:r>
        <w:t>fair</w:t>
      </w:r>
      <w:r>
        <w:rPr>
          <w:spacing w:val="39"/>
        </w:rPr>
        <w:t xml:space="preserve"> </w:t>
      </w:r>
      <w:r>
        <w:t>value</w:t>
      </w:r>
      <w:r>
        <w:rPr>
          <w:spacing w:val="39"/>
        </w:rPr>
        <w:t xml:space="preserve"> </w:t>
      </w:r>
      <w:r>
        <w:t>of</w:t>
      </w:r>
      <w:r>
        <w:rPr>
          <w:spacing w:val="39"/>
        </w:rPr>
        <w:t xml:space="preserve"> </w:t>
      </w:r>
      <w:r>
        <w:t>our</w:t>
      </w:r>
      <w:r>
        <w:rPr>
          <w:spacing w:val="39"/>
        </w:rPr>
        <w:t xml:space="preserve"> </w:t>
      </w:r>
      <w:r>
        <w:t>outstanding</w:t>
      </w:r>
      <w:r>
        <w:rPr>
          <w:spacing w:val="39"/>
        </w:rPr>
        <w:t xml:space="preserve"> </w:t>
      </w:r>
      <w:r>
        <w:t>debt</w:t>
      </w:r>
      <w:r>
        <w:rPr>
          <w:spacing w:val="39"/>
        </w:rPr>
        <w:t xml:space="preserve"> </w:t>
      </w:r>
      <w:r>
        <w:t>was</w:t>
      </w:r>
      <w:r>
        <w:rPr>
          <w:spacing w:val="39"/>
        </w:rPr>
        <w:t xml:space="preserve"> </w:t>
      </w:r>
      <w:r>
        <w:t>$16.0</w:t>
      </w:r>
      <w:r>
        <w:rPr>
          <w:spacing w:val="39"/>
        </w:rPr>
        <w:t xml:space="preserve"> </w:t>
      </w:r>
      <w:r>
        <w:t>billion</w:t>
      </w:r>
      <w:r>
        <w:rPr>
          <w:spacing w:val="39"/>
        </w:rPr>
        <w:t xml:space="preserve"> </w:t>
      </w:r>
      <w:r>
        <w:t>and</w:t>
      </w:r>
    </w:p>
    <w:p w14:paraId="235F14FF" w14:textId="77777777" w:rsidR="00AE2255" w:rsidRDefault="00000000">
      <w:pPr>
        <w:pStyle w:val="BodyText"/>
        <w:spacing w:before="2" w:line="249" w:lineRule="auto"/>
        <w:ind w:left="610" w:right="428"/>
        <w:jc w:val="both"/>
      </w:pPr>
      <w:r>
        <w:t xml:space="preserve">$15.4 billion </w:t>
      </w:r>
      <w:proofErr w:type="gramStart"/>
      <w:r>
        <w:t>at</w:t>
      </w:r>
      <w:proofErr w:type="gramEnd"/>
      <w:r>
        <w:t xml:space="preserve"> December 31, 2022 and 2021. The outstanding principal amount was $16.8 billion and $12.8 billion </w:t>
      </w:r>
      <w:proofErr w:type="gramStart"/>
      <w:r>
        <w:t>at</w:t>
      </w:r>
      <w:proofErr w:type="gramEnd"/>
      <w:r>
        <w:t xml:space="preserve"> December</w:t>
      </w:r>
      <w:r>
        <w:rPr>
          <w:spacing w:val="40"/>
        </w:rPr>
        <w:t xml:space="preserve"> </w:t>
      </w:r>
      <w:r>
        <w:t>31,</w:t>
      </w:r>
      <w:r>
        <w:rPr>
          <w:spacing w:val="40"/>
        </w:rPr>
        <w:t xml:space="preserve"> </w:t>
      </w:r>
      <w:r>
        <w:t>2022</w:t>
      </w:r>
      <w:r>
        <w:rPr>
          <w:spacing w:val="40"/>
        </w:rPr>
        <w:t xml:space="preserve"> </w:t>
      </w:r>
      <w:r>
        <w:t>and</w:t>
      </w:r>
      <w:r>
        <w:rPr>
          <w:spacing w:val="40"/>
        </w:rPr>
        <w:t xml:space="preserve"> </w:t>
      </w:r>
      <w:r>
        <w:t>2021,</w:t>
      </w:r>
      <w:r>
        <w:rPr>
          <w:spacing w:val="40"/>
        </w:rPr>
        <w:t xml:space="preserve"> </w:t>
      </w:r>
      <w:r>
        <w:t>excluding</w:t>
      </w:r>
      <w:r>
        <w:rPr>
          <w:spacing w:val="40"/>
        </w:rPr>
        <w:t xml:space="preserve"> </w:t>
      </w:r>
      <w:r>
        <w:t>$1.3</w:t>
      </w:r>
      <w:r>
        <w:rPr>
          <w:spacing w:val="40"/>
        </w:rPr>
        <w:t xml:space="preserve"> </w:t>
      </w:r>
      <w:r>
        <w:t>billion</w:t>
      </w:r>
      <w:r>
        <w:rPr>
          <w:spacing w:val="40"/>
        </w:rPr>
        <w:t xml:space="preserve"> </w:t>
      </w:r>
      <w:r>
        <w:t>and</w:t>
      </w:r>
      <w:r>
        <w:rPr>
          <w:spacing w:val="40"/>
        </w:rPr>
        <w:t xml:space="preserve"> </w:t>
      </w:r>
      <w:r>
        <w:t>$1.1</w:t>
      </w:r>
      <w:r>
        <w:rPr>
          <w:spacing w:val="40"/>
        </w:rPr>
        <w:t xml:space="preserve"> </w:t>
      </w:r>
      <w:r>
        <w:t>billion</w:t>
      </w:r>
      <w:r>
        <w:rPr>
          <w:spacing w:val="40"/>
        </w:rPr>
        <w:t xml:space="preserve"> </w:t>
      </w:r>
      <w:r>
        <w:t>of</w:t>
      </w:r>
      <w:r>
        <w:rPr>
          <w:spacing w:val="40"/>
        </w:rPr>
        <w:t xml:space="preserve"> </w:t>
      </w:r>
      <w:r>
        <w:t>unamortized</w:t>
      </w:r>
      <w:r>
        <w:rPr>
          <w:spacing w:val="40"/>
        </w:rPr>
        <w:t xml:space="preserve"> </w:t>
      </w:r>
      <w:r>
        <w:t>discounts</w:t>
      </w:r>
      <w:r>
        <w:rPr>
          <w:spacing w:val="40"/>
        </w:rPr>
        <w:t xml:space="preserve"> </w:t>
      </w:r>
      <w:r>
        <w:t>and</w:t>
      </w:r>
      <w:r>
        <w:rPr>
          <w:spacing w:val="40"/>
        </w:rPr>
        <w:t xml:space="preserve"> </w:t>
      </w:r>
      <w:r>
        <w:t>issuance</w:t>
      </w:r>
      <w:r>
        <w:rPr>
          <w:spacing w:val="40"/>
        </w:rPr>
        <w:t xml:space="preserve"> </w:t>
      </w:r>
      <w:r>
        <w:t>costs</w:t>
      </w:r>
      <w:r>
        <w:rPr>
          <w:spacing w:val="40"/>
        </w:rPr>
        <w:t xml:space="preserve"> </w:t>
      </w:r>
      <w:r>
        <w:t xml:space="preserve">at December 31, 2022 and 2021. The estimated fair values of our outstanding debt were determined based on the present value of future cash flows using model-derived valuations that use observable inputs such as interest rates and credit spreads (Level 2). We also hold investments in </w:t>
      </w:r>
      <w:proofErr w:type="gramStart"/>
      <w:r>
        <w:t>early stage</w:t>
      </w:r>
      <w:proofErr w:type="gramEnd"/>
      <w:r>
        <w:t xml:space="preserve"> companies. Most of these investments are in equity securities without readily determinable fair values. Investments with quoted market prices in active markets (Level 1) are recorded at fair value at the end of each reporting period and reflected in other securities in the table above. See “Note 1 – Organization and Significant Accounting Policies - Investments”.</w:t>
      </w:r>
    </w:p>
    <w:p w14:paraId="11B54498" w14:textId="77777777" w:rsidR="00AE2255" w:rsidRDefault="00AE2255">
      <w:pPr>
        <w:spacing w:line="249" w:lineRule="auto"/>
        <w:jc w:val="both"/>
        <w:sectPr w:rsidR="00AE2255">
          <w:pgSz w:w="12240" w:h="15840"/>
          <w:pgMar w:top="440" w:right="560" w:bottom="720" w:left="380" w:header="230" w:footer="531" w:gutter="0"/>
          <w:cols w:space="720"/>
        </w:sectPr>
      </w:pPr>
    </w:p>
    <w:p w14:paraId="72153968" w14:textId="77777777" w:rsidR="00AE2255" w:rsidRDefault="00AE2255">
      <w:pPr>
        <w:pStyle w:val="BodyText"/>
        <w:spacing w:before="7"/>
        <w:rPr>
          <w:sz w:val="22"/>
        </w:rPr>
      </w:pPr>
    </w:p>
    <w:p w14:paraId="334841D8" w14:textId="77777777" w:rsidR="00AE2255" w:rsidRDefault="00000000">
      <w:pPr>
        <w:pStyle w:val="Heading2"/>
        <w:spacing w:before="92"/>
      </w:pPr>
      <w:bookmarkStart w:id="63" w:name="Note__16_–_Severance_Charges"/>
      <w:bookmarkEnd w:id="63"/>
      <w:r>
        <w:t>Note</w:t>
      </w:r>
      <w:r>
        <w:rPr>
          <w:spacing w:val="-3"/>
        </w:rPr>
        <w:t xml:space="preserve"> </w:t>
      </w:r>
      <w:r>
        <w:t>16</w:t>
      </w:r>
      <w:r>
        <w:rPr>
          <w:spacing w:val="-2"/>
        </w:rPr>
        <w:t xml:space="preserve"> </w:t>
      </w:r>
      <w:r>
        <w:t>–</w:t>
      </w:r>
      <w:r>
        <w:rPr>
          <w:spacing w:val="-2"/>
        </w:rPr>
        <w:t xml:space="preserve"> </w:t>
      </w:r>
      <w:r>
        <w:t>Severance</w:t>
      </w:r>
      <w:r>
        <w:rPr>
          <w:spacing w:val="-3"/>
        </w:rPr>
        <w:t xml:space="preserve"> </w:t>
      </w:r>
      <w:r>
        <w:t>and</w:t>
      </w:r>
      <w:r>
        <w:rPr>
          <w:spacing w:val="-3"/>
        </w:rPr>
        <w:t xml:space="preserve"> </w:t>
      </w:r>
      <w:r>
        <w:t>Other</w:t>
      </w:r>
      <w:r>
        <w:rPr>
          <w:spacing w:val="-2"/>
        </w:rPr>
        <w:t xml:space="preserve"> Charges</w:t>
      </w:r>
    </w:p>
    <w:p w14:paraId="7612C712" w14:textId="77777777" w:rsidR="00AE2255" w:rsidRDefault="00AE2255">
      <w:pPr>
        <w:pStyle w:val="BodyText"/>
        <w:spacing w:before="6"/>
        <w:rPr>
          <w:b/>
          <w:sz w:val="18"/>
        </w:rPr>
      </w:pPr>
    </w:p>
    <w:p w14:paraId="496BE1F1" w14:textId="77777777" w:rsidR="00AE2255" w:rsidRDefault="00000000">
      <w:pPr>
        <w:pStyle w:val="BodyText"/>
        <w:spacing w:line="249" w:lineRule="auto"/>
        <w:ind w:left="610" w:right="428" w:firstLine="360"/>
        <w:jc w:val="both"/>
      </w:pPr>
      <w:r>
        <w:t>During the fourth quarter of 2022, we recorded severance and other charges totaling $100 million ($79 million, or $0.31</w:t>
      </w:r>
      <w:r>
        <w:rPr>
          <w:spacing w:val="40"/>
        </w:rPr>
        <w:t xml:space="preserve"> </w:t>
      </w:r>
      <w:r>
        <w:t>per share, after-tax) related to actions at our RMS business segment, which include severance costs for reduction of positions and asset impairment charges. After a strategic review of RMS, these actions will improve the efficiency of our operations, better align the organization and cost structure with changing economic conditions, and changes in program lifecycles.</w:t>
      </w:r>
    </w:p>
    <w:p w14:paraId="4AC7C3AD" w14:textId="77777777" w:rsidR="00AE2255" w:rsidRDefault="00AE2255">
      <w:pPr>
        <w:pStyle w:val="BodyText"/>
        <w:spacing w:before="7"/>
        <w:rPr>
          <w:sz w:val="17"/>
        </w:rPr>
      </w:pPr>
    </w:p>
    <w:p w14:paraId="6CAA979D" w14:textId="77777777" w:rsidR="00AE2255" w:rsidRDefault="00000000">
      <w:pPr>
        <w:pStyle w:val="BodyText"/>
        <w:spacing w:before="1" w:line="249" w:lineRule="auto"/>
        <w:ind w:left="610" w:right="429" w:firstLine="360"/>
        <w:jc w:val="both"/>
      </w:pPr>
      <w:r>
        <w:t xml:space="preserve">During 2021, we recognized severance charges totaling $36 million ($28 million, or $0.10 per share, after-tax) related to workforce reductions and facility exit costs within our RMS business segment. These actions were taken to consolidate certain operations </w:t>
      </w:r>
      <w:proofErr w:type="gramStart"/>
      <w:r>
        <w:t>in order to</w:t>
      </w:r>
      <w:proofErr w:type="gramEnd"/>
      <w:r>
        <w:t xml:space="preserve"> improve the efficiency of RMS’ manufacturing operations and the affordability of its products and services. Employees terminated as part of these actions will receive lump-sum severance payments upon separation primarily based on years of service.</w:t>
      </w:r>
    </w:p>
    <w:p w14:paraId="67876515" w14:textId="77777777" w:rsidR="00AE2255" w:rsidRDefault="00AE2255">
      <w:pPr>
        <w:pStyle w:val="BodyText"/>
        <w:spacing w:before="8"/>
        <w:rPr>
          <w:sz w:val="17"/>
        </w:rPr>
      </w:pPr>
    </w:p>
    <w:p w14:paraId="503DCAFE" w14:textId="77777777" w:rsidR="00AE2255" w:rsidRDefault="00000000">
      <w:pPr>
        <w:pStyle w:val="BodyText"/>
        <w:spacing w:line="249" w:lineRule="auto"/>
        <w:ind w:left="610" w:right="430" w:firstLine="360"/>
        <w:jc w:val="both"/>
      </w:pPr>
      <w:r>
        <w:t>During 2020, we recognized severance charges totaling $27 million ($21 million, or $0.08 per share, after-tax) related to workforce reductions primarily within our corporate functions. These actions were taken to keep our cost structure aligned with our customers’ need to improve efficiency and deliver cost savings. Employees terminated as part of these actions received lump-sum severance payments upon separation primarily based on years of service.</w:t>
      </w:r>
    </w:p>
    <w:p w14:paraId="6DA14F7B" w14:textId="77777777" w:rsidR="00AE2255" w:rsidRDefault="00AE2255">
      <w:pPr>
        <w:spacing w:line="249" w:lineRule="auto"/>
        <w:jc w:val="both"/>
        <w:sectPr w:rsidR="00AE2255">
          <w:pgSz w:w="12240" w:h="15840"/>
          <w:pgMar w:top="440" w:right="560" w:bottom="720" w:left="380" w:header="230" w:footer="531" w:gutter="0"/>
          <w:cols w:space="720"/>
        </w:sectPr>
      </w:pPr>
    </w:p>
    <w:p w14:paraId="60732063" w14:textId="77777777" w:rsidR="00AE2255" w:rsidRDefault="00AE2255">
      <w:pPr>
        <w:pStyle w:val="BodyText"/>
        <w:spacing w:before="10"/>
        <w:rPr>
          <w:sz w:val="22"/>
        </w:rPr>
      </w:pPr>
    </w:p>
    <w:p w14:paraId="3BAE55CC" w14:textId="77777777" w:rsidR="00AE2255" w:rsidRDefault="00000000">
      <w:pPr>
        <w:pStyle w:val="Heading2"/>
        <w:tabs>
          <w:tab w:val="left" w:pos="1869"/>
        </w:tabs>
        <w:spacing w:before="92"/>
      </w:pPr>
      <w:bookmarkStart w:id="64" w:name="Item_9._Changes_in_and_Disagreements_wit"/>
      <w:bookmarkStart w:id="65" w:name="_bookmark19"/>
      <w:bookmarkEnd w:id="64"/>
      <w:bookmarkEnd w:id="65"/>
      <w:r>
        <w:t>ITEM</w:t>
      </w:r>
      <w:r>
        <w:rPr>
          <w:spacing w:val="-4"/>
        </w:rPr>
        <w:t xml:space="preserve"> </w:t>
      </w:r>
      <w:r>
        <w:rPr>
          <w:spacing w:val="-5"/>
        </w:rPr>
        <w:t>9.</w:t>
      </w:r>
      <w:r>
        <w:tab/>
        <w:t>Changes</w:t>
      </w:r>
      <w:r>
        <w:rPr>
          <w:spacing w:val="-7"/>
        </w:rPr>
        <w:t xml:space="preserve"> </w:t>
      </w:r>
      <w:r>
        <w:t>in</w:t>
      </w:r>
      <w:r>
        <w:rPr>
          <w:spacing w:val="-5"/>
        </w:rPr>
        <w:t xml:space="preserve"> </w:t>
      </w:r>
      <w:r>
        <w:t>and</w:t>
      </w:r>
      <w:r>
        <w:rPr>
          <w:spacing w:val="-4"/>
        </w:rPr>
        <w:t xml:space="preserve"> </w:t>
      </w:r>
      <w:r>
        <w:t>Disagreements</w:t>
      </w:r>
      <w:r>
        <w:rPr>
          <w:spacing w:val="-5"/>
        </w:rPr>
        <w:t xml:space="preserve"> </w:t>
      </w:r>
      <w:r>
        <w:t>with</w:t>
      </w:r>
      <w:r>
        <w:rPr>
          <w:spacing w:val="-4"/>
        </w:rPr>
        <w:t xml:space="preserve"> </w:t>
      </w:r>
      <w:r>
        <w:t>Accountants</w:t>
      </w:r>
      <w:r>
        <w:rPr>
          <w:spacing w:val="-5"/>
        </w:rPr>
        <w:t xml:space="preserve"> </w:t>
      </w:r>
      <w:r>
        <w:t>on</w:t>
      </w:r>
      <w:r>
        <w:rPr>
          <w:spacing w:val="-5"/>
        </w:rPr>
        <w:t xml:space="preserve"> </w:t>
      </w:r>
      <w:r>
        <w:t>Accounting</w:t>
      </w:r>
      <w:r>
        <w:rPr>
          <w:spacing w:val="-3"/>
        </w:rPr>
        <w:t xml:space="preserve"> </w:t>
      </w:r>
      <w:r>
        <w:t>and</w:t>
      </w:r>
      <w:r>
        <w:rPr>
          <w:spacing w:val="-5"/>
        </w:rPr>
        <w:t xml:space="preserve"> </w:t>
      </w:r>
      <w:r>
        <w:t>Financial</w:t>
      </w:r>
      <w:r>
        <w:rPr>
          <w:spacing w:val="-4"/>
        </w:rPr>
        <w:t xml:space="preserve"> </w:t>
      </w:r>
      <w:r>
        <w:rPr>
          <w:spacing w:val="-2"/>
        </w:rPr>
        <w:t>Disclosure</w:t>
      </w:r>
    </w:p>
    <w:p w14:paraId="2A1E592A" w14:textId="77777777" w:rsidR="00AE2255" w:rsidRDefault="00AE2255">
      <w:pPr>
        <w:pStyle w:val="BodyText"/>
        <w:spacing w:before="3"/>
        <w:rPr>
          <w:b/>
          <w:sz w:val="18"/>
        </w:rPr>
      </w:pPr>
    </w:p>
    <w:p w14:paraId="694F62DE" w14:textId="77777777" w:rsidR="00AE2255" w:rsidRDefault="00000000">
      <w:pPr>
        <w:pStyle w:val="BodyText"/>
        <w:ind w:left="970"/>
      </w:pPr>
      <w:r>
        <w:rPr>
          <w:spacing w:val="-2"/>
        </w:rPr>
        <w:t>None.</w:t>
      </w:r>
    </w:p>
    <w:p w14:paraId="2590CAD9" w14:textId="77777777" w:rsidR="00AE2255" w:rsidRDefault="00AE2255">
      <w:pPr>
        <w:pStyle w:val="BodyText"/>
        <w:spacing w:before="8"/>
        <w:rPr>
          <w:sz w:val="28"/>
        </w:rPr>
      </w:pPr>
    </w:p>
    <w:p w14:paraId="3EC2A566" w14:textId="77777777" w:rsidR="00AE2255" w:rsidRDefault="00000000">
      <w:pPr>
        <w:pStyle w:val="Heading2"/>
        <w:spacing w:line="456" w:lineRule="auto"/>
        <w:ind w:right="6418"/>
        <w:jc w:val="both"/>
      </w:pPr>
      <w:bookmarkStart w:id="66" w:name="Item_9A._Controls_and_Procedures"/>
      <w:bookmarkStart w:id="67" w:name="_bookmark20"/>
      <w:bookmarkEnd w:id="66"/>
      <w:bookmarkEnd w:id="67"/>
      <w:r>
        <w:t>ITEM 9A.</w:t>
      </w:r>
      <w:r>
        <w:rPr>
          <w:spacing w:val="80"/>
          <w:w w:val="150"/>
        </w:rPr>
        <w:t xml:space="preserve">  </w:t>
      </w:r>
      <w:r>
        <w:t>Controls and Procedures</w:t>
      </w:r>
      <w:r>
        <w:rPr>
          <w:spacing w:val="40"/>
        </w:rPr>
        <w:t xml:space="preserve"> </w:t>
      </w:r>
      <w:r>
        <w:t>Evaluation</w:t>
      </w:r>
      <w:r>
        <w:rPr>
          <w:spacing w:val="-7"/>
        </w:rPr>
        <w:t xml:space="preserve"> </w:t>
      </w:r>
      <w:r>
        <w:t>of</w:t>
      </w:r>
      <w:r>
        <w:rPr>
          <w:spacing w:val="-3"/>
        </w:rPr>
        <w:t xml:space="preserve"> </w:t>
      </w:r>
      <w:r>
        <w:t>Disclosure</w:t>
      </w:r>
      <w:r>
        <w:rPr>
          <w:spacing w:val="-5"/>
        </w:rPr>
        <w:t xml:space="preserve"> </w:t>
      </w:r>
      <w:r>
        <w:t>Controls</w:t>
      </w:r>
      <w:r>
        <w:rPr>
          <w:spacing w:val="-4"/>
        </w:rPr>
        <w:t xml:space="preserve"> </w:t>
      </w:r>
      <w:r>
        <w:t>and</w:t>
      </w:r>
      <w:r>
        <w:rPr>
          <w:spacing w:val="-4"/>
        </w:rPr>
        <w:t xml:space="preserve"> </w:t>
      </w:r>
      <w:r>
        <w:rPr>
          <w:spacing w:val="-2"/>
        </w:rPr>
        <w:t>Procedures</w:t>
      </w:r>
    </w:p>
    <w:p w14:paraId="4C50073B" w14:textId="77777777" w:rsidR="00AE2255" w:rsidRDefault="00000000">
      <w:pPr>
        <w:pStyle w:val="BodyText"/>
        <w:spacing w:before="6" w:line="249" w:lineRule="auto"/>
        <w:ind w:left="610" w:right="428" w:firstLine="360"/>
        <w:jc w:val="both"/>
      </w:pPr>
      <w:r>
        <w:t>We performed an evaluation of the effectiveness of our disclosure controls and procedures as of December 31, 2022. The evaluation was performed with the participation of senior management of each business segment and key corporate functions, under the supervision of the Chief Executive Officer (CEO) and Chief Financial Officer (CFO). Based on this evaluation, the CEO and CFO concluded that our disclosure controls and procedures were effective as of December 31, 2022.</w:t>
      </w:r>
    </w:p>
    <w:p w14:paraId="35323FB8" w14:textId="77777777" w:rsidR="00AE2255" w:rsidRDefault="00AE2255">
      <w:pPr>
        <w:pStyle w:val="BodyText"/>
        <w:spacing w:before="4"/>
        <w:rPr>
          <w:sz w:val="17"/>
        </w:rPr>
      </w:pPr>
    </w:p>
    <w:p w14:paraId="63C35527" w14:textId="77777777" w:rsidR="00AE2255" w:rsidRDefault="00000000">
      <w:pPr>
        <w:pStyle w:val="Heading2"/>
      </w:pPr>
      <w:r>
        <w:t>Management’s</w:t>
      </w:r>
      <w:r>
        <w:rPr>
          <w:spacing w:val="-7"/>
        </w:rPr>
        <w:t xml:space="preserve"> </w:t>
      </w:r>
      <w:r>
        <w:t>Report</w:t>
      </w:r>
      <w:r>
        <w:rPr>
          <w:spacing w:val="-4"/>
        </w:rPr>
        <w:t xml:space="preserve"> </w:t>
      </w:r>
      <w:r>
        <w:t>on</w:t>
      </w:r>
      <w:r>
        <w:rPr>
          <w:spacing w:val="-4"/>
        </w:rPr>
        <w:t xml:space="preserve"> </w:t>
      </w:r>
      <w:r>
        <w:t>Internal</w:t>
      </w:r>
      <w:r>
        <w:rPr>
          <w:spacing w:val="-5"/>
        </w:rPr>
        <w:t xml:space="preserve"> </w:t>
      </w:r>
      <w:r>
        <w:t>Control</w:t>
      </w:r>
      <w:r>
        <w:rPr>
          <w:spacing w:val="-4"/>
        </w:rPr>
        <w:t xml:space="preserve"> </w:t>
      </w:r>
      <w:r>
        <w:t>Over</w:t>
      </w:r>
      <w:r>
        <w:rPr>
          <w:spacing w:val="-5"/>
        </w:rPr>
        <w:t xml:space="preserve"> </w:t>
      </w:r>
      <w:r>
        <w:t>Financial</w:t>
      </w:r>
      <w:r>
        <w:rPr>
          <w:spacing w:val="-4"/>
        </w:rPr>
        <w:t xml:space="preserve"> </w:t>
      </w:r>
      <w:r>
        <w:rPr>
          <w:spacing w:val="-2"/>
        </w:rPr>
        <w:t>Reporting</w:t>
      </w:r>
    </w:p>
    <w:p w14:paraId="57A694CE" w14:textId="77777777" w:rsidR="00AE2255" w:rsidRDefault="00AE2255">
      <w:pPr>
        <w:pStyle w:val="BodyText"/>
        <w:spacing w:before="7"/>
        <w:rPr>
          <w:b/>
          <w:sz w:val="18"/>
        </w:rPr>
      </w:pPr>
    </w:p>
    <w:p w14:paraId="2CA7824C" w14:textId="77777777" w:rsidR="00AE2255" w:rsidRDefault="00000000">
      <w:pPr>
        <w:pStyle w:val="BodyText"/>
        <w:spacing w:line="249" w:lineRule="auto"/>
        <w:ind w:left="610" w:right="427" w:firstLine="360"/>
        <w:jc w:val="both"/>
      </w:pPr>
      <w:r>
        <w:t>Our management is responsible for establishing and maintaining adequate internal control over financial reporting. Our internal control system is designed to provide reasonable assurance to our management and Board of Directors regarding the reliability of financial reporting and the preparation of consolidated financial statements for external purposes.</w:t>
      </w:r>
    </w:p>
    <w:p w14:paraId="313E60D2" w14:textId="77777777" w:rsidR="00AE2255" w:rsidRDefault="00AE2255">
      <w:pPr>
        <w:pStyle w:val="BodyText"/>
        <w:spacing w:before="7"/>
        <w:rPr>
          <w:sz w:val="17"/>
        </w:rPr>
      </w:pPr>
    </w:p>
    <w:p w14:paraId="41152F81" w14:textId="77777777" w:rsidR="00AE2255" w:rsidRDefault="00000000">
      <w:pPr>
        <w:pStyle w:val="BodyText"/>
        <w:spacing w:line="249" w:lineRule="auto"/>
        <w:ind w:left="610" w:right="427" w:firstLine="360"/>
        <w:jc w:val="both"/>
      </w:pPr>
      <w:r>
        <w:t xml:space="preserve">Our management </w:t>
      </w:r>
      <w:proofErr w:type="gramStart"/>
      <w:r>
        <w:t>conducted an assessment of</w:t>
      </w:r>
      <w:proofErr w:type="gramEnd"/>
      <w:r>
        <w:t xml:space="preserve"> the effectiveness of our internal control over financial reporting as of December 31, 2022. This assessment was based on the criteria set forth by the Committee of Sponsoring Organizations of the Treadway Commission in Internal Control-Integrated Framework (2013 framework). Based on this assessment, management concluded that our internal control over financial reporting was effective as of December 31, 2022.</w:t>
      </w:r>
    </w:p>
    <w:p w14:paraId="64CC522F" w14:textId="77777777" w:rsidR="00AE2255" w:rsidRDefault="00AE2255">
      <w:pPr>
        <w:pStyle w:val="BodyText"/>
        <w:spacing w:before="7"/>
        <w:rPr>
          <w:sz w:val="17"/>
        </w:rPr>
      </w:pPr>
    </w:p>
    <w:p w14:paraId="0D79CB9D" w14:textId="77777777" w:rsidR="00AE2255" w:rsidRDefault="00000000">
      <w:pPr>
        <w:pStyle w:val="BodyText"/>
        <w:spacing w:before="1" w:line="249" w:lineRule="auto"/>
        <w:ind w:left="610" w:right="430" w:firstLine="360"/>
        <w:jc w:val="both"/>
      </w:pPr>
      <w:r>
        <w:t>Our independent registered public accounting firm has issued a report on the effectiveness of our internal control over financial reporting, which is below.</w:t>
      </w:r>
    </w:p>
    <w:p w14:paraId="14850727" w14:textId="77777777" w:rsidR="00AE2255" w:rsidRDefault="00AE2255">
      <w:pPr>
        <w:pStyle w:val="BodyText"/>
        <w:spacing w:before="2"/>
        <w:rPr>
          <w:sz w:val="17"/>
        </w:rPr>
      </w:pPr>
    </w:p>
    <w:p w14:paraId="4E7010B9" w14:textId="77777777" w:rsidR="00AE2255" w:rsidRDefault="00000000">
      <w:pPr>
        <w:pStyle w:val="Heading2"/>
      </w:pPr>
      <w:r>
        <w:t>Changes</w:t>
      </w:r>
      <w:r>
        <w:rPr>
          <w:spacing w:val="-5"/>
        </w:rPr>
        <w:t xml:space="preserve"> </w:t>
      </w:r>
      <w:r>
        <w:t>in</w:t>
      </w:r>
      <w:r>
        <w:rPr>
          <w:spacing w:val="-4"/>
        </w:rPr>
        <w:t xml:space="preserve"> </w:t>
      </w:r>
      <w:r>
        <w:t>Internal</w:t>
      </w:r>
      <w:r>
        <w:rPr>
          <w:spacing w:val="-5"/>
        </w:rPr>
        <w:t xml:space="preserve"> </w:t>
      </w:r>
      <w:r>
        <w:t>Control</w:t>
      </w:r>
      <w:r>
        <w:rPr>
          <w:spacing w:val="-4"/>
        </w:rPr>
        <w:t xml:space="preserve"> </w:t>
      </w:r>
      <w:r>
        <w:t>Over</w:t>
      </w:r>
      <w:r>
        <w:rPr>
          <w:spacing w:val="-5"/>
        </w:rPr>
        <w:t xml:space="preserve"> </w:t>
      </w:r>
      <w:r>
        <w:t>Financial</w:t>
      </w:r>
      <w:r>
        <w:rPr>
          <w:spacing w:val="-4"/>
        </w:rPr>
        <w:t xml:space="preserve"> </w:t>
      </w:r>
      <w:r>
        <w:rPr>
          <w:spacing w:val="-2"/>
        </w:rPr>
        <w:t>Reporting</w:t>
      </w:r>
    </w:p>
    <w:p w14:paraId="3C3E73D5" w14:textId="77777777" w:rsidR="00AE2255" w:rsidRDefault="00AE2255">
      <w:pPr>
        <w:pStyle w:val="BodyText"/>
        <w:spacing w:before="4"/>
        <w:rPr>
          <w:b/>
          <w:sz w:val="21"/>
        </w:rPr>
      </w:pPr>
    </w:p>
    <w:p w14:paraId="42EE7810" w14:textId="77777777" w:rsidR="00AE2255" w:rsidRDefault="00000000">
      <w:pPr>
        <w:pStyle w:val="BodyText"/>
        <w:spacing w:line="199" w:lineRule="auto"/>
        <w:ind w:left="610" w:right="430" w:firstLine="360"/>
        <w:jc w:val="both"/>
      </w:pPr>
      <w:r>
        <w:t>There were no changes in our internal control over financial reporting identified in connection with the evaluation required by Rules 13a-15(d) and 15d</w:t>
      </w:r>
      <w:r>
        <w:rPr>
          <w:rFonts w:ascii="Arial Unicode MS"/>
        </w:rPr>
        <w:t>-</w:t>
      </w:r>
      <w:r>
        <w:t xml:space="preserve">15(d) of the Exchange Act that occurred during the quarter ended December 31, </w:t>
      </w:r>
      <w:proofErr w:type="gramStart"/>
      <w:r>
        <w:t>2022</w:t>
      </w:r>
      <w:proofErr w:type="gramEnd"/>
      <w:r>
        <w:t xml:space="preserve"> that materially affected, or are reasonably likely to materially affect, our internal control over financial reporting.</w:t>
      </w:r>
    </w:p>
    <w:p w14:paraId="5180D4CE" w14:textId="77777777" w:rsidR="00AE2255" w:rsidRDefault="00AE2255">
      <w:pPr>
        <w:spacing w:line="199" w:lineRule="auto"/>
        <w:jc w:val="both"/>
        <w:sectPr w:rsidR="00AE2255">
          <w:pgSz w:w="12240" w:h="15840"/>
          <w:pgMar w:top="440" w:right="560" w:bottom="720" w:left="380" w:header="230" w:footer="531" w:gutter="0"/>
          <w:cols w:space="720"/>
        </w:sectPr>
      </w:pPr>
    </w:p>
    <w:p w14:paraId="5670B841" w14:textId="77777777" w:rsidR="00AE2255" w:rsidRDefault="00AE2255">
      <w:pPr>
        <w:pStyle w:val="BodyText"/>
        <w:spacing w:before="7"/>
        <w:rPr>
          <w:sz w:val="22"/>
        </w:rPr>
      </w:pPr>
    </w:p>
    <w:p w14:paraId="3D597226" w14:textId="77777777" w:rsidR="00AE2255" w:rsidRDefault="00000000">
      <w:pPr>
        <w:pStyle w:val="Heading3"/>
        <w:spacing w:before="92" w:line="249" w:lineRule="auto"/>
        <w:ind w:left="3511" w:right="2995" w:hanging="186"/>
      </w:pPr>
      <w:bookmarkStart w:id="68" w:name="Independent_Registered_Public_Accoutning"/>
      <w:bookmarkStart w:id="69" w:name="_bookmark21"/>
      <w:bookmarkEnd w:id="68"/>
      <w:bookmarkEnd w:id="69"/>
      <w:r>
        <w:t>Report</w:t>
      </w:r>
      <w:r>
        <w:rPr>
          <w:spacing w:val="-8"/>
        </w:rPr>
        <w:t xml:space="preserve"> </w:t>
      </w:r>
      <w:r>
        <w:t>of</w:t>
      </w:r>
      <w:r>
        <w:rPr>
          <w:spacing w:val="-7"/>
        </w:rPr>
        <w:t xml:space="preserve"> </w:t>
      </w:r>
      <w:r>
        <w:t>Independent</w:t>
      </w:r>
      <w:r>
        <w:rPr>
          <w:spacing w:val="-8"/>
        </w:rPr>
        <w:t xml:space="preserve"> </w:t>
      </w:r>
      <w:r>
        <w:t>Registered</w:t>
      </w:r>
      <w:r>
        <w:rPr>
          <w:spacing w:val="-7"/>
        </w:rPr>
        <w:t xml:space="preserve"> </w:t>
      </w:r>
      <w:r>
        <w:t>Public</w:t>
      </w:r>
      <w:r>
        <w:rPr>
          <w:spacing w:val="-8"/>
        </w:rPr>
        <w:t xml:space="preserve"> </w:t>
      </w:r>
      <w:r>
        <w:t>Accounting</w:t>
      </w:r>
      <w:r>
        <w:rPr>
          <w:spacing w:val="-7"/>
        </w:rPr>
        <w:t xml:space="preserve"> </w:t>
      </w:r>
      <w:r>
        <w:t>Firm Regarding Internal Control Over Financial Reporting</w:t>
      </w:r>
    </w:p>
    <w:p w14:paraId="2B7D0229" w14:textId="77777777" w:rsidR="00AE2255" w:rsidRDefault="00AE2255">
      <w:pPr>
        <w:pStyle w:val="BodyText"/>
        <w:spacing w:before="3"/>
        <w:rPr>
          <w:b/>
          <w:i/>
          <w:sz w:val="21"/>
        </w:rPr>
      </w:pPr>
    </w:p>
    <w:p w14:paraId="75C89703" w14:textId="77777777" w:rsidR="00AE2255" w:rsidRDefault="00000000">
      <w:pPr>
        <w:pStyle w:val="BodyText"/>
        <w:spacing w:line="249" w:lineRule="auto"/>
        <w:ind w:left="610" w:right="7500"/>
      </w:pPr>
      <w:r>
        <w:t>Board</w:t>
      </w:r>
      <w:r>
        <w:rPr>
          <w:spacing w:val="-10"/>
        </w:rPr>
        <w:t xml:space="preserve"> </w:t>
      </w:r>
      <w:r>
        <w:t>of</w:t>
      </w:r>
      <w:r>
        <w:rPr>
          <w:spacing w:val="-10"/>
        </w:rPr>
        <w:t xml:space="preserve"> </w:t>
      </w:r>
      <w:r>
        <w:t>Directors</w:t>
      </w:r>
      <w:r>
        <w:rPr>
          <w:spacing w:val="-11"/>
        </w:rPr>
        <w:t xml:space="preserve"> </w:t>
      </w:r>
      <w:r>
        <w:t>and</w:t>
      </w:r>
      <w:r>
        <w:rPr>
          <w:spacing w:val="-10"/>
        </w:rPr>
        <w:t xml:space="preserve"> </w:t>
      </w:r>
      <w:r>
        <w:t>Stockholders Lockheed Martin Corporation</w:t>
      </w:r>
    </w:p>
    <w:p w14:paraId="2B56502B" w14:textId="77777777" w:rsidR="00AE2255" w:rsidRDefault="00AE2255">
      <w:pPr>
        <w:pStyle w:val="BodyText"/>
        <w:spacing w:before="8"/>
      </w:pPr>
    </w:p>
    <w:p w14:paraId="294E41B0" w14:textId="77777777" w:rsidR="00AE2255" w:rsidRDefault="00000000">
      <w:pPr>
        <w:pStyle w:val="Heading2"/>
      </w:pPr>
      <w:r>
        <w:t>Opinion</w:t>
      </w:r>
      <w:r>
        <w:rPr>
          <w:spacing w:val="-5"/>
        </w:rPr>
        <w:t xml:space="preserve"> </w:t>
      </w:r>
      <w:r>
        <w:t>on</w:t>
      </w:r>
      <w:r>
        <w:rPr>
          <w:spacing w:val="-4"/>
        </w:rPr>
        <w:t xml:space="preserve"> </w:t>
      </w:r>
      <w:r>
        <w:t>Internal</w:t>
      </w:r>
      <w:r>
        <w:rPr>
          <w:spacing w:val="-4"/>
        </w:rPr>
        <w:t xml:space="preserve"> </w:t>
      </w:r>
      <w:r>
        <w:t>Control</w:t>
      </w:r>
      <w:r>
        <w:rPr>
          <w:spacing w:val="-5"/>
        </w:rPr>
        <w:t xml:space="preserve"> </w:t>
      </w:r>
      <w:r>
        <w:t>over</w:t>
      </w:r>
      <w:r>
        <w:rPr>
          <w:spacing w:val="-4"/>
        </w:rPr>
        <w:t xml:space="preserve"> </w:t>
      </w:r>
      <w:r>
        <w:t>Financial</w:t>
      </w:r>
      <w:r>
        <w:rPr>
          <w:spacing w:val="-4"/>
        </w:rPr>
        <w:t xml:space="preserve"> </w:t>
      </w:r>
      <w:r>
        <w:rPr>
          <w:spacing w:val="-2"/>
        </w:rPr>
        <w:t>Reporting</w:t>
      </w:r>
    </w:p>
    <w:p w14:paraId="3A3ABC07" w14:textId="77777777" w:rsidR="00AE2255" w:rsidRDefault="00AE2255">
      <w:pPr>
        <w:pStyle w:val="BodyText"/>
        <w:rPr>
          <w:b/>
          <w:sz w:val="22"/>
        </w:rPr>
      </w:pPr>
    </w:p>
    <w:p w14:paraId="7A4C3022" w14:textId="77777777" w:rsidR="00AE2255" w:rsidRDefault="00000000">
      <w:pPr>
        <w:pStyle w:val="BodyText"/>
        <w:spacing w:before="1" w:line="249" w:lineRule="auto"/>
        <w:ind w:left="610" w:right="428" w:firstLine="360"/>
        <w:jc w:val="both"/>
      </w:pPr>
      <w:r>
        <w:t>We have audited Lockheed Martin Corporation’s internal control over financial reporting as of December 31, 2022, based on criteria established in Internal Control-Integrated Framework issued by the Committee of Sponsoring Organizations of the Treadway Commission (2013 framework) (the COSO criteria). In our opinion, Lockheed Martin Corporation (the Corporation) maintained, in all material respects, effective internal control over financial reporting as of December 31, 2022, based on the COSO criteria.</w:t>
      </w:r>
    </w:p>
    <w:p w14:paraId="57DF6F27" w14:textId="77777777" w:rsidR="00AE2255" w:rsidRDefault="00AE2255">
      <w:pPr>
        <w:pStyle w:val="BodyText"/>
        <w:spacing w:before="2"/>
        <w:rPr>
          <w:sz w:val="21"/>
        </w:rPr>
      </w:pPr>
    </w:p>
    <w:p w14:paraId="31B80D1A" w14:textId="77777777" w:rsidR="00AE2255" w:rsidRDefault="00000000">
      <w:pPr>
        <w:pStyle w:val="BodyText"/>
        <w:spacing w:line="249" w:lineRule="auto"/>
        <w:ind w:left="610" w:right="428" w:firstLine="360"/>
        <w:jc w:val="both"/>
      </w:pPr>
      <w:r>
        <w:t>We also have audited, in accordance with the standards of the Public Company Accounting Oversight Board (United</w:t>
      </w:r>
      <w:r>
        <w:rPr>
          <w:spacing w:val="40"/>
        </w:rPr>
        <w:t xml:space="preserve"> </w:t>
      </w:r>
      <w:r>
        <w:t xml:space="preserve">States) (PCAOB), the consolidated balance sheets of the Corporation as of December 31, </w:t>
      </w:r>
      <w:proofErr w:type="gramStart"/>
      <w:r>
        <w:t>2022</w:t>
      </w:r>
      <w:proofErr w:type="gramEnd"/>
      <w:r>
        <w:t xml:space="preserve"> and 2021, the related consolidated statements of earnings, comprehensive income, equity and cash flows for each of the three years in the period ended December 31, 2022, and the related notes and our report dated January 26, 2023 expressed an unqualified opinion </w:t>
      </w:r>
      <w:r>
        <w:rPr>
          <w:spacing w:val="-2"/>
        </w:rPr>
        <w:t>thereon.</w:t>
      </w:r>
    </w:p>
    <w:p w14:paraId="7CDB616E" w14:textId="77777777" w:rsidR="00AE2255" w:rsidRDefault="00AE2255">
      <w:pPr>
        <w:pStyle w:val="BodyText"/>
        <w:spacing w:before="11"/>
      </w:pPr>
    </w:p>
    <w:p w14:paraId="0735A1A4" w14:textId="77777777" w:rsidR="00AE2255" w:rsidRDefault="00000000">
      <w:pPr>
        <w:pStyle w:val="Heading2"/>
      </w:pPr>
      <w:r>
        <w:t>Basis</w:t>
      </w:r>
      <w:r>
        <w:rPr>
          <w:spacing w:val="-3"/>
        </w:rPr>
        <w:t xml:space="preserve"> </w:t>
      </w:r>
      <w:r>
        <w:t>for</w:t>
      </w:r>
      <w:r>
        <w:rPr>
          <w:spacing w:val="-2"/>
        </w:rPr>
        <w:t xml:space="preserve"> Opinion</w:t>
      </w:r>
    </w:p>
    <w:p w14:paraId="2F86BA9D" w14:textId="77777777" w:rsidR="00AE2255" w:rsidRDefault="00AE2255">
      <w:pPr>
        <w:pStyle w:val="BodyText"/>
        <w:rPr>
          <w:b/>
          <w:sz w:val="22"/>
        </w:rPr>
      </w:pPr>
    </w:p>
    <w:p w14:paraId="5EB1EF0D" w14:textId="77777777" w:rsidR="00AE2255" w:rsidRDefault="00000000">
      <w:pPr>
        <w:pStyle w:val="BodyText"/>
        <w:spacing w:line="249" w:lineRule="auto"/>
        <w:ind w:left="610" w:right="429" w:firstLine="360"/>
        <w:jc w:val="both"/>
      </w:pPr>
      <w:r>
        <w:t>The Corporation’s management is responsible for maintaining effective internal control over financial reporting and for its assessment of the effectiveness of internal control over financial reporting included in the accompanying Management’s Report on Internal Control Over Financial Reporting. Our responsibility is to express an opinion on the Corporation’s internal control over financial reporting based on our audit. We are a public accounting firm registered with the PCAOB and are required to be independent with respect to the Corporation in accordance with the U.S. federal securities laws and the applicable rules and regulations of the Securities and Exchange Commission and the PCAOB.</w:t>
      </w:r>
    </w:p>
    <w:p w14:paraId="6B2CB3A4" w14:textId="77777777" w:rsidR="00AE2255" w:rsidRDefault="00AE2255">
      <w:pPr>
        <w:pStyle w:val="BodyText"/>
        <w:spacing w:before="4"/>
        <w:rPr>
          <w:sz w:val="21"/>
        </w:rPr>
      </w:pPr>
    </w:p>
    <w:p w14:paraId="2CF48654" w14:textId="77777777" w:rsidR="00AE2255" w:rsidRDefault="00000000">
      <w:pPr>
        <w:pStyle w:val="BodyText"/>
        <w:spacing w:line="249" w:lineRule="auto"/>
        <w:ind w:left="610" w:right="430" w:firstLine="360"/>
        <w:jc w:val="both"/>
      </w:pPr>
      <w:r>
        <w:t>We</w:t>
      </w:r>
      <w:r>
        <w:rPr>
          <w:spacing w:val="-1"/>
        </w:rPr>
        <w:t xml:space="preserve"> </w:t>
      </w:r>
      <w:r>
        <w:t>conducted</w:t>
      </w:r>
      <w:r>
        <w:rPr>
          <w:spacing w:val="-1"/>
        </w:rPr>
        <w:t xml:space="preserve"> </w:t>
      </w:r>
      <w:r>
        <w:t>our</w:t>
      </w:r>
      <w:r>
        <w:rPr>
          <w:spacing w:val="-1"/>
        </w:rPr>
        <w:t xml:space="preserve"> </w:t>
      </w:r>
      <w:r>
        <w:t>audit</w:t>
      </w:r>
      <w:r>
        <w:rPr>
          <w:spacing w:val="-1"/>
        </w:rPr>
        <w:t xml:space="preserve"> </w:t>
      </w:r>
      <w:r>
        <w:t>in</w:t>
      </w:r>
      <w:r>
        <w:rPr>
          <w:spacing w:val="-1"/>
        </w:rPr>
        <w:t xml:space="preserve"> </w:t>
      </w:r>
      <w:r>
        <w:t>accordance</w:t>
      </w:r>
      <w:r>
        <w:rPr>
          <w:spacing w:val="-1"/>
        </w:rPr>
        <w:t xml:space="preserve"> </w:t>
      </w:r>
      <w:r>
        <w:t>with</w:t>
      </w:r>
      <w:r>
        <w:rPr>
          <w:spacing w:val="-1"/>
        </w:rPr>
        <w:t xml:space="preserve"> </w:t>
      </w:r>
      <w:r>
        <w:t>the</w:t>
      </w:r>
      <w:r>
        <w:rPr>
          <w:spacing w:val="-1"/>
        </w:rPr>
        <w:t xml:space="preserve"> </w:t>
      </w:r>
      <w:r>
        <w:t>standards</w:t>
      </w:r>
      <w:r>
        <w:rPr>
          <w:spacing w:val="-1"/>
        </w:rPr>
        <w:t xml:space="preserve"> </w:t>
      </w:r>
      <w:r>
        <w:t>of</w:t>
      </w:r>
      <w:r>
        <w:rPr>
          <w:spacing w:val="-1"/>
        </w:rPr>
        <w:t xml:space="preserve"> </w:t>
      </w:r>
      <w:r>
        <w:t>the</w:t>
      </w:r>
      <w:r>
        <w:rPr>
          <w:spacing w:val="-1"/>
        </w:rPr>
        <w:t xml:space="preserve"> </w:t>
      </w:r>
      <w:r>
        <w:t>PCAOB.</w:t>
      </w:r>
      <w:r>
        <w:rPr>
          <w:spacing w:val="-1"/>
        </w:rPr>
        <w:t xml:space="preserve"> </w:t>
      </w:r>
      <w:r>
        <w:t>Those</w:t>
      </w:r>
      <w:r>
        <w:rPr>
          <w:spacing w:val="-1"/>
        </w:rPr>
        <w:t xml:space="preserve"> </w:t>
      </w:r>
      <w:r>
        <w:t>standards</w:t>
      </w:r>
      <w:r>
        <w:rPr>
          <w:spacing w:val="-1"/>
        </w:rPr>
        <w:t xml:space="preserve"> </w:t>
      </w:r>
      <w:r>
        <w:t>require</w:t>
      </w:r>
      <w:r>
        <w:rPr>
          <w:spacing w:val="-1"/>
        </w:rPr>
        <w:t xml:space="preserve"> </w:t>
      </w:r>
      <w:r>
        <w:t>that</w:t>
      </w:r>
      <w:r>
        <w:rPr>
          <w:spacing w:val="-1"/>
        </w:rPr>
        <w:t xml:space="preserve"> </w:t>
      </w:r>
      <w:r>
        <w:t>we</w:t>
      </w:r>
      <w:r>
        <w:rPr>
          <w:spacing w:val="-1"/>
        </w:rPr>
        <w:t xml:space="preserve"> </w:t>
      </w:r>
      <w:r>
        <w:t>plan</w:t>
      </w:r>
      <w:r>
        <w:rPr>
          <w:spacing w:val="-1"/>
        </w:rPr>
        <w:t xml:space="preserve"> </w:t>
      </w:r>
      <w:r>
        <w:t>and</w:t>
      </w:r>
      <w:r>
        <w:rPr>
          <w:spacing w:val="-1"/>
        </w:rPr>
        <w:t xml:space="preserve"> </w:t>
      </w:r>
      <w:r>
        <w:t>perform the audit to obtain reasonable assurance about whether effective internal control over financial reporting was maintained in all material respects.</w:t>
      </w:r>
    </w:p>
    <w:p w14:paraId="3BD1FFC9" w14:textId="77777777" w:rsidR="00AE2255" w:rsidRDefault="00AE2255">
      <w:pPr>
        <w:pStyle w:val="BodyText"/>
        <w:spacing w:before="1"/>
        <w:rPr>
          <w:sz w:val="21"/>
        </w:rPr>
      </w:pPr>
    </w:p>
    <w:p w14:paraId="024E8F80" w14:textId="77777777" w:rsidR="00AE2255" w:rsidRDefault="00000000">
      <w:pPr>
        <w:pStyle w:val="BodyText"/>
        <w:spacing w:line="249" w:lineRule="auto"/>
        <w:ind w:left="610" w:right="430" w:firstLine="360"/>
        <w:jc w:val="both"/>
      </w:pPr>
      <w:r>
        <w:t>Our audit included obtaining an understanding of internal control over financial reporting, assessing the risk that a material weakness</w:t>
      </w:r>
      <w:r>
        <w:rPr>
          <w:spacing w:val="-2"/>
        </w:rPr>
        <w:t xml:space="preserve"> </w:t>
      </w:r>
      <w:r>
        <w:t>exists,</w:t>
      </w:r>
      <w:r>
        <w:rPr>
          <w:spacing w:val="-2"/>
        </w:rPr>
        <w:t xml:space="preserve"> </w:t>
      </w:r>
      <w:r>
        <w:t>testing</w:t>
      </w:r>
      <w:r>
        <w:rPr>
          <w:spacing w:val="-2"/>
        </w:rPr>
        <w:t xml:space="preserve"> </w:t>
      </w:r>
      <w:r>
        <w:t>and</w:t>
      </w:r>
      <w:r>
        <w:rPr>
          <w:spacing w:val="-2"/>
        </w:rPr>
        <w:t xml:space="preserve"> </w:t>
      </w:r>
      <w:r>
        <w:t>evaluating</w:t>
      </w:r>
      <w:r>
        <w:rPr>
          <w:spacing w:val="-2"/>
        </w:rPr>
        <w:t xml:space="preserve"> </w:t>
      </w:r>
      <w:r>
        <w:t>the</w:t>
      </w:r>
      <w:r>
        <w:rPr>
          <w:spacing w:val="-2"/>
        </w:rPr>
        <w:t xml:space="preserve"> </w:t>
      </w:r>
      <w:r>
        <w:t>design</w:t>
      </w:r>
      <w:r>
        <w:rPr>
          <w:spacing w:val="-2"/>
        </w:rPr>
        <w:t xml:space="preserve"> </w:t>
      </w:r>
      <w:r>
        <w:t>and</w:t>
      </w:r>
      <w:r>
        <w:rPr>
          <w:spacing w:val="-2"/>
        </w:rPr>
        <w:t xml:space="preserve"> </w:t>
      </w:r>
      <w:r>
        <w:t>operating</w:t>
      </w:r>
      <w:r>
        <w:rPr>
          <w:spacing w:val="-2"/>
        </w:rPr>
        <w:t xml:space="preserve"> </w:t>
      </w:r>
      <w:r>
        <w:t>effectiveness</w:t>
      </w:r>
      <w:r>
        <w:rPr>
          <w:spacing w:val="-2"/>
        </w:rPr>
        <w:t xml:space="preserve"> </w:t>
      </w:r>
      <w:r>
        <w:t>of</w:t>
      </w:r>
      <w:r>
        <w:rPr>
          <w:spacing w:val="-2"/>
        </w:rPr>
        <w:t xml:space="preserve"> </w:t>
      </w:r>
      <w:r>
        <w:t>internal</w:t>
      </w:r>
      <w:r>
        <w:rPr>
          <w:spacing w:val="-2"/>
        </w:rPr>
        <w:t xml:space="preserve"> </w:t>
      </w:r>
      <w:r>
        <w:t>control</w:t>
      </w:r>
      <w:r>
        <w:rPr>
          <w:spacing w:val="-2"/>
        </w:rPr>
        <w:t xml:space="preserve"> </w:t>
      </w:r>
      <w:r>
        <w:t>based</w:t>
      </w:r>
      <w:r>
        <w:rPr>
          <w:spacing w:val="-2"/>
        </w:rPr>
        <w:t xml:space="preserve"> </w:t>
      </w:r>
      <w:r>
        <w:t>on</w:t>
      </w:r>
      <w:r>
        <w:rPr>
          <w:spacing w:val="-2"/>
        </w:rPr>
        <w:t xml:space="preserve"> </w:t>
      </w:r>
      <w:r>
        <w:t>the</w:t>
      </w:r>
      <w:r>
        <w:rPr>
          <w:spacing w:val="-2"/>
        </w:rPr>
        <w:t xml:space="preserve"> </w:t>
      </w:r>
      <w:r>
        <w:t>assessed</w:t>
      </w:r>
      <w:r>
        <w:rPr>
          <w:spacing w:val="-2"/>
        </w:rPr>
        <w:t xml:space="preserve"> </w:t>
      </w:r>
      <w:r>
        <w:t>risk,</w:t>
      </w:r>
      <w:r>
        <w:rPr>
          <w:spacing w:val="-2"/>
        </w:rPr>
        <w:t xml:space="preserve"> </w:t>
      </w:r>
      <w:r>
        <w:t>and performing such other procedures as we considered necessary in the circumstances. We believe that our audit provides a reasonable basis for our opinion.</w:t>
      </w:r>
    </w:p>
    <w:p w14:paraId="1AE3CDEF" w14:textId="77777777" w:rsidR="00AE2255" w:rsidRDefault="00AE2255">
      <w:pPr>
        <w:pStyle w:val="BodyText"/>
        <w:spacing w:before="10"/>
      </w:pPr>
    </w:p>
    <w:p w14:paraId="306018A7" w14:textId="77777777" w:rsidR="00AE2255" w:rsidRDefault="00000000">
      <w:pPr>
        <w:pStyle w:val="Heading2"/>
      </w:pPr>
      <w:r>
        <w:t>Definition</w:t>
      </w:r>
      <w:r>
        <w:rPr>
          <w:spacing w:val="-7"/>
        </w:rPr>
        <w:t xml:space="preserve"> </w:t>
      </w:r>
      <w:r>
        <w:t>and</w:t>
      </w:r>
      <w:r>
        <w:rPr>
          <w:spacing w:val="-4"/>
        </w:rPr>
        <w:t xml:space="preserve"> </w:t>
      </w:r>
      <w:r>
        <w:t>Limitations</w:t>
      </w:r>
      <w:r>
        <w:rPr>
          <w:spacing w:val="-5"/>
        </w:rPr>
        <w:t xml:space="preserve"> </w:t>
      </w:r>
      <w:r>
        <w:t>of</w:t>
      </w:r>
      <w:r>
        <w:rPr>
          <w:spacing w:val="-4"/>
        </w:rPr>
        <w:t xml:space="preserve"> </w:t>
      </w:r>
      <w:r>
        <w:t>Internal</w:t>
      </w:r>
      <w:r>
        <w:rPr>
          <w:spacing w:val="-4"/>
        </w:rPr>
        <w:t xml:space="preserve"> </w:t>
      </w:r>
      <w:r>
        <w:t>Control</w:t>
      </w:r>
      <w:r>
        <w:rPr>
          <w:spacing w:val="-5"/>
        </w:rPr>
        <w:t xml:space="preserve"> </w:t>
      </w:r>
      <w:r>
        <w:t>Over</w:t>
      </w:r>
      <w:r>
        <w:rPr>
          <w:spacing w:val="-4"/>
        </w:rPr>
        <w:t xml:space="preserve"> </w:t>
      </w:r>
      <w:r>
        <w:t>Financial</w:t>
      </w:r>
      <w:r>
        <w:rPr>
          <w:spacing w:val="-4"/>
        </w:rPr>
        <w:t xml:space="preserve"> </w:t>
      </w:r>
      <w:r>
        <w:rPr>
          <w:spacing w:val="-2"/>
        </w:rPr>
        <w:t>Reporting</w:t>
      </w:r>
    </w:p>
    <w:p w14:paraId="719E8C71" w14:textId="77777777" w:rsidR="00AE2255" w:rsidRDefault="00AE2255">
      <w:pPr>
        <w:pStyle w:val="BodyText"/>
        <w:rPr>
          <w:b/>
          <w:sz w:val="22"/>
        </w:rPr>
      </w:pPr>
    </w:p>
    <w:p w14:paraId="6A7EB9B8" w14:textId="77777777" w:rsidR="00AE2255" w:rsidRDefault="00000000">
      <w:pPr>
        <w:pStyle w:val="BodyText"/>
        <w:spacing w:line="249" w:lineRule="auto"/>
        <w:ind w:left="610" w:right="428" w:firstLine="360"/>
        <w:jc w:val="both"/>
      </w:pPr>
      <w: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w:t>
      </w:r>
      <w:r>
        <w:rPr>
          <w:spacing w:val="-1"/>
        </w:rPr>
        <w:t xml:space="preserve"> </w:t>
      </w:r>
      <w:r>
        <w:t>of the</w:t>
      </w:r>
      <w:r>
        <w:rPr>
          <w:spacing w:val="-1"/>
        </w:rPr>
        <w:t xml:space="preserve"> </w:t>
      </w:r>
      <w:r>
        <w:t>assets</w:t>
      </w:r>
      <w:r>
        <w:rPr>
          <w:spacing w:val="-1"/>
        </w:rPr>
        <w:t xml:space="preserve"> </w:t>
      </w:r>
      <w:r>
        <w:t>of the</w:t>
      </w:r>
      <w:r>
        <w:rPr>
          <w:spacing w:val="-1"/>
        </w:rPr>
        <w:t xml:space="preserve"> </w:t>
      </w:r>
      <w:r>
        <w:t>company;</w:t>
      </w:r>
      <w:r>
        <w:rPr>
          <w:spacing w:val="-1"/>
        </w:rPr>
        <w:t xml:space="preserve"> </w:t>
      </w:r>
      <w:r>
        <w:t>(2) provide</w:t>
      </w:r>
      <w:r>
        <w:rPr>
          <w:spacing w:val="-1"/>
        </w:rPr>
        <w:t xml:space="preserve"> </w:t>
      </w:r>
      <w:r>
        <w:t>reasonable</w:t>
      </w:r>
      <w:r>
        <w:rPr>
          <w:spacing w:val="-1"/>
        </w:rPr>
        <w:t xml:space="preserve"> </w:t>
      </w:r>
      <w:r>
        <w:t>assurance</w:t>
      </w:r>
      <w:r>
        <w:rPr>
          <w:spacing w:val="-1"/>
        </w:rPr>
        <w:t xml:space="preserve"> </w:t>
      </w:r>
      <w:r>
        <w:t>that</w:t>
      </w:r>
      <w:r>
        <w:rPr>
          <w:spacing w:val="-1"/>
        </w:rPr>
        <w:t xml:space="preserve"> </w:t>
      </w:r>
      <w:r>
        <w:t>transactions</w:t>
      </w:r>
      <w:r>
        <w:rPr>
          <w:spacing w:val="-1"/>
        </w:rPr>
        <w:t xml:space="preserve"> </w:t>
      </w:r>
      <w:r>
        <w:t>are</w:t>
      </w:r>
      <w:r>
        <w:rPr>
          <w:spacing w:val="-1"/>
        </w:rPr>
        <w:t xml:space="preserve"> </w:t>
      </w:r>
      <w:r>
        <w:t>recorded as</w:t>
      </w:r>
      <w:r>
        <w:rPr>
          <w:spacing w:val="-1"/>
        </w:rPr>
        <w:t xml:space="preserve"> </w:t>
      </w:r>
      <w:r>
        <w:t>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1AA7ACA0" w14:textId="77777777" w:rsidR="00AE2255" w:rsidRDefault="00AE2255">
      <w:pPr>
        <w:pStyle w:val="BodyText"/>
        <w:spacing w:before="6"/>
        <w:rPr>
          <w:sz w:val="21"/>
        </w:rPr>
      </w:pPr>
    </w:p>
    <w:p w14:paraId="2D96355E" w14:textId="77777777" w:rsidR="00AE2255" w:rsidRDefault="00000000">
      <w:pPr>
        <w:pStyle w:val="BodyText"/>
        <w:spacing w:line="249" w:lineRule="auto"/>
        <w:ind w:left="610" w:right="428" w:firstLine="360"/>
        <w:jc w:val="both"/>
      </w:pPr>
      <w: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768A164F" w14:textId="77777777" w:rsidR="00AE2255" w:rsidRDefault="00AE2255">
      <w:pPr>
        <w:pStyle w:val="BodyText"/>
        <w:spacing w:before="1"/>
        <w:rPr>
          <w:sz w:val="21"/>
        </w:rPr>
      </w:pPr>
    </w:p>
    <w:p w14:paraId="2A86D9A0" w14:textId="77777777" w:rsidR="00AE2255" w:rsidRDefault="00000000">
      <w:pPr>
        <w:pStyle w:val="BodyText"/>
        <w:ind w:left="610"/>
      </w:pPr>
      <w:r>
        <w:t>/s/</w:t>
      </w:r>
      <w:r>
        <w:rPr>
          <w:spacing w:val="-3"/>
        </w:rPr>
        <w:t xml:space="preserve"> </w:t>
      </w:r>
      <w:r>
        <w:t>Ernst</w:t>
      </w:r>
      <w:r>
        <w:rPr>
          <w:spacing w:val="-2"/>
        </w:rPr>
        <w:t xml:space="preserve"> </w:t>
      </w:r>
      <w:r>
        <w:t>&amp;</w:t>
      </w:r>
      <w:r>
        <w:rPr>
          <w:spacing w:val="-2"/>
        </w:rPr>
        <w:t xml:space="preserve"> </w:t>
      </w:r>
      <w:r>
        <w:t>Young</w:t>
      </w:r>
      <w:r>
        <w:rPr>
          <w:spacing w:val="-1"/>
        </w:rPr>
        <w:t xml:space="preserve"> </w:t>
      </w:r>
      <w:r>
        <w:rPr>
          <w:spacing w:val="-5"/>
        </w:rPr>
        <w:t>LLP</w:t>
      </w:r>
    </w:p>
    <w:p w14:paraId="12578B98" w14:textId="77777777" w:rsidR="00AE2255" w:rsidRDefault="00000000">
      <w:pPr>
        <w:pStyle w:val="BodyText"/>
        <w:spacing w:before="190" w:line="249" w:lineRule="auto"/>
        <w:ind w:left="610" w:right="8778"/>
      </w:pPr>
      <w:r>
        <w:t>Tysons,</w:t>
      </w:r>
      <w:r>
        <w:rPr>
          <w:spacing w:val="-11"/>
        </w:rPr>
        <w:t xml:space="preserve"> </w:t>
      </w:r>
      <w:r>
        <w:t>Virginia January</w:t>
      </w:r>
      <w:r>
        <w:rPr>
          <w:spacing w:val="-2"/>
        </w:rPr>
        <w:t xml:space="preserve"> </w:t>
      </w:r>
      <w:r>
        <w:t>26,</w:t>
      </w:r>
      <w:r>
        <w:rPr>
          <w:spacing w:val="-1"/>
        </w:rPr>
        <w:t xml:space="preserve"> </w:t>
      </w:r>
      <w:r>
        <w:rPr>
          <w:spacing w:val="-4"/>
        </w:rPr>
        <w:t>2023</w:t>
      </w:r>
    </w:p>
    <w:p w14:paraId="43931019" w14:textId="77777777" w:rsidR="00AE2255" w:rsidRDefault="00AE2255">
      <w:pPr>
        <w:spacing w:line="249" w:lineRule="auto"/>
        <w:sectPr w:rsidR="00AE2255">
          <w:pgSz w:w="12240" w:h="15840"/>
          <w:pgMar w:top="440" w:right="560" w:bottom="720" w:left="380" w:header="230" w:footer="531" w:gutter="0"/>
          <w:cols w:space="720"/>
        </w:sectPr>
      </w:pPr>
    </w:p>
    <w:p w14:paraId="7BDD6CAA" w14:textId="77777777" w:rsidR="00AE2255" w:rsidRDefault="00AE2255">
      <w:pPr>
        <w:pStyle w:val="BodyText"/>
        <w:spacing w:before="10"/>
        <w:rPr>
          <w:sz w:val="22"/>
        </w:rPr>
      </w:pPr>
    </w:p>
    <w:p w14:paraId="789EB0F0" w14:textId="77777777" w:rsidR="00AE2255" w:rsidRDefault="00000000">
      <w:pPr>
        <w:pStyle w:val="Heading2"/>
        <w:tabs>
          <w:tab w:val="left" w:pos="1869"/>
        </w:tabs>
        <w:spacing w:before="92"/>
      </w:pPr>
      <w:bookmarkStart w:id="70" w:name="Item_9B._Other_Information"/>
      <w:bookmarkStart w:id="71" w:name="_bookmark22"/>
      <w:bookmarkEnd w:id="70"/>
      <w:bookmarkEnd w:id="71"/>
      <w:r>
        <w:t>ITEM</w:t>
      </w:r>
      <w:r>
        <w:rPr>
          <w:spacing w:val="-4"/>
        </w:rPr>
        <w:t xml:space="preserve"> </w:t>
      </w:r>
      <w:r>
        <w:rPr>
          <w:spacing w:val="-5"/>
        </w:rPr>
        <w:t>9B.</w:t>
      </w:r>
      <w:r>
        <w:tab/>
        <w:t>Other</w:t>
      </w:r>
      <w:r>
        <w:rPr>
          <w:spacing w:val="-4"/>
        </w:rPr>
        <w:t xml:space="preserve"> </w:t>
      </w:r>
      <w:r>
        <w:rPr>
          <w:spacing w:val="-2"/>
        </w:rPr>
        <w:t>Information</w:t>
      </w:r>
    </w:p>
    <w:p w14:paraId="7AF6D8B3" w14:textId="77777777" w:rsidR="00AE2255" w:rsidRDefault="00AE2255">
      <w:pPr>
        <w:pStyle w:val="BodyText"/>
        <w:spacing w:before="3"/>
        <w:rPr>
          <w:b/>
          <w:sz w:val="18"/>
        </w:rPr>
      </w:pPr>
    </w:p>
    <w:p w14:paraId="6AE4526C" w14:textId="77777777" w:rsidR="00AE2255" w:rsidRDefault="00000000">
      <w:pPr>
        <w:pStyle w:val="BodyText"/>
        <w:ind w:left="970"/>
      </w:pPr>
      <w:r>
        <w:rPr>
          <w:spacing w:val="-2"/>
        </w:rPr>
        <w:t>None.</w:t>
      </w:r>
    </w:p>
    <w:p w14:paraId="543ADBC4" w14:textId="77777777" w:rsidR="00AE2255" w:rsidRDefault="00AE2255">
      <w:pPr>
        <w:pStyle w:val="BodyText"/>
        <w:spacing w:before="8"/>
        <w:rPr>
          <w:sz w:val="28"/>
        </w:rPr>
      </w:pPr>
    </w:p>
    <w:p w14:paraId="710DC2A5" w14:textId="77777777" w:rsidR="00AE2255" w:rsidRDefault="00000000">
      <w:pPr>
        <w:pStyle w:val="Heading2"/>
        <w:tabs>
          <w:tab w:val="left" w:pos="1869"/>
        </w:tabs>
      </w:pPr>
      <w:bookmarkStart w:id="72" w:name="Item_9C._Disclosure_Regarding_Foreign_Ju"/>
      <w:bookmarkStart w:id="73" w:name="_bookmark23"/>
      <w:bookmarkEnd w:id="72"/>
      <w:bookmarkEnd w:id="73"/>
      <w:r>
        <w:t>ITEM</w:t>
      </w:r>
      <w:r>
        <w:rPr>
          <w:spacing w:val="-4"/>
        </w:rPr>
        <w:t xml:space="preserve"> </w:t>
      </w:r>
      <w:r>
        <w:rPr>
          <w:spacing w:val="-5"/>
        </w:rPr>
        <w:t>9C.</w:t>
      </w:r>
      <w:r>
        <w:tab/>
        <w:t>Disclosure</w:t>
      </w:r>
      <w:r>
        <w:rPr>
          <w:spacing w:val="-9"/>
        </w:rPr>
        <w:t xml:space="preserve"> </w:t>
      </w:r>
      <w:r>
        <w:t>Regarding</w:t>
      </w:r>
      <w:r>
        <w:rPr>
          <w:spacing w:val="-5"/>
        </w:rPr>
        <w:t xml:space="preserve"> </w:t>
      </w:r>
      <w:r>
        <w:t>Foreign</w:t>
      </w:r>
      <w:r>
        <w:rPr>
          <w:spacing w:val="-7"/>
        </w:rPr>
        <w:t xml:space="preserve"> </w:t>
      </w:r>
      <w:r>
        <w:t>Jurisdictions</w:t>
      </w:r>
      <w:r>
        <w:rPr>
          <w:spacing w:val="-6"/>
        </w:rPr>
        <w:t xml:space="preserve"> </w:t>
      </w:r>
      <w:r>
        <w:t>that</w:t>
      </w:r>
      <w:r>
        <w:rPr>
          <w:spacing w:val="-6"/>
        </w:rPr>
        <w:t xml:space="preserve"> </w:t>
      </w:r>
      <w:r>
        <w:t>Prevent</w:t>
      </w:r>
      <w:r>
        <w:rPr>
          <w:spacing w:val="-5"/>
        </w:rPr>
        <w:t xml:space="preserve"> </w:t>
      </w:r>
      <w:r>
        <w:rPr>
          <w:spacing w:val="-2"/>
        </w:rPr>
        <w:t>Inspections</w:t>
      </w:r>
    </w:p>
    <w:p w14:paraId="37F128FB" w14:textId="77777777" w:rsidR="00AE2255" w:rsidRDefault="00AE2255">
      <w:pPr>
        <w:pStyle w:val="BodyText"/>
        <w:spacing w:before="10"/>
        <w:rPr>
          <w:b/>
        </w:rPr>
      </w:pPr>
    </w:p>
    <w:p w14:paraId="39BDF489" w14:textId="77777777" w:rsidR="00AE2255" w:rsidRDefault="00000000">
      <w:pPr>
        <w:pStyle w:val="BodyText"/>
        <w:ind w:left="970"/>
      </w:pPr>
      <w:r>
        <w:t>Not</w:t>
      </w:r>
      <w:r>
        <w:rPr>
          <w:spacing w:val="-2"/>
        </w:rPr>
        <w:t xml:space="preserve"> applicable.</w:t>
      </w:r>
    </w:p>
    <w:p w14:paraId="475AECF5" w14:textId="77777777" w:rsidR="00AE2255" w:rsidRDefault="00AE2255">
      <w:pPr>
        <w:pStyle w:val="BodyText"/>
        <w:spacing w:before="5"/>
        <w:rPr>
          <w:sz w:val="28"/>
        </w:rPr>
      </w:pPr>
    </w:p>
    <w:p w14:paraId="06414DE5" w14:textId="77777777" w:rsidR="00AE2255" w:rsidRDefault="00000000">
      <w:pPr>
        <w:pStyle w:val="Heading1"/>
        <w:spacing w:before="0"/>
        <w:ind w:left="517" w:right="338"/>
        <w:jc w:val="center"/>
      </w:pPr>
      <w:bookmarkStart w:id="74" w:name="PART_III"/>
      <w:bookmarkEnd w:id="74"/>
      <w:r>
        <w:t>PART</w:t>
      </w:r>
      <w:r>
        <w:rPr>
          <w:spacing w:val="-4"/>
        </w:rPr>
        <w:t xml:space="preserve"> </w:t>
      </w:r>
      <w:r>
        <w:rPr>
          <w:spacing w:val="-5"/>
        </w:rPr>
        <w:t>III</w:t>
      </w:r>
    </w:p>
    <w:p w14:paraId="12560A55" w14:textId="77777777" w:rsidR="00AE2255" w:rsidRDefault="00000000">
      <w:pPr>
        <w:pStyle w:val="Heading2"/>
        <w:tabs>
          <w:tab w:val="left" w:pos="1869"/>
        </w:tabs>
        <w:spacing w:before="10"/>
      </w:pPr>
      <w:bookmarkStart w:id="75" w:name="Item_10._Directors,_Executive_Officers_a"/>
      <w:bookmarkStart w:id="76" w:name="_bookmark24"/>
      <w:bookmarkEnd w:id="75"/>
      <w:bookmarkEnd w:id="76"/>
      <w:r>
        <w:t>ITEM</w:t>
      </w:r>
      <w:r>
        <w:rPr>
          <w:spacing w:val="-4"/>
        </w:rPr>
        <w:t xml:space="preserve"> </w:t>
      </w:r>
      <w:r>
        <w:rPr>
          <w:spacing w:val="-5"/>
        </w:rPr>
        <w:t>10.</w:t>
      </w:r>
      <w:r>
        <w:tab/>
        <w:t>Directors,</w:t>
      </w:r>
      <w:r>
        <w:rPr>
          <w:spacing w:val="-7"/>
        </w:rPr>
        <w:t xml:space="preserve"> </w:t>
      </w:r>
      <w:r>
        <w:t>Executive</w:t>
      </w:r>
      <w:r>
        <w:rPr>
          <w:spacing w:val="-5"/>
        </w:rPr>
        <w:t xml:space="preserve"> </w:t>
      </w:r>
      <w:proofErr w:type="gramStart"/>
      <w:r>
        <w:t>Officers</w:t>
      </w:r>
      <w:proofErr w:type="gramEnd"/>
      <w:r>
        <w:rPr>
          <w:spacing w:val="-6"/>
        </w:rPr>
        <w:t xml:space="preserve"> </w:t>
      </w:r>
      <w:r>
        <w:t>and</w:t>
      </w:r>
      <w:r>
        <w:rPr>
          <w:spacing w:val="-5"/>
        </w:rPr>
        <w:t xml:space="preserve"> </w:t>
      </w:r>
      <w:r>
        <w:t>Corporate</w:t>
      </w:r>
      <w:r>
        <w:rPr>
          <w:spacing w:val="-5"/>
        </w:rPr>
        <w:t xml:space="preserve"> </w:t>
      </w:r>
      <w:r>
        <w:rPr>
          <w:spacing w:val="-2"/>
        </w:rPr>
        <w:t>Governance</w:t>
      </w:r>
    </w:p>
    <w:p w14:paraId="09D724F1" w14:textId="77777777" w:rsidR="00AE2255" w:rsidRDefault="00AE2255">
      <w:pPr>
        <w:pStyle w:val="BodyText"/>
        <w:spacing w:before="6"/>
        <w:rPr>
          <w:b/>
          <w:sz w:val="18"/>
        </w:rPr>
      </w:pPr>
    </w:p>
    <w:p w14:paraId="1DB0DEA9" w14:textId="77777777" w:rsidR="00AE2255" w:rsidRDefault="00000000">
      <w:pPr>
        <w:pStyle w:val="BodyText"/>
        <w:spacing w:line="249" w:lineRule="auto"/>
        <w:ind w:left="610" w:right="428" w:firstLine="360"/>
        <w:jc w:val="both"/>
      </w:pPr>
      <w:r>
        <w:t>The information concerning directors required by Item 401 of Regulation S-K is included under the caption “Proposal 1 - Election of Directors” in our definitive Proxy Statement to be filed pursuant to Regulation 14A within 120 days after the end of the fiscal year to which this report relates (the 2023 Proxy Statement), and that information is incorporated by reference in this Annual Report on Form 10-K (Form 10-K). Information concerning executive officers required by Item 401 of Regulation S-K is located under Part I, Item 4(a) of this Form 10-K. The information required by Items 407(d)(4) and (d)(5) of Regulation S-K is included under the captions “Committees of the Board of Directors” and “Audit Committee Report” in the 2023 Proxy Statement, and that information is incorporated by reference in this Form 10-K.</w:t>
      </w:r>
    </w:p>
    <w:p w14:paraId="255ABA36" w14:textId="77777777" w:rsidR="00AE2255" w:rsidRDefault="00AE2255">
      <w:pPr>
        <w:pStyle w:val="BodyText"/>
        <w:spacing w:before="11"/>
        <w:rPr>
          <w:sz w:val="17"/>
        </w:rPr>
      </w:pPr>
    </w:p>
    <w:p w14:paraId="24A661AA" w14:textId="77777777" w:rsidR="00AE2255" w:rsidRDefault="00000000">
      <w:pPr>
        <w:pStyle w:val="BodyText"/>
        <w:spacing w:line="249" w:lineRule="auto"/>
        <w:ind w:left="610" w:right="428" w:firstLine="360"/>
        <w:jc w:val="both"/>
      </w:pPr>
      <w:r>
        <w:t xml:space="preserve">We have had a written code of ethics in place since our formation in 1995. </w:t>
      </w:r>
      <w:r>
        <w:rPr>
          <w:i/>
        </w:rPr>
        <w:t>Setting the Standard</w:t>
      </w:r>
      <w:r>
        <w:t>, our Code of Ethics and Business Conduct, applies to all our employees, including our principal executive officer, principal financial officer, and principal accounting officer and controller, and to members of our Board of Directors. A copy of our Code of Ethics and Business</w:t>
      </w:r>
      <w:r>
        <w:rPr>
          <w:spacing w:val="-1"/>
        </w:rPr>
        <w:t xml:space="preserve"> </w:t>
      </w:r>
      <w:r>
        <w:t>Conduct</w:t>
      </w:r>
      <w:r>
        <w:rPr>
          <w:spacing w:val="-1"/>
        </w:rPr>
        <w:t xml:space="preserve"> </w:t>
      </w:r>
      <w:r>
        <w:t>is</w:t>
      </w:r>
      <w:r>
        <w:rPr>
          <w:spacing w:val="-1"/>
        </w:rPr>
        <w:t xml:space="preserve"> </w:t>
      </w:r>
      <w:r>
        <w:t>available</w:t>
      </w:r>
      <w:r>
        <w:rPr>
          <w:spacing w:val="-1"/>
        </w:rPr>
        <w:t xml:space="preserve"> </w:t>
      </w:r>
      <w:r>
        <w:t>on our investor relations</w:t>
      </w:r>
      <w:r>
        <w:rPr>
          <w:spacing w:val="-1"/>
        </w:rPr>
        <w:t xml:space="preserve"> </w:t>
      </w:r>
      <w:r>
        <w:t>website:</w:t>
      </w:r>
      <w:r>
        <w:rPr>
          <w:spacing w:val="-1"/>
        </w:rPr>
        <w:t xml:space="preserve"> </w:t>
      </w:r>
      <w:hyperlink r:id="rId13">
        <w:r>
          <w:t>www.lockheedmartin.com/investor.</w:t>
        </w:r>
      </w:hyperlink>
      <w:r>
        <w:t xml:space="preserve"> Printed copies</w:t>
      </w:r>
      <w:r>
        <w:rPr>
          <w:spacing w:val="-1"/>
        </w:rPr>
        <w:t xml:space="preserve"> </w:t>
      </w:r>
      <w:r>
        <w:t>of our Code of Ethics and Business Conduct may be obtained, without charge, by contacting Investor Relations, Lockheed Martin Corporation,</w:t>
      </w:r>
      <w:r>
        <w:rPr>
          <w:spacing w:val="-2"/>
        </w:rPr>
        <w:t xml:space="preserve"> </w:t>
      </w:r>
      <w:r>
        <w:t>6801</w:t>
      </w:r>
      <w:r>
        <w:rPr>
          <w:spacing w:val="-2"/>
        </w:rPr>
        <w:t xml:space="preserve"> </w:t>
      </w:r>
      <w:r>
        <w:t>Rockledge</w:t>
      </w:r>
      <w:r>
        <w:rPr>
          <w:spacing w:val="-2"/>
        </w:rPr>
        <w:t xml:space="preserve"> </w:t>
      </w:r>
      <w:r>
        <w:t>Drive,</w:t>
      </w:r>
      <w:r>
        <w:rPr>
          <w:spacing w:val="-2"/>
        </w:rPr>
        <w:t xml:space="preserve"> </w:t>
      </w:r>
      <w:r>
        <w:t>Bethesda,</w:t>
      </w:r>
      <w:r>
        <w:rPr>
          <w:spacing w:val="-2"/>
        </w:rPr>
        <w:t xml:space="preserve"> </w:t>
      </w:r>
      <w:r>
        <w:t>Maryland</w:t>
      </w:r>
      <w:r>
        <w:rPr>
          <w:spacing w:val="-2"/>
        </w:rPr>
        <w:t xml:space="preserve"> </w:t>
      </w:r>
      <w:r>
        <w:t>20817.</w:t>
      </w:r>
      <w:r>
        <w:rPr>
          <w:spacing w:val="-2"/>
        </w:rPr>
        <w:t xml:space="preserve"> </w:t>
      </w:r>
      <w:r>
        <w:t>We</w:t>
      </w:r>
      <w:r>
        <w:rPr>
          <w:spacing w:val="-2"/>
        </w:rPr>
        <w:t xml:space="preserve"> </w:t>
      </w:r>
      <w:r>
        <w:t>are</w:t>
      </w:r>
      <w:r>
        <w:rPr>
          <w:spacing w:val="-2"/>
        </w:rPr>
        <w:t xml:space="preserve"> </w:t>
      </w:r>
      <w:r>
        <w:t>required</w:t>
      </w:r>
      <w:r>
        <w:rPr>
          <w:spacing w:val="-2"/>
        </w:rPr>
        <w:t xml:space="preserve"> </w:t>
      </w:r>
      <w:r>
        <w:t>to</w:t>
      </w:r>
      <w:r>
        <w:rPr>
          <w:spacing w:val="-2"/>
        </w:rPr>
        <w:t xml:space="preserve"> </w:t>
      </w:r>
      <w:r>
        <w:t>disclose</w:t>
      </w:r>
      <w:r>
        <w:rPr>
          <w:spacing w:val="-2"/>
        </w:rPr>
        <w:t xml:space="preserve"> </w:t>
      </w:r>
      <w:r>
        <w:t>any</w:t>
      </w:r>
      <w:r>
        <w:rPr>
          <w:spacing w:val="-2"/>
        </w:rPr>
        <w:t xml:space="preserve"> </w:t>
      </w:r>
      <w:r>
        <w:t>change</w:t>
      </w:r>
      <w:r>
        <w:rPr>
          <w:spacing w:val="-2"/>
        </w:rPr>
        <w:t xml:space="preserve"> </w:t>
      </w:r>
      <w:r>
        <w:t>to,</w:t>
      </w:r>
      <w:r>
        <w:rPr>
          <w:spacing w:val="-2"/>
        </w:rPr>
        <w:t xml:space="preserve"> </w:t>
      </w:r>
      <w:r>
        <w:t>or</w:t>
      </w:r>
      <w:r>
        <w:rPr>
          <w:spacing w:val="-2"/>
        </w:rPr>
        <w:t xml:space="preserve"> </w:t>
      </w:r>
      <w:r>
        <w:t>waiver</w:t>
      </w:r>
      <w:r>
        <w:rPr>
          <w:spacing w:val="-2"/>
        </w:rPr>
        <w:t xml:space="preserve"> </w:t>
      </w:r>
      <w:r>
        <w:t>from,</w:t>
      </w:r>
      <w:r>
        <w:rPr>
          <w:spacing w:val="-2"/>
        </w:rPr>
        <w:t xml:space="preserve"> </w:t>
      </w:r>
      <w:r>
        <w:t>our Code of Ethics and Business Conduct for our Chief Executive Officer and senior financial officers. We use our website to disseminate this disclosure as permitted by applicable SEC rules.</w:t>
      </w:r>
    </w:p>
    <w:p w14:paraId="1DFD8B81" w14:textId="77777777" w:rsidR="00AE2255" w:rsidRDefault="00AE2255">
      <w:pPr>
        <w:pStyle w:val="BodyText"/>
        <w:spacing w:before="4"/>
        <w:rPr>
          <w:sz w:val="28"/>
        </w:rPr>
      </w:pPr>
    </w:p>
    <w:p w14:paraId="22DD980D" w14:textId="77777777" w:rsidR="00AE2255" w:rsidRDefault="00000000">
      <w:pPr>
        <w:pStyle w:val="Heading2"/>
        <w:tabs>
          <w:tab w:val="left" w:pos="1869"/>
        </w:tabs>
      </w:pPr>
      <w:bookmarkStart w:id="77" w:name="Item_11._Executive_Compensation"/>
      <w:bookmarkStart w:id="78" w:name="_bookmark25"/>
      <w:bookmarkEnd w:id="77"/>
      <w:bookmarkEnd w:id="78"/>
      <w:r>
        <w:t>ITEM</w:t>
      </w:r>
      <w:r>
        <w:rPr>
          <w:spacing w:val="-4"/>
        </w:rPr>
        <w:t xml:space="preserve"> </w:t>
      </w:r>
      <w:r>
        <w:rPr>
          <w:spacing w:val="-5"/>
        </w:rPr>
        <w:t>11.</w:t>
      </w:r>
      <w:r>
        <w:tab/>
        <w:t>Executive</w:t>
      </w:r>
      <w:r>
        <w:rPr>
          <w:spacing w:val="-6"/>
        </w:rPr>
        <w:t xml:space="preserve"> </w:t>
      </w:r>
      <w:r>
        <w:rPr>
          <w:spacing w:val="-2"/>
        </w:rPr>
        <w:t>Compensation</w:t>
      </w:r>
    </w:p>
    <w:p w14:paraId="2A1EE970" w14:textId="77777777" w:rsidR="00AE2255" w:rsidRDefault="00AE2255">
      <w:pPr>
        <w:pStyle w:val="BodyText"/>
        <w:spacing w:before="3"/>
        <w:rPr>
          <w:b/>
          <w:sz w:val="18"/>
        </w:rPr>
      </w:pPr>
    </w:p>
    <w:p w14:paraId="7EEE48CC" w14:textId="77777777" w:rsidR="00AE2255" w:rsidRDefault="00000000">
      <w:pPr>
        <w:pStyle w:val="BodyText"/>
        <w:spacing w:line="249" w:lineRule="auto"/>
        <w:ind w:left="610" w:right="430" w:firstLine="360"/>
        <w:jc w:val="both"/>
      </w:pPr>
      <w:r>
        <w:t>The information required by Item 402 of Regulation S-K is included in the text and tables under the captions “Executive Compensation” and “Director Compensation” in the 2023 Proxy Statement and that information is incorporated by reference in this Form 10-K. The information required by Item 407(e)(5) of Regulation S-K is included under the caption “Compensation Committee Report” in the 2023 Proxy Statement, and that information is incorporated by reference in this Form 10-K.</w:t>
      </w:r>
    </w:p>
    <w:p w14:paraId="166BB585" w14:textId="77777777" w:rsidR="00AE2255" w:rsidRDefault="00AE2255">
      <w:pPr>
        <w:spacing w:line="249" w:lineRule="auto"/>
        <w:jc w:val="both"/>
        <w:sectPr w:rsidR="00AE2255">
          <w:pgSz w:w="12240" w:h="15840"/>
          <w:pgMar w:top="440" w:right="560" w:bottom="720" w:left="380" w:header="230" w:footer="531" w:gutter="0"/>
          <w:cols w:space="720"/>
        </w:sectPr>
      </w:pPr>
    </w:p>
    <w:p w14:paraId="3D1F6916" w14:textId="77777777" w:rsidR="00AE2255" w:rsidRDefault="00AE2255">
      <w:pPr>
        <w:pStyle w:val="BodyText"/>
        <w:spacing w:before="10"/>
        <w:rPr>
          <w:sz w:val="22"/>
        </w:rPr>
      </w:pPr>
    </w:p>
    <w:p w14:paraId="790F4C8D" w14:textId="77777777" w:rsidR="00AE2255" w:rsidRDefault="00000000">
      <w:pPr>
        <w:pStyle w:val="Heading2"/>
        <w:tabs>
          <w:tab w:val="left" w:pos="1869"/>
        </w:tabs>
        <w:spacing w:before="92"/>
      </w:pPr>
      <w:bookmarkStart w:id="79" w:name="Item_12._Security_Ownership_of_Certain_B"/>
      <w:bookmarkStart w:id="80" w:name="_bookmark26"/>
      <w:bookmarkEnd w:id="79"/>
      <w:bookmarkEnd w:id="80"/>
      <w:r>
        <w:t>ITEM</w:t>
      </w:r>
      <w:r>
        <w:rPr>
          <w:spacing w:val="-4"/>
        </w:rPr>
        <w:t xml:space="preserve"> </w:t>
      </w:r>
      <w:r>
        <w:rPr>
          <w:spacing w:val="-5"/>
        </w:rPr>
        <w:t>12.</w:t>
      </w:r>
      <w:r>
        <w:tab/>
        <w:t>Security</w:t>
      </w:r>
      <w:r>
        <w:rPr>
          <w:spacing w:val="-7"/>
        </w:rPr>
        <w:t xml:space="preserve"> </w:t>
      </w:r>
      <w:r>
        <w:t>Ownership</w:t>
      </w:r>
      <w:r>
        <w:rPr>
          <w:spacing w:val="-5"/>
        </w:rPr>
        <w:t xml:space="preserve"> </w:t>
      </w:r>
      <w:r>
        <w:t>of</w:t>
      </w:r>
      <w:r>
        <w:rPr>
          <w:spacing w:val="-5"/>
        </w:rPr>
        <w:t xml:space="preserve"> </w:t>
      </w:r>
      <w:r>
        <w:t>Certain</w:t>
      </w:r>
      <w:r>
        <w:rPr>
          <w:spacing w:val="-5"/>
        </w:rPr>
        <w:t xml:space="preserve"> </w:t>
      </w:r>
      <w:r>
        <w:t>Beneficial</w:t>
      </w:r>
      <w:r>
        <w:rPr>
          <w:spacing w:val="-5"/>
        </w:rPr>
        <w:t xml:space="preserve"> </w:t>
      </w:r>
      <w:r>
        <w:t>Owners</w:t>
      </w:r>
      <w:r>
        <w:rPr>
          <w:spacing w:val="-6"/>
        </w:rPr>
        <w:t xml:space="preserve"> </w:t>
      </w:r>
      <w:r>
        <w:t>and</w:t>
      </w:r>
      <w:r>
        <w:rPr>
          <w:spacing w:val="-5"/>
        </w:rPr>
        <w:t xml:space="preserve"> </w:t>
      </w:r>
      <w:r>
        <w:t>Management</w:t>
      </w:r>
      <w:r>
        <w:rPr>
          <w:spacing w:val="-4"/>
        </w:rPr>
        <w:t xml:space="preserve"> </w:t>
      </w:r>
      <w:r>
        <w:t>and</w:t>
      </w:r>
      <w:r>
        <w:rPr>
          <w:spacing w:val="-6"/>
        </w:rPr>
        <w:t xml:space="preserve"> </w:t>
      </w:r>
      <w:r>
        <w:t>Related</w:t>
      </w:r>
      <w:r>
        <w:rPr>
          <w:spacing w:val="-5"/>
        </w:rPr>
        <w:t xml:space="preserve"> </w:t>
      </w:r>
      <w:r>
        <w:t>Stockholder</w:t>
      </w:r>
      <w:r>
        <w:rPr>
          <w:spacing w:val="-5"/>
        </w:rPr>
        <w:t xml:space="preserve"> </w:t>
      </w:r>
      <w:r>
        <w:rPr>
          <w:spacing w:val="-2"/>
        </w:rPr>
        <w:t>Matters</w:t>
      </w:r>
    </w:p>
    <w:p w14:paraId="5AF8BC13" w14:textId="77777777" w:rsidR="00AE2255" w:rsidRDefault="00AE2255">
      <w:pPr>
        <w:pStyle w:val="BodyText"/>
        <w:spacing w:before="3"/>
        <w:rPr>
          <w:b/>
          <w:sz w:val="18"/>
        </w:rPr>
      </w:pPr>
    </w:p>
    <w:p w14:paraId="135412AD" w14:textId="77777777" w:rsidR="00AE2255" w:rsidRDefault="00000000">
      <w:pPr>
        <w:pStyle w:val="BodyText"/>
        <w:spacing w:line="249" w:lineRule="auto"/>
        <w:ind w:left="610" w:right="428" w:firstLine="360"/>
        <w:jc w:val="both"/>
      </w:pPr>
      <w:r>
        <w:t>The information required by Item 12 related to the security ownership of management and certain beneficial owners is included under the heading “Security Ownership of Management and Certain Beneficial Owners” in the 2023 Proxy Statement, and that information is incorporated by reference in this Annual Report on Form 10-K.</w:t>
      </w:r>
    </w:p>
    <w:p w14:paraId="1B5D2E4C" w14:textId="77777777" w:rsidR="00AE2255" w:rsidRDefault="00AE2255">
      <w:pPr>
        <w:pStyle w:val="BodyText"/>
        <w:spacing w:before="3"/>
        <w:rPr>
          <w:sz w:val="17"/>
        </w:rPr>
      </w:pPr>
    </w:p>
    <w:p w14:paraId="60C5DCF8" w14:textId="77777777" w:rsidR="00AE2255" w:rsidRDefault="00000000">
      <w:pPr>
        <w:pStyle w:val="Heading2"/>
        <w:spacing w:before="1"/>
      </w:pPr>
      <w:r>
        <w:t>Equity</w:t>
      </w:r>
      <w:r>
        <w:rPr>
          <w:spacing w:val="-5"/>
        </w:rPr>
        <w:t xml:space="preserve"> </w:t>
      </w:r>
      <w:r>
        <w:t>Compensation</w:t>
      </w:r>
      <w:r>
        <w:rPr>
          <w:spacing w:val="-5"/>
        </w:rPr>
        <w:t xml:space="preserve"> </w:t>
      </w:r>
      <w:r>
        <w:t>Plan</w:t>
      </w:r>
      <w:r>
        <w:rPr>
          <w:spacing w:val="-4"/>
        </w:rPr>
        <w:t xml:space="preserve"> </w:t>
      </w:r>
      <w:r>
        <w:rPr>
          <w:spacing w:val="-2"/>
        </w:rPr>
        <w:t>Information</w:t>
      </w:r>
    </w:p>
    <w:p w14:paraId="21BAFB40" w14:textId="77777777" w:rsidR="00AE2255" w:rsidRDefault="00AE2255">
      <w:pPr>
        <w:pStyle w:val="BodyText"/>
        <w:spacing w:before="6"/>
        <w:rPr>
          <w:b/>
          <w:sz w:val="18"/>
        </w:rPr>
      </w:pPr>
    </w:p>
    <w:p w14:paraId="1D4581F8" w14:textId="77777777" w:rsidR="00AE2255" w:rsidRDefault="00000000">
      <w:pPr>
        <w:pStyle w:val="BodyText"/>
        <w:spacing w:line="249" w:lineRule="auto"/>
        <w:ind w:left="610" w:right="428" w:firstLine="360"/>
        <w:jc w:val="both"/>
      </w:pPr>
      <w:r>
        <w:t>The following table provides information about our equity compensation plans that authorize the issuance of shares of Lockheed Martin common stock to employees and directors. The information is provided as of December 31, 2022.</w:t>
      </w:r>
    </w:p>
    <w:p w14:paraId="0E97D805" w14:textId="77777777" w:rsidR="00AE2255" w:rsidRDefault="00000000">
      <w:pPr>
        <w:spacing w:before="91"/>
        <w:ind w:left="8860" w:firstLine="100"/>
        <w:rPr>
          <w:b/>
          <w:sz w:val="18"/>
        </w:rPr>
      </w:pPr>
      <w:r>
        <w:rPr>
          <w:b/>
          <w:sz w:val="18"/>
        </w:rPr>
        <w:t>Number of securities remaining</w:t>
      </w:r>
      <w:r>
        <w:rPr>
          <w:b/>
          <w:spacing w:val="-2"/>
          <w:sz w:val="18"/>
        </w:rPr>
        <w:t xml:space="preserve"> </w:t>
      </w:r>
      <w:r>
        <w:rPr>
          <w:b/>
          <w:sz w:val="18"/>
        </w:rPr>
        <w:t>available</w:t>
      </w:r>
      <w:r>
        <w:rPr>
          <w:b/>
          <w:spacing w:val="-1"/>
          <w:sz w:val="18"/>
        </w:rPr>
        <w:t xml:space="preserve"> </w:t>
      </w:r>
      <w:r>
        <w:rPr>
          <w:b/>
          <w:spacing w:val="-5"/>
          <w:sz w:val="18"/>
        </w:rPr>
        <w:t>for</w:t>
      </w:r>
    </w:p>
    <w:p w14:paraId="7246F1E2" w14:textId="77777777" w:rsidR="00AE2255" w:rsidRDefault="00AE2255">
      <w:pPr>
        <w:rPr>
          <w:sz w:val="18"/>
        </w:rPr>
        <w:sectPr w:rsidR="00AE2255">
          <w:pgSz w:w="12240" w:h="15840"/>
          <w:pgMar w:top="440" w:right="560" w:bottom="720" w:left="380" w:header="230" w:footer="531" w:gutter="0"/>
          <w:cols w:space="720"/>
        </w:sectPr>
      </w:pPr>
    </w:p>
    <w:p w14:paraId="26BA628A" w14:textId="77777777" w:rsidR="00AE2255" w:rsidRDefault="00AE2255">
      <w:pPr>
        <w:pStyle w:val="BodyText"/>
        <w:rPr>
          <w:b/>
        </w:rPr>
      </w:pPr>
    </w:p>
    <w:p w14:paraId="5763104A" w14:textId="77777777" w:rsidR="00AE2255" w:rsidRDefault="00AE2255">
      <w:pPr>
        <w:pStyle w:val="BodyText"/>
        <w:rPr>
          <w:b/>
        </w:rPr>
      </w:pPr>
    </w:p>
    <w:p w14:paraId="0E74BDA7" w14:textId="77777777" w:rsidR="00AE2255" w:rsidRDefault="00AE2255">
      <w:pPr>
        <w:pStyle w:val="BodyText"/>
        <w:rPr>
          <w:b/>
        </w:rPr>
      </w:pPr>
    </w:p>
    <w:p w14:paraId="2F9C702F" w14:textId="77777777" w:rsidR="00AE2255" w:rsidRDefault="00000000">
      <w:pPr>
        <w:spacing w:before="138"/>
        <w:ind w:left="662"/>
        <w:rPr>
          <w:b/>
          <w:sz w:val="18"/>
        </w:rPr>
      </w:pPr>
      <w:r>
        <w:rPr>
          <w:b/>
          <w:sz w:val="18"/>
        </w:rPr>
        <w:t>Plan</w:t>
      </w:r>
      <w:r>
        <w:rPr>
          <w:b/>
          <w:spacing w:val="-1"/>
          <w:sz w:val="18"/>
        </w:rPr>
        <w:t xml:space="preserve"> </w:t>
      </w:r>
      <w:r>
        <w:rPr>
          <w:b/>
          <w:spacing w:val="-2"/>
          <w:sz w:val="18"/>
        </w:rPr>
        <w:t>category</w:t>
      </w:r>
    </w:p>
    <w:p w14:paraId="1F887D9D" w14:textId="77777777" w:rsidR="00AE2255" w:rsidRDefault="00000000">
      <w:pPr>
        <w:ind w:left="662"/>
        <w:jc w:val="center"/>
        <w:rPr>
          <w:b/>
          <w:sz w:val="18"/>
        </w:rPr>
      </w:pPr>
      <w:r>
        <w:br w:type="column"/>
      </w:r>
      <w:r>
        <w:rPr>
          <w:b/>
          <w:sz w:val="18"/>
        </w:rPr>
        <w:t>Number</w:t>
      </w:r>
      <w:r>
        <w:rPr>
          <w:b/>
          <w:spacing w:val="-12"/>
          <w:sz w:val="18"/>
        </w:rPr>
        <w:t xml:space="preserve"> </w:t>
      </w:r>
      <w:r>
        <w:rPr>
          <w:b/>
          <w:sz w:val="18"/>
        </w:rPr>
        <w:t>of</w:t>
      </w:r>
      <w:r>
        <w:rPr>
          <w:b/>
          <w:spacing w:val="-11"/>
          <w:sz w:val="18"/>
        </w:rPr>
        <w:t xml:space="preserve"> </w:t>
      </w:r>
      <w:r>
        <w:rPr>
          <w:b/>
          <w:sz w:val="18"/>
        </w:rPr>
        <w:t>securities</w:t>
      </w:r>
      <w:r>
        <w:rPr>
          <w:b/>
          <w:spacing w:val="-11"/>
          <w:sz w:val="18"/>
        </w:rPr>
        <w:t xml:space="preserve"> </w:t>
      </w:r>
      <w:r>
        <w:rPr>
          <w:b/>
          <w:sz w:val="18"/>
        </w:rPr>
        <w:t>to be</w:t>
      </w:r>
      <w:r>
        <w:rPr>
          <w:b/>
          <w:spacing w:val="-10"/>
          <w:sz w:val="18"/>
        </w:rPr>
        <w:t xml:space="preserve"> </w:t>
      </w:r>
      <w:r>
        <w:rPr>
          <w:b/>
          <w:sz w:val="18"/>
        </w:rPr>
        <w:t>issued</w:t>
      </w:r>
      <w:r>
        <w:rPr>
          <w:b/>
          <w:spacing w:val="-11"/>
          <w:sz w:val="18"/>
        </w:rPr>
        <w:t xml:space="preserve"> </w:t>
      </w:r>
      <w:r>
        <w:rPr>
          <w:b/>
          <w:sz w:val="18"/>
        </w:rPr>
        <w:t>upon</w:t>
      </w:r>
      <w:r>
        <w:rPr>
          <w:b/>
          <w:spacing w:val="-11"/>
          <w:sz w:val="18"/>
        </w:rPr>
        <w:t xml:space="preserve"> </w:t>
      </w:r>
      <w:r>
        <w:rPr>
          <w:b/>
          <w:sz w:val="18"/>
        </w:rPr>
        <w:t>exercise of outstanding options, warrants and rights</w:t>
      </w:r>
    </w:p>
    <w:p w14:paraId="5247AEE6" w14:textId="77777777" w:rsidR="00AE2255" w:rsidRDefault="00000000">
      <w:pPr>
        <w:ind w:left="661"/>
        <w:jc w:val="center"/>
        <w:rPr>
          <w:b/>
          <w:sz w:val="18"/>
        </w:rPr>
      </w:pPr>
      <w:r>
        <w:rPr>
          <w:b/>
          <w:spacing w:val="-5"/>
          <w:sz w:val="18"/>
        </w:rPr>
        <w:t>(a)</w:t>
      </w:r>
    </w:p>
    <w:p w14:paraId="230D969B" w14:textId="77777777" w:rsidR="00AE2255" w:rsidRDefault="00000000">
      <w:pPr>
        <w:ind w:left="292"/>
        <w:jc w:val="center"/>
        <w:rPr>
          <w:b/>
          <w:sz w:val="18"/>
        </w:rPr>
      </w:pPr>
      <w:r>
        <w:br w:type="column"/>
      </w:r>
      <w:r>
        <w:rPr>
          <w:b/>
          <w:spacing w:val="-2"/>
          <w:sz w:val="18"/>
        </w:rPr>
        <w:t xml:space="preserve">Weighted-average </w:t>
      </w:r>
      <w:r>
        <w:rPr>
          <w:b/>
          <w:sz w:val="18"/>
        </w:rPr>
        <w:t>exercise price of outstanding</w:t>
      </w:r>
      <w:r>
        <w:rPr>
          <w:b/>
          <w:spacing w:val="-12"/>
          <w:sz w:val="18"/>
        </w:rPr>
        <w:t xml:space="preserve"> </w:t>
      </w:r>
      <w:r>
        <w:rPr>
          <w:b/>
          <w:sz w:val="18"/>
        </w:rPr>
        <w:t>options, warrants</w:t>
      </w:r>
      <w:r>
        <w:rPr>
          <w:b/>
          <w:spacing w:val="-5"/>
          <w:sz w:val="18"/>
        </w:rPr>
        <w:t xml:space="preserve"> </w:t>
      </w:r>
      <w:r>
        <w:rPr>
          <w:b/>
          <w:sz w:val="18"/>
        </w:rPr>
        <w:t>and</w:t>
      </w:r>
      <w:r>
        <w:rPr>
          <w:b/>
          <w:spacing w:val="-5"/>
          <w:sz w:val="18"/>
        </w:rPr>
        <w:t xml:space="preserve"> </w:t>
      </w:r>
      <w:r>
        <w:rPr>
          <w:b/>
          <w:sz w:val="18"/>
        </w:rPr>
        <w:t xml:space="preserve">rights </w:t>
      </w:r>
      <w:r>
        <w:rPr>
          <w:b/>
          <w:spacing w:val="-4"/>
          <w:sz w:val="18"/>
        </w:rPr>
        <w:t>(b)</w:t>
      </w:r>
    </w:p>
    <w:p w14:paraId="5B57851C" w14:textId="77777777" w:rsidR="00AE2255" w:rsidRDefault="00000000">
      <w:pPr>
        <w:ind w:left="244" w:right="517"/>
        <w:jc w:val="center"/>
        <w:rPr>
          <w:b/>
          <w:sz w:val="18"/>
        </w:rPr>
      </w:pPr>
      <w:r>
        <w:br w:type="column"/>
      </w:r>
      <w:r>
        <w:rPr>
          <w:b/>
          <w:sz w:val="18"/>
        </w:rPr>
        <w:t>future issuance under equity</w:t>
      </w:r>
      <w:r>
        <w:rPr>
          <w:b/>
          <w:spacing w:val="-12"/>
          <w:sz w:val="18"/>
        </w:rPr>
        <w:t xml:space="preserve"> </w:t>
      </w:r>
      <w:r>
        <w:rPr>
          <w:b/>
          <w:sz w:val="18"/>
        </w:rPr>
        <w:t>compensation</w:t>
      </w:r>
      <w:r>
        <w:rPr>
          <w:b/>
          <w:spacing w:val="-11"/>
          <w:sz w:val="18"/>
        </w:rPr>
        <w:t xml:space="preserve"> </w:t>
      </w:r>
      <w:r>
        <w:rPr>
          <w:b/>
          <w:sz w:val="18"/>
        </w:rPr>
        <w:t>plans (excluding securities reflected in column (a))</w:t>
      </w:r>
    </w:p>
    <w:p w14:paraId="479A63FB" w14:textId="77777777" w:rsidR="00AE2255" w:rsidRDefault="00000000">
      <w:pPr>
        <w:ind w:left="244" w:right="517"/>
        <w:jc w:val="center"/>
        <w:rPr>
          <w:b/>
          <w:sz w:val="18"/>
        </w:rPr>
      </w:pPr>
      <w:r>
        <w:rPr>
          <w:b/>
          <w:spacing w:val="-5"/>
          <w:sz w:val="18"/>
        </w:rPr>
        <w:t>(c)</w:t>
      </w:r>
    </w:p>
    <w:p w14:paraId="08FA61BD" w14:textId="77777777" w:rsidR="00AE2255" w:rsidRDefault="00AE2255">
      <w:pPr>
        <w:jc w:val="center"/>
        <w:rPr>
          <w:sz w:val="18"/>
        </w:rPr>
        <w:sectPr w:rsidR="00AE2255">
          <w:type w:val="continuous"/>
          <w:pgSz w:w="12240" w:h="15840"/>
          <w:pgMar w:top="440" w:right="560" w:bottom="280" w:left="380" w:header="230" w:footer="531" w:gutter="0"/>
          <w:cols w:num="4" w:space="720" w:equalWidth="0">
            <w:col w:w="1758" w:space="2348"/>
            <w:col w:w="2458" w:space="39"/>
            <w:col w:w="1853" w:space="40"/>
            <w:col w:w="2804"/>
          </w:cols>
        </w:sectPr>
      </w:pPr>
    </w:p>
    <w:tbl>
      <w:tblPr>
        <w:tblW w:w="0" w:type="auto"/>
        <w:tblInd w:w="617" w:type="dxa"/>
        <w:tblLayout w:type="fixed"/>
        <w:tblCellMar>
          <w:left w:w="0" w:type="dxa"/>
          <w:right w:w="0" w:type="dxa"/>
        </w:tblCellMar>
        <w:tblLook w:val="01E0" w:firstRow="1" w:lastRow="1" w:firstColumn="1" w:lastColumn="1" w:noHBand="0" w:noVBand="0"/>
      </w:tblPr>
      <w:tblGrid>
        <w:gridCol w:w="4185"/>
        <w:gridCol w:w="1628"/>
        <w:gridCol w:w="2330"/>
        <w:gridCol w:w="2116"/>
      </w:tblGrid>
      <w:tr w:rsidR="00AE2255" w14:paraId="7D62E2C9" w14:textId="77777777">
        <w:trPr>
          <w:trHeight w:val="485"/>
        </w:trPr>
        <w:tc>
          <w:tcPr>
            <w:tcW w:w="4185" w:type="dxa"/>
            <w:tcBorders>
              <w:top w:val="single" w:sz="8" w:space="0" w:color="000000"/>
            </w:tcBorders>
            <w:shd w:val="clear" w:color="auto" w:fill="CCEDFF"/>
          </w:tcPr>
          <w:p w14:paraId="08844311" w14:textId="77777777" w:rsidR="00AE2255" w:rsidRDefault="00000000">
            <w:pPr>
              <w:pStyle w:val="TableParagraph"/>
              <w:spacing w:before="41" w:line="208" w:lineRule="auto"/>
              <w:ind w:left="172" w:right="230"/>
              <w:jc w:val="left"/>
              <w:rPr>
                <w:sz w:val="20"/>
              </w:rPr>
            </w:pPr>
            <w:r>
              <w:rPr>
                <w:sz w:val="20"/>
              </w:rPr>
              <w:t>Equity</w:t>
            </w:r>
            <w:r>
              <w:rPr>
                <w:spacing w:val="-10"/>
                <w:sz w:val="20"/>
              </w:rPr>
              <w:t xml:space="preserve"> </w:t>
            </w:r>
            <w:r>
              <w:rPr>
                <w:sz w:val="20"/>
              </w:rPr>
              <w:t>compensation</w:t>
            </w:r>
            <w:r>
              <w:rPr>
                <w:spacing w:val="-10"/>
                <w:sz w:val="20"/>
              </w:rPr>
              <w:t xml:space="preserve"> </w:t>
            </w:r>
            <w:r>
              <w:rPr>
                <w:sz w:val="20"/>
              </w:rPr>
              <w:t>plans</w:t>
            </w:r>
            <w:r>
              <w:rPr>
                <w:spacing w:val="-11"/>
                <w:sz w:val="20"/>
              </w:rPr>
              <w:t xml:space="preserve"> </w:t>
            </w:r>
            <w:r>
              <w:rPr>
                <w:sz w:val="20"/>
              </w:rPr>
              <w:t>approved</w:t>
            </w:r>
            <w:r>
              <w:rPr>
                <w:spacing w:val="-10"/>
                <w:sz w:val="20"/>
              </w:rPr>
              <w:t xml:space="preserve"> </w:t>
            </w:r>
            <w:r>
              <w:rPr>
                <w:sz w:val="20"/>
              </w:rPr>
              <w:t xml:space="preserve">by security holders </w:t>
            </w:r>
            <w:r>
              <w:rPr>
                <w:sz w:val="20"/>
                <w:vertAlign w:val="superscript"/>
              </w:rPr>
              <w:t>(1)</w:t>
            </w:r>
          </w:p>
        </w:tc>
        <w:tc>
          <w:tcPr>
            <w:tcW w:w="1628" w:type="dxa"/>
            <w:tcBorders>
              <w:top w:val="single" w:sz="8" w:space="0" w:color="000000"/>
            </w:tcBorders>
            <w:shd w:val="clear" w:color="auto" w:fill="CCEDFF"/>
          </w:tcPr>
          <w:p w14:paraId="550D8784" w14:textId="77777777" w:rsidR="00AE2255" w:rsidRDefault="00AE2255">
            <w:pPr>
              <w:pStyle w:val="TableParagraph"/>
              <w:spacing w:before="6"/>
              <w:jc w:val="left"/>
              <w:rPr>
                <w:b/>
                <w:sz w:val="19"/>
              </w:rPr>
            </w:pPr>
          </w:p>
          <w:p w14:paraId="0314B078" w14:textId="77777777" w:rsidR="00AE2255" w:rsidRDefault="00000000">
            <w:pPr>
              <w:pStyle w:val="TableParagraph"/>
              <w:spacing w:before="0"/>
              <w:ind w:right="327"/>
              <w:rPr>
                <w:sz w:val="20"/>
              </w:rPr>
            </w:pPr>
            <w:r>
              <w:rPr>
                <w:spacing w:val="-2"/>
                <w:sz w:val="20"/>
              </w:rPr>
              <w:t>2,297,380</w:t>
            </w:r>
          </w:p>
        </w:tc>
        <w:tc>
          <w:tcPr>
            <w:tcW w:w="2330" w:type="dxa"/>
            <w:tcBorders>
              <w:top w:val="single" w:sz="8" w:space="0" w:color="000000"/>
            </w:tcBorders>
            <w:shd w:val="clear" w:color="auto" w:fill="CCEDFF"/>
          </w:tcPr>
          <w:p w14:paraId="4BC29315" w14:textId="77777777" w:rsidR="00AE2255" w:rsidRDefault="00AE2255">
            <w:pPr>
              <w:pStyle w:val="TableParagraph"/>
              <w:spacing w:before="6"/>
              <w:jc w:val="left"/>
              <w:rPr>
                <w:b/>
                <w:sz w:val="19"/>
              </w:rPr>
            </w:pPr>
          </w:p>
          <w:p w14:paraId="02915BE9" w14:textId="77777777" w:rsidR="00AE2255" w:rsidRDefault="00000000">
            <w:pPr>
              <w:pStyle w:val="TableParagraph"/>
              <w:tabs>
                <w:tab w:val="left" w:pos="1090"/>
              </w:tabs>
              <w:spacing w:before="0"/>
              <w:ind w:right="707"/>
              <w:rPr>
                <w:sz w:val="20"/>
              </w:rPr>
            </w:pPr>
            <w:r>
              <w:rPr>
                <w:spacing w:val="-10"/>
                <w:sz w:val="20"/>
              </w:rPr>
              <w:t>$</w:t>
            </w:r>
            <w:r>
              <w:rPr>
                <w:sz w:val="20"/>
              </w:rPr>
              <w:tab/>
            </w:r>
            <w:r>
              <w:rPr>
                <w:spacing w:val="-10"/>
                <w:sz w:val="20"/>
              </w:rPr>
              <w:t>—</w:t>
            </w:r>
          </w:p>
        </w:tc>
        <w:tc>
          <w:tcPr>
            <w:tcW w:w="2116" w:type="dxa"/>
            <w:tcBorders>
              <w:top w:val="single" w:sz="8" w:space="0" w:color="000000"/>
              <w:right w:val="single" w:sz="2" w:space="0" w:color="CCEDFF"/>
            </w:tcBorders>
            <w:shd w:val="clear" w:color="auto" w:fill="CCEDFF"/>
          </w:tcPr>
          <w:p w14:paraId="1D7FA482" w14:textId="77777777" w:rsidR="00AE2255" w:rsidRDefault="00AE2255">
            <w:pPr>
              <w:pStyle w:val="TableParagraph"/>
              <w:spacing w:before="6"/>
              <w:jc w:val="left"/>
              <w:rPr>
                <w:b/>
                <w:sz w:val="19"/>
              </w:rPr>
            </w:pPr>
          </w:p>
          <w:p w14:paraId="44D6BECF" w14:textId="77777777" w:rsidR="00AE2255" w:rsidRDefault="00000000">
            <w:pPr>
              <w:pStyle w:val="TableParagraph"/>
              <w:spacing w:before="0"/>
              <w:ind w:right="601"/>
              <w:rPr>
                <w:sz w:val="20"/>
              </w:rPr>
            </w:pPr>
            <w:r>
              <w:rPr>
                <w:spacing w:val="-2"/>
                <w:sz w:val="20"/>
              </w:rPr>
              <w:t>6,761,032</w:t>
            </w:r>
          </w:p>
        </w:tc>
      </w:tr>
      <w:tr w:rsidR="00AE2255" w14:paraId="43560084" w14:textId="77777777">
        <w:trPr>
          <w:trHeight w:val="530"/>
        </w:trPr>
        <w:tc>
          <w:tcPr>
            <w:tcW w:w="4185" w:type="dxa"/>
            <w:tcBorders>
              <w:bottom w:val="single" w:sz="8" w:space="0" w:color="auto"/>
            </w:tcBorders>
          </w:tcPr>
          <w:p w14:paraId="55A3462F" w14:textId="77777777" w:rsidR="00AE2255" w:rsidRDefault="00000000">
            <w:pPr>
              <w:pStyle w:val="TableParagraph"/>
              <w:spacing w:before="51" w:line="208" w:lineRule="auto"/>
              <w:ind w:left="322" w:hanging="150"/>
              <w:jc w:val="left"/>
              <w:rPr>
                <w:sz w:val="20"/>
              </w:rPr>
            </w:pPr>
            <w:r>
              <w:rPr>
                <w:sz w:val="20"/>
              </w:rPr>
              <w:t>Equity</w:t>
            </w:r>
            <w:r>
              <w:rPr>
                <w:spacing w:val="-8"/>
                <w:sz w:val="20"/>
              </w:rPr>
              <w:t xml:space="preserve"> </w:t>
            </w:r>
            <w:r>
              <w:rPr>
                <w:sz w:val="20"/>
              </w:rPr>
              <w:t>compensation</w:t>
            </w:r>
            <w:r>
              <w:rPr>
                <w:spacing w:val="-8"/>
                <w:sz w:val="20"/>
              </w:rPr>
              <w:t xml:space="preserve"> </w:t>
            </w:r>
            <w:r>
              <w:rPr>
                <w:sz w:val="20"/>
              </w:rPr>
              <w:t>plans</w:t>
            </w:r>
            <w:r>
              <w:rPr>
                <w:spacing w:val="-9"/>
                <w:sz w:val="20"/>
              </w:rPr>
              <w:t xml:space="preserve"> </w:t>
            </w:r>
            <w:r>
              <w:rPr>
                <w:sz w:val="20"/>
              </w:rPr>
              <w:t>not</w:t>
            </w:r>
            <w:r>
              <w:rPr>
                <w:spacing w:val="-9"/>
                <w:sz w:val="20"/>
              </w:rPr>
              <w:t xml:space="preserve"> </w:t>
            </w:r>
            <w:r>
              <w:rPr>
                <w:sz w:val="20"/>
              </w:rPr>
              <w:t>approved</w:t>
            </w:r>
            <w:r>
              <w:rPr>
                <w:spacing w:val="-8"/>
                <w:sz w:val="20"/>
              </w:rPr>
              <w:t xml:space="preserve"> </w:t>
            </w:r>
            <w:r>
              <w:rPr>
                <w:sz w:val="20"/>
              </w:rPr>
              <w:t xml:space="preserve">by security holders </w:t>
            </w:r>
            <w:r>
              <w:rPr>
                <w:sz w:val="20"/>
                <w:vertAlign w:val="superscript"/>
              </w:rPr>
              <w:t>(2)</w:t>
            </w:r>
          </w:p>
        </w:tc>
        <w:tc>
          <w:tcPr>
            <w:tcW w:w="1628" w:type="dxa"/>
            <w:tcBorders>
              <w:bottom w:val="single" w:sz="8" w:space="0" w:color="auto"/>
            </w:tcBorders>
          </w:tcPr>
          <w:p w14:paraId="73C85B01" w14:textId="77777777" w:rsidR="00AE2255" w:rsidRDefault="00AE2255">
            <w:pPr>
              <w:pStyle w:val="TableParagraph"/>
              <w:spacing w:before="4"/>
              <w:jc w:val="left"/>
              <w:rPr>
                <w:b/>
                <w:sz w:val="24"/>
              </w:rPr>
            </w:pPr>
          </w:p>
          <w:p w14:paraId="68581EB6" w14:textId="77777777" w:rsidR="00AE2255" w:rsidRDefault="00000000">
            <w:pPr>
              <w:pStyle w:val="TableParagraph"/>
              <w:spacing w:before="0" w:line="230" w:lineRule="exact"/>
              <w:ind w:right="327"/>
              <w:rPr>
                <w:sz w:val="20"/>
              </w:rPr>
            </w:pPr>
            <w:r>
              <w:rPr>
                <w:spacing w:val="-2"/>
                <w:sz w:val="20"/>
              </w:rPr>
              <w:t>545,753</w:t>
            </w:r>
          </w:p>
        </w:tc>
        <w:tc>
          <w:tcPr>
            <w:tcW w:w="2330" w:type="dxa"/>
            <w:tcBorders>
              <w:bottom w:val="single" w:sz="8" w:space="0" w:color="auto"/>
            </w:tcBorders>
          </w:tcPr>
          <w:p w14:paraId="179F14F2" w14:textId="77777777" w:rsidR="00AE2255" w:rsidRDefault="00AE2255">
            <w:pPr>
              <w:pStyle w:val="TableParagraph"/>
              <w:spacing w:before="4"/>
              <w:jc w:val="left"/>
              <w:rPr>
                <w:b/>
                <w:sz w:val="24"/>
              </w:rPr>
            </w:pPr>
          </w:p>
          <w:p w14:paraId="4CF33FCF" w14:textId="77777777" w:rsidR="00AE2255" w:rsidRDefault="00000000">
            <w:pPr>
              <w:pStyle w:val="TableParagraph"/>
              <w:spacing w:before="0" w:line="230" w:lineRule="exact"/>
              <w:ind w:right="707"/>
              <w:rPr>
                <w:sz w:val="20"/>
              </w:rPr>
            </w:pPr>
            <w:r>
              <w:rPr>
                <w:sz w:val="20"/>
              </w:rPr>
              <w:t>—</w:t>
            </w:r>
          </w:p>
        </w:tc>
        <w:tc>
          <w:tcPr>
            <w:tcW w:w="2116" w:type="dxa"/>
            <w:tcBorders>
              <w:bottom w:val="single" w:sz="8" w:space="0" w:color="auto"/>
              <w:right w:val="single" w:sz="2" w:space="0" w:color="auto"/>
            </w:tcBorders>
          </w:tcPr>
          <w:p w14:paraId="2AE3D55F" w14:textId="77777777" w:rsidR="00AE2255" w:rsidRDefault="00AE2255">
            <w:pPr>
              <w:pStyle w:val="TableParagraph"/>
              <w:spacing w:before="4"/>
              <w:jc w:val="left"/>
              <w:rPr>
                <w:b/>
                <w:sz w:val="24"/>
              </w:rPr>
            </w:pPr>
          </w:p>
          <w:p w14:paraId="017D69F1" w14:textId="77777777" w:rsidR="00AE2255" w:rsidRDefault="00000000">
            <w:pPr>
              <w:pStyle w:val="TableParagraph"/>
              <w:spacing w:before="0" w:line="230" w:lineRule="exact"/>
              <w:ind w:right="601"/>
              <w:rPr>
                <w:sz w:val="20"/>
              </w:rPr>
            </w:pPr>
            <w:r>
              <w:rPr>
                <w:spacing w:val="-2"/>
                <w:sz w:val="20"/>
              </w:rPr>
              <w:t>2,486,789</w:t>
            </w:r>
          </w:p>
        </w:tc>
      </w:tr>
      <w:tr w:rsidR="00AE2255" w14:paraId="64E86368" w14:textId="77777777">
        <w:trPr>
          <w:trHeight w:val="267"/>
        </w:trPr>
        <w:tc>
          <w:tcPr>
            <w:tcW w:w="4185" w:type="dxa"/>
            <w:tcBorders>
              <w:top w:val="single" w:sz="8" w:space="0" w:color="CCEDFF"/>
              <w:bottom w:val="single" w:sz="18" w:space="0" w:color="CCEDFF"/>
            </w:tcBorders>
            <w:shd w:val="clear" w:color="auto" w:fill="CCEDFF"/>
          </w:tcPr>
          <w:p w14:paraId="555EAA1C" w14:textId="77777777" w:rsidR="00AE2255" w:rsidRDefault="00000000">
            <w:pPr>
              <w:pStyle w:val="TableParagraph"/>
              <w:spacing w:before="17"/>
              <w:ind w:left="172"/>
              <w:jc w:val="left"/>
              <w:rPr>
                <w:sz w:val="20"/>
              </w:rPr>
            </w:pPr>
            <w:r>
              <w:rPr>
                <w:spacing w:val="-2"/>
                <w:sz w:val="20"/>
              </w:rPr>
              <w:t>Total</w:t>
            </w:r>
          </w:p>
        </w:tc>
        <w:tc>
          <w:tcPr>
            <w:tcW w:w="1628" w:type="dxa"/>
            <w:tcBorders>
              <w:top w:val="single" w:sz="8" w:space="0" w:color="CCEDFF"/>
              <w:bottom w:val="single" w:sz="18" w:space="0" w:color="CCEDFF"/>
            </w:tcBorders>
            <w:shd w:val="clear" w:color="auto" w:fill="CCEDFF"/>
          </w:tcPr>
          <w:p w14:paraId="2BB0D787" w14:textId="77777777" w:rsidR="00AE2255" w:rsidRDefault="00000000">
            <w:pPr>
              <w:pStyle w:val="TableParagraph"/>
              <w:spacing w:before="30" w:line="217" w:lineRule="exact"/>
              <w:ind w:right="327"/>
              <w:rPr>
                <w:sz w:val="20"/>
              </w:rPr>
            </w:pPr>
            <w:r>
              <w:rPr>
                <w:spacing w:val="-2"/>
                <w:sz w:val="20"/>
              </w:rPr>
              <w:t>2,843,133</w:t>
            </w:r>
          </w:p>
        </w:tc>
        <w:tc>
          <w:tcPr>
            <w:tcW w:w="2330" w:type="dxa"/>
            <w:tcBorders>
              <w:top w:val="single" w:sz="8" w:space="0" w:color="CCEDFF"/>
              <w:bottom w:val="single" w:sz="18" w:space="0" w:color="CCEDFF"/>
            </w:tcBorders>
            <w:shd w:val="clear" w:color="auto" w:fill="CCEDFF"/>
          </w:tcPr>
          <w:p w14:paraId="3A492A57" w14:textId="77777777" w:rsidR="00AE2255" w:rsidRDefault="00000000">
            <w:pPr>
              <w:pStyle w:val="TableParagraph"/>
              <w:tabs>
                <w:tab w:val="left" w:pos="1090"/>
              </w:tabs>
              <w:spacing w:before="30" w:line="217" w:lineRule="exact"/>
              <w:ind w:right="707"/>
              <w:rPr>
                <w:sz w:val="20"/>
              </w:rPr>
            </w:pPr>
            <w:r>
              <w:rPr>
                <w:spacing w:val="-10"/>
                <w:sz w:val="20"/>
              </w:rPr>
              <w:t>$</w:t>
            </w:r>
            <w:r>
              <w:rPr>
                <w:sz w:val="20"/>
              </w:rPr>
              <w:tab/>
            </w:r>
            <w:r>
              <w:rPr>
                <w:spacing w:val="-10"/>
                <w:sz w:val="20"/>
              </w:rPr>
              <w:t>—</w:t>
            </w:r>
          </w:p>
        </w:tc>
        <w:tc>
          <w:tcPr>
            <w:tcW w:w="2116" w:type="dxa"/>
            <w:tcBorders>
              <w:top w:val="single" w:sz="8" w:space="0" w:color="CCEDFF"/>
              <w:bottom w:val="single" w:sz="18" w:space="0" w:color="CCEDFF"/>
              <w:right w:val="single" w:sz="2" w:space="0" w:color="CCEDFF"/>
            </w:tcBorders>
            <w:shd w:val="clear" w:color="auto" w:fill="CCEDFF"/>
          </w:tcPr>
          <w:p w14:paraId="23EA0C58" w14:textId="77777777" w:rsidR="00AE2255" w:rsidRDefault="00000000">
            <w:pPr>
              <w:pStyle w:val="TableParagraph"/>
              <w:spacing w:before="30" w:line="217" w:lineRule="exact"/>
              <w:ind w:right="601"/>
              <w:rPr>
                <w:sz w:val="20"/>
              </w:rPr>
            </w:pPr>
            <w:r>
              <w:rPr>
                <w:spacing w:val="-2"/>
                <w:sz w:val="20"/>
              </w:rPr>
              <w:t>9,247,821</w:t>
            </w:r>
          </w:p>
        </w:tc>
      </w:tr>
    </w:tbl>
    <w:p w14:paraId="423A8C02" w14:textId="77777777" w:rsidR="00AE2255" w:rsidRDefault="00AE2255">
      <w:pPr>
        <w:pStyle w:val="BodyText"/>
        <w:spacing w:before="7"/>
        <w:rPr>
          <w:b/>
          <w:sz w:val="14"/>
        </w:rPr>
      </w:pPr>
    </w:p>
    <w:p w14:paraId="5B1A12E6" w14:textId="77777777" w:rsidR="00AE2255" w:rsidRDefault="00000000">
      <w:pPr>
        <w:spacing w:before="121" w:line="232" w:lineRule="auto"/>
        <w:ind w:left="970" w:right="420" w:hanging="360"/>
        <w:jc w:val="both"/>
        <w:rPr>
          <w:sz w:val="18"/>
        </w:rPr>
      </w:pPr>
      <w:r>
        <w:rPr>
          <w:sz w:val="18"/>
          <w:vertAlign w:val="superscript"/>
        </w:rPr>
        <w:t>(1)</w:t>
      </w:r>
      <w:r>
        <w:rPr>
          <w:spacing w:val="80"/>
          <w:w w:val="150"/>
          <w:sz w:val="18"/>
        </w:rPr>
        <w:t xml:space="preserve"> </w:t>
      </w:r>
      <w:r>
        <w:rPr>
          <w:sz w:val="18"/>
        </w:rPr>
        <w:t>Column (a) includes, as of December 31, 2022: 1,587,329 shares that have been granted as restricted stock units (RSUs) and 624,106 shares that could be earned pursuant to grants of performance stock units (PSUs) (assuming the maximum number of PSUs are earned and</w:t>
      </w:r>
      <w:r>
        <w:rPr>
          <w:spacing w:val="-4"/>
          <w:sz w:val="18"/>
        </w:rPr>
        <w:t xml:space="preserve"> </w:t>
      </w:r>
      <w:r>
        <w:rPr>
          <w:sz w:val="18"/>
        </w:rPr>
        <w:t>payable</w:t>
      </w:r>
      <w:r>
        <w:rPr>
          <w:spacing w:val="-2"/>
          <w:sz w:val="18"/>
        </w:rPr>
        <w:t xml:space="preserve"> </w:t>
      </w:r>
      <w:r>
        <w:rPr>
          <w:sz w:val="18"/>
        </w:rPr>
        <w:t>at</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three-year</w:t>
      </w:r>
      <w:r>
        <w:rPr>
          <w:spacing w:val="-2"/>
          <w:sz w:val="18"/>
        </w:rPr>
        <w:t xml:space="preserve"> </w:t>
      </w:r>
      <w:r>
        <w:rPr>
          <w:sz w:val="18"/>
        </w:rPr>
        <w:t>performance</w:t>
      </w:r>
      <w:r>
        <w:rPr>
          <w:spacing w:val="-2"/>
          <w:sz w:val="18"/>
        </w:rPr>
        <w:t xml:space="preserve"> </w:t>
      </w:r>
      <w:r>
        <w:rPr>
          <w:sz w:val="18"/>
        </w:rPr>
        <w:t>period)</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Lockheed</w:t>
      </w:r>
      <w:r>
        <w:rPr>
          <w:spacing w:val="-2"/>
          <w:sz w:val="18"/>
        </w:rPr>
        <w:t xml:space="preserve"> </w:t>
      </w:r>
      <w:r>
        <w:rPr>
          <w:sz w:val="18"/>
        </w:rPr>
        <w:t>Martin</w:t>
      </w:r>
      <w:r>
        <w:rPr>
          <w:spacing w:val="-2"/>
          <w:sz w:val="18"/>
        </w:rPr>
        <w:t xml:space="preserve"> </w:t>
      </w:r>
      <w:r>
        <w:rPr>
          <w:sz w:val="18"/>
        </w:rPr>
        <w:t>Corporation</w:t>
      </w:r>
      <w:r>
        <w:rPr>
          <w:spacing w:val="-2"/>
          <w:sz w:val="18"/>
        </w:rPr>
        <w:t xml:space="preserve"> </w:t>
      </w:r>
      <w:r>
        <w:rPr>
          <w:sz w:val="18"/>
        </w:rPr>
        <w:t>2020</w:t>
      </w:r>
      <w:r>
        <w:rPr>
          <w:spacing w:val="-2"/>
          <w:sz w:val="18"/>
        </w:rPr>
        <w:t xml:space="preserve"> </w:t>
      </w:r>
      <w:r>
        <w:rPr>
          <w:sz w:val="18"/>
        </w:rPr>
        <w:t>Incentive</w:t>
      </w:r>
      <w:r>
        <w:rPr>
          <w:spacing w:val="-2"/>
          <w:sz w:val="18"/>
        </w:rPr>
        <w:t xml:space="preserve"> </w:t>
      </w:r>
      <w:r>
        <w:rPr>
          <w:sz w:val="18"/>
        </w:rPr>
        <w:t>Performance</w:t>
      </w:r>
      <w:r>
        <w:rPr>
          <w:spacing w:val="-2"/>
          <w:sz w:val="18"/>
        </w:rPr>
        <w:t xml:space="preserve"> </w:t>
      </w:r>
      <w:r>
        <w:rPr>
          <w:sz w:val="18"/>
        </w:rPr>
        <w:t>Award Plan (2020 IPA Plan) or predecessor plans and 85,945 stock units payable in stock or cash under the Lockheed Martin Corporation Amended and Restated Directors Equity Plan (Directors Plan) or predecessor plans for non-employee directors. Column (c) includes, as of December 31, 2022, 6,391,651 shares available for future issuance under the 2020 IPA Plan as options, stock appreciation rights, restricted stock awards, RSUs or PSUs and 369,381 shares available for future issuance under the Directors Plan as stock options and stock units. Vested stock units are payable to directors upon their termination of service from our Board, except that directors who have satisfied the stock ownership guidelines may elect to have payment of awards made after January 1, 2018 (together with any dividend equivalents thereon) made on the first business day of April following the one-year anniversary of the grant.</w:t>
      </w:r>
    </w:p>
    <w:p w14:paraId="1253EA28" w14:textId="77777777" w:rsidR="00AE2255" w:rsidRDefault="00000000">
      <w:pPr>
        <w:spacing w:before="89" w:line="232" w:lineRule="auto"/>
        <w:ind w:left="970" w:right="421" w:hanging="360"/>
        <w:jc w:val="both"/>
        <w:rPr>
          <w:sz w:val="18"/>
        </w:rPr>
      </w:pPr>
      <w:r>
        <w:rPr>
          <w:sz w:val="18"/>
          <w:vertAlign w:val="superscript"/>
        </w:rPr>
        <w:t>(2)</w:t>
      </w:r>
      <w:r>
        <w:rPr>
          <w:spacing w:val="40"/>
          <w:sz w:val="18"/>
        </w:rPr>
        <w:t xml:space="preserve">  </w:t>
      </w:r>
      <w:r>
        <w:rPr>
          <w:sz w:val="18"/>
        </w:rPr>
        <w:t xml:space="preserve">The shares represent annual incentive bonuses and Long-Term Incentive Performance (LTIP) payments earned and voluntarily deferred by employees. The deferred amounts are payable under the Deferred Management Incentive Compensation Plan (DMICP). Deferred amounts are credited as phantom stock units at the closing price of our stock on the date the deferral is effective. Amounts equal to our dividend are credited as stock units at the time we pay a dividend. Following termination of employment, </w:t>
      </w:r>
      <w:proofErr w:type="gramStart"/>
      <w:r>
        <w:rPr>
          <w:sz w:val="18"/>
        </w:rPr>
        <w:t>a number of</w:t>
      </w:r>
      <w:proofErr w:type="gramEnd"/>
      <w:r>
        <w:rPr>
          <w:sz w:val="18"/>
        </w:rPr>
        <w:t xml:space="preserve"> shares of stock equal to the number of stock units credited to the employee’s DMICP account are distributed to the employee. There is no discount or value transfer on the stock distributed. Distributions may be made from newly issued shares or shares purchased on the open market. Historically, all distributions have come from shares held in a separate trust and, therefore, do not further dilute our common shares outstanding. Because the DMICP shares are outstanding, they should be included in the denominator (and not the numerator) of a</w:t>
      </w:r>
      <w:r>
        <w:rPr>
          <w:spacing w:val="40"/>
          <w:sz w:val="18"/>
        </w:rPr>
        <w:t xml:space="preserve"> </w:t>
      </w:r>
      <w:r>
        <w:rPr>
          <w:sz w:val="18"/>
        </w:rPr>
        <w:t>dilution calculation.</w:t>
      </w:r>
    </w:p>
    <w:p w14:paraId="384AC9E3" w14:textId="77777777" w:rsidR="00AE2255" w:rsidRDefault="00AE2255">
      <w:pPr>
        <w:pStyle w:val="BodyText"/>
        <w:spacing w:before="9"/>
        <w:rPr>
          <w:sz w:val="19"/>
        </w:rPr>
      </w:pPr>
    </w:p>
    <w:p w14:paraId="282FDCA3" w14:textId="77777777" w:rsidR="00AE2255" w:rsidRDefault="00000000">
      <w:pPr>
        <w:pStyle w:val="Heading2"/>
        <w:jc w:val="both"/>
      </w:pPr>
      <w:bookmarkStart w:id="81" w:name="Item_13._Certain_Relationships_and_Relat"/>
      <w:bookmarkStart w:id="82" w:name="_bookmark27"/>
      <w:bookmarkEnd w:id="81"/>
      <w:bookmarkEnd w:id="82"/>
      <w:r>
        <w:t>ITEM</w:t>
      </w:r>
      <w:r>
        <w:rPr>
          <w:spacing w:val="-6"/>
        </w:rPr>
        <w:t xml:space="preserve"> </w:t>
      </w:r>
      <w:r>
        <w:t>13.</w:t>
      </w:r>
      <w:r>
        <w:rPr>
          <w:spacing w:val="61"/>
          <w:w w:val="150"/>
        </w:rPr>
        <w:t xml:space="preserve">   </w:t>
      </w:r>
      <w:r>
        <w:t>Certain</w:t>
      </w:r>
      <w:r>
        <w:rPr>
          <w:spacing w:val="-2"/>
        </w:rPr>
        <w:t xml:space="preserve"> </w:t>
      </w:r>
      <w:r>
        <w:t>Relationships</w:t>
      </w:r>
      <w:r>
        <w:rPr>
          <w:spacing w:val="-3"/>
        </w:rPr>
        <w:t xml:space="preserve"> </w:t>
      </w:r>
      <w:r>
        <w:t>and</w:t>
      </w:r>
      <w:r>
        <w:rPr>
          <w:spacing w:val="-3"/>
        </w:rPr>
        <w:t xml:space="preserve"> </w:t>
      </w:r>
      <w:r>
        <w:t>Related</w:t>
      </w:r>
      <w:r>
        <w:rPr>
          <w:spacing w:val="-3"/>
        </w:rPr>
        <w:t xml:space="preserve"> </w:t>
      </w:r>
      <w:r>
        <w:t>Transactions,</w:t>
      </w:r>
      <w:r>
        <w:rPr>
          <w:spacing w:val="-2"/>
        </w:rPr>
        <w:t xml:space="preserve"> </w:t>
      </w:r>
      <w:r>
        <w:t>and</w:t>
      </w:r>
      <w:r>
        <w:rPr>
          <w:spacing w:val="-3"/>
        </w:rPr>
        <w:t xml:space="preserve"> </w:t>
      </w:r>
      <w:r>
        <w:t>Director</w:t>
      </w:r>
      <w:r>
        <w:rPr>
          <w:spacing w:val="-3"/>
        </w:rPr>
        <w:t xml:space="preserve"> </w:t>
      </w:r>
      <w:r>
        <w:rPr>
          <w:spacing w:val="-2"/>
        </w:rPr>
        <w:t>Independence</w:t>
      </w:r>
    </w:p>
    <w:p w14:paraId="4F302484" w14:textId="77777777" w:rsidR="00AE2255" w:rsidRDefault="00AE2255">
      <w:pPr>
        <w:pStyle w:val="BodyText"/>
        <w:spacing w:before="3"/>
        <w:rPr>
          <w:b/>
          <w:sz w:val="18"/>
        </w:rPr>
      </w:pPr>
    </w:p>
    <w:p w14:paraId="04F5CADA" w14:textId="77777777" w:rsidR="00AE2255" w:rsidRDefault="00000000">
      <w:pPr>
        <w:pStyle w:val="BodyText"/>
        <w:ind w:left="970"/>
        <w:jc w:val="both"/>
      </w:pPr>
      <w:r>
        <w:t>The</w:t>
      </w:r>
      <w:r>
        <w:rPr>
          <w:spacing w:val="-3"/>
        </w:rPr>
        <w:t xml:space="preserve"> </w:t>
      </w:r>
      <w:r>
        <w:t xml:space="preserve">information required by Item 404 and 407(a) of Regulation S-K is included under the captions “Corporate </w:t>
      </w:r>
      <w:r>
        <w:rPr>
          <w:spacing w:val="-2"/>
        </w:rPr>
        <w:t>Governance</w:t>
      </w:r>
    </w:p>
    <w:p w14:paraId="6473BA13" w14:textId="77777777" w:rsidR="00AE2255" w:rsidRDefault="00000000">
      <w:pPr>
        <w:pStyle w:val="BodyText"/>
        <w:spacing w:before="10" w:line="249" w:lineRule="auto"/>
        <w:ind w:left="610" w:right="428"/>
        <w:jc w:val="both"/>
      </w:pPr>
      <w:r>
        <w:t xml:space="preserve">- Related Person Transaction Policy,” “Corporate Governance - Certain Relationships and Related Person Transactions of Directors, Executive </w:t>
      </w:r>
      <w:proofErr w:type="gramStart"/>
      <w:r>
        <w:t>Officers</w:t>
      </w:r>
      <w:proofErr w:type="gramEnd"/>
      <w:r>
        <w:t xml:space="preserve"> and 5 Percent Stockholders,” and “Corporate Governance - Director Independence” in the 2023 Proxy Statement, and that information is incorporated by reference in this Form 10-K.</w:t>
      </w:r>
    </w:p>
    <w:p w14:paraId="46B66389" w14:textId="77777777" w:rsidR="00AE2255" w:rsidRDefault="00AE2255">
      <w:pPr>
        <w:pStyle w:val="BodyText"/>
        <w:rPr>
          <w:sz w:val="28"/>
        </w:rPr>
      </w:pPr>
    </w:p>
    <w:p w14:paraId="5E15698A" w14:textId="77777777" w:rsidR="00AE2255" w:rsidRDefault="00000000">
      <w:pPr>
        <w:pStyle w:val="Heading2"/>
        <w:jc w:val="both"/>
      </w:pPr>
      <w:bookmarkStart w:id="83" w:name="Item_14._Principal_Accountant_Fees_and_S"/>
      <w:bookmarkStart w:id="84" w:name="_bookmark28"/>
      <w:bookmarkEnd w:id="83"/>
      <w:bookmarkEnd w:id="84"/>
      <w:r>
        <w:t>ITEM</w:t>
      </w:r>
      <w:r>
        <w:rPr>
          <w:spacing w:val="-5"/>
        </w:rPr>
        <w:t xml:space="preserve"> </w:t>
      </w:r>
      <w:r>
        <w:t>14.</w:t>
      </w:r>
      <w:r>
        <w:rPr>
          <w:spacing w:val="63"/>
          <w:w w:val="150"/>
        </w:rPr>
        <w:t xml:space="preserve">   </w:t>
      </w:r>
      <w:r>
        <w:t>Principal</w:t>
      </w:r>
      <w:r>
        <w:rPr>
          <w:spacing w:val="-3"/>
        </w:rPr>
        <w:t xml:space="preserve"> </w:t>
      </w:r>
      <w:r>
        <w:t>Accounting</w:t>
      </w:r>
      <w:r>
        <w:rPr>
          <w:spacing w:val="-1"/>
        </w:rPr>
        <w:t xml:space="preserve"> </w:t>
      </w:r>
      <w:r>
        <w:t>Fees</w:t>
      </w:r>
      <w:r>
        <w:rPr>
          <w:spacing w:val="-3"/>
        </w:rPr>
        <w:t xml:space="preserve"> </w:t>
      </w:r>
      <w:r>
        <w:t>and</w:t>
      </w:r>
      <w:r>
        <w:rPr>
          <w:spacing w:val="-2"/>
        </w:rPr>
        <w:t xml:space="preserve"> Services</w:t>
      </w:r>
    </w:p>
    <w:p w14:paraId="767ECD1D" w14:textId="77777777" w:rsidR="00AE2255" w:rsidRDefault="00AE2255">
      <w:pPr>
        <w:pStyle w:val="BodyText"/>
        <w:spacing w:before="3"/>
        <w:rPr>
          <w:b/>
          <w:sz w:val="18"/>
        </w:rPr>
      </w:pPr>
    </w:p>
    <w:p w14:paraId="798FC6A5" w14:textId="77777777" w:rsidR="00AE2255" w:rsidRDefault="00000000">
      <w:pPr>
        <w:pStyle w:val="BodyText"/>
        <w:spacing w:line="249" w:lineRule="auto"/>
        <w:ind w:left="610" w:firstLine="360"/>
      </w:pPr>
      <w:r>
        <w:t>The</w:t>
      </w:r>
      <w:r>
        <w:rPr>
          <w:spacing w:val="31"/>
        </w:rPr>
        <w:t xml:space="preserve"> </w:t>
      </w:r>
      <w:r>
        <w:t>information</w:t>
      </w:r>
      <w:r>
        <w:rPr>
          <w:spacing w:val="32"/>
        </w:rPr>
        <w:t xml:space="preserve"> </w:t>
      </w:r>
      <w:r>
        <w:t>required</w:t>
      </w:r>
      <w:r>
        <w:rPr>
          <w:spacing w:val="32"/>
        </w:rPr>
        <w:t xml:space="preserve"> </w:t>
      </w:r>
      <w:r>
        <w:t>by</w:t>
      </w:r>
      <w:r>
        <w:rPr>
          <w:spacing w:val="32"/>
        </w:rPr>
        <w:t xml:space="preserve"> </w:t>
      </w:r>
      <w:r>
        <w:t>this</w:t>
      </w:r>
      <w:r>
        <w:rPr>
          <w:spacing w:val="31"/>
        </w:rPr>
        <w:t xml:space="preserve"> </w:t>
      </w:r>
      <w:r>
        <w:t>Item</w:t>
      </w:r>
      <w:r>
        <w:rPr>
          <w:spacing w:val="31"/>
        </w:rPr>
        <w:t xml:space="preserve"> </w:t>
      </w:r>
      <w:r>
        <w:t>14</w:t>
      </w:r>
      <w:r>
        <w:rPr>
          <w:spacing w:val="32"/>
        </w:rPr>
        <w:t xml:space="preserve"> </w:t>
      </w:r>
      <w:r>
        <w:t>is</w:t>
      </w:r>
      <w:r>
        <w:rPr>
          <w:spacing w:val="31"/>
        </w:rPr>
        <w:t xml:space="preserve"> </w:t>
      </w:r>
      <w:r>
        <w:t>included</w:t>
      </w:r>
      <w:r>
        <w:rPr>
          <w:spacing w:val="32"/>
        </w:rPr>
        <w:t xml:space="preserve"> </w:t>
      </w:r>
      <w:r>
        <w:t>under</w:t>
      </w:r>
      <w:r>
        <w:rPr>
          <w:spacing w:val="32"/>
        </w:rPr>
        <w:t xml:space="preserve"> </w:t>
      </w:r>
      <w:r>
        <w:t>the</w:t>
      </w:r>
      <w:r>
        <w:rPr>
          <w:spacing w:val="31"/>
        </w:rPr>
        <w:t xml:space="preserve"> </w:t>
      </w:r>
      <w:r>
        <w:t>caption</w:t>
      </w:r>
      <w:r>
        <w:rPr>
          <w:spacing w:val="32"/>
        </w:rPr>
        <w:t xml:space="preserve"> </w:t>
      </w:r>
      <w:r>
        <w:t>“Proposal</w:t>
      </w:r>
      <w:r>
        <w:rPr>
          <w:spacing w:val="31"/>
        </w:rPr>
        <w:t xml:space="preserve"> </w:t>
      </w:r>
      <w:r>
        <w:t>4</w:t>
      </w:r>
      <w:r>
        <w:rPr>
          <w:spacing w:val="32"/>
        </w:rPr>
        <w:t xml:space="preserve"> </w:t>
      </w:r>
      <w:r>
        <w:t>-</w:t>
      </w:r>
      <w:r>
        <w:rPr>
          <w:spacing w:val="32"/>
        </w:rPr>
        <w:t xml:space="preserve"> </w:t>
      </w:r>
      <w:r>
        <w:t>Ratification</w:t>
      </w:r>
      <w:r>
        <w:rPr>
          <w:spacing w:val="32"/>
        </w:rPr>
        <w:t xml:space="preserve"> </w:t>
      </w:r>
      <w:r>
        <w:t>of</w:t>
      </w:r>
      <w:r>
        <w:rPr>
          <w:spacing w:val="32"/>
        </w:rPr>
        <w:t xml:space="preserve"> </w:t>
      </w:r>
      <w:r>
        <w:t>Appointment</w:t>
      </w:r>
      <w:r>
        <w:rPr>
          <w:spacing w:val="31"/>
        </w:rPr>
        <w:t xml:space="preserve"> </w:t>
      </w:r>
      <w:r>
        <w:t>of Independent Auditors” in the 2023 Proxy Statement, and that information is incorporated by reference in this Form 10-K.</w:t>
      </w:r>
    </w:p>
    <w:p w14:paraId="1BC4A48D" w14:textId="77777777" w:rsidR="00AE2255" w:rsidRDefault="00AE2255">
      <w:pPr>
        <w:spacing w:line="249" w:lineRule="auto"/>
        <w:sectPr w:rsidR="00AE2255">
          <w:type w:val="continuous"/>
          <w:pgSz w:w="12240" w:h="15840"/>
          <w:pgMar w:top="440" w:right="560" w:bottom="280" w:left="380" w:header="230" w:footer="531" w:gutter="0"/>
          <w:cols w:space="720"/>
        </w:sectPr>
      </w:pPr>
    </w:p>
    <w:p w14:paraId="61E96B65" w14:textId="77777777" w:rsidR="00AE2255" w:rsidRDefault="00AE2255">
      <w:pPr>
        <w:pStyle w:val="BodyText"/>
        <w:spacing w:before="7"/>
        <w:rPr>
          <w:sz w:val="22"/>
        </w:rPr>
      </w:pPr>
    </w:p>
    <w:p w14:paraId="52C9E80B" w14:textId="77777777" w:rsidR="00AE2255" w:rsidRDefault="00000000">
      <w:pPr>
        <w:pStyle w:val="Heading1"/>
        <w:spacing w:before="92"/>
        <w:ind w:left="517" w:right="338"/>
        <w:jc w:val="center"/>
      </w:pPr>
      <w:bookmarkStart w:id="85" w:name="PART_IV"/>
      <w:bookmarkEnd w:id="85"/>
      <w:r>
        <w:t>PART</w:t>
      </w:r>
      <w:r>
        <w:rPr>
          <w:spacing w:val="-4"/>
        </w:rPr>
        <w:t xml:space="preserve"> </w:t>
      </w:r>
      <w:r>
        <w:rPr>
          <w:spacing w:val="-5"/>
        </w:rPr>
        <w:t>IV</w:t>
      </w:r>
    </w:p>
    <w:p w14:paraId="26D7CC7C" w14:textId="77777777" w:rsidR="00AE2255" w:rsidRDefault="00000000">
      <w:pPr>
        <w:pStyle w:val="Heading2"/>
        <w:tabs>
          <w:tab w:val="left" w:pos="1869"/>
        </w:tabs>
        <w:spacing w:before="190" w:line="439" w:lineRule="auto"/>
        <w:ind w:right="5685" w:firstLine="50"/>
      </w:pPr>
      <w:bookmarkStart w:id="86" w:name="Item_15._Exhibits_and_Financial_Statemen"/>
      <w:bookmarkStart w:id="87" w:name="_bookmark29"/>
      <w:bookmarkEnd w:id="86"/>
      <w:bookmarkEnd w:id="87"/>
      <w:r>
        <w:t>ITEM 15.</w:t>
      </w:r>
      <w:r>
        <w:tab/>
        <w:t>Exhibits</w:t>
      </w:r>
      <w:r>
        <w:rPr>
          <w:spacing w:val="-10"/>
        </w:rPr>
        <w:t xml:space="preserve"> </w:t>
      </w:r>
      <w:r>
        <w:t>and</w:t>
      </w:r>
      <w:r>
        <w:rPr>
          <w:spacing w:val="-11"/>
        </w:rPr>
        <w:t xml:space="preserve"> </w:t>
      </w:r>
      <w:r>
        <w:t>Financial</w:t>
      </w:r>
      <w:r>
        <w:rPr>
          <w:spacing w:val="-10"/>
        </w:rPr>
        <w:t xml:space="preserve"> </w:t>
      </w:r>
      <w:r>
        <w:t>Statement</w:t>
      </w:r>
      <w:r>
        <w:rPr>
          <w:spacing w:val="-10"/>
        </w:rPr>
        <w:t xml:space="preserve"> </w:t>
      </w:r>
      <w:r>
        <w:t>Schedules List of financial statements filed as part of this Form 10-K</w:t>
      </w:r>
    </w:p>
    <w:p w14:paraId="3FCC6665" w14:textId="77777777" w:rsidR="00AE2255" w:rsidRDefault="00000000">
      <w:pPr>
        <w:pStyle w:val="BodyText"/>
        <w:spacing w:before="1" w:line="249" w:lineRule="auto"/>
        <w:ind w:left="610" w:right="430" w:firstLine="360"/>
      </w:pPr>
      <w:r>
        <w:t>The</w:t>
      </w:r>
      <w:r>
        <w:rPr>
          <w:spacing w:val="-4"/>
        </w:rPr>
        <w:t xml:space="preserve"> </w:t>
      </w:r>
      <w:r>
        <w:t>following</w:t>
      </w:r>
      <w:r>
        <w:rPr>
          <w:spacing w:val="-3"/>
        </w:rPr>
        <w:t xml:space="preserve"> </w:t>
      </w:r>
      <w:r>
        <w:t>financial</w:t>
      </w:r>
      <w:r>
        <w:rPr>
          <w:spacing w:val="-4"/>
        </w:rPr>
        <w:t xml:space="preserve"> </w:t>
      </w:r>
      <w:r>
        <w:t>statements</w:t>
      </w:r>
      <w:r>
        <w:rPr>
          <w:spacing w:val="-4"/>
        </w:rPr>
        <w:t xml:space="preserve"> </w:t>
      </w:r>
      <w:r>
        <w:t>of</w:t>
      </w:r>
      <w:r>
        <w:rPr>
          <w:spacing w:val="-3"/>
        </w:rPr>
        <w:t xml:space="preserve"> </w:t>
      </w:r>
      <w:r>
        <w:t>Lockheed</w:t>
      </w:r>
      <w:r>
        <w:rPr>
          <w:spacing w:val="-3"/>
        </w:rPr>
        <w:t xml:space="preserve"> </w:t>
      </w:r>
      <w:r>
        <w:t>Martin</w:t>
      </w:r>
      <w:r>
        <w:rPr>
          <w:spacing w:val="-3"/>
        </w:rPr>
        <w:t xml:space="preserve"> </w:t>
      </w:r>
      <w:r>
        <w:t>Corporation</w:t>
      </w:r>
      <w:r>
        <w:rPr>
          <w:spacing w:val="-3"/>
        </w:rPr>
        <w:t xml:space="preserve"> </w:t>
      </w:r>
      <w:r>
        <w:t>and</w:t>
      </w:r>
      <w:r>
        <w:rPr>
          <w:spacing w:val="-3"/>
        </w:rPr>
        <w:t xml:space="preserve"> </w:t>
      </w:r>
      <w:r>
        <w:t>consolidated</w:t>
      </w:r>
      <w:r>
        <w:rPr>
          <w:spacing w:val="-3"/>
        </w:rPr>
        <w:t xml:space="preserve"> </w:t>
      </w:r>
      <w:r>
        <w:t>subsidiaries</w:t>
      </w:r>
      <w:r>
        <w:rPr>
          <w:spacing w:val="-4"/>
        </w:rPr>
        <w:t xml:space="preserve"> </w:t>
      </w:r>
      <w:r>
        <w:t>are</w:t>
      </w:r>
      <w:r>
        <w:rPr>
          <w:spacing w:val="-4"/>
        </w:rPr>
        <w:t xml:space="preserve"> </w:t>
      </w:r>
      <w:r>
        <w:t>included</w:t>
      </w:r>
      <w:r>
        <w:rPr>
          <w:spacing w:val="-3"/>
        </w:rPr>
        <w:t xml:space="preserve"> </w:t>
      </w:r>
      <w:r>
        <w:t>in</w:t>
      </w:r>
      <w:r>
        <w:rPr>
          <w:spacing w:val="-3"/>
        </w:rPr>
        <w:t xml:space="preserve"> </w:t>
      </w:r>
      <w:r>
        <w:t>Item</w:t>
      </w:r>
      <w:r>
        <w:rPr>
          <w:spacing w:val="-4"/>
        </w:rPr>
        <w:t xml:space="preserve"> </w:t>
      </w:r>
      <w:r>
        <w:t>8</w:t>
      </w:r>
      <w:r>
        <w:rPr>
          <w:spacing w:val="-3"/>
        </w:rPr>
        <w:t xml:space="preserve"> </w:t>
      </w:r>
      <w:r>
        <w:t>of this Annual Report on Form 10-K (Form 10-K) at the page numbers referenced below:</w:t>
      </w:r>
    </w:p>
    <w:p w14:paraId="1F81171F" w14:textId="77777777" w:rsidR="00AE2255" w:rsidRDefault="00000000">
      <w:pPr>
        <w:pStyle w:val="Heading2"/>
        <w:spacing w:before="30"/>
        <w:ind w:left="10364"/>
      </w:pPr>
      <w:r>
        <w:pict w14:anchorId="3AED5AAC">
          <v:group id="docshapegroup62" o:spid="_x0000_s2149" style="position:absolute;left:0;text-align:left;margin-left:532.5pt;margin-top:14pt;width:30pt;height:1pt;z-index:15751168;mso-position-horizontal-relative:page" coordorigin="10650,280" coordsize="600,20">
            <v:shape id="docshape63" o:spid="_x0000_s2151" style="position:absolute;left:10650;top:289;width:600;height:2" coordorigin="10650,290" coordsize="600,0" path="m11250,290r-600,e" fillcolor="black" stroked="f">
              <v:fill opacity="0"/>
              <v:path arrowok="t"/>
            </v:shape>
            <v:line id="_x0000_s2150" style="position:absolute" from="10650,290" to="11250,290" strokeweight="1pt"/>
            <w10:wrap anchorx="page"/>
          </v:group>
        </w:pict>
      </w:r>
      <w:bookmarkStart w:id="88" w:name="_TOC_250000"/>
      <w:bookmarkEnd w:id="88"/>
      <w:r>
        <w:rPr>
          <w:spacing w:val="-4"/>
        </w:rPr>
        <w:t>Page</w:t>
      </w:r>
    </w:p>
    <w:sdt>
      <w:sdtPr>
        <w:id w:val="-1861429895"/>
        <w:docPartObj>
          <w:docPartGallery w:val="Table of Contents"/>
          <w:docPartUnique/>
        </w:docPartObj>
      </w:sdtPr>
      <w:sdtContent>
        <w:p w14:paraId="3660BF5A" w14:textId="77777777" w:rsidR="00AE2255" w:rsidRDefault="00000000">
          <w:pPr>
            <w:pStyle w:val="TOC1"/>
            <w:tabs>
              <w:tab w:val="right" w:pos="10817"/>
            </w:tabs>
            <w:spacing w:before="57"/>
            <w:rPr>
              <w:u w:val="none"/>
            </w:rPr>
          </w:pPr>
          <w:hyperlink w:anchor="_bookmark13" w:history="1">
            <w:r>
              <w:rPr>
                <w:color w:val="0000FF"/>
                <w:u w:color="0000FF"/>
              </w:rPr>
              <w:t>Consolidated</w:t>
            </w:r>
            <w:r>
              <w:rPr>
                <w:color w:val="0000FF"/>
                <w:spacing w:val="-3"/>
                <w:u w:color="0000FF"/>
              </w:rPr>
              <w:t xml:space="preserve"> </w:t>
            </w:r>
            <w:r>
              <w:rPr>
                <w:color w:val="0000FF"/>
                <w:u w:color="0000FF"/>
              </w:rPr>
              <w:t>Statements</w:t>
            </w:r>
            <w:r>
              <w:rPr>
                <w:color w:val="0000FF"/>
                <w:spacing w:val="-3"/>
                <w:u w:color="0000FF"/>
              </w:rPr>
              <w:t xml:space="preserve"> </w:t>
            </w:r>
            <w:r>
              <w:rPr>
                <w:color w:val="0000FF"/>
                <w:u w:color="0000FF"/>
              </w:rPr>
              <w:t>of</w:t>
            </w:r>
            <w:r>
              <w:rPr>
                <w:color w:val="0000FF"/>
                <w:spacing w:val="-3"/>
                <w:u w:color="0000FF"/>
              </w:rPr>
              <w:t xml:space="preserve"> </w:t>
            </w:r>
            <w:r>
              <w:rPr>
                <w:color w:val="0000FF"/>
                <w:u w:color="0000FF"/>
              </w:rPr>
              <w:t>Earnings</w:t>
            </w:r>
            <w:r>
              <w:rPr>
                <w:color w:val="0000FF"/>
                <w:spacing w:val="-3"/>
                <w:u w:color="0000FF"/>
              </w:rPr>
              <w:t xml:space="preserve"> </w:t>
            </w:r>
            <w:r>
              <w:rPr>
                <w:color w:val="0000FF"/>
                <w:u w:color="0000FF"/>
              </w:rPr>
              <w:t>–</w:t>
            </w:r>
            <w:r>
              <w:rPr>
                <w:color w:val="0000FF"/>
                <w:spacing w:val="-2"/>
                <w:u w:color="0000FF"/>
              </w:rPr>
              <w:t xml:space="preserve"> </w:t>
            </w:r>
            <w:r>
              <w:rPr>
                <w:color w:val="0000FF"/>
                <w:u w:color="0000FF"/>
              </w:rPr>
              <w:t>Years</w:t>
            </w:r>
            <w:r>
              <w:rPr>
                <w:color w:val="0000FF"/>
                <w:spacing w:val="-3"/>
                <w:u w:color="0000FF"/>
              </w:rPr>
              <w:t xml:space="preserve"> </w:t>
            </w:r>
            <w:r>
              <w:rPr>
                <w:color w:val="0000FF"/>
                <w:u w:color="0000FF"/>
              </w:rPr>
              <w:t>ended</w:t>
            </w:r>
            <w:r>
              <w:rPr>
                <w:color w:val="0000FF"/>
                <w:spacing w:val="-3"/>
                <w:u w:color="0000FF"/>
              </w:rPr>
              <w:t xml:space="preserve"> </w:t>
            </w:r>
            <w:r>
              <w:rPr>
                <w:color w:val="0000FF"/>
                <w:u w:color="0000FF"/>
              </w:rPr>
              <w:t>December</w:t>
            </w:r>
            <w:r>
              <w:rPr>
                <w:color w:val="0000FF"/>
                <w:spacing w:val="-2"/>
                <w:u w:color="0000FF"/>
              </w:rPr>
              <w:t xml:space="preserve"> </w:t>
            </w:r>
            <w:r>
              <w:rPr>
                <w:color w:val="0000FF"/>
                <w:u w:color="0000FF"/>
              </w:rPr>
              <w:t>31,</w:t>
            </w:r>
            <w:r>
              <w:rPr>
                <w:color w:val="0000FF"/>
                <w:spacing w:val="-3"/>
                <w:u w:color="0000FF"/>
              </w:rPr>
              <w:t xml:space="preserve"> </w:t>
            </w:r>
            <w:r>
              <w:rPr>
                <w:color w:val="0000FF"/>
                <w:u w:color="0000FF"/>
              </w:rPr>
              <w:t>2022,</w:t>
            </w:r>
            <w:r>
              <w:rPr>
                <w:color w:val="0000FF"/>
                <w:spacing w:val="-2"/>
                <w:u w:color="0000FF"/>
              </w:rPr>
              <w:t xml:space="preserve"> </w:t>
            </w:r>
            <w:r>
              <w:rPr>
                <w:color w:val="0000FF"/>
                <w:u w:color="0000FF"/>
              </w:rPr>
              <w:t>2021</w:t>
            </w:r>
            <w:r>
              <w:rPr>
                <w:color w:val="0000FF"/>
                <w:spacing w:val="-2"/>
                <w:u w:color="0000FF"/>
              </w:rPr>
              <w:t xml:space="preserve"> </w:t>
            </w:r>
            <w:r>
              <w:rPr>
                <w:color w:val="0000FF"/>
                <w:u w:color="0000FF"/>
              </w:rPr>
              <w:t>and</w:t>
            </w:r>
            <w:r>
              <w:rPr>
                <w:color w:val="0000FF"/>
                <w:spacing w:val="-3"/>
                <w:u w:color="0000FF"/>
              </w:rPr>
              <w:t xml:space="preserve"> </w:t>
            </w:r>
            <w:r>
              <w:rPr>
                <w:color w:val="0000FF"/>
                <w:u w:color="0000FF"/>
              </w:rPr>
              <w:t>2020</w:t>
            </w:r>
          </w:hyperlink>
          <w:r>
            <w:rPr>
              <w:color w:val="0000FF"/>
              <w:spacing w:val="-11"/>
              <w:u w:val="none"/>
            </w:rPr>
            <w:t xml:space="preserve"> </w:t>
          </w:r>
          <w:r>
            <w:rPr>
              <w:color w:val="B3B3B3"/>
              <w:spacing w:val="-2"/>
              <w:u w:val="none"/>
            </w:rPr>
            <w:t>.................................................</w:t>
          </w:r>
          <w:r>
            <w:rPr>
              <w:color w:val="B3B3B3"/>
              <w:u w:val="none"/>
            </w:rPr>
            <w:tab/>
          </w:r>
          <w:hyperlink w:anchor="_bookmark13" w:history="1">
            <w:r>
              <w:rPr>
                <w:color w:val="0000FF"/>
                <w:spacing w:val="-5"/>
                <w:u w:val="none"/>
              </w:rPr>
              <w:t>63</w:t>
            </w:r>
          </w:hyperlink>
        </w:p>
        <w:p w14:paraId="3899B74A" w14:textId="77777777" w:rsidR="00AE2255" w:rsidRDefault="00000000">
          <w:pPr>
            <w:pStyle w:val="TOC1"/>
            <w:tabs>
              <w:tab w:val="right" w:leader="dot" w:pos="10817"/>
            </w:tabs>
            <w:rPr>
              <w:u w:val="none"/>
            </w:rPr>
          </w:pPr>
          <w:hyperlink w:anchor="_bookmark14" w:history="1">
            <w:r>
              <w:rPr>
                <w:color w:val="0000FF"/>
                <w:u w:color="0000FF"/>
              </w:rPr>
              <w:t>Consolidated</w:t>
            </w:r>
            <w:r>
              <w:rPr>
                <w:color w:val="0000FF"/>
                <w:spacing w:val="-5"/>
                <w:u w:color="0000FF"/>
              </w:rPr>
              <w:t xml:space="preserve"> </w:t>
            </w:r>
            <w:r>
              <w:rPr>
                <w:color w:val="0000FF"/>
                <w:u w:color="0000FF"/>
              </w:rPr>
              <w:t>Statements</w:t>
            </w:r>
            <w:r>
              <w:rPr>
                <w:color w:val="0000FF"/>
                <w:spacing w:val="-4"/>
                <w:u w:color="0000FF"/>
              </w:rPr>
              <w:t xml:space="preserve"> </w:t>
            </w:r>
            <w:r>
              <w:rPr>
                <w:color w:val="0000FF"/>
                <w:u w:color="0000FF"/>
              </w:rPr>
              <w:t>of</w:t>
            </w:r>
            <w:r>
              <w:rPr>
                <w:color w:val="0000FF"/>
                <w:spacing w:val="-3"/>
                <w:u w:color="0000FF"/>
              </w:rPr>
              <w:t xml:space="preserve"> </w:t>
            </w:r>
            <w:r>
              <w:rPr>
                <w:color w:val="0000FF"/>
                <w:u w:color="0000FF"/>
              </w:rPr>
              <w:t>Comprehensive</w:t>
            </w:r>
            <w:r>
              <w:rPr>
                <w:color w:val="0000FF"/>
                <w:spacing w:val="-3"/>
                <w:u w:color="0000FF"/>
              </w:rPr>
              <w:t xml:space="preserve"> </w:t>
            </w:r>
            <w:r>
              <w:rPr>
                <w:color w:val="0000FF"/>
                <w:u w:color="0000FF"/>
              </w:rPr>
              <w:t>Income</w:t>
            </w:r>
            <w:r>
              <w:rPr>
                <w:color w:val="0000FF"/>
                <w:spacing w:val="-4"/>
                <w:u w:color="0000FF"/>
              </w:rPr>
              <w:t xml:space="preserve"> </w:t>
            </w:r>
            <w:r>
              <w:rPr>
                <w:color w:val="0000FF"/>
                <w:u w:color="0000FF"/>
              </w:rPr>
              <w:t>–</w:t>
            </w:r>
            <w:r>
              <w:rPr>
                <w:color w:val="0000FF"/>
                <w:spacing w:val="-3"/>
                <w:u w:color="0000FF"/>
              </w:rPr>
              <w:t xml:space="preserve"> </w:t>
            </w:r>
            <w:r>
              <w:rPr>
                <w:color w:val="0000FF"/>
                <w:u w:color="0000FF"/>
              </w:rPr>
              <w:t>Years</w:t>
            </w:r>
            <w:r>
              <w:rPr>
                <w:color w:val="0000FF"/>
                <w:spacing w:val="-3"/>
                <w:u w:color="0000FF"/>
              </w:rPr>
              <w:t xml:space="preserve"> </w:t>
            </w:r>
            <w:r>
              <w:rPr>
                <w:color w:val="0000FF"/>
                <w:u w:color="0000FF"/>
              </w:rPr>
              <w:t>ended</w:t>
            </w:r>
            <w:r>
              <w:rPr>
                <w:color w:val="0000FF"/>
                <w:spacing w:val="-3"/>
                <w:u w:color="0000FF"/>
              </w:rPr>
              <w:t xml:space="preserve"> </w:t>
            </w:r>
            <w:r>
              <w:rPr>
                <w:color w:val="0000FF"/>
                <w:u w:color="0000FF"/>
              </w:rPr>
              <w:t>December</w:t>
            </w:r>
            <w:r>
              <w:rPr>
                <w:color w:val="0000FF"/>
                <w:spacing w:val="-3"/>
                <w:u w:color="0000FF"/>
              </w:rPr>
              <w:t xml:space="preserve"> </w:t>
            </w:r>
            <w:r>
              <w:rPr>
                <w:color w:val="0000FF"/>
                <w:u w:color="0000FF"/>
              </w:rPr>
              <w:t>31,</w:t>
            </w:r>
            <w:r>
              <w:rPr>
                <w:color w:val="0000FF"/>
                <w:spacing w:val="-2"/>
                <w:u w:color="0000FF"/>
              </w:rPr>
              <w:t xml:space="preserve"> </w:t>
            </w:r>
            <w:r>
              <w:rPr>
                <w:color w:val="0000FF"/>
                <w:u w:color="0000FF"/>
              </w:rPr>
              <w:t>2022,</w:t>
            </w:r>
            <w:r>
              <w:rPr>
                <w:color w:val="0000FF"/>
                <w:spacing w:val="-3"/>
                <w:u w:color="0000FF"/>
              </w:rPr>
              <w:t xml:space="preserve"> </w:t>
            </w:r>
            <w:r>
              <w:rPr>
                <w:color w:val="0000FF"/>
                <w:u w:color="0000FF"/>
              </w:rPr>
              <w:t>2021</w:t>
            </w:r>
            <w:r>
              <w:rPr>
                <w:color w:val="0000FF"/>
                <w:spacing w:val="-3"/>
                <w:u w:color="0000FF"/>
              </w:rPr>
              <w:t xml:space="preserve"> </w:t>
            </w:r>
            <w:r>
              <w:rPr>
                <w:color w:val="0000FF"/>
                <w:u w:color="0000FF"/>
              </w:rPr>
              <w:t>and</w:t>
            </w:r>
            <w:r>
              <w:rPr>
                <w:color w:val="0000FF"/>
                <w:spacing w:val="-2"/>
                <w:u w:color="0000FF"/>
              </w:rPr>
              <w:t xml:space="preserve"> </w:t>
            </w:r>
            <w:r>
              <w:rPr>
                <w:color w:val="0000FF"/>
                <w:spacing w:val="-4"/>
                <w:u w:color="0000FF"/>
              </w:rPr>
              <w:t>2020</w:t>
            </w:r>
          </w:hyperlink>
          <w:r>
            <w:rPr>
              <w:color w:val="0000FF"/>
              <w:u w:val="none"/>
            </w:rPr>
            <w:tab/>
          </w:r>
          <w:hyperlink w:anchor="_bookmark14" w:history="1">
            <w:r>
              <w:rPr>
                <w:color w:val="0000FF"/>
                <w:spacing w:val="-5"/>
                <w:u w:val="none"/>
              </w:rPr>
              <w:t>64</w:t>
            </w:r>
          </w:hyperlink>
        </w:p>
        <w:p w14:paraId="7C195251" w14:textId="77777777" w:rsidR="00AE2255" w:rsidRDefault="00000000">
          <w:pPr>
            <w:pStyle w:val="TOC1"/>
            <w:tabs>
              <w:tab w:val="right" w:pos="10817"/>
            </w:tabs>
            <w:rPr>
              <w:u w:val="none"/>
            </w:rPr>
          </w:pPr>
          <w:hyperlink w:anchor="_bookmark15" w:history="1">
            <w:r>
              <w:rPr>
                <w:color w:val="0000FF"/>
                <w:u w:color="0000FF"/>
              </w:rPr>
              <w:t>Consolidated</w:t>
            </w:r>
            <w:r>
              <w:rPr>
                <w:color w:val="0000FF"/>
                <w:spacing w:val="-4"/>
                <w:u w:color="0000FF"/>
              </w:rPr>
              <w:t xml:space="preserve"> </w:t>
            </w:r>
            <w:r>
              <w:rPr>
                <w:color w:val="0000FF"/>
                <w:u w:color="0000FF"/>
              </w:rPr>
              <w:t>Balance</w:t>
            </w:r>
            <w:r>
              <w:rPr>
                <w:color w:val="0000FF"/>
                <w:spacing w:val="-4"/>
                <w:u w:color="0000FF"/>
              </w:rPr>
              <w:t xml:space="preserve"> </w:t>
            </w:r>
            <w:r>
              <w:rPr>
                <w:color w:val="0000FF"/>
                <w:u w:color="0000FF"/>
              </w:rPr>
              <w:t>Sheets</w:t>
            </w:r>
            <w:r>
              <w:rPr>
                <w:color w:val="0000FF"/>
                <w:spacing w:val="-3"/>
                <w:u w:color="0000FF"/>
              </w:rPr>
              <w:t xml:space="preserve"> </w:t>
            </w:r>
            <w:r>
              <w:rPr>
                <w:color w:val="0000FF"/>
                <w:u w:color="0000FF"/>
              </w:rPr>
              <w:t>–</w:t>
            </w:r>
            <w:r>
              <w:rPr>
                <w:color w:val="0000FF"/>
                <w:spacing w:val="-3"/>
                <w:u w:color="0000FF"/>
              </w:rPr>
              <w:t xml:space="preserve"> </w:t>
            </w:r>
            <w:proofErr w:type="gramStart"/>
            <w:r>
              <w:rPr>
                <w:color w:val="0000FF"/>
                <w:u w:color="0000FF"/>
              </w:rPr>
              <w:t>At</w:t>
            </w:r>
            <w:proofErr w:type="gramEnd"/>
            <w:r>
              <w:rPr>
                <w:color w:val="0000FF"/>
                <w:spacing w:val="-3"/>
                <w:u w:color="0000FF"/>
              </w:rPr>
              <w:t xml:space="preserve"> </w:t>
            </w:r>
            <w:r>
              <w:rPr>
                <w:color w:val="0000FF"/>
                <w:u w:color="0000FF"/>
              </w:rPr>
              <w:t>December</w:t>
            </w:r>
            <w:r>
              <w:rPr>
                <w:color w:val="0000FF"/>
                <w:spacing w:val="-3"/>
                <w:u w:color="0000FF"/>
              </w:rPr>
              <w:t xml:space="preserve"> </w:t>
            </w:r>
            <w:r>
              <w:rPr>
                <w:color w:val="0000FF"/>
                <w:u w:color="0000FF"/>
              </w:rPr>
              <w:t>31,</w:t>
            </w:r>
            <w:r>
              <w:rPr>
                <w:color w:val="0000FF"/>
                <w:spacing w:val="-2"/>
                <w:u w:color="0000FF"/>
              </w:rPr>
              <w:t xml:space="preserve"> </w:t>
            </w:r>
            <w:r>
              <w:rPr>
                <w:color w:val="0000FF"/>
                <w:u w:color="0000FF"/>
              </w:rPr>
              <w:t>2022</w:t>
            </w:r>
            <w:r>
              <w:rPr>
                <w:color w:val="0000FF"/>
                <w:spacing w:val="-3"/>
                <w:u w:color="0000FF"/>
              </w:rPr>
              <w:t xml:space="preserve"> </w:t>
            </w:r>
            <w:r>
              <w:rPr>
                <w:color w:val="0000FF"/>
                <w:u w:color="0000FF"/>
              </w:rPr>
              <w:t>and</w:t>
            </w:r>
            <w:r>
              <w:rPr>
                <w:color w:val="0000FF"/>
                <w:spacing w:val="-2"/>
                <w:u w:color="0000FF"/>
              </w:rPr>
              <w:t xml:space="preserve"> </w:t>
            </w:r>
            <w:r>
              <w:rPr>
                <w:color w:val="0000FF"/>
                <w:u w:color="0000FF"/>
              </w:rPr>
              <w:t>2021</w:t>
            </w:r>
            <w:r>
              <w:rPr>
                <w:color w:val="0000FF"/>
                <w:spacing w:val="-26"/>
                <w:u w:val="none"/>
              </w:rPr>
              <w:t xml:space="preserve"> </w:t>
            </w:r>
          </w:hyperlink>
          <w:r>
            <w:rPr>
              <w:color w:val="B3B3B3"/>
              <w:spacing w:val="-2"/>
              <w:u w:val="none"/>
            </w:rPr>
            <w:t>........................................................................................</w:t>
          </w:r>
          <w:r>
            <w:rPr>
              <w:color w:val="B3B3B3"/>
              <w:u w:val="none"/>
            </w:rPr>
            <w:tab/>
          </w:r>
          <w:hyperlink w:anchor="_bookmark15" w:history="1">
            <w:r>
              <w:rPr>
                <w:color w:val="0000FF"/>
                <w:spacing w:val="-5"/>
                <w:u w:val="none"/>
              </w:rPr>
              <w:t>65</w:t>
            </w:r>
          </w:hyperlink>
        </w:p>
        <w:p w14:paraId="7277F5B8" w14:textId="77777777" w:rsidR="00AE2255" w:rsidRDefault="00000000">
          <w:pPr>
            <w:pStyle w:val="TOC1"/>
            <w:tabs>
              <w:tab w:val="right" w:pos="10817"/>
            </w:tabs>
            <w:rPr>
              <w:u w:val="none"/>
            </w:rPr>
          </w:pPr>
          <w:hyperlink w:anchor="_bookmark16" w:history="1">
            <w:r>
              <w:rPr>
                <w:color w:val="0000FF"/>
                <w:u w:color="0000FF"/>
              </w:rPr>
              <w:t>Consolidated</w:t>
            </w:r>
            <w:r>
              <w:rPr>
                <w:color w:val="0000FF"/>
                <w:spacing w:val="-5"/>
                <w:u w:color="0000FF"/>
              </w:rPr>
              <w:t xml:space="preserve"> </w:t>
            </w:r>
            <w:r>
              <w:rPr>
                <w:color w:val="0000FF"/>
                <w:u w:color="0000FF"/>
              </w:rPr>
              <w:t>Statements</w:t>
            </w:r>
            <w:r>
              <w:rPr>
                <w:color w:val="0000FF"/>
                <w:spacing w:val="-4"/>
                <w:u w:color="0000FF"/>
              </w:rPr>
              <w:t xml:space="preserve"> </w:t>
            </w:r>
            <w:r>
              <w:rPr>
                <w:color w:val="0000FF"/>
                <w:u w:color="0000FF"/>
              </w:rPr>
              <w:t>of</w:t>
            </w:r>
            <w:r>
              <w:rPr>
                <w:color w:val="0000FF"/>
                <w:spacing w:val="-2"/>
                <w:u w:color="0000FF"/>
              </w:rPr>
              <w:t xml:space="preserve"> </w:t>
            </w:r>
            <w:r>
              <w:rPr>
                <w:color w:val="0000FF"/>
                <w:u w:color="0000FF"/>
              </w:rPr>
              <w:t>Cash</w:t>
            </w:r>
            <w:r>
              <w:rPr>
                <w:color w:val="0000FF"/>
                <w:spacing w:val="-3"/>
                <w:u w:color="0000FF"/>
              </w:rPr>
              <w:t xml:space="preserve"> </w:t>
            </w:r>
            <w:r>
              <w:rPr>
                <w:color w:val="0000FF"/>
                <w:u w:color="0000FF"/>
              </w:rPr>
              <w:t>Flows</w:t>
            </w:r>
            <w:r>
              <w:rPr>
                <w:color w:val="0000FF"/>
                <w:spacing w:val="-3"/>
                <w:u w:color="0000FF"/>
              </w:rPr>
              <w:t xml:space="preserve"> </w:t>
            </w:r>
            <w:r>
              <w:rPr>
                <w:color w:val="0000FF"/>
                <w:u w:color="0000FF"/>
              </w:rPr>
              <w:t>–</w:t>
            </w:r>
            <w:r>
              <w:rPr>
                <w:color w:val="0000FF"/>
                <w:spacing w:val="-3"/>
                <w:u w:color="0000FF"/>
              </w:rPr>
              <w:t xml:space="preserve"> </w:t>
            </w:r>
            <w:r>
              <w:rPr>
                <w:color w:val="0000FF"/>
                <w:u w:color="0000FF"/>
              </w:rPr>
              <w:t>Years</w:t>
            </w:r>
            <w:r>
              <w:rPr>
                <w:color w:val="0000FF"/>
                <w:spacing w:val="-3"/>
                <w:u w:color="0000FF"/>
              </w:rPr>
              <w:t xml:space="preserve"> </w:t>
            </w:r>
            <w:r>
              <w:rPr>
                <w:color w:val="0000FF"/>
                <w:u w:color="0000FF"/>
              </w:rPr>
              <w:t>ended</w:t>
            </w:r>
            <w:r>
              <w:rPr>
                <w:color w:val="0000FF"/>
                <w:spacing w:val="-3"/>
                <w:u w:color="0000FF"/>
              </w:rPr>
              <w:t xml:space="preserve"> </w:t>
            </w:r>
            <w:r>
              <w:rPr>
                <w:color w:val="0000FF"/>
                <w:u w:color="0000FF"/>
              </w:rPr>
              <w:t>December</w:t>
            </w:r>
            <w:r>
              <w:rPr>
                <w:color w:val="0000FF"/>
                <w:spacing w:val="-2"/>
                <w:u w:color="0000FF"/>
              </w:rPr>
              <w:t xml:space="preserve"> </w:t>
            </w:r>
            <w:r>
              <w:rPr>
                <w:color w:val="0000FF"/>
                <w:u w:color="0000FF"/>
              </w:rPr>
              <w:t>31,</w:t>
            </w:r>
            <w:r>
              <w:rPr>
                <w:color w:val="0000FF"/>
                <w:spacing w:val="-3"/>
                <w:u w:color="0000FF"/>
              </w:rPr>
              <w:t xml:space="preserve"> </w:t>
            </w:r>
            <w:r>
              <w:rPr>
                <w:color w:val="0000FF"/>
                <w:u w:color="0000FF"/>
              </w:rPr>
              <w:t>2022,</w:t>
            </w:r>
            <w:r>
              <w:rPr>
                <w:color w:val="0000FF"/>
                <w:spacing w:val="-2"/>
                <w:u w:color="0000FF"/>
              </w:rPr>
              <w:t xml:space="preserve"> </w:t>
            </w:r>
            <w:r>
              <w:rPr>
                <w:color w:val="0000FF"/>
                <w:u w:color="0000FF"/>
              </w:rPr>
              <w:t>2021</w:t>
            </w:r>
            <w:r>
              <w:rPr>
                <w:color w:val="0000FF"/>
                <w:spacing w:val="-3"/>
                <w:u w:color="0000FF"/>
              </w:rPr>
              <w:t xml:space="preserve"> </w:t>
            </w:r>
            <w:r>
              <w:rPr>
                <w:color w:val="0000FF"/>
                <w:u w:color="0000FF"/>
              </w:rPr>
              <w:t>and</w:t>
            </w:r>
            <w:r>
              <w:rPr>
                <w:color w:val="0000FF"/>
                <w:spacing w:val="-2"/>
                <w:u w:color="0000FF"/>
              </w:rPr>
              <w:t xml:space="preserve"> 2020</w:t>
            </w:r>
          </w:hyperlink>
          <w:r>
            <w:rPr>
              <w:color w:val="B3B3B3"/>
              <w:spacing w:val="-2"/>
              <w:u w:val="none"/>
            </w:rPr>
            <w:t>.............................................</w:t>
          </w:r>
          <w:r>
            <w:rPr>
              <w:color w:val="B3B3B3"/>
              <w:u w:val="none"/>
            </w:rPr>
            <w:tab/>
          </w:r>
          <w:hyperlink w:anchor="_bookmark16" w:history="1">
            <w:r>
              <w:rPr>
                <w:color w:val="0000FF"/>
                <w:spacing w:val="-5"/>
                <w:u w:val="none"/>
              </w:rPr>
              <w:t>66</w:t>
            </w:r>
          </w:hyperlink>
        </w:p>
        <w:p w14:paraId="7F1A7D44" w14:textId="77777777" w:rsidR="00AE2255" w:rsidRDefault="00000000">
          <w:pPr>
            <w:pStyle w:val="TOC1"/>
            <w:tabs>
              <w:tab w:val="right" w:pos="10817"/>
            </w:tabs>
            <w:rPr>
              <w:u w:val="none"/>
            </w:rPr>
          </w:pPr>
          <w:hyperlink w:anchor="_bookmark17" w:history="1">
            <w:r>
              <w:rPr>
                <w:color w:val="0000FF"/>
                <w:u w:color="0000FF"/>
              </w:rPr>
              <w:t>Consolidated</w:t>
            </w:r>
            <w:r>
              <w:rPr>
                <w:color w:val="0000FF"/>
                <w:spacing w:val="-6"/>
                <w:u w:color="0000FF"/>
              </w:rPr>
              <w:t xml:space="preserve"> </w:t>
            </w:r>
            <w:r>
              <w:rPr>
                <w:color w:val="0000FF"/>
                <w:u w:color="0000FF"/>
              </w:rPr>
              <w:t>Statements</w:t>
            </w:r>
            <w:r>
              <w:rPr>
                <w:color w:val="0000FF"/>
                <w:spacing w:val="-3"/>
                <w:u w:color="0000FF"/>
              </w:rPr>
              <w:t xml:space="preserve"> </w:t>
            </w:r>
            <w:r>
              <w:rPr>
                <w:color w:val="0000FF"/>
                <w:u w:color="0000FF"/>
              </w:rPr>
              <w:t>of</w:t>
            </w:r>
            <w:r>
              <w:rPr>
                <w:color w:val="0000FF"/>
                <w:spacing w:val="-3"/>
                <w:u w:color="0000FF"/>
              </w:rPr>
              <w:t xml:space="preserve"> </w:t>
            </w:r>
            <w:r>
              <w:rPr>
                <w:color w:val="0000FF"/>
                <w:u w:color="0000FF"/>
              </w:rPr>
              <w:t>Equity</w:t>
            </w:r>
            <w:r>
              <w:rPr>
                <w:color w:val="0000FF"/>
                <w:spacing w:val="-2"/>
                <w:u w:color="0000FF"/>
              </w:rPr>
              <w:t xml:space="preserve"> </w:t>
            </w:r>
            <w:r>
              <w:rPr>
                <w:color w:val="0000FF"/>
                <w:u w:color="0000FF"/>
              </w:rPr>
              <w:t>–</w:t>
            </w:r>
            <w:r>
              <w:rPr>
                <w:color w:val="0000FF"/>
                <w:spacing w:val="-3"/>
                <w:u w:color="0000FF"/>
              </w:rPr>
              <w:t xml:space="preserve"> </w:t>
            </w:r>
            <w:r>
              <w:rPr>
                <w:color w:val="0000FF"/>
                <w:u w:color="0000FF"/>
              </w:rPr>
              <w:t>Years</w:t>
            </w:r>
            <w:r>
              <w:rPr>
                <w:color w:val="0000FF"/>
                <w:spacing w:val="-3"/>
                <w:u w:color="0000FF"/>
              </w:rPr>
              <w:t xml:space="preserve"> </w:t>
            </w:r>
            <w:r>
              <w:rPr>
                <w:color w:val="0000FF"/>
                <w:u w:color="0000FF"/>
              </w:rPr>
              <w:t>ended</w:t>
            </w:r>
            <w:r>
              <w:rPr>
                <w:color w:val="0000FF"/>
                <w:spacing w:val="-2"/>
                <w:u w:color="0000FF"/>
              </w:rPr>
              <w:t xml:space="preserve"> </w:t>
            </w:r>
            <w:r>
              <w:rPr>
                <w:color w:val="0000FF"/>
                <w:u w:color="0000FF"/>
              </w:rPr>
              <w:t>December</w:t>
            </w:r>
            <w:r>
              <w:rPr>
                <w:color w:val="0000FF"/>
                <w:spacing w:val="-3"/>
                <w:u w:color="0000FF"/>
              </w:rPr>
              <w:t xml:space="preserve"> </w:t>
            </w:r>
            <w:r>
              <w:rPr>
                <w:color w:val="0000FF"/>
                <w:u w:color="0000FF"/>
              </w:rPr>
              <w:t>31,</w:t>
            </w:r>
            <w:r>
              <w:rPr>
                <w:color w:val="0000FF"/>
                <w:spacing w:val="-2"/>
                <w:u w:color="0000FF"/>
              </w:rPr>
              <w:t xml:space="preserve"> </w:t>
            </w:r>
            <w:r>
              <w:rPr>
                <w:color w:val="0000FF"/>
                <w:u w:color="0000FF"/>
              </w:rPr>
              <w:t>2022,</w:t>
            </w:r>
            <w:r>
              <w:rPr>
                <w:color w:val="0000FF"/>
                <w:spacing w:val="-3"/>
                <w:u w:color="0000FF"/>
              </w:rPr>
              <w:t xml:space="preserve"> </w:t>
            </w:r>
            <w:r>
              <w:rPr>
                <w:color w:val="0000FF"/>
                <w:u w:color="0000FF"/>
              </w:rPr>
              <w:t>2021</w:t>
            </w:r>
            <w:r>
              <w:rPr>
                <w:color w:val="0000FF"/>
                <w:spacing w:val="-2"/>
                <w:u w:color="0000FF"/>
              </w:rPr>
              <w:t xml:space="preserve"> </w:t>
            </w:r>
            <w:r>
              <w:rPr>
                <w:color w:val="0000FF"/>
                <w:u w:color="0000FF"/>
              </w:rPr>
              <w:t>and</w:t>
            </w:r>
            <w:r>
              <w:rPr>
                <w:color w:val="0000FF"/>
                <w:spacing w:val="-2"/>
                <w:u w:color="0000FF"/>
              </w:rPr>
              <w:t xml:space="preserve"> </w:t>
            </w:r>
            <w:r>
              <w:rPr>
                <w:color w:val="0000FF"/>
                <w:u w:color="0000FF"/>
              </w:rPr>
              <w:t>2020</w:t>
            </w:r>
            <w:r>
              <w:rPr>
                <w:color w:val="0000FF"/>
                <w:spacing w:val="-30"/>
                <w:u w:val="none"/>
              </w:rPr>
              <w:t xml:space="preserve"> </w:t>
            </w:r>
          </w:hyperlink>
          <w:r>
            <w:rPr>
              <w:color w:val="B3B3B3"/>
              <w:spacing w:val="-2"/>
              <w:u w:val="none"/>
            </w:rPr>
            <w:t>.....................................................</w:t>
          </w:r>
          <w:r>
            <w:rPr>
              <w:color w:val="B3B3B3"/>
              <w:u w:val="none"/>
            </w:rPr>
            <w:tab/>
          </w:r>
          <w:hyperlink w:anchor="_bookmark17" w:history="1">
            <w:r>
              <w:rPr>
                <w:color w:val="0000FF"/>
                <w:spacing w:val="-5"/>
                <w:u w:val="none"/>
              </w:rPr>
              <w:t>67</w:t>
            </w:r>
          </w:hyperlink>
        </w:p>
        <w:p w14:paraId="3644896C" w14:textId="77777777" w:rsidR="00AE2255" w:rsidRDefault="00000000">
          <w:pPr>
            <w:pStyle w:val="TOC1"/>
            <w:tabs>
              <w:tab w:val="right" w:pos="10817"/>
            </w:tabs>
            <w:rPr>
              <w:u w:val="none"/>
            </w:rPr>
          </w:pPr>
          <w:hyperlink w:anchor="_bookmark18" w:history="1">
            <w:r>
              <w:rPr>
                <w:color w:val="0000FF"/>
                <w:u w:color="0000FF"/>
              </w:rPr>
              <w:t>Notes</w:t>
            </w:r>
            <w:r>
              <w:rPr>
                <w:color w:val="0000FF"/>
                <w:spacing w:val="-6"/>
                <w:u w:color="0000FF"/>
              </w:rPr>
              <w:t xml:space="preserve"> </w:t>
            </w:r>
            <w:r>
              <w:rPr>
                <w:color w:val="0000FF"/>
                <w:u w:color="0000FF"/>
              </w:rPr>
              <w:t>to</w:t>
            </w:r>
            <w:r>
              <w:rPr>
                <w:color w:val="0000FF"/>
                <w:spacing w:val="-4"/>
                <w:u w:color="0000FF"/>
              </w:rPr>
              <w:t xml:space="preserve"> </w:t>
            </w:r>
            <w:r>
              <w:rPr>
                <w:color w:val="0000FF"/>
                <w:u w:color="0000FF"/>
              </w:rPr>
              <w:t>Consolidated</w:t>
            </w:r>
            <w:r>
              <w:rPr>
                <w:color w:val="0000FF"/>
                <w:spacing w:val="-4"/>
                <w:u w:color="0000FF"/>
              </w:rPr>
              <w:t xml:space="preserve"> </w:t>
            </w:r>
            <w:r>
              <w:rPr>
                <w:color w:val="0000FF"/>
                <w:u w:color="0000FF"/>
              </w:rPr>
              <w:t>Financial</w:t>
            </w:r>
            <w:r>
              <w:rPr>
                <w:color w:val="0000FF"/>
                <w:spacing w:val="-5"/>
                <w:u w:color="0000FF"/>
              </w:rPr>
              <w:t xml:space="preserve"> </w:t>
            </w:r>
            <w:r>
              <w:rPr>
                <w:color w:val="0000FF"/>
                <w:spacing w:val="-2"/>
                <w:u w:color="0000FF"/>
              </w:rPr>
              <w:t>Statements</w:t>
            </w:r>
          </w:hyperlink>
          <w:r>
            <w:rPr>
              <w:color w:val="B3B3B3"/>
              <w:spacing w:val="-2"/>
              <w:u w:val="none"/>
            </w:rPr>
            <w:t>.........................................................................................................................</w:t>
          </w:r>
          <w:r>
            <w:rPr>
              <w:color w:val="B3B3B3"/>
              <w:u w:val="none"/>
            </w:rPr>
            <w:tab/>
          </w:r>
          <w:hyperlink w:anchor="_bookmark18" w:history="1">
            <w:r>
              <w:rPr>
                <w:color w:val="0000FF"/>
                <w:spacing w:val="-5"/>
                <w:u w:val="none"/>
              </w:rPr>
              <w:t>68</w:t>
            </w:r>
          </w:hyperlink>
        </w:p>
        <w:p w14:paraId="7E58C77A" w14:textId="77777777" w:rsidR="00AE2255" w:rsidRDefault="00000000">
          <w:pPr>
            <w:pStyle w:val="TOC2"/>
            <w:spacing w:line="242" w:lineRule="auto"/>
          </w:pPr>
          <w:r>
            <w:t>The</w:t>
          </w:r>
          <w:r>
            <w:rPr>
              <w:spacing w:val="-4"/>
            </w:rPr>
            <w:t xml:space="preserve"> </w:t>
          </w:r>
          <w:r>
            <w:t>report</w:t>
          </w:r>
          <w:r>
            <w:rPr>
              <w:spacing w:val="-4"/>
            </w:rPr>
            <w:t xml:space="preserve"> </w:t>
          </w:r>
          <w:r>
            <w:t>of</w:t>
          </w:r>
          <w:r>
            <w:rPr>
              <w:spacing w:val="-3"/>
            </w:rPr>
            <w:t xml:space="preserve"> </w:t>
          </w:r>
          <w:r>
            <w:t>Lockheed</w:t>
          </w:r>
          <w:r>
            <w:rPr>
              <w:spacing w:val="-3"/>
            </w:rPr>
            <w:t xml:space="preserve"> </w:t>
          </w:r>
          <w:r>
            <w:t>Martin</w:t>
          </w:r>
          <w:r>
            <w:rPr>
              <w:spacing w:val="-3"/>
            </w:rPr>
            <w:t xml:space="preserve"> </w:t>
          </w:r>
          <w:r>
            <w:t>Corporation’s</w:t>
          </w:r>
          <w:r>
            <w:rPr>
              <w:spacing w:val="-4"/>
            </w:rPr>
            <w:t xml:space="preserve"> </w:t>
          </w:r>
          <w:r>
            <w:t>independent</w:t>
          </w:r>
          <w:r>
            <w:rPr>
              <w:spacing w:val="-4"/>
            </w:rPr>
            <w:t xml:space="preserve"> </w:t>
          </w:r>
          <w:r>
            <w:t>registered</w:t>
          </w:r>
          <w:r>
            <w:rPr>
              <w:spacing w:val="-3"/>
            </w:rPr>
            <w:t xml:space="preserve"> </w:t>
          </w:r>
          <w:r>
            <w:t>public</w:t>
          </w:r>
          <w:r>
            <w:rPr>
              <w:spacing w:val="-4"/>
            </w:rPr>
            <w:t xml:space="preserve"> </w:t>
          </w:r>
          <w:r>
            <w:t>accounting</w:t>
          </w:r>
          <w:r>
            <w:rPr>
              <w:spacing w:val="-3"/>
            </w:rPr>
            <w:t xml:space="preserve"> </w:t>
          </w:r>
          <w:r>
            <w:t>firm</w:t>
          </w:r>
          <w:r>
            <w:rPr>
              <w:spacing w:val="-4"/>
            </w:rPr>
            <w:t xml:space="preserve"> </w:t>
          </w:r>
          <w:r>
            <w:t>(PCAOB</w:t>
          </w:r>
          <w:r>
            <w:rPr>
              <w:spacing w:val="-4"/>
            </w:rPr>
            <w:t xml:space="preserve"> </w:t>
          </w:r>
          <w:r>
            <w:t>ID:42) with</w:t>
          </w:r>
          <w:r>
            <w:rPr>
              <w:spacing w:val="-3"/>
            </w:rPr>
            <w:t xml:space="preserve"> </w:t>
          </w:r>
          <w:r>
            <w:t>respect to the above-referenced financial statements and their report on internal control over financial reporting are included in Item 8 and Item</w:t>
          </w:r>
          <w:r>
            <w:rPr>
              <w:spacing w:val="-1"/>
            </w:rPr>
            <w:t xml:space="preserve"> </w:t>
          </w:r>
          <w:r>
            <w:t>9A</w:t>
          </w:r>
          <w:r>
            <w:rPr>
              <w:spacing w:val="-1"/>
            </w:rPr>
            <w:t xml:space="preserve"> </w:t>
          </w:r>
          <w:r>
            <w:t>of this</w:t>
          </w:r>
          <w:r>
            <w:rPr>
              <w:spacing w:val="-1"/>
            </w:rPr>
            <w:t xml:space="preserve"> </w:t>
          </w:r>
          <w:r>
            <w:t>Form</w:t>
          </w:r>
          <w:r>
            <w:rPr>
              <w:spacing w:val="-1"/>
            </w:rPr>
            <w:t xml:space="preserve"> </w:t>
          </w:r>
          <w:r>
            <w:t>10-K</w:t>
          </w:r>
          <w:r>
            <w:rPr>
              <w:spacing w:val="-1"/>
            </w:rPr>
            <w:t xml:space="preserve"> </w:t>
          </w:r>
          <w:r>
            <w:t>at</w:t>
          </w:r>
          <w:r>
            <w:rPr>
              <w:spacing w:val="-1"/>
            </w:rPr>
            <w:t xml:space="preserve"> </w:t>
          </w:r>
          <w:r>
            <w:t>the</w:t>
          </w:r>
          <w:r>
            <w:rPr>
              <w:spacing w:val="-1"/>
            </w:rPr>
            <w:t xml:space="preserve"> </w:t>
          </w:r>
          <w:r>
            <w:t>page</w:t>
          </w:r>
          <w:r>
            <w:rPr>
              <w:spacing w:val="-1"/>
            </w:rPr>
            <w:t xml:space="preserve"> </w:t>
          </w:r>
          <w:r>
            <w:t>numbers</w:t>
          </w:r>
          <w:r>
            <w:rPr>
              <w:spacing w:val="-1"/>
            </w:rPr>
            <w:t xml:space="preserve"> </w:t>
          </w:r>
          <w:r>
            <w:t>referenced below. Their consent</w:t>
          </w:r>
          <w:r>
            <w:rPr>
              <w:spacing w:val="-1"/>
            </w:rPr>
            <w:t xml:space="preserve"> </w:t>
          </w:r>
          <w:r>
            <w:t>appears</w:t>
          </w:r>
          <w:r>
            <w:rPr>
              <w:spacing w:val="-1"/>
            </w:rPr>
            <w:t xml:space="preserve"> </w:t>
          </w:r>
          <w:r>
            <w:t>as</w:t>
          </w:r>
          <w:r>
            <w:rPr>
              <w:spacing w:val="-1"/>
            </w:rPr>
            <w:t xml:space="preserve"> </w:t>
          </w:r>
          <w:r>
            <w:t>Exhibit</w:t>
          </w:r>
          <w:r>
            <w:rPr>
              <w:spacing w:val="-1"/>
            </w:rPr>
            <w:t xml:space="preserve"> </w:t>
          </w:r>
          <w:r>
            <w:t>23 of this</w:t>
          </w:r>
          <w:r>
            <w:rPr>
              <w:spacing w:val="-1"/>
            </w:rPr>
            <w:t xml:space="preserve"> </w:t>
          </w:r>
          <w:r>
            <w:t>Form</w:t>
          </w:r>
          <w:r>
            <w:rPr>
              <w:spacing w:val="-1"/>
            </w:rPr>
            <w:t xml:space="preserve"> </w:t>
          </w:r>
          <w:r>
            <w:t>10-K.</w:t>
          </w:r>
        </w:p>
        <w:p w14:paraId="2EE98BF5" w14:textId="77777777" w:rsidR="00AE2255" w:rsidRDefault="00000000">
          <w:pPr>
            <w:pStyle w:val="TOC3"/>
          </w:pPr>
          <w:r>
            <w:pict w14:anchorId="3EBC52A0">
              <v:group id="docshapegroup64" o:spid="_x0000_s2146" style="position:absolute;left:0;text-align:left;margin-left:531.75pt;margin-top:15.75pt;width:30pt;height:1pt;z-index:15751680;mso-position-horizontal-relative:page" coordorigin="10635,315" coordsize="600,20">
                <v:shape id="docshape65" o:spid="_x0000_s2148" style="position:absolute;left:10635;top:324;width:600;height:2" coordorigin="10635,325" coordsize="600,0" path="m11235,325r-600,e" fillcolor="black" stroked="f">
                  <v:fill opacity="0"/>
                  <v:path arrowok="t"/>
                </v:shape>
                <v:line id="_x0000_s2147" style="position:absolute" from="10635,325" to="11235,325" strokeweight="1pt"/>
                <w10:wrap anchorx="page"/>
              </v:group>
            </w:pict>
          </w:r>
          <w:hyperlink w:anchor="_TOC_250000" w:history="1">
            <w:r>
              <w:rPr>
                <w:spacing w:val="-4"/>
              </w:rPr>
              <w:t>Page</w:t>
            </w:r>
          </w:hyperlink>
        </w:p>
        <w:p w14:paraId="50AAFA90" w14:textId="77777777" w:rsidR="00AE2255" w:rsidRDefault="00000000">
          <w:pPr>
            <w:pStyle w:val="TOC1"/>
            <w:tabs>
              <w:tab w:val="right" w:pos="10802"/>
            </w:tabs>
            <w:spacing w:before="57"/>
            <w:rPr>
              <w:u w:val="none"/>
            </w:rPr>
          </w:pPr>
          <w:hyperlink w:anchor="_bookmark12" w:history="1">
            <w:r>
              <w:rPr>
                <w:color w:val="0000FF"/>
                <w:u w:color="0000FF"/>
              </w:rPr>
              <w:t>Report</w:t>
            </w:r>
            <w:r>
              <w:rPr>
                <w:color w:val="0000FF"/>
                <w:spacing w:val="-8"/>
                <w:u w:color="0000FF"/>
              </w:rPr>
              <w:t xml:space="preserve"> </w:t>
            </w:r>
            <w:r>
              <w:rPr>
                <w:color w:val="0000FF"/>
                <w:u w:color="0000FF"/>
              </w:rPr>
              <w:t>of</w:t>
            </w:r>
            <w:r>
              <w:rPr>
                <w:color w:val="0000FF"/>
                <w:spacing w:val="-4"/>
                <w:u w:color="0000FF"/>
              </w:rPr>
              <w:t xml:space="preserve"> </w:t>
            </w:r>
            <w:r>
              <w:rPr>
                <w:color w:val="0000FF"/>
                <w:u w:color="0000FF"/>
              </w:rPr>
              <w:t>Independent</w:t>
            </w:r>
            <w:r>
              <w:rPr>
                <w:color w:val="0000FF"/>
                <w:spacing w:val="-4"/>
                <w:u w:color="0000FF"/>
              </w:rPr>
              <w:t xml:space="preserve"> </w:t>
            </w:r>
            <w:r>
              <w:rPr>
                <w:color w:val="0000FF"/>
                <w:u w:color="0000FF"/>
              </w:rPr>
              <w:t>Registered</w:t>
            </w:r>
            <w:r>
              <w:rPr>
                <w:color w:val="0000FF"/>
                <w:spacing w:val="-4"/>
                <w:u w:color="0000FF"/>
              </w:rPr>
              <w:t xml:space="preserve"> </w:t>
            </w:r>
            <w:r>
              <w:rPr>
                <w:color w:val="0000FF"/>
                <w:u w:color="0000FF"/>
              </w:rPr>
              <w:t>Public</w:t>
            </w:r>
            <w:r>
              <w:rPr>
                <w:color w:val="0000FF"/>
                <w:spacing w:val="-5"/>
                <w:u w:color="0000FF"/>
              </w:rPr>
              <w:t xml:space="preserve"> </w:t>
            </w:r>
            <w:r>
              <w:rPr>
                <w:color w:val="0000FF"/>
                <w:u w:color="0000FF"/>
              </w:rPr>
              <w:t>Accounting</w:t>
            </w:r>
            <w:r>
              <w:rPr>
                <w:color w:val="0000FF"/>
                <w:spacing w:val="-4"/>
                <w:u w:color="0000FF"/>
              </w:rPr>
              <w:t xml:space="preserve"> </w:t>
            </w:r>
            <w:r>
              <w:rPr>
                <w:color w:val="0000FF"/>
                <w:u w:color="0000FF"/>
              </w:rPr>
              <w:t>Firm</w:t>
            </w:r>
            <w:r>
              <w:rPr>
                <w:color w:val="0000FF"/>
                <w:spacing w:val="-4"/>
                <w:u w:color="0000FF"/>
              </w:rPr>
              <w:t xml:space="preserve"> </w:t>
            </w:r>
            <w:r>
              <w:rPr>
                <w:color w:val="0000FF"/>
                <w:u w:color="0000FF"/>
              </w:rPr>
              <w:t>on</w:t>
            </w:r>
            <w:r>
              <w:rPr>
                <w:color w:val="0000FF"/>
                <w:spacing w:val="-4"/>
                <w:u w:color="0000FF"/>
              </w:rPr>
              <w:t xml:space="preserve"> </w:t>
            </w:r>
            <w:r>
              <w:rPr>
                <w:color w:val="0000FF"/>
                <w:u w:color="0000FF"/>
              </w:rPr>
              <w:t>the</w:t>
            </w:r>
            <w:r>
              <w:rPr>
                <w:color w:val="0000FF"/>
                <w:spacing w:val="-5"/>
                <w:u w:color="0000FF"/>
              </w:rPr>
              <w:t xml:space="preserve"> </w:t>
            </w:r>
            <w:r>
              <w:rPr>
                <w:color w:val="0000FF"/>
                <w:u w:color="0000FF"/>
              </w:rPr>
              <w:t>Audited</w:t>
            </w:r>
            <w:r>
              <w:rPr>
                <w:color w:val="0000FF"/>
                <w:spacing w:val="-3"/>
                <w:u w:color="0000FF"/>
              </w:rPr>
              <w:t xml:space="preserve"> </w:t>
            </w:r>
            <w:r>
              <w:rPr>
                <w:color w:val="0000FF"/>
                <w:u w:color="0000FF"/>
              </w:rPr>
              <w:t>Consolidated</w:t>
            </w:r>
            <w:r>
              <w:rPr>
                <w:color w:val="0000FF"/>
                <w:spacing w:val="-4"/>
                <w:u w:color="0000FF"/>
              </w:rPr>
              <w:t xml:space="preserve"> </w:t>
            </w:r>
            <w:r>
              <w:rPr>
                <w:color w:val="0000FF"/>
                <w:u w:color="0000FF"/>
              </w:rPr>
              <w:t>Financial</w:t>
            </w:r>
            <w:r>
              <w:rPr>
                <w:color w:val="0000FF"/>
                <w:spacing w:val="-5"/>
                <w:u w:color="0000FF"/>
              </w:rPr>
              <w:t xml:space="preserve"> </w:t>
            </w:r>
            <w:r>
              <w:rPr>
                <w:color w:val="0000FF"/>
                <w:u w:color="0000FF"/>
              </w:rPr>
              <w:t>Statements</w:t>
            </w:r>
          </w:hyperlink>
          <w:r>
            <w:rPr>
              <w:color w:val="0000FF"/>
              <w:spacing w:val="-12"/>
              <w:u w:val="none"/>
            </w:rPr>
            <w:t xml:space="preserve"> </w:t>
          </w:r>
          <w:r>
            <w:rPr>
              <w:color w:val="B3B3B3"/>
              <w:spacing w:val="-2"/>
              <w:u w:val="none"/>
            </w:rPr>
            <w:t>...............</w:t>
          </w:r>
          <w:r>
            <w:rPr>
              <w:color w:val="B3B3B3"/>
              <w:u w:val="none"/>
            </w:rPr>
            <w:tab/>
          </w:r>
          <w:hyperlink w:anchor="_bookmark12" w:history="1">
            <w:r>
              <w:rPr>
                <w:color w:val="0000FF"/>
                <w:spacing w:val="-5"/>
                <w:u w:val="none"/>
              </w:rPr>
              <w:t>60</w:t>
            </w:r>
          </w:hyperlink>
        </w:p>
        <w:p w14:paraId="4A5B47DE" w14:textId="77777777" w:rsidR="00AE2255" w:rsidRDefault="00000000">
          <w:pPr>
            <w:pStyle w:val="TOC1"/>
            <w:tabs>
              <w:tab w:val="right" w:leader="dot" w:pos="10802"/>
            </w:tabs>
            <w:rPr>
              <w:u w:val="none"/>
            </w:rPr>
          </w:pPr>
          <w:hyperlink w:anchor="_bookmark21" w:history="1">
            <w:r>
              <w:rPr>
                <w:color w:val="0000FF"/>
                <w:u w:color="0000FF"/>
              </w:rPr>
              <w:t>Report</w:t>
            </w:r>
            <w:r>
              <w:rPr>
                <w:color w:val="0000FF"/>
                <w:spacing w:val="-7"/>
                <w:u w:color="0000FF"/>
              </w:rPr>
              <w:t xml:space="preserve"> </w:t>
            </w:r>
            <w:r>
              <w:rPr>
                <w:color w:val="0000FF"/>
                <w:u w:color="0000FF"/>
              </w:rPr>
              <w:t>of</w:t>
            </w:r>
            <w:r>
              <w:rPr>
                <w:color w:val="0000FF"/>
                <w:spacing w:val="-3"/>
                <w:u w:color="0000FF"/>
              </w:rPr>
              <w:t xml:space="preserve"> </w:t>
            </w:r>
            <w:r>
              <w:rPr>
                <w:color w:val="0000FF"/>
                <w:u w:color="0000FF"/>
              </w:rPr>
              <w:t>Independent</w:t>
            </w:r>
            <w:r>
              <w:rPr>
                <w:color w:val="0000FF"/>
                <w:spacing w:val="-4"/>
                <w:u w:color="0000FF"/>
              </w:rPr>
              <w:t xml:space="preserve"> </w:t>
            </w:r>
            <w:r>
              <w:rPr>
                <w:color w:val="0000FF"/>
                <w:u w:color="0000FF"/>
              </w:rPr>
              <w:t>Registered</w:t>
            </w:r>
            <w:r>
              <w:rPr>
                <w:color w:val="0000FF"/>
                <w:spacing w:val="-4"/>
                <w:u w:color="0000FF"/>
              </w:rPr>
              <w:t xml:space="preserve"> </w:t>
            </w:r>
            <w:r>
              <w:rPr>
                <w:color w:val="0000FF"/>
                <w:u w:color="0000FF"/>
              </w:rPr>
              <w:t>Public</w:t>
            </w:r>
            <w:r>
              <w:rPr>
                <w:color w:val="0000FF"/>
                <w:spacing w:val="-4"/>
                <w:u w:color="0000FF"/>
              </w:rPr>
              <w:t xml:space="preserve"> </w:t>
            </w:r>
            <w:r>
              <w:rPr>
                <w:color w:val="0000FF"/>
                <w:u w:color="0000FF"/>
              </w:rPr>
              <w:t>Accounting</w:t>
            </w:r>
            <w:r>
              <w:rPr>
                <w:color w:val="0000FF"/>
                <w:spacing w:val="-3"/>
                <w:u w:color="0000FF"/>
              </w:rPr>
              <w:t xml:space="preserve"> </w:t>
            </w:r>
            <w:r>
              <w:rPr>
                <w:color w:val="0000FF"/>
                <w:u w:color="0000FF"/>
              </w:rPr>
              <w:t>Firm</w:t>
            </w:r>
            <w:r>
              <w:rPr>
                <w:color w:val="0000FF"/>
                <w:spacing w:val="-4"/>
                <w:u w:color="0000FF"/>
              </w:rPr>
              <w:t xml:space="preserve"> </w:t>
            </w:r>
            <w:r>
              <w:rPr>
                <w:color w:val="0000FF"/>
                <w:u w:color="0000FF"/>
              </w:rPr>
              <w:t>Regarding</w:t>
            </w:r>
            <w:r>
              <w:rPr>
                <w:color w:val="0000FF"/>
                <w:spacing w:val="-4"/>
                <w:u w:color="0000FF"/>
              </w:rPr>
              <w:t xml:space="preserve"> </w:t>
            </w:r>
            <w:r>
              <w:rPr>
                <w:color w:val="0000FF"/>
                <w:u w:color="0000FF"/>
              </w:rPr>
              <w:t>Internal</w:t>
            </w:r>
            <w:r>
              <w:rPr>
                <w:color w:val="0000FF"/>
                <w:spacing w:val="-4"/>
                <w:u w:color="0000FF"/>
              </w:rPr>
              <w:t xml:space="preserve"> </w:t>
            </w:r>
            <w:r>
              <w:rPr>
                <w:color w:val="0000FF"/>
                <w:u w:color="0000FF"/>
              </w:rPr>
              <w:t>Control</w:t>
            </w:r>
            <w:r>
              <w:rPr>
                <w:color w:val="0000FF"/>
                <w:spacing w:val="-4"/>
                <w:u w:color="0000FF"/>
              </w:rPr>
              <w:t xml:space="preserve"> </w:t>
            </w:r>
            <w:r>
              <w:rPr>
                <w:color w:val="0000FF"/>
                <w:u w:color="0000FF"/>
              </w:rPr>
              <w:t>Over</w:t>
            </w:r>
            <w:r>
              <w:rPr>
                <w:color w:val="0000FF"/>
                <w:spacing w:val="-3"/>
                <w:u w:color="0000FF"/>
              </w:rPr>
              <w:t xml:space="preserve"> </w:t>
            </w:r>
            <w:r>
              <w:rPr>
                <w:color w:val="0000FF"/>
                <w:u w:color="0000FF"/>
              </w:rPr>
              <w:t>Financial</w:t>
            </w:r>
            <w:r>
              <w:rPr>
                <w:color w:val="0000FF"/>
                <w:spacing w:val="-4"/>
                <w:u w:color="0000FF"/>
              </w:rPr>
              <w:t xml:space="preserve"> </w:t>
            </w:r>
            <w:r>
              <w:rPr>
                <w:color w:val="0000FF"/>
                <w:spacing w:val="-2"/>
                <w:u w:color="0000FF"/>
              </w:rPr>
              <w:t>Reporting</w:t>
            </w:r>
          </w:hyperlink>
          <w:r>
            <w:rPr>
              <w:color w:val="0000FF"/>
              <w:u w:val="none"/>
            </w:rPr>
            <w:tab/>
          </w:r>
          <w:hyperlink w:anchor="_bookmark21" w:history="1">
            <w:r>
              <w:rPr>
                <w:color w:val="0000FF"/>
                <w:spacing w:val="-5"/>
                <w:u w:val="none"/>
              </w:rPr>
              <w:t>104</w:t>
            </w:r>
          </w:hyperlink>
        </w:p>
      </w:sdtContent>
    </w:sdt>
    <w:p w14:paraId="2AE0FC85" w14:textId="77777777" w:rsidR="00AE2255" w:rsidRDefault="00AE2255">
      <w:pPr>
        <w:pStyle w:val="BodyText"/>
        <w:spacing w:before="3"/>
        <w:rPr>
          <w:sz w:val="22"/>
        </w:rPr>
      </w:pPr>
    </w:p>
    <w:p w14:paraId="1444513C" w14:textId="77777777" w:rsidR="00AE2255" w:rsidRDefault="00000000">
      <w:pPr>
        <w:spacing w:before="1"/>
        <w:ind w:left="610"/>
        <w:rPr>
          <w:b/>
          <w:sz w:val="20"/>
        </w:rPr>
      </w:pPr>
      <w:r>
        <w:rPr>
          <w:b/>
          <w:sz w:val="20"/>
        </w:rPr>
        <w:t>List</w:t>
      </w:r>
      <w:r>
        <w:rPr>
          <w:b/>
          <w:spacing w:val="-3"/>
          <w:sz w:val="20"/>
        </w:rPr>
        <w:t xml:space="preserve"> </w:t>
      </w:r>
      <w:r>
        <w:rPr>
          <w:b/>
          <w:sz w:val="20"/>
        </w:rPr>
        <w:t>of</w:t>
      </w:r>
      <w:r>
        <w:rPr>
          <w:b/>
          <w:spacing w:val="-3"/>
          <w:sz w:val="20"/>
        </w:rPr>
        <w:t xml:space="preserve"> </w:t>
      </w:r>
      <w:r>
        <w:rPr>
          <w:b/>
          <w:sz w:val="20"/>
        </w:rPr>
        <w:t>financial</w:t>
      </w:r>
      <w:r>
        <w:rPr>
          <w:b/>
          <w:spacing w:val="-3"/>
          <w:sz w:val="20"/>
        </w:rPr>
        <w:t xml:space="preserve"> </w:t>
      </w:r>
      <w:r>
        <w:rPr>
          <w:b/>
          <w:sz w:val="20"/>
        </w:rPr>
        <w:t>statement</w:t>
      </w:r>
      <w:r>
        <w:rPr>
          <w:b/>
          <w:spacing w:val="-3"/>
          <w:sz w:val="20"/>
        </w:rPr>
        <w:t xml:space="preserve"> </w:t>
      </w:r>
      <w:r>
        <w:rPr>
          <w:b/>
          <w:sz w:val="20"/>
        </w:rPr>
        <w:t>schedules</w:t>
      </w:r>
      <w:r>
        <w:rPr>
          <w:b/>
          <w:spacing w:val="-4"/>
          <w:sz w:val="20"/>
        </w:rPr>
        <w:t xml:space="preserve"> </w:t>
      </w:r>
      <w:r>
        <w:rPr>
          <w:b/>
          <w:sz w:val="20"/>
        </w:rPr>
        <w:t>filed</w:t>
      </w:r>
      <w:r>
        <w:rPr>
          <w:b/>
          <w:spacing w:val="-3"/>
          <w:sz w:val="20"/>
        </w:rPr>
        <w:t xml:space="preserve"> </w:t>
      </w:r>
      <w:r>
        <w:rPr>
          <w:b/>
          <w:sz w:val="20"/>
        </w:rPr>
        <w:t>as</w:t>
      </w:r>
      <w:r>
        <w:rPr>
          <w:b/>
          <w:spacing w:val="-4"/>
          <w:sz w:val="20"/>
        </w:rPr>
        <w:t xml:space="preserve"> </w:t>
      </w:r>
      <w:r>
        <w:rPr>
          <w:b/>
          <w:sz w:val="20"/>
        </w:rPr>
        <w:t>part</w:t>
      </w:r>
      <w:r>
        <w:rPr>
          <w:b/>
          <w:spacing w:val="-3"/>
          <w:sz w:val="20"/>
        </w:rPr>
        <w:t xml:space="preserve"> </w:t>
      </w:r>
      <w:r>
        <w:rPr>
          <w:b/>
          <w:sz w:val="20"/>
        </w:rPr>
        <w:t>of</w:t>
      </w:r>
      <w:r>
        <w:rPr>
          <w:b/>
          <w:spacing w:val="-2"/>
          <w:sz w:val="20"/>
        </w:rPr>
        <w:t xml:space="preserve"> </w:t>
      </w:r>
      <w:r>
        <w:rPr>
          <w:b/>
          <w:sz w:val="20"/>
        </w:rPr>
        <w:t>this</w:t>
      </w:r>
      <w:r>
        <w:rPr>
          <w:b/>
          <w:spacing w:val="-4"/>
          <w:sz w:val="20"/>
        </w:rPr>
        <w:t xml:space="preserve"> </w:t>
      </w:r>
      <w:r>
        <w:rPr>
          <w:b/>
          <w:sz w:val="20"/>
        </w:rPr>
        <w:t>Form</w:t>
      </w:r>
      <w:r>
        <w:rPr>
          <w:b/>
          <w:spacing w:val="-2"/>
          <w:sz w:val="20"/>
        </w:rPr>
        <w:t xml:space="preserve"> </w:t>
      </w:r>
      <w:r>
        <w:rPr>
          <w:b/>
          <w:sz w:val="20"/>
        </w:rPr>
        <w:t>10-</w:t>
      </w:r>
      <w:r>
        <w:rPr>
          <w:b/>
          <w:spacing w:val="-10"/>
          <w:sz w:val="20"/>
        </w:rPr>
        <w:t>K</w:t>
      </w:r>
    </w:p>
    <w:p w14:paraId="1BED3940" w14:textId="77777777" w:rsidR="00AE2255" w:rsidRDefault="00000000">
      <w:pPr>
        <w:pStyle w:val="BodyText"/>
        <w:spacing w:before="193" w:line="249" w:lineRule="auto"/>
        <w:ind w:left="610" w:firstLine="360"/>
      </w:pPr>
      <w:r>
        <w:t>All</w:t>
      </w:r>
      <w:r>
        <w:rPr>
          <w:spacing w:val="33"/>
        </w:rPr>
        <w:t xml:space="preserve"> </w:t>
      </w:r>
      <w:r>
        <w:t>schedules</w:t>
      </w:r>
      <w:r>
        <w:rPr>
          <w:spacing w:val="33"/>
        </w:rPr>
        <w:t xml:space="preserve"> </w:t>
      </w:r>
      <w:r>
        <w:t>have</w:t>
      </w:r>
      <w:r>
        <w:rPr>
          <w:spacing w:val="33"/>
        </w:rPr>
        <w:t xml:space="preserve"> </w:t>
      </w:r>
      <w:r>
        <w:t>been</w:t>
      </w:r>
      <w:r>
        <w:rPr>
          <w:spacing w:val="33"/>
        </w:rPr>
        <w:t xml:space="preserve"> </w:t>
      </w:r>
      <w:r>
        <w:t>omitted</w:t>
      </w:r>
      <w:r>
        <w:rPr>
          <w:spacing w:val="33"/>
        </w:rPr>
        <w:t xml:space="preserve"> </w:t>
      </w:r>
      <w:r>
        <w:t>because</w:t>
      </w:r>
      <w:r>
        <w:rPr>
          <w:spacing w:val="33"/>
        </w:rPr>
        <w:t xml:space="preserve"> </w:t>
      </w:r>
      <w:r>
        <w:t>they</w:t>
      </w:r>
      <w:r>
        <w:rPr>
          <w:spacing w:val="33"/>
        </w:rPr>
        <w:t xml:space="preserve"> </w:t>
      </w:r>
      <w:r>
        <w:t>are</w:t>
      </w:r>
      <w:r>
        <w:rPr>
          <w:spacing w:val="33"/>
        </w:rPr>
        <w:t xml:space="preserve"> </w:t>
      </w:r>
      <w:r>
        <w:t>not</w:t>
      </w:r>
      <w:r>
        <w:rPr>
          <w:spacing w:val="33"/>
        </w:rPr>
        <w:t xml:space="preserve"> </w:t>
      </w:r>
      <w:r>
        <w:t>applicable,</w:t>
      </w:r>
      <w:r>
        <w:rPr>
          <w:spacing w:val="33"/>
        </w:rPr>
        <w:t xml:space="preserve"> </w:t>
      </w:r>
      <w:r>
        <w:t>not</w:t>
      </w:r>
      <w:r>
        <w:rPr>
          <w:spacing w:val="33"/>
        </w:rPr>
        <w:t xml:space="preserve"> </w:t>
      </w:r>
      <w:r>
        <w:t>required</w:t>
      </w:r>
      <w:r>
        <w:rPr>
          <w:spacing w:val="33"/>
        </w:rPr>
        <w:t xml:space="preserve"> </w:t>
      </w:r>
      <w:r>
        <w:t>or</w:t>
      </w:r>
      <w:r>
        <w:rPr>
          <w:spacing w:val="33"/>
        </w:rPr>
        <w:t xml:space="preserve"> </w:t>
      </w:r>
      <w:r>
        <w:t>the</w:t>
      </w:r>
      <w:r>
        <w:rPr>
          <w:spacing w:val="33"/>
        </w:rPr>
        <w:t xml:space="preserve"> </w:t>
      </w:r>
      <w:r>
        <w:t>information</w:t>
      </w:r>
      <w:r>
        <w:rPr>
          <w:spacing w:val="33"/>
        </w:rPr>
        <w:t xml:space="preserve"> </w:t>
      </w:r>
      <w:r>
        <w:t>has</w:t>
      </w:r>
      <w:r>
        <w:rPr>
          <w:spacing w:val="33"/>
        </w:rPr>
        <w:t xml:space="preserve"> </w:t>
      </w:r>
      <w:r>
        <w:t>been</w:t>
      </w:r>
      <w:r>
        <w:rPr>
          <w:spacing w:val="33"/>
        </w:rPr>
        <w:t xml:space="preserve"> </w:t>
      </w:r>
      <w:r>
        <w:t>otherwise supplied in the consolidated financial statements or notes to consolidated financial statements.</w:t>
      </w:r>
    </w:p>
    <w:p w14:paraId="76BA068B" w14:textId="77777777" w:rsidR="00AE2255" w:rsidRDefault="00000000">
      <w:pPr>
        <w:pStyle w:val="Heading2"/>
        <w:spacing w:before="178"/>
      </w:pPr>
      <w:r>
        <w:rPr>
          <w:spacing w:val="-2"/>
        </w:rPr>
        <w:t>Exhibits</w:t>
      </w:r>
    </w:p>
    <w:p w14:paraId="5999E879" w14:textId="77777777" w:rsidR="00AE2255" w:rsidRDefault="00000000">
      <w:pPr>
        <w:pStyle w:val="ListParagraph"/>
        <w:numPr>
          <w:ilvl w:val="1"/>
          <w:numId w:val="11"/>
        </w:numPr>
        <w:tabs>
          <w:tab w:val="left" w:pos="1652"/>
          <w:tab w:val="left" w:pos="1653"/>
        </w:tabs>
        <w:spacing w:before="111" w:line="208" w:lineRule="auto"/>
        <w:ind w:right="511"/>
        <w:jc w:val="both"/>
        <w:rPr>
          <w:sz w:val="20"/>
        </w:rPr>
      </w:pPr>
      <w:hyperlink r:id="rId14">
        <w:r>
          <w:rPr>
            <w:color w:val="0000FF"/>
            <w:sz w:val="20"/>
            <w:u w:val="single" w:color="0000FF"/>
          </w:rPr>
          <w:t>Charter of Lockheed Martin Corporation, as amended by Articles of Amendment dated Apri</w:t>
        </w:r>
      </w:hyperlink>
      <w:r>
        <w:rPr>
          <w:color w:val="0000FF"/>
          <w:sz w:val="20"/>
          <w:u w:val="single" w:color="0000FF"/>
        </w:rPr>
        <w:t>l 23, 2009</w:t>
      </w:r>
      <w:r>
        <w:rPr>
          <w:color w:val="0000FF"/>
          <w:sz w:val="20"/>
        </w:rPr>
        <w:t xml:space="preserve"> </w:t>
      </w:r>
      <w:hyperlink r:id="rId15">
        <w:r>
          <w:rPr>
            <w:color w:val="0000FF"/>
            <w:sz w:val="20"/>
            <w:u w:val="single" w:color="0000FF"/>
          </w:rPr>
          <w:t>(incorporated by reference to Exhibit 3.1 to Lockheed Martin Corporation’s Annual Report on Form 10-K for the</w:t>
        </w:r>
      </w:hyperlink>
      <w:r>
        <w:rPr>
          <w:color w:val="0000FF"/>
          <w:sz w:val="20"/>
        </w:rPr>
        <w:t xml:space="preserve"> </w:t>
      </w:r>
      <w:hyperlink r:id="rId16">
        <w:r>
          <w:rPr>
            <w:color w:val="0000FF"/>
            <w:sz w:val="20"/>
            <w:u w:val="single" w:color="0000FF"/>
          </w:rPr>
          <w:t>year ended December 31, 2010).</w:t>
        </w:r>
      </w:hyperlink>
    </w:p>
    <w:p w14:paraId="00784C0B" w14:textId="77777777" w:rsidR="00AE2255" w:rsidRDefault="00000000">
      <w:pPr>
        <w:pStyle w:val="ListParagraph"/>
        <w:numPr>
          <w:ilvl w:val="1"/>
          <w:numId w:val="11"/>
        </w:numPr>
        <w:tabs>
          <w:tab w:val="left" w:pos="1652"/>
          <w:tab w:val="left" w:pos="1653"/>
        </w:tabs>
        <w:spacing w:before="160" w:line="208" w:lineRule="auto"/>
        <w:ind w:right="511"/>
        <w:jc w:val="both"/>
        <w:rPr>
          <w:sz w:val="20"/>
        </w:rPr>
      </w:pPr>
      <w:hyperlink r:id="rId17">
        <w:r>
          <w:rPr>
            <w:color w:val="0000FF"/>
            <w:sz w:val="20"/>
            <w:u w:val="single" w:color="0000FF"/>
          </w:rPr>
          <w:t>Bylaws of Lockheed Martin Corporation, as amended and restated effective April 8, 2020 (incorpora</w:t>
        </w:r>
      </w:hyperlink>
      <w:r>
        <w:rPr>
          <w:color w:val="0000FF"/>
          <w:sz w:val="20"/>
          <w:u w:val="single" w:color="0000FF"/>
        </w:rPr>
        <w:t>ted by</w:t>
      </w:r>
      <w:r>
        <w:rPr>
          <w:color w:val="0000FF"/>
          <w:sz w:val="20"/>
        </w:rPr>
        <w:t xml:space="preserve"> </w:t>
      </w:r>
      <w:hyperlink r:id="rId18">
        <w:r>
          <w:rPr>
            <w:color w:val="0000FF"/>
            <w:sz w:val="20"/>
            <w:u w:val="single" w:color="0000FF"/>
          </w:rPr>
          <w:t>reference to Exhibit 3.1 to Lockheed Martin Corporation’s Current Report on Form 8-K filed with the SE</w:t>
        </w:r>
      </w:hyperlink>
      <w:r>
        <w:rPr>
          <w:color w:val="0000FF"/>
          <w:sz w:val="20"/>
          <w:u w:val="single" w:color="0000FF"/>
        </w:rPr>
        <w:t>C on</w:t>
      </w:r>
      <w:r>
        <w:rPr>
          <w:color w:val="0000FF"/>
          <w:sz w:val="20"/>
        </w:rPr>
        <w:t xml:space="preserve"> </w:t>
      </w:r>
      <w:hyperlink r:id="rId19">
        <w:r>
          <w:rPr>
            <w:color w:val="0000FF"/>
            <w:sz w:val="20"/>
            <w:u w:val="single" w:color="0000FF"/>
          </w:rPr>
          <w:t>April 9, 2020).</w:t>
        </w:r>
      </w:hyperlink>
    </w:p>
    <w:p w14:paraId="2209EC8F" w14:textId="77777777" w:rsidR="00AE2255" w:rsidRDefault="00000000">
      <w:pPr>
        <w:pStyle w:val="ListParagraph"/>
        <w:numPr>
          <w:ilvl w:val="1"/>
          <w:numId w:val="10"/>
        </w:numPr>
        <w:tabs>
          <w:tab w:val="left" w:pos="1652"/>
          <w:tab w:val="left" w:pos="1653"/>
        </w:tabs>
        <w:spacing w:before="160" w:line="208" w:lineRule="auto"/>
        <w:ind w:right="1231"/>
        <w:rPr>
          <w:sz w:val="20"/>
        </w:rPr>
      </w:pPr>
      <w:hyperlink r:id="rId20">
        <w:r>
          <w:rPr>
            <w:color w:val="0000FF"/>
            <w:sz w:val="20"/>
            <w:u w:val="single" w:color="0000FF"/>
          </w:rPr>
          <w:t>Description</w:t>
        </w:r>
        <w:r>
          <w:rPr>
            <w:color w:val="0000FF"/>
            <w:spacing w:val="-4"/>
            <w:sz w:val="20"/>
            <w:u w:val="single" w:color="0000FF"/>
          </w:rPr>
          <w:t xml:space="preserve"> </w:t>
        </w:r>
        <w:r>
          <w:rPr>
            <w:color w:val="0000FF"/>
            <w:sz w:val="20"/>
            <w:u w:val="single" w:color="0000FF"/>
          </w:rPr>
          <w:t>of</w:t>
        </w:r>
        <w:r>
          <w:rPr>
            <w:color w:val="0000FF"/>
            <w:spacing w:val="-4"/>
            <w:sz w:val="20"/>
            <w:u w:val="single" w:color="0000FF"/>
          </w:rPr>
          <w:t xml:space="preserve"> </w:t>
        </w:r>
        <w:r>
          <w:rPr>
            <w:color w:val="0000FF"/>
            <w:sz w:val="20"/>
            <w:u w:val="single" w:color="0000FF"/>
          </w:rPr>
          <w:t>Lockheed</w:t>
        </w:r>
        <w:r>
          <w:rPr>
            <w:color w:val="0000FF"/>
            <w:spacing w:val="-4"/>
            <w:sz w:val="20"/>
            <w:u w:val="single" w:color="0000FF"/>
          </w:rPr>
          <w:t xml:space="preserve"> </w:t>
        </w:r>
        <w:r>
          <w:rPr>
            <w:color w:val="0000FF"/>
            <w:sz w:val="20"/>
            <w:u w:val="single" w:color="0000FF"/>
          </w:rPr>
          <w:t>Martin</w:t>
        </w:r>
        <w:r>
          <w:rPr>
            <w:color w:val="0000FF"/>
            <w:spacing w:val="-4"/>
            <w:sz w:val="20"/>
            <w:u w:val="single" w:color="0000FF"/>
          </w:rPr>
          <w:t xml:space="preserve"> </w:t>
        </w:r>
        <w:r>
          <w:rPr>
            <w:color w:val="0000FF"/>
            <w:sz w:val="20"/>
            <w:u w:val="single" w:color="0000FF"/>
          </w:rPr>
          <w:t>Corporation</w:t>
        </w:r>
        <w:r>
          <w:rPr>
            <w:color w:val="0000FF"/>
            <w:spacing w:val="-4"/>
            <w:sz w:val="20"/>
            <w:u w:val="single" w:color="0000FF"/>
          </w:rPr>
          <w:t xml:space="preserve"> </w:t>
        </w:r>
        <w:r>
          <w:rPr>
            <w:color w:val="0000FF"/>
            <w:sz w:val="20"/>
            <w:u w:val="single" w:color="0000FF"/>
          </w:rPr>
          <w:t>Common</w:t>
        </w:r>
        <w:r>
          <w:rPr>
            <w:color w:val="0000FF"/>
            <w:spacing w:val="-4"/>
            <w:sz w:val="20"/>
            <w:u w:val="single" w:color="0000FF"/>
          </w:rPr>
          <w:t xml:space="preserve"> </w:t>
        </w:r>
        <w:r>
          <w:rPr>
            <w:color w:val="0000FF"/>
            <w:sz w:val="20"/>
            <w:u w:val="single" w:color="0000FF"/>
          </w:rPr>
          <w:t>Stock</w:t>
        </w:r>
        <w:r>
          <w:rPr>
            <w:color w:val="0000FF"/>
            <w:spacing w:val="-4"/>
            <w:sz w:val="20"/>
            <w:u w:val="single" w:color="0000FF"/>
          </w:rPr>
          <w:t xml:space="preserve"> </w:t>
        </w:r>
        <w:r>
          <w:rPr>
            <w:color w:val="0000FF"/>
            <w:sz w:val="20"/>
            <w:u w:val="single" w:color="0000FF"/>
          </w:rPr>
          <w:t>(incorporated</w:t>
        </w:r>
        <w:r>
          <w:rPr>
            <w:color w:val="0000FF"/>
            <w:spacing w:val="-4"/>
            <w:sz w:val="20"/>
            <w:u w:val="single" w:color="0000FF"/>
          </w:rPr>
          <w:t xml:space="preserve"> </w:t>
        </w:r>
        <w:r>
          <w:rPr>
            <w:color w:val="0000FF"/>
            <w:sz w:val="20"/>
            <w:u w:val="single" w:color="0000FF"/>
          </w:rPr>
          <w:t>by</w:t>
        </w:r>
        <w:r>
          <w:rPr>
            <w:color w:val="0000FF"/>
            <w:spacing w:val="-4"/>
            <w:sz w:val="20"/>
            <w:u w:val="single" w:color="0000FF"/>
          </w:rPr>
          <w:t xml:space="preserve"> </w:t>
        </w:r>
        <w:r>
          <w:rPr>
            <w:color w:val="0000FF"/>
            <w:sz w:val="20"/>
            <w:u w:val="single" w:color="0000FF"/>
          </w:rPr>
          <w:t>reference</w:t>
        </w:r>
        <w:r>
          <w:rPr>
            <w:color w:val="0000FF"/>
            <w:spacing w:val="-5"/>
            <w:sz w:val="20"/>
            <w:u w:val="single" w:color="0000FF"/>
          </w:rPr>
          <w:t xml:space="preserve"> </w:t>
        </w:r>
        <w:r>
          <w:rPr>
            <w:color w:val="0000FF"/>
            <w:sz w:val="20"/>
            <w:u w:val="single" w:color="0000FF"/>
          </w:rPr>
          <w:t>to</w:t>
        </w:r>
        <w:r>
          <w:rPr>
            <w:color w:val="0000FF"/>
            <w:spacing w:val="-4"/>
            <w:sz w:val="20"/>
            <w:u w:val="single" w:color="0000FF"/>
          </w:rPr>
          <w:t xml:space="preserve"> </w:t>
        </w:r>
        <w:r>
          <w:rPr>
            <w:color w:val="0000FF"/>
            <w:sz w:val="20"/>
            <w:u w:val="single" w:color="0000FF"/>
          </w:rPr>
          <w:t>Exhibit</w:t>
        </w:r>
        <w:r>
          <w:rPr>
            <w:color w:val="0000FF"/>
            <w:spacing w:val="-5"/>
            <w:sz w:val="20"/>
            <w:u w:val="single" w:color="0000FF"/>
          </w:rPr>
          <w:t xml:space="preserve"> </w:t>
        </w:r>
        <w:r>
          <w:rPr>
            <w:color w:val="0000FF"/>
            <w:sz w:val="20"/>
            <w:u w:val="single" w:color="0000FF"/>
          </w:rPr>
          <w:t>4.1</w:t>
        </w:r>
        <w:r>
          <w:rPr>
            <w:color w:val="0000FF"/>
            <w:spacing w:val="-4"/>
            <w:sz w:val="20"/>
            <w:u w:val="single" w:color="0000FF"/>
          </w:rPr>
          <w:t xml:space="preserve"> </w:t>
        </w:r>
        <w:r>
          <w:rPr>
            <w:color w:val="0000FF"/>
            <w:sz w:val="20"/>
            <w:u w:val="single" w:color="0000FF"/>
          </w:rPr>
          <w:t>to</w:t>
        </w:r>
      </w:hyperlink>
      <w:r>
        <w:rPr>
          <w:color w:val="0000FF"/>
          <w:sz w:val="20"/>
        </w:rPr>
        <w:t xml:space="preserve"> </w:t>
      </w:r>
      <w:hyperlink r:id="rId21">
        <w:r>
          <w:rPr>
            <w:color w:val="0000FF"/>
            <w:sz w:val="20"/>
            <w:u w:val="single" w:color="0000FF"/>
          </w:rPr>
          <w:t>Lockheed Martin Corporation’s Annual Report on Form 10-K for the year ended December 31, 2021).</w:t>
        </w:r>
      </w:hyperlink>
    </w:p>
    <w:p w14:paraId="71C4E404" w14:textId="77777777" w:rsidR="00AE2255" w:rsidRDefault="00000000">
      <w:pPr>
        <w:pStyle w:val="ListParagraph"/>
        <w:numPr>
          <w:ilvl w:val="1"/>
          <w:numId w:val="10"/>
        </w:numPr>
        <w:tabs>
          <w:tab w:val="left" w:pos="1652"/>
          <w:tab w:val="left" w:pos="1653"/>
        </w:tabs>
        <w:spacing w:before="160" w:line="208" w:lineRule="auto"/>
        <w:ind w:right="511"/>
        <w:jc w:val="both"/>
        <w:rPr>
          <w:sz w:val="20"/>
        </w:rPr>
      </w:pPr>
      <w:hyperlink r:id="rId22">
        <w:proofErr w:type="gramStart"/>
        <w:r>
          <w:rPr>
            <w:color w:val="0000FF"/>
            <w:sz w:val="20"/>
            <w:u w:val="single" w:color="0000FF"/>
          </w:rPr>
          <w:t>Indenture,</w:t>
        </w:r>
        <w:proofErr w:type="gramEnd"/>
        <w:r>
          <w:rPr>
            <w:color w:val="0000FF"/>
            <w:sz w:val="20"/>
            <w:u w:val="single" w:color="0000FF"/>
          </w:rPr>
          <w:t xml:space="preserve"> dated May 15, 1996, among Lockheed Martin Corporation, Lockheed Martin Tactical Systems, I</w:t>
        </w:r>
      </w:hyperlink>
      <w:r>
        <w:rPr>
          <w:color w:val="0000FF"/>
          <w:sz w:val="20"/>
          <w:u w:val="single" w:color="0000FF"/>
        </w:rPr>
        <w:t>nc.</w:t>
      </w:r>
      <w:r>
        <w:rPr>
          <w:color w:val="0000FF"/>
          <w:sz w:val="20"/>
        </w:rPr>
        <w:t xml:space="preserve"> </w:t>
      </w:r>
      <w:hyperlink r:id="rId23">
        <w:r>
          <w:rPr>
            <w:color w:val="0000FF"/>
            <w:sz w:val="20"/>
            <w:u w:val="single" w:color="0000FF"/>
          </w:rPr>
          <w:t>and First Trust of Illinois, National Association as Trustee (incorporated by reference to Exhibit 4.1 to Lockhee</w:t>
        </w:r>
      </w:hyperlink>
      <w:r>
        <w:rPr>
          <w:color w:val="0000FF"/>
          <w:sz w:val="20"/>
          <w:u w:val="single" w:color="0000FF"/>
        </w:rPr>
        <w:t>d</w:t>
      </w:r>
      <w:r>
        <w:rPr>
          <w:color w:val="0000FF"/>
          <w:sz w:val="20"/>
        </w:rPr>
        <w:t xml:space="preserve"> </w:t>
      </w:r>
      <w:hyperlink r:id="rId24">
        <w:r>
          <w:rPr>
            <w:color w:val="0000FF"/>
            <w:sz w:val="20"/>
            <w:u w:val="single" w:color="0000FF"/>
          </w:rPr>
          <w:t>Martin Corporation’s Annual Report on Form 10-K for the year ended December 31, 2017).</w:t>
        </w:r>
      </w:hyperlink>
    </w:p>
    <w:p w14:paraId="296C7064" w14:textId="77777777" w:rsidR="00AE2255" w:rsidRDefault="00000000">
      <w:pPr>
        <w:pStyle w:val="ListParagraph"/>
        <w:numPr>
          <w:ilvl w:val="1"/>
          <w:numId w:val="10"/>
        </w:numPr>
        <w:tabs>
          <w:tab w:val="left" w:pos="1652"/>
          <w:tab w:val="left" w:pos="1653"/>
        </w:tabs>
        <w:spacing w:before="159" w:line="208" w:lineRule="auto"/>
        <w:ind w:right="512"/>
        <w:jc w:val="both"/>
        <w:rPr>
          <w:sz w:val="20"/>
        </w:rPr>
      </w:pPr>
      <w:hyperlink r:id="rId25">
        <w:r>
          <w:rPr>
            <w:color w:val="0000FF"/>
            <w:sz w:val="20"/>
            <w:u w:val="single" w:color="0000FF"/>
          </w:rPr>
          <w:t>Indenture, dated as of August 30, 2006, between Lockheed Martin Corporation and The Bank of Ne</w:t>
        </w:r>
      </w:hyperlink>
      <w:r>
        <w:rPr>
          <w:color w:val="0000FF"/>
          <w:sz w:val="20"/>
          <w:u w:val="single" w:color="0000FF"/>
        </w:rPr>
        <w:t>w York</w:t>
      </w:r>
      <w:r>
        <w:rPr>
          <w:color w:val="0000FF"/>
          <w:sz w:val="20"/>
        </w:rPr>
        <w:t xml:space="preserve"> </w:t>
      </w:r>
      <w:hyperlink r:id="rId26">
        <w:r>
          <w:rPr>
            <w:color w:val="0000FF"/>
            <w:sz w:val="20"/>
            <w:u w:val="single" w:color="0000FF"/>
          </w:rPr>
          <w:t>(incorporated by reference to Exhibit 99.1 to Lockheed Martin Corporation’s Current Report on Form 8-K fil</w:t>
        </w:r>
      </w:hyperlink>
      <w:r>
        <w:rPr>
          <w:color w:val="0000FF"/>
          <w:sz w:val="20"/>
          <w:u w:val="single" w:color="0000FF"/>
        </w:rPr>
        <w:t>ed</w:t>
      </w:r>
      <w:r>
        <w:rPr>
          <w:color w:val="0000FF"/>
          <w:sz w:val="20"/>
        </w:rPr>
        <w:t xml:space="preserve"> </w:t>
      </w:r>
      <w:hyperlink r:id="rId27">
        <w:r>
          <w:rPr>
            <w:color w:val="0000FF"/>
            <w:sz w:val="20"/>
            <w:u w:val="single" w:color="0000FF"/>
          </w:rPr>
          <w:t>with the SEC on August 31, 2006).</w:t>
        </w:r>
      </w:hyperlink>
    </w:p>
    <w:p w14:paraId="40208305" w14:textId="77777777" w:rsidR="00AE2255" w:rsidRDefault="00000000">
      <w:pPr>
        <w:pStyle w:val="ListParagraph"/>
        <w:numPr>
          <w:ilvl w:val="1"/>
          <w:numId w:val="10"/>
        </w:numPr>
        <w:tabs>
          <w:tab w:val="left" w:pos="1652"/>
          <w:tab w:val="left" w:pos="1653"/>
        </w:tabs>
        <w:spacing w:before="160" w:line="208" w:lineRule="auto"/>
        <w:ind w:right="511"/>
        <w:jc w:val="both"/>
        <w:rPr>
          <w:sz w:val="20"/>
        </w:rPr>
      </w:pPr>
      <w:hyperlink r:id="rId28">
        <w:r>
          <w:rPr>
            <w:color w:val="0000FF"/>
            <w:sz w:val="20"/>
            <w:u w:val="single" w:color="0000FF"/>
          </w:rPr>
          <w:t>Indenture, dated as of March 11, 2008, between Lockheed Martin Corporation and The Bank of Ne</w:t>
        </w:r>
      </w:hyperlink>
      <w:r>
        <w:rPr>
          <w:color w:val="0000FF"/>
          <w:sz w:val="20"/>
          <w:u w:val="single" w:color="0000FF"/>
        </w:rPr>
        <w:t>w York</w:t>
      </w:r>
      <w:r>
        <w:rPr>
          <w:color w:val="0000FF"/>
          <w:sz w:val="20"/>
        </w:rPr>
        <w:t xml:space="preserve"> </w:t>
      </w:r>
      <w:hyperlink r:id="rId29">
        <w:r>
          <w:rPr>
            <w:color w:val="0000FF"/>
            <w:sz w:val="20"/>
            <w:u w:val="single" w:color="0000FF"/>
          </w:rPr>
          <w:t>(incorporated by reference to Exhibit 4.1 to Lockheed Martin Corporation’s Current Report on Form 8-K fi</w:t>
        </w:r>
      </w:hyperlink>
      <w:r>
        <w:rPr>
          <w:color w:val="0000FF"/>
          <w:sz w:val="20"/>
          <w:u w:val="single" w:color="0000FF"/>
        </w:rPr>
        <w:t>led</w:t>
      </w:r>
      <w:r>
        <w:rPr>
          <w:color w:val="0000FF"/>
          <w:sz w:val="20"/>
        </w:rPr>
        <w:t xml:space="preserve"> </w:t>
      </w:r>
      <w:hyperlink r:id="rId30">
        <w:r>
          <w:rPr>
            <w:color w:val="0000FF"/>
            <w:sz w:val="20"/>
            <w:u w:val="single" w:color="0000FF"/>
          </w:rPr>
          <w:t>with the SEC on March 12, 2008).</w:t>
        </w:r>
      </w:hyperlink>
    </w:p>
    <w:p w14:paraId="3A4F36BA" w14:textId="77777777" w:rsidR="00AE2255" w:rsidRDefault="00000000">
      <w:pPr>
        <w:pStyle w:val="ListParagraph"/>
        <w:numPr>
          <w:ilvl w:val="1"/>
          <w:numId w:val="10"/>
        </w:numPr>
        <w:tabs>
          <w:tab w:val="left" w:pos="1652"/>
          <w:tab w:val="left" w:pos="1653"/>
        </w:tabs>
        <w:spacing w:before="160" w:line="208" w:lineRule="auto"/>
        <w:ind w:right="512"/>
        <w:jc w:val="both"/>
        <w:rPr>
          <w:sz w:val="20"/>
        </w:rPr>
      </w:pPr>
      <w:hyperlink r:id="rId31">
        <w:r>
          <w:rPr>
            <w:color w:val="0000FF"/>
            <w:sz w:val="20"/>
            <w:u w:val="single" w:color="0000FF"/>
          </w:rPr>
          <w:t>Indenture, dated as of May 25, 2010, between Lockheed Martin Corporation and U.S. Bank National Association</w:t>
        </w:r>
      </w:hyperlink>
      <w:r>
        <w:rPr>
          <w:color w:val="0000FF"/>
          <w:sz w:val="20"/>
        </w:rPr>
        <w:t xml:space="preserve"> </w:t>
      </w:r>
      <w:hyperlink r:id="rId32">
        <w:r>
          <w:rPr>
            <w:color w:val="0000FF"/>
            <w:sz w:val="20"/>
            <w:u w:val="single" w:color="0000FF"/>
          </w:rPr>
          <w:t>(incorporated by reference to Exhibit 99.1 to Lockheed Martin Corporation’s Current Report on Form 8-K fil</w:t>
        </w:r>
      </w:hyperlink>
      <w:r>
        <w:rPr>
          <w:color w:val="0000FF"/>
          <w:sz w:val="20"/>
          <w:u w:val="single" w:color="0000FF"/>
        </w:rPr>
        <w:t>ed</w:t>
      </w:r>
      <w:r>
        <w:rPr>
          <w:color w:val="0000FF"/>
          <w:sz w:val="20"/>
        </w:rPr>
        <w:t xml:space="preserve"> </w:t>
      </w:r>
      <w:hyperlink r:id="rId33">
        <w:r>
          <w:rPr>
            <w:color w:val="0000FF"/>
            <w:sz w:val="20"/>
            <w:u w:val="single" w:color="0000FF"/>
          </w:rPr>
          <w:t>with the SEC on May 25, 2010).</w:t>
        </w:r>
      </w:hyperlink>
    </w:p>
    <w:p w14:paraId="0BF3443B" w14:textId="77777777" w:rsidR="00AE2255" w:rsidRDefault="00000000">
      <w:pPr>
        <w:pStyle w:val="ListParagraph"/>
        <w:numPr>
          <w:ilvl w:val="1"/>
          <w:numId w:val="10"/>
        </w:numPr>
        <w:tabs>
          <w:tab w:val="left" w:pos="1652"/>
          <w:tab w:val="left" w:pos="1653"/>
        </w:tabs>
        <w:spacing w:before="160" w:line="208" w:lineRule="auto"/>
        <w:ind w:right="510"/>
        <w:jc w:val="both"/>
        <w:rPr>
          <w:sz w:val="20"/>
        </w:rPr>
      </w:pPr>
      <w:hyperlink r:id="rId34">
        <w:r>
          <w:rPr>
            <w:color w:val="0000FF"/>
            <w:sz w:val="20"/>
            <w:u w:val="single" w:color="0000FF"/>
          </w:rPr>
          <w:t>Indenture, dated as of September 6, 2011, between Lockheed Martin Corporation and U.S. Bank</w:t>
        </w:r>
      </w:hyperlink>
      <w:r>
        <w:rPr>
          <w:color w:val="0000FF"/>
          <w:sz w:val="20"/>
          <w:u w:val="single" w:color="0000FF"/>
        </w:rPr>
        <w:t xml:space="preserve"> National</w:t>
      </w:r>
      <w:r>
        <w:rPr>
          <w:color w:val="0000FF"/>
          <w:sz w:val="20"/>
        </w:rPr>
        <w:t xml:space="preserve"> </w:t>
      </w:r>
      <w:hyperlink r:id="rId35">
        <w:r>
          <w:rPr>
            <w:color w:val="0000FF"/>
            <w:sz w:val="20"/>
            <w:u w:val="single" w:color="0000FF"/>
          </w:rPr>
          <w:t>Association (incorporated by reference to Exhibit 4.1 to Lockheed Martin Corporation’s Registration Stateme</w:t>
        </w:r>
      </w:hyperlink>
      <w:r>
        <w:rPr>
          <w:color w:val="0000FF"/>
          <w:sz w:val="20"/>
          <w:u w:val="single" w:color="0000FF"/>
        </w:rPr>
        <w:t>nt</w:t>
      </w:r>
      <w:r>
        <w:rPr>
          <w:color w:val="0000FF"/>
          <w:sz w:val="20"/>
        </w:rPr>
        <w:t xml:space="preserve"> </w:t>
      </w:r>
      <w:hyperlink r:id="rId36">
        <w:r>
          <w:rPr>
            <w:color w:val="0000FF"/>
            <w:sz w:val="20"/>
            <w:u w:val="single" w:color="0000FF"/>
          </w:rPr>
          <w:t>on Form S-3 filed with the SEC on April 24, 2020).</w:t>
        </w:r>
      </w:hyperlink>
    </w:p>
    <w:p w14:paraId="0E8D49ED" w14:textId="77777777" w:rsidR="00AE2255" w:rsidRDefault="00000000">
      <w:pPr>
        <w:pStyle w:val="ListParagraph"/>
        <w:numPr>
          <w:ilvl w:val="1"/>
          <w:numId w:val="10"/>
        </w:numPr>
        <w:tabs>
          <w:tab w:val="left" w:pos="1652"/>
          <w:tab w:val="left" w:pos="1653"/>
        </w:tabs>
        <w:spacing w:before="159" w:line="208" w:lineRule="auto"/>
        <w:ind w:right="510"/>
        <w:jc w:val="both"/>
        <w:rPr>
          <w:sz w:val="20"/>
        </w:rPr>
      </w:pPr>
      <w:hyperlink r:id="rId37">
        <w:r>
          <w:rPr>
            <w:color w:val="0000FF"/>
            <w:sz w:val="20"/>
            <w:u w:val="single" w:color="0000FF"/>
          </w:rPr>
          <w:t>Supplemental Indenture, dated as of April 21, 2022, between Lockheed Martin Corporation and U.S. Bank Trus</w:t>
        </w:r>
      </w:hyperlink>
      <w:r>
        <w:rPr>
          <w:color w:val="0000FF"/>
          <w:sz w:val="20"/>
          <w:u w:val="single" w:color="0000FF"/>
        </w:rPr>
        <w:t>t</w:t>
      </w:r>
      <w:r>
        <w:rPr>
          <w:color w:val="0000FF"/>
          <w:sz w:val="20"/>
        </w:rPr>
        <w:t xml:space="preserve"> </w:t>
      </w:r>
      <w:hyperlink r:id="rId38">
        <w:r>
          <w:rPr>
            <w:color w:val="0000FF"/>
            <w:sz w:val="20"/>
            <w:u w:val="single" w:color="0000FF"/>
          </w:rPr>
          <w:t>Company, National Association, to the Indenture dated September 6, 2011 (incorporated by reference to Exhib</w:t>
        </w:r>
      </w:hyperlink>
      <w:r>
        <w:rPr>
          <w:color w:val="0000FF"/>
          <w:sz w:val="20"/>
          <w:u w:val="single" w:color="0000FF"/>
        </w:rPr>
        <w:t>it</w:t>
      </w:r>
      <w:r>
        <w:rPr>
          <w:color w:val="0000FF"/>
          <w:sz w:val="20"/>
        </w:rPr>
        <w:t xml:space="preserve"> </w:t>
      </w:r>
      <w:hyperlink r:id="rId39">
        <w:r>
          <w:rPr>
            <w:color w:val="0000FF"/>
            <w:sz w:val="20"/>
            <w:u w:val="single" w:color="0000FF"/>
          </w:rPr>
          <w:t>4.1 to Lockheed Martin Corporation’s Current Report on Form 8-K filed with the SEC on April 21, 2022).</w:t>
        </w:r>
      </w:hyperlink>
    </w:p>
    <w:p w14:paraId="5D59CF4E" w14:textId="77777777" w:rsidR="00AE2255" w:rsidRDefault="00AE2255">
      <w:pPr>
        <w:spacing w:line="208" w:lineRule="auto"/>
        <w:jc w:val="both"/>
        <w:rPr>
          <w:sz w:val="20"/>
        </w:rPr>
        <w:sectPr w:rsidR="00AE2255">
          <w:pgSz w:w="12240" w:h="15840"/>
          <w:pgMar w:top="440" w:right="560" w:bottom="720" w:left="380" w:header="230" w:footer="531" w:gutter="0"/>
          <w:cols w:space="720"/>
        </w:sectPr>
      </w:pPr>
    </w:p>
    <w:p w14:paraId="5972C4BE" w14:textId="77777777" w:rsidR="00AE2255" w:rsidRDefault="00AE2255">
      <w:pPr>
        <w:pStyle w:val="BodyText"/>
        <w:spacing w:before="5"/>
        <w:rPr>
          <w:sz w:val="29"/>
        </w:rPr>
      </w:pPr>
    </w:p>
    <w:p w14:paraId="22F28BF6" w14:textId="77777777" w:rsidR="00AE2255" w:rsidRDefault="00000000">
      <w:pPr>
        <w:pStyle w:val="ListParagraph"/>
        <w:numPr>
          <w:ilvl w:val="1"/>
          <w:numId w:val="10"/>
        </w:numPr>
        <w:tabs>
          <w:tab w:val="left" w:pos="1652"/>
          <w:tab w:val="left" w:pos="1653"/>
        </w:tabs>
        <w:spacing w:before="114" w:line="208" w:lineRule="auto"/>
        <w:ind w:right="513"/>
        <w:jc w:val="both"/>
        <w:rPr>
          <w:sz w:val="20"/>
        </w:rPr>
      </w:pPr>
      <w:hyperlink r:id="rId40">
        <w:r>
          <w:rPr>
            <w:color w:val="0000FF"/>
            <w:sz w:val="20"/>
            <w:u w:val="single" w:color="0000FF"/>
          </w:rPr>
          <w:t>Indenture, dated as of December 14, 2012, between Lockheed Martin Corporation and U.S. Bank N</w:t>
        </w:r>
      </w:hyperlink>
      <w:r>
        <w:rPr>
          <w:color w:val="0000FF"/>
          <w:sz w:val="20"/>
          <w:u w:val="single" w:color="0000FF"/>
        </w:rPr>
        <w:t>ational</w:t>
      </w:r>
      <w:r>
        <w:rPr>
          <w:color w:val="0000FF"/>
          <w:sz w:val="20"/>
        </w:rPr>
        <w:t xml:space="preserve"> </w:t>
      </w:r>
      <w:hyperlink r:id="rId41">
        <w:r>
          <w:rPr>
            <w:color w:val="0000FF"/>
            <w:sz w:val="20"/>
            <w:u w:val="single" w:color="0000FF"/>
          </w:rPr>
          <w:t>Association (incorporated by reference to Exhibit 99.1 to Lockheed Martin Corporation’s Current Repo</w:t>
        </w:r>
      </w:hyperlink>
      <w:r>
        <w:rPr>
          <w:color w:val="0000FF"/>
          <w:sz w:val="20"/>
          <w:u w:val="single" w:color="0000FF"/>
        </w:rPr>
        <w:t>rt on</w:t>
      </w:r>
      <w:r>
        <w:rPr>
          <w:color w:val="0000FF"/>
          <w:spacing w:val="40"/>
          <w:sz w:val="20"/>
        </w:rPr>
        <w:t xml:space="preserve"> </w:t>
      </w:r>
      <w:hyperlink r:id="rId42">
        <w:r>
          <w:rPr>
            <w:color w:val="0000FF"/>
            <w:sz w:val="20"/>
            <w:u w:val="single" w:color="0000FF"/>
          </w:rPr>
          <w:t>Form 8-K filed with the SEC on December 17, 2012).</w:t>
        </w:r>
      </w:hyperlink>
    </w:p>
    <w:p w14:paraId="4DF0152A" w14:textId="77777777" w:rsidR="00AE2255" w:rsidRDefault="00000000">
      <w:pPr>
        <w:pStyle w:val="ListParagraph"/>
        <w:numPr>
          <w:ilvl w:val="1"/>
          <w:numId w:val="10"/>
        </w:numPr>
        <w:tabs>
          <w:tab w:val="left" w:pos="1652"/>
          <w:tab w:val="left" w:pos="1653"/>
        </w:tabs>
        <w:spacing w:before="161" w:line="208" w:lineRule="auto"/>
        <w:ind w:right="690"/>
        <w:rPr>
          <w:sz w:val="20"/>
        </w:rPr>
      </w:pPr>
      <w:hyperlink r:id="rId43">
        <w:r>
          <w:rPr>
            <w:color w:val="0000FF"/>
            <w:sz w:val="20"/>
            <w:u w:val="single" w:color="0000FF"/>
          </w:rPr>
          <w:t>Indenture dated as of September 7, 2017, between Lockheed Martin Corporation and U.S. Bank National</w:t>
        </w:r>
      </w:hyperlink>
      <w:r>
        <w:rPr>
          <w:color w:val="0000FF"/>
          <w:sz w:val="20"/>
        </w:rPr>
        <w:t xml:space="preserve"> </w:t>
      </w:r>
      <w:hyperlink r:id="rId44">
        <w:r>
          <w:rPr>
            <w:color w:val="0000FF"/>
            <w:sz w:val="20"/>
            <w:u w:val="single" w:color="0000FF"/>
          </w:rPr>
          <w:t>Association,</w:t>
        </w:r>
        <w:r>
          <w:rPr>
            <w:color w:val="0000FF"/>
            <w:spacing w:val="-3"/>
            <w:sz w:val="20"/>
            <w:u w:val="single" w:color="0000FF"/>
          </w:rPr>
          <w:t xml:space="preserve"> </w:t>
        </w:r>
        <w:r>
          <w:rPr>
            <w:color w:val="0000FF"/>
            <w:sz w:val="20"/>
            <w:u w:val="single" w:color="0000FF"/>
          </w:rPr>
          <w:t>as</w:t>
        </w:r>
        <w:r>
          <w:rPr>
            <w:color w:val="0000FF"/>
            <w:spacing w:val="-4"/>
            <w:sz w:val="20"/>
            <w:u w:val="single" w:color="0000FF"/>
          </w:rPr>
          <w:t xml:space="preserve"> </w:t>
        </w:r>
        <w:r>
          <w:rPr>
            <w:color w:val="0000FF"/>
            <w:sz w:val="20"/>
            <w:u w:val="single" w:color="0000FF"/>
          </w:rPr>
          <w:t>trustee</w:t>
        </w:r>
        <w:r>
          <w:rPr>
            <w:color w:val="0000FF"/>
            <w:spacing w:val="-4"/>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4"/>
            <w:sz w:val="20"/>
            <w:u w:val="single" w:color="0000FF"/>
          </w:rPr>
          <w:t xml:space="preserve"> </w:t>
        </w:r>
        <w:r>
          <w:rPr>
            <w:color w:val="0000FF"/>
            <w:sz w:val="20"/>
            <w:u w:val="single" w:color="0000FF"/>
          </w:rPr>
          <w:t>99.1</w:t>
        </w:r>
        <w:r>
          <w:rPr>
            <w:color w:val="0000FF"/>
            <w:spacing w:val="-3"/>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Lockheed</w:t>
        </w:r>
        <w:r>
          <w:rPr>
            <w:color w:val="0000FF"/>
            <w:spacing w:val="-3"/>
            <w:sz w:val="20"/>
            <w:u w:val="single" w:color="0000FF"/>
          </w:rPr>
          <w:t xml:space="preserve"> </w:t>
        </w:r>
        <w:r>
          <w:rPr>
            <w:color w:val="0000FF"/>
            <w:sz w:val="20"/>
            <w:u w:val="single" w:color="0000FF"/>
          </w:rPr>
          <w:t>Martin's</w:t>
        </w:r>
        <w:r>
          <w:rPr>
            <w:color w:val="0000FF"/>
            <w:spacing w:val="-4"/>
            <w:sz w:val="20"/>
            <w:u w:val="single" w:color="0000FF"/>
          </w:rPr>
          <w:t xml:space="preserve"> </w:t>
        </w:r>
        <w:r>
          <w:rPr>
            <w:color w:val="0000FF"/>
            <w:sz w:val="20"/>
            <w:u w:val="single" w:color="0000FF"/>
          </w:rPr>
          <w:t>Current</w:t>
        </w:r>
        <w:r>
          <w:rPr>
            <w:color w:val="0000FF"/>
            <w:spacing w:val="-4"/>
            <w:sz w:val="20"/>
            <w:u w:val="single" w:color="0000FF"/>
          </w:rPr>
          <w:t xml:space="preserve"> </w:t>
        </w:r>
        <w:r>
          <w:rPr>
            <w:color w:val="0000FF"/>
            <w:sz w:val="20"/>
            <w:u w:val="single" w:color="0000FF"/>
          </w:rPr>
          <w:t>Report</w:t>
        </w:r>
        <w:r>
          <w:rPr>
            <w:color w:val="0000FF"/>
            <w:spacing w:val="-4"/>
            <w:sz w:val="20"/>
            <w:u w:val="single" w:color="0000FF"/>
          </w:rPr>
          <w:t xml:space="preserve"> </w:t>
        </w:r>
        <w:r>
          <w:rPr>
            <w:color w:val="0000FF"/>
            <w:sz w:val="20"/>
            <w:u w:val="single" w:color="0000FF"/>
          </w:rPr>
          <w:t>on</w:t>
        </w:r>
        <w:r>
          <w:rPr>
            <w:color w:val="0000FF"/>
            <w:spacing w:val="-3"/>
            <w:sz w:val="20"/>
            <w:u w:val="single" w:color="0000FF"/>
          </w:rPr>
          <w:t xml:space="preserve"> </w:t>
        </w:r>
        <w:r>
          <w:rPr>
            <w:color w:val="0000FF"/>
            <w:sz w:val="20"/>
            <w:u w:val="single" w:color="0000FF"/>
          </w:rPr>
          <w:t>Form</w:t>
        </w:r>
      </w:hyperlink>
      <w:r>
        <w:rPr>
          <w:color w:val="0000FF"/>
          <w:sz w:val="20"/>
        </w:rPr>
        <w:t xml:space="preserve"> </w:t>
      </w:r>
      <w:hyperlink r:id="rId45">
        <w:r>
          <w:rPr>
            <w:color w:val="0000FF"/>
            <w:sz w:val="20"/>
            <w:u w:val="single" w:color="0000FF"/>
          </w:rPr>
          <w:t>8-K filed with the SEC on September 7, 2012).</w:t>
        </w:r>
      </w:hyperlink>
    </w:p>
    <w:p w14:paraId="0E68B9F6" w14:textId="77777777" w:rsidR="00AE2255" w:rsidRDefault="00000000">
      <w:pPr>
        <w:pStyle w:val="BodyText"/>
        <w:spacing w:before="139"/>
        <w:ind w:left="1652"/>
      </w:pPr>
      <w:r>
        <w:t>See</w:t>
      </w:r>
      <w:r>
        <w:rPr>
          <w:spacing w:val="-3"/>
        </w:rPr>
        <w:t xml:space="preserve"> </w:t>
      </w:r>
      <w:r>
        <w:t>also</w:t>
      </w:r>
      <w:r>
        <w:rPr>
          <w:spacing w:val="-2"/>
        </w:rPr>
        <w:t xml:space="preserve"> </w:t>
      </w:r>
      <w:r>
        <w:t>Exhibits</w:t>
      </w:r>
      <w:r>
        <w:rPr>
          <w:spacing w:val="-3"/>
        </w:rPr>
        <w:t xml:space="preserve"> </w:t>
      </w:r>
      <w:r>
        <w:t>3.1</w:t>
      </w:r>
      <w:r>
        <w:rPr>
          <w:spacing w:val="-2"/>
        </w:rPr>
        <w:t xml:space="preserve"> </w:t>
      </w:r>
      <w:r>
        <w:t>and</w:t>
      </w:r>
      <w:r>
        <w:rPr>
          <w:spacing w:val="-2"/>
        </w:rPr>
        <w:t xml:space="preserve"> </w:t>
      </w:r>
      <w:r>
        <w:rPr>
          <w:spacing w:val="-4"/>
        </w:rPr>
        <w:t>3.2.</w:t>
      </w:r>
    </w:p>
    <w:p w14:paraId="62B2D3B4" w14:textId="77777777" w:rsidR="00AE2255" w:rsidRDefault="00000000">
      <w:pPr>
        <w:pStyle w:val="BodyText"/>
        <w:spacing w:before="170"/>
        <w:ind w:left="1652" w:right="703"/>
      </w:pPr>
      <w:r>
        <w:t>Pursuant</w:t>
      </w:r>
      <w:r>
        <w:rPr>
          <w:spacing w:val="-4"/>
        </w:rPr>
        <w:t xml:space="preserve"> </w:t>
      </w:r>
      <w:r>
        <w:t>to</w:t>
      </w:r>
      <w:r>
        <w:rPr>
          <w:spacing w:val="-3"/>
        </w:rPr>
        <w:t xml:space="preserve"> </w:t>
      </w:r>
      <w:r>
        <w:t>Item</w:t>
      </w:r>
      <w:r>
        <w:rPr>
          <w:spacing w:val="-4"/>
        </w:rPr>
        <w:t xml:space="preserve"> </w:t>
      </w:r>
      <w:r>
        <w:t>601(b)(4)(iii)</w:t>
      </w:r>
      <w:r>
        <w:rPr>
          <w:spacing w:val="-3"/>
        </w:rPr>
        <w:t xml:space="preserve"> </w:t>
      </w:r>
      <w:r>
        <w:t>of</w:t>
      </w:r>
      <w:r>
        <w:rPr>
          <w:spacing w:val="-3"/>
        </w:rPr>
        <w:t xml:space="preserve"> </w:t>
      </w:r>
      <w:r>
        <w:t>Regulation</w:t>
      </w:r>
      <w:r>
        <w:rPr>
          <w:spacing w:val="-3"/>
        </w:rPr>
        <w:t xml:space="preserve"> </w:t>
      </w:r>
      <w:r>
        <w:t>S-K,</w:t>
      </w:r>
      <w:r>
        <w:rPr>
          <w:spacing w:val="-3"/>
        </w:rPr>
        <w:t xml:space="preserve"> </w:t>
      </w:r>
      <w:r>
        <w:t>copies</w:t>
      </w:r>
      <w:r>
        <w:rPr>
          <w:spacing w:val="-4"/>
        </w:rPr>
        <w:t xml:space="preserve"> </w:t>
      </w:r>
      <w:r>
        <w:t>of</w:t>
      </w:r>
      <w:r>
        <w:rPr>
          <w:spacing w:val="-3"/>
        </w:rPr>
        <w:t xml:space="preserve"> </w:t>
      </w:r>
      <w:r>
        <w:t>instruments</w:t>
      </w:r>
      <w:r>
        <w:rPr>
          <w:spacing w:val="-4"/>
        </w:rPr>
        <w:t xml:space="preserve"> </w:t>
      </w:r>
      <w:r>
        <w:t>defining</w:t>
      </w:r>
      <w:r>
        <w:rPr>
          <w:spacing w:val="-3"/>
        </w:rPr>
        <w:t xml:space="preserve"> </w:t>
      </w:r>
      <w:r>
        <w:t>the</w:t>
      </w:r>
      <w:r>
        <w:rPr>
          <w:spacing w:val="-4"/>
        </w:rPr>
        <w:t xml:space="preserve"> </w:t>
      </w:r>
      <w:r>
        <w:t>rights</w:t>
      </w:r>
      <w:r>
        <w:rPr>
          <w:spacing w:val="-4"/>
        </w:rPr>
        <w:t xml:space="preserve"> </w:t>
      </w:r>
      <w:r>
        <w:t>of</w:t>
      </w:r>
      <w:r>
        <w:rPr>
          <w:spacing w:val="-3"/>
        </w:rPr>
        <w:t xml:space="preserve"> </w:t>
      </w:r>
      <w:r>
        <w:t>certain</w:t>
      </w:r>
      <w:r>
        <w:rPr>
          <w:spacing w:val="-3"/>
        </w:rPr>
        <w:t xml:space="preserve"> </w:t>
      </w:r>
      <w:r>
        <w:t>holders</w:t>
      </w:r>
      <w:r>
        <w:rPr>
          <w:spacing w:val="-4"/>
        </w:rPr>
        <w:t xml:space="preserve"> </w:t>
      </w:r>
      <w:r>
        <w:t>of long-term debt are not filed. The Corporation will furnish copies thereof to the SEC upon request.</w:t>
      </w:r>
    </w:p>
    <w:p w14:paraId="01708938" w14:textId="77777777" w:rsidR="00AE2255" w:rsidRDefault="00000000">
      <w:pPr>
        <w:pStyle w:val="ListParagraph"/>
        <w:numPr>
          <w:ilvl w:val="1"/>
          <w:numId w:val="9"/>
        </w:numPr>
        <w:tabs>
          <w:tab w:val="left" w:pos="1652"/>
          <w:tab w:val="left" w:pos="1653"/>
        </w:tabs>
        <w:spacing w:before="154" w:line="208" w:lineRule="auto"/>
        <w:ind w:right="511"/>
        <w:jc w:val="both"/>
        <w:rPr>
          <w:sz w:val="20"/>
        </w:rPr>
      </w:pPr>
      <w:hyperlink r:id="rId46">
        <w:r>
          <w:rPr>
            <w:color w:val="0000FF"/>
            <w:sz w:val="20"/>
            <w:u w:val="single" w:color="0000FF"/>
          </w:rPr>
          <w:t>Revolving Credit Agreement dated as of August 24, 2022, among Lockheed Martin Corporation, the le</w:t>
        </w:r>
      </w:hyperlink>
      <w:r>
        <w:rPr>
          <w:color w:val="0000FF"/>
          <w:sz w:val="20"/>
          <w:u w:val="single" w:color="0000FF"/>
        </w:rPr>
        <w:t>nders</w:t>
      </w:r>
      <w:r>
        <w:rPr>
          <w:color w:val="0000FF"/>
          <w:spacing w:val="40"/>
          <w:sz w:val="20"/>
        </w:rPr>
        <w:t xml:space="preserve"> </w:t>
      </w:r>
      <w:hyperlink r:id="rId47">
        <w:r>
          <w:rPr>
            <w:color w:val="0000FF"/>
            <w:sz w:val="20"/>
            <w:u w:val="single" w:color="0000FF"/>
          </w:rPr>
          <w:t>listed therein, and Bank of America, N.A., as administrative agent (incorporated by reference to Exhibit 10.1</w:t>
        </w:r>
      </w:hyperlink>
      <w:r>
        <w:rPr>
          <w:color w:val="0000FF"/>
          <w:sz w:val="20"/>
          <w:u w:val="single" w:color="0000FF"/>
        </w:rPr>
        <w:t xml:space="preserve"> to</w:t>
      </w:r>
      <w:r>
        <w:rPr>
          <w:color w:val="0000FF"/>
          <w:sz w:val="20"/>
        </w:rPr>
        <w:t xml:space="preserve"> </w:t>
      </w:r>
      <w:hyperlink r:id="rId48">
        <w:r>
          <w:rPr>
            <w:color w:val="0000FF"/>
            <w:sz w:val="20"/>
            <w:u w:val="single" w:color="0000FF"/>
          </w:rPr>
          <w:t>Lockheed Martin Corporation’s Current Report on Form 8-K filed with the SEC on August 24, 2022).</w:t>
        </w:r>
      </w:hyperlink>
    </w:p>
    <w:p w14:paraId="554CE13D" w14:textId="77777777" w:rsidR="00AE2255" w:rsidRDefault="00000000">
      <w:pPr>
        <w:pStyle w:val="ListParagraph"/>
        <w:numPr>
          <w:ilvl w:val="1"/>
          <w:numId w:val="9"/>
        </w:numPr>
        <w:tabs>
          <w:tab w:val="left" w:pos="1652"/>
          <w:tab w:val="left" w:pos="1653"/>
        </w:tabs>
        <w:spacing w:before="160" w:line="208" w:lineRule="auto"/>
        <w:ind w:right="512"/>
        <w:rPr>
          <w:sz w:val="20"/>
        </w:rPr>
      </w:pPr>
      <w:hyperlink r:id="rId49">
        <w:r>
          <w:rPr>
            <w:color w:val="0000FF"/>
            <w:sz w:val="20"/>
            <w:u w:val="single" w:color="0000FF"/>
          </w:rPr>
          <w:t>Non-Employee Director Compensation Summary (incorporated by reference to Exhibit 10.3 to Lockheed Marti</w:t>
        </w:r>
      </w:hyperlink>
      <w:r>
        <w:rPr>
          <w:color w:val="0000FF"/>
          <w:sz w:val="20"/>
          <w:u w:val="single" w:color="0000FF"/>
        </w:rPr>
        <w:t>n</w:t>
      </w:r>
      <w:r>
        <w:rPr>
          <w:color w:val="0000FF"/>
          <w:sz w:val="20"/>
        </w:rPr>
        <w:t xml:space="preserve"> </w:t>
      </w:r>
      <w:hyperlink r:id="rId50">
        <w:r>
          <w:rPr>
            <w:color w:val="0000FF"/>
            <w:sz w:val="20"/>
            <w:u w:val="single" w:color="0000FF"/>
          </w:rPr>
          <w:t>Corporation’s Quarterly Report on Form 10-Q for the quarter ended September 25, 2022).</w:t>
        </w:r>
      </w:hyperlink>
    </w:p>
    <w:p w14:paraId="0169CE56" w14:textId="77777777" w:rsidR="00AE2255" w:rsidRDefault="00000000">
      <w:pPr>
        <w:pStyle w:val="ListParagraph"/>
        <w:numPr>
          <w:ilvl w:val="1"/>
          <w:numId w:val="9"/>
        </w:numPr>
        <w:tabs>
          <w:tab w:val="left" w:pos="1652"/>
          <w:tab w:val="left" w:pos="1653"/>
        </w:tabs>
        <w:spacing w:before="160" w:line="208" w:lineRule="auto"/>
        <w:ind w:right="513"/>
        <w:jc w:val="both"/>
        <w:rPr>
          <w:sz w:val="20"/>
        </w:rPr>
      </w:pPr>
      <w:hyperlink r:id="rId51">
        <w:r>
          <w:rPr>
            <w:color w:val="0000FF"/>
            <w:sz w:val="20"/>
            <w:u w:val="single" w:color="0000FF"/>
          </w:rPr>
          <w:t>Lockheed Martin Corporation Directors Deferred Compensation Plan, as amended (incorporated by reference t</w:t>
        </w:r>
      </w:hyperlink>
      <w:r>
        <w:rPr>
          <w:color w:val="0000FF"/>
          <w:sz w:val="20"/>
          <w:u w:val="single" w:color="0000FF"/>
        </w:rPr>
        <w:t>o</w:t>
      </w:r>
      <w:r>
        <w:rPr>
          <w:color w:val="0000FF"/>
          <w:sz w:val="20"/>
        </w:rPr>
        <w:t xml:space="preserve"> </w:t>
      </w:r>
      <w:hyperlink r:id="rId52">
        <w:r>
          <w:rPr>
            <w:color w:val="0000FF"/>
            <w:sz w:val="20"/>
            <w:u w:val="single" w:color="0000FF"/>
          </w:rPr>
          <w:t>Exhibit</w:t>
        </w:r>
        <w:r>
          <w:rPr>
            <w:color w:val="0000FF"/>
            <w:spacing w:val="40"/>
            <w:sz w:val="20"/>
            <w:u w:val="single" w:color="0000FF"/>
          </w:rPr>
          <w:t xml:space="preserve"> </w:t>
        </w:r>
        <w:r>
          <w:rPr>
            <w:color w:val="0000FF"/>
            <w:sz w:val="20"/>
            <w:u w:val="single" w:color="0000FF"/>
          </w:rPr>
          <w:t>10.2</w:t>
        </w:r>
        <w:r>
          <w:rPr>
            <w:color w:val="0000FF"/>
            <w:spacing w:val="40"/>
            <w:sz w:val="20"/>
            <w:u w:val="single" w:color="0000FF"/>
          </w:rPr>
          <w:t xml:space="preserve"> </w:t>
        </w:r>
        <w:r>
          <w:rPr>
            <w:color w:val="0000FF"/>
            <w:sz w:val="20"/>
            <w:u w:val="single" w:color="0000FF"/>
          </w:rPr>
          <w:t>to</w:t>
        </w:r>
        <w:r>
          <w:rPr>
            <w:color w:val="0000FF"/>
            <w:spacing w:val="40"/>
            <w:sz w:val="20"/>
            <w:u w:val="single" w:color="0000FF"/>
          </w:rPr>
          <w:t xml:space="preserve"> </w:t>
        </w:r>
        <w:r>
          <w:rPr>
            <w:color w:val="0000FF"/>
            <w:sz w:val="20"/>
            <w:u w:val="single" w:color="0000FF"/>
          </w:rPr>
          <w:t>Lockheed</w:t>
        </w:r>
        <w:r>
          <w:rPr>
            <w:color w:val="0000FF"/>
            <w:spacing w:val="40"/>
            <w:sz w:val="20"/>
            <w:u w:val="single" w:color="0000FF"/>
          </w:rPr>
          <w:t xml:space="preserve"> </w:t>
        </w:r>
        <w:r>
          <w:rPr>
            <w:color w:val="0000FF"/>
            <w:sz w:val="20"/>
            <w:u w:val="single" w:color="0000FF"/>
          </w:rPr>
          <w:t>Martin</w:t>
        </w:r>
        <w:r>
          <w:rPr>
            <w:color w:val="0000FF"/>
            <w:spacing w:val="40"/>
            <w:sz w:val="20"/>
            <w:u w:val="single" w:color="0000FF"/>
          </w:rPr>
          <w:t xml:space="preserve"> </w:t>
        </w:r>
        <w:r>
          <w:rPr>
            <w:color w:val="0000FF"/>
            <w:sz w:val="20"/>
            <w:u w:val="single" w:color="0000FF"/>
          </w:rPr>
          <w:t>Corporation’s</w:t>
        </w:r>
        <w:r>
          <w:rPr>
            <w:color w:val="0000FF"/>
            <w:spacing w:val="40"/>
            <w:sz w:val="20"/>
            <w:u w:val="single" w:color="0000FF"/>
          </w:rPr>
          <w:t xml:space="preserve"> </w:t>
        </w:r>
        <w:r>
          <w:rPr>
            <w:color w:val="0000FF"/>
            <w:sz w:val="20"/>
            <w:u w:val="single" w:color="0000FF"/>
          </w:rPr>
          <w:t>Annual</w:t>
        </w:r>
        <w:r>
          <w:rPr>
            <w:color w:val="0000FF"/>
            <w:spacing w:val="40"/>
            <w:sz w:val="20"/>
            <w:u w:val="single" w:color="0000FF"/>
          </w:rPr>
          <w:t xml:space="preserve"> </w:t>
        </w:r>
        <w:r>
          <w:rPr>
            <w:color w:val="0000FF"/>
            <w:sz w:val="20"/>
            <w:u w:val="single" w:color="0000FF"/>
          </w:rPr>
          <w:t>Report</w:t>
        </w:r>
        <w:r>
          <w:rPr>
            <w:color w:val="0000FF"/>
            <w:spacing w:val="40"/>
            <w:sz w:val="20"/>
            <w:u w:val="single" w:color="0000FF"/>
          </w:rPr>
          <w:t xml:space="preserve"> </w:t>
        </w:r>
        <w:r>
          <w:rPr>
            <w:color w:val="0000FF"/>
            <w:sz w:val="20"/>
            <w:u w:val="single" w:color="0000FF"/>
          </w:rPr>
          <w:t>on</w:t>
        </w:r>
        <w:r>
          <w:rPr>
            <w:color w:val="0000FF"/>
            <w:spacing w:val="40"/>
            <w:sz w:val="20"/>
            <w:u w:val="single" w:color="0000FF"/>
          </w:rPr>
          <w:t xml:space="preserve"> </w:t>
        </w:r>
        <w:r>
          <w:rPr>
            <w:color w:val="0000FF"/>
            <w:sz w:val="20"/>
            <w:u w:val="single" w:color="0000FF"/>
          </w:rPr>
          <w:t>Form</w:t>
        </w:r>
        <w:r>
          <w:rPr>
            <w:color w:val="0000FF"/>
            <w:spacing w:val="40"/>
            <w:sz w:val="20"/>
            <w:u w:val="single" w:color="0000FF"/>
          </w:rPr>
          <w:t xml:space="preserve"> </w:t>
        </w:r>
        <w:r>
          <w:rPr>
            <w:color w:val="0000FF"/>
            <w:sz w:val="20"/>
            <w:u w:val="single" w:color="0000FF"/>
          </w:rPr>
          <w:t>10-K</w:t>
        </w:r>
        <w:r>
          <w:rPr>
            <w:color w:val="0000FF"/>
            <w:spacing w:val="40"/>
            <w:sz w:val="20"/>
            <w:u w:val="single" w:color="0000FF"/>
          </w:rPr>
          <w:t xml:space="preserve"> </w:t>
        </w:r>
        <w:r>
          <w:rPr>
            <w:color w:val="0000FF"/>
            <w:sz w:val="20"/>
            <w:u w:val="single" w:color="0000FF"/>
          </w:rPr>
          <w:t>for</w:t>
        </w:r>
      </w:hyperlink>
      <w:r>
        <w:rPr>
          <w:color w:val="0000FF"/>
          <w:spacing w:val="98"/>
          <w:sz w:val="20"/>
          <w:u w:val="single" w:color="0000FF"/>
        </w:rPr>
        <w:t xml:space="preserve"> </w:t>
      </w:r>
      <w:r>
        <w:rPr>
          <w:color w:val="0000FF"/>
          <w:sz w:val="20"/>
          <w:u w:val="single" w:color="0000FF"/>
        </w:rPr>
        <w:t>the</w:t>
      </w:r>
      <w:r>
        <w:rPr>
          <w:color w:val="0000FF"/>
          <w:spacing w:val="40"/>
          <w:sz w:val="20"/>
          <w:u w:val="single" w:color="0000FF"/>
        </w:rPr>
        <w:t xml:space="preserve"> </w:t>
      </w:r>
      <w:r>
        <w:rPr>
          <w:color w:val="0000FF"/>
          <w:sz w:val="20"/>
          <w:u w:val="single" w:color="0000FF"/>
        </w:rPr>
        <w:t>year</w:t>
      </w:r>
      <w:r>
        <w:rPr>
          <w:color w:val="0000FF"/>
          <w:spacing w:val="40"/>
          <w:sz w:val="20"/>
          <w:u w:val="single" w:color="0000FF"/>
        </w:rPr>
        <w:t xml:space="preserve"> </w:t>
      </w:r>
      <w:r>
        <w:rPr>
          <w:color w:val="0000FF"/>
          <w:sz w:val="20"/>
          <w:u w:val="single" w:color="0000FF"/>
        </w:rPr>
        <w:t>ended</w:t>
      </w:r>
      <w:r>
        <w:rPr>
          <w:color w:val="0000FF"/>
          <w:sz w:val="20"/>
        </w:rPr>
        <w:t xml:space="preserve"> </w:t>
      </w:r>
      <w:hyperlink r:id="rId53">
        <w:r>
          <w:rPr>
            <w:color w:val="0000FF"/>
            <w:sz w:val="20"/>
            <w:u w:val="single" w:color="0000FF"/>
          </w:rPr>
          <w:t>December 31, 2008).</w:t>
        </w:r>
      </w:hyperlink>
    </w:p>
    <w:p w14:paraId="531D6AC5" w14:textId="77777777" w:rsidR="00AE2255" w:rsidRDefault="00000000">
      <w:pPr>
        <w:pStyle w:val="ListParagraph"/>
        <w:numPr>
          <w:ilvl w:val="1"/>
          <w:numId w:val="9"/>
        </w:numPr>
        <w:tabs>
          <w:tab w:val="left" w:pos="1652"/>
          <w:tab w:val="left" w:pos="1653"/>
        </w:tabs>
        <w:spacing w:before="160" w:line="208" w:lineRule="auto"/>
        <w:ind w:right="511"/>
        <w:rPr>
          <w:sz w:val="20"/>
        </w:rPr>
      </w:pPr>
      <w:hyperlink r:id="rId54">
        <w:r>
          <w:rPr>
            <w:color w:val="0000FF"/>
            <w:sz w:val="20"/>
            <w:u w:val="single" w:color="0000FF"/>
          </w:rPr>
          <w:t>Lockheed Martin Corporation Directors Equity Plan, as amended (incorporated by reference to Exhibit 10.</w:t>
        </w:r>
      </w:hyperlink>
      <w:r>
        <w:rPr>
          <w:color w:val="0000FF"/>
          <w:sz w:val="20"/>
          <w:u w:val="single" w:color="0000FF"/>
        </w:rPr>
        <w:t>1 to</w:t>
      </w:r>
      <w:r>
        <w:rPr>
          <w:color w:val="0000FF"/>
          <w:spacing w:val="80"/>
          <w:sz w:val="20"/>
        </w:rPr>
        <w:t xml:space="preserve"> </w:t>
      </w:r>
      <w:hyperlink r:id="rId55">
        <w:r>
          <w:rPr>
            <w:color w:val="0000FF"/>
            <w:sz w:val="20"/>
            <w:u w:val="single" w:color="0000FF"/>
          </w:rPr>
          <w:t>Lockheed Martin Corporation’s Current Report on Form 8-K filed with the SEC on November 2, 2006).</w:t>
        </w:r>
      </w:hyperlink>
    </w:p>
    <w:p w14:paraId="2A95E3E2" w14:textId="77777777" w:rsidR="00AE2255" w:rsidRDefault="00000000">
      <w:pPr>
        <w:pStyle w:val="ListParagraph"/>
        <w:numPr>
          <w:ilvl w:val="1"/>
          <w:numId w:val="9"/>
        </w:numPr>
        <w:tabs>
          <w:tab w:val="left" w:pos="1652"/>
          <w:tab w:val="left" w:pos="1653"/>
        </w:tabs>
        <w:spacing w:before="160" w:line="208" w:lineRule="auto"/>
        <w:ind w:right="511"/>
        <w:rPr>
          <w:sz w:val="20"/>
        </w:rPr>
      </w:pPr>
      <w:hyperlink r:id="rId56">
        <w:r>
          <w:rPr>
            <w:color w:val="0000FF"/>
            <w:sz w:val="20"/>
            <w:u w:val="single" w:color="0000FF"/>
          </w:rPr>
          <w:t>Lockheed</w:t>
        </w:r>
        <w:r>
          <w:rPr>
            <w:color w:val="0000FF"/>
            <w:spacing w:val="-1"/>
            <w:sz w:val="20"/>
            <w:u w:val="single" w:color="0000FF"/>
          </w:rPr>
          <w:t xml:space="preserve"> </w:t>
        </w:r>
        <w:r>
          <w:rPr>
            <w:color w:val="0000FF"/>
            <w:sz w:val="20"/>
            <w:u w:val="single" w:color="0000FF"/>
          </w:rPr>
          <w:t>Martin</w:t>
        </w:r>
        <w:r>
          <w:rPr>
            <w:color w:val="0000FF"/>
            <w:spacing w:val="-1"/>
            <w:sz w:val="20"/>
            <w:u w:val="single" w:color="0000FF"/>
          </w:rPr>
          <w:t xml:space="preserve"> </w:t>
        </w:r>
        <w:r>
          <w:rPr>
            <w:color w:val="0000FF"/>
            <w:sz w:val="20"/>
            <w:u w:val="single" w:color="0000FF"/>
          </w:rPr>
          <w:t>Corporation</w:t>
        </w:r>
        <w:r>
          <w:rPr>
            <w:color w:val="0000FF"/>
            <w:spacing w:val="-1"/>
            <w:sz w:val="20"/>
            <w:u w:val="single" w:color="0000FF"/>
          </w:rPr>
          <w:t xml:space="preserve"> </w:t>
        </w:r>
        <w:r>
          <w:rPr>
            <w:color w:val="0000FF"/>
            <w:sz w:val="20"/>
            <w:u w:val="single" w:color="0000FF"/>
          </w:rPr>
          <w:t>Amended</w:t>
        </w:r>
        <w:r>
          <w:rPr>
            <w:color w:val="0000FF"/>
            <w:spacing w:val="-1"/>
            <w:sz w:val="20"/>
            <w:u w:val="single" w:color="0000FF"/>
          </w:rPr>
          <w:t xml:space="preserve"> </w:t>
        </w:r>
        <w:r>
          <w:rPr>
            <w:color w:val="0000FF"/>
            <w:sz w:val="20"/>
            <w:u w:val="single" w:color="0000FF"/>
          </w:rPr>
          <w:t>and</w:t>
        </w:r>
        <w:r>
          <w:rPr>
            <w:color w:val="0000FF"/>
            <w:spacing w:val="-1"/>
            <w:sz w:val="20"/>
            <w:u w:val="single" w:color="0000FF"/>
          </w:rPr>
          <w:t xml:space="preserve"> </w:t>
        </w:r>
        <w:r>
          <w:rPr>
            <w:color w:val="0000FF"/>
            <w:sz w:val="20"/>
            <w:u w:val="single" w:color="0000FF"/>
          </w:rPr>
          <w:t>Restated</w:t>
        </w:r>
        <w:r>
          <w:rPr>
            <w:color w:val="0000FF"/>
            <w:spacing w:val="-1"/>
            <w:sz w:val="20"/>
            <w:u w:val="single" w:color="0000FF"/>
          </w:rPr>
          <w:t xml:space="preserve"> </w:t>
        </w:r>
        <w:r>
          <w:rPr>
            <w:color w:val="0000FF"/>
            <w:sz w:val="20"/>
            <w:u w:val="single" w:color="0000FF"/>
          </w:rPr>
          <w:t>Directors</w:t>
        </w:r>
        <w:r>
          <w:rPr>
            <w:color w:val="0000FF"/>
            <w:spacing w:val="-2"/>
            <w:sz w:val="20"/>
            <w:u w:val="single" w:color="0000FF"/>
          </w:rPr>
          <w:t xml:space="preserve"> </w:t>
        </w:r>
        <w:r>
          <w:rPr>
            <w:color w:val="0000FF"/>
            <w:sz w:val="20"/>
            <w:u w:val="single" w:color="0000FF"/>
          </w:rPr>
          <w:t>Equity</w:t>
        </w:r>
        <w:r>
          <w:rPr>
            <w:color w:val="0000FF"/>
            <w:spacing w:val="-1"/>
            <w:sz w:val="20"/>
            <w:u w:val="single" w:color="0000FF"/>
          </w:rPr>
          <w:t xml:space="preserve"> </w:t>
        </w:r>
        <w:r>
          <w:rPr>
            <w:color w:val="0000FF"/>
            <w:sz w:val="20"/>
            <w:u w:val="single" w:color="0000FF"/>
          </w:rPr>
          <w:t>Plan</w:t>
        </w:r>
        <w:r>
          <w:rPr>
            <w:color w:val="0000FF"/>
            <w:spacing w:val="-1"/>
            <w:sz w:val="20"/>
            <w:u w:val="single" w:color="0000FF"/>
          </w:rPr>
          <w:t xml:space="preserve"> </w:t>
        </w:r>
        <w:r>
          <w:rPr>
            <w:color w:val="0000FF"/>
            <w:sz w:val="20"/>
            <w:u w:val="single" w:color="0000FF"/>
          </w:rPr>
          <w:t>(incorporated</w:t>
        </w:r>
        <w:r>
          <w:rPr>
            <w:color w:val="0000FF"/>
            <w:spacing w:val="-1"/>
            <w:sz w:val="20"/>
            <w:u w:val="single" w:color="0000FF"/>
          </w:rPr>
          <w:t xml:space="preserve"> </w:t>
        </w:r>
        <w:r>
          <w:rPr>
            <w:color w:val="0000FF"/>
            <w:sz w:val="20"/>
            <w:u w:val="single" w:color="0000FF"/>
          </w:rPr>
          <w:t>by</w:t>
        </w:r>
        <w:r>
          <w:rPr>
            <w:color w:val="0000FF"/>
            <w:spacing w:val="-1"/>
            <w:sz w:val="20"/>
            <w:u w:val="single" w:color="0000FF"/>
          </w:rPr>
          <w:t xml:space="preserve"> </w:t>
        </w:r>
        <w:r>
          <w:rPr>
            <w:color w:val="0000FF"/>
            <w:sz w:val="20"/>
            <w:u w:val="single" w:color="0000FF"/>
          </w:rPr>
          <w:t>reference</w:t>
        </w:r>
        <w:r>
          <w:rPr>
            <w:color w:val="0000FF"/>
            <w:spacing w:val="-2"/>
            <w:sz w:val="20"/>
            <w:u w:val="single" w:color="0000FF"/>
          </w:rPr>
          <w:t xml:space="preserve"> </w:t>
        </w:r>
        <w:r>
          <w:rPr>
            <w:color w:val="0000FF"/>
            <w:sz w:val="20"/>
            <w:u w:val="single" w:color="0000FF"/>
          </w:rPr>
          <w:t>to</w:t>
        </w:r>
        <w:r>
          <w:rPr>
            <w:color w:val="0000FF"/>
            <w:spacing w:val="-1"/>
            <w:sz w:val="20"/>
            <w:u w:val="single" w:color="0000FF"/>
          </w:rPr>
          <w:t xml:space="preserve"> </w:t>
        </w:r>
        <w:r>
          <w:rPr>
            <w:color w:val="0000FF"/>
            <w:sz w:val="20"/>
            <w:u w:val="single" w:color="0000FF"/>
          </w:rPr>
          <w:t>Exhibit</w:t>
        </w:r>
      </w:hyperlink>
      <w:r>
        <w:rPr>
          <w:color w:val="0000FF"/>
          <w:sz w:val="20"/>
        </w:rPr>
        <w:t xml:space="preserve"> </w:t>
      </w:r>
      <w:hyperlink r:id="rId57">
        <w:r>
          <w:rPr>
            <w:color w:val="0000FF"/>
            <w:sz w:val="20"/>
            <w:u w:val="single" w:color="0000FF"/>
          </w:rPr>
          <w:t>10.1 to Lockheed Martin Corporation’s Current Report on Form 8-K filed with the SEC on April 26, 2018).</w:t>
        </w:r>
      </w:hyperlink>
    </w:p>
    <w:p w14:paraId="53540BA6" w14:textId="77777777" w:rsidR="00AE2255" w:rsidRDefault="00000000">
      <w:pPr>
        <w:pStyle w:val="ListParagraph"/>
        <w:numPr>
          <w:ilvl w:val="1"/>
          <w:numId w:val="9"/>
        </w:numPr>
        <w:tabs>
          <w:tab w:val="left" w:pos="1652"/>
          <w:tab w:val="left" w:pos="1653"/>
        </w:tabs>
        <w:spacing w:before="159" w:line="208" w:lineRule="auto"/>
        <w:ind w:right="511"/>
        <w:rPr>
          <w:sz w:val="20"/>
        </w:rPr>
      </w:pPr>
      <w:hyperlink r:id="rId58">
        <w:r>
          <w:rPr>
            <w:color w:val="0000FF"/>
            <w:sz w:val="20"/>
            <w:u w:val="single" w:color="0000FF"/>
          </w:rPr>
          <w:t>Form</w:t>
        </w:r>
        <w:r>
          <w:rPr>
            <w:color w:val="0000FF"/>
            <w:spacing w:val="80"/>
            <w:sz w:val="20"/>
            <w:u w:val="single" w:color="0000FF"/>
          </w:rPr>
          <w:t xml:space="preserve"> </w:t>
        </w:r>
        <w:r>
          <w:rPr>
            <w:color w:val="0000FF"/>
            <w:sz w:val="20"/>
            <w:u w:val="single" w:color="0000FF"/>
          </w:rPr>
          <w:t>of</w:t>
        </w:r>
        <w:r>
          <w:rPr>
            <w:color w:val="0000FF"/>
            <w:spacing w:val="80"/>
            <w:sz w:val="20"/>
            <w:u w:val="single" w:color="0000FF"/>
          </w:rPr>
          <w:t xml:space="preserve"> </w:t>
        </w:r>
        <w:r>
          <w:rPr>
            <w:color w:val="0000FF"/>
            <w:sz w:val="20"/>
            <w:u w:val="single" w:color="0000FF"/>
          </w:rPr>
          <w:t>Indemnification</w:t>
        </w:r>
        <w:r>
          <w:rPr>
            <w:color w:val="0000FF"/>
            <w:spacing w:val="80"/>
            <w:sz w:val="20"/>
            <w:u w:val="single" w:color="0000FF"/>
          </w:rPr>
          <w:t xml:space="preserve"> </w:t>
        </w:r>
        <w:r>
          <w:rPr>
            <w:color w:val="0000FF"/>
            <w:sz w:val="20"/>
            <w:u w:val="single" w:color="0000FF"/>
          </w:rPr>
          <w:t>Agreement</w:t>
        </w:r>
        <w:r>
          <w:rPr>
            <w:color w:val="0000FF"/>
            <w:spacing w:val="80"/>
            <w:sz w:val="20"/>
            <w:u w:val="single" w:color="0000FF"/>
          </w:rPr>
          <w:t xml:space="preserve"> </w:t>
        </w:r>
        <w:r>
          <w:rPr>
            <w:color w:val="0000FF"/>
            <w:sz w:val="20"/>
            <w:u w:val="single" w:color="0000FF"/>
          </w:rPr>
          <w:t>(incorporated</w:t>
        </w:r>
        <w:r>
          <w:rPr>
            <w:color w:val="0000FF"/>
            <w:spacing w:val="80"/>
            <w:sz w:val="20"/>
            <w:u w:val="single" w:color="0000FF"/>
          </w:rPr>
          <w:t xml:space="preserve"> </w:t>
        </w:r>
        <w:r>
          <w:rPr>
            <w:color w:val="0000FF"/>
            <w:sz w:val="20"/>
            <w:u w:val="single" w:color="0000FF"/>
          </w:rPr>
          <w:t>by</w:t>
        </w:r>
        <w:r>
          <w:rPr>
            <w:color w:val="0000FF"/>
            <w:spacing w:val="80"/>
            <w:sz w:val="20"/>
            <w:u w:val="single" w:color="0000FF"/>
          </w:rPr>
          <w:t xml:space="preserve"> </w:t>
        </w:r>
        <w:r>
          <w:rPr>
            <w:color w:val="0000FF"/>
            <w:sz w:val="20"/>
            <w:u w:val="single" w:color="0000FF"/>
          </w:rPr>
          <w:t>reference</w:t>
        </w:r>
        <w:r>
          <w:rPr>
            <w:color w:val="0000FF"/>
            <w:spacing w:val="80"/>
            <w:sz w:val="20"/>
            <w:u w:val="single" w:color="0000FF"/>
          </w:rPr>
          <w:t xml:space="preserve"> </w:t>
        </w:r>
        <w:r>
          <w:rPr>
            <w:color w:val="0000FF"/>
            <w:sz w:val="20"/>
            <w:u w:val="single" w:color="0000FF"/>
          </w:rPr>
          <w:t>to</w:t>
        </w:r>
        <w:r>
          <w:rPr>
            <w:color w:val="0000FF"/>
            <w:spacing w:val="80"/>
            <w:sz w:val="20"/>
            <w:u w:val="single" w:color="0000FF"/>
          </w:rPr>
          <w:t xml:space="preserve"> </w:t>
        </w:r>
        <w:r>
          <w:rPr>
            <w:color w:val="0000FF"/>
            <w:sz w:val="20"/>
            <w:u w:val="single" w:color="0000FF"/>
          </w:rPr>
          <w:t>Exhibit</w:t>
        </w:r>
        <w:r>
          <w:rPr>
            <w:color w:val="0000FF"/>
            <w:spacing w:val="80"/>
            <w:sz w:val="20"/>
            <w:u w:val="single" w:color="0000FF"/>
          </w:rPr>
          <w:t xml:space="preserve"> </w:t>
        </w:r>
        <w:r>
          <w:rPr>
            <w:color w:val="0000FF"/>
            <w:sz w:val="20"/>
            <w:u w:val="single" w:color="0000FF"/>
          </w:rPr>
          <w:t>10.34</w:t>
        </w:r>
        <w:r>
          <w:rPr>
            <w:color w:val="0000FF"/>
            <w:spacing w:val="80"/>
            <w:sz w:val="20"/>
            <w:u w:val="single" w:color="0000FF"/>
          </w:rPr>
          <w:t xml:space="preserve"> </w:t>
        </w:r>
        <w:r>
          <w:rPr>
            <w:color w:val="0000FF"/>
            <w:sz w:val="20"/>
            <w:u w:val="single" w:color="0000FF"/>
          </w:rPr>
          <w:t>to</w:t>
        </w:r>
        <w:r>
          <w:rPr>
            <w:color w:val="0000FF"/>
            <w:spacing w:val="80"/>
            <w:sz w:val="20"/>
            <w:u w:val="single" w:color="0000FF"/>
          </w:rPr>
          <w:t xml:space="preserve"> </w:t>
        </w:r>
        <w:r>
          <w:rPr>
            <w:color w:val="0000FF"/>
            <w:sz w:val="20"/>
            <w:u w:val="single" w:color="0000FF"/>
          </w:rPr>
          <w:t>Lock</w:t>
        </w:r>
      </w:hyperlink>
      <w:r>
        <w:rPr>
          <w:color w:val="0000FF"/>
          <w:sz w:val="20"/>
          <w:u w:val="single" w:color="0000FF"/>
        </w:rPr>
        <w:t>heed</w:t>
      </w:r>
      <w:r>
        <w:rPr>
          <w:color w:val="0000FF"/>
          <w:spacing w:val="80"/>
          <w:sz w:val="20"/>
          <w:u w:val="single" w:color="0000FF"/>
        </w:rPr>
        <w:t xml:space="preserve"> </w:t>
      </w:r>
      <w:r>
        <w:rPr>
          <w:color w:val="0000FF"/>
          <w:sz w:val="20"/>
          <w:u w:val="single" w:color="0000FF"/>
        </w:rPr>
        <w:t>Martin</w:t>
      </w:r>
      <w:r>
        <w:rPr>
          <w:color w:val="0000FF"/>
          <w:sz w:val="20"/>
        </w:rPr>
        <w:t xml:space="preserve"> </w:t>
      </w:r>
      <w:hyperlink r:id="rId59">
        <w:r>
          <w:rPr>
            <w:color w:val="0000FF"/>
            <w:sz w:val="20"/>
            <w:u w:val="single" w:color="0000FF"/>
          </w:rPr>
          <w:t>Corporation’s Annual Report on Form 10-K for the year ended December 31, 2009).</w:t>
        </w:r>
      </w:hyperlink>
    </w:p>
    <w:p w14:paraId="5A4FC222" w14:textId="77777777" w:rsidR="00AE2255" w:rsidRDefault="00000000">
      <w:pPr>
        <w:pStyle w:val="ListParagraph"/>
        <w:numPr>
          <w:ilvl w:val="1"/>
          <w:numId w:val="9"/>
        </w:numPr>
        <w:tabs>
          <w:tab w:val="left" w:pos="1652"/>
          <w:tab w:val="left" w:pos="1653"/>
        </w:tabs>
        <w:spacing w:before="160" w:line="208" w:lineRule="auto"/>
        <w:ind w:right="511"/>
        <w:jc w:val="both"/>
        <w:rPr>
          <w:sz w:val="20"/>
        </w:rPr>
      </w:pPr>
      <w:hyperlink r:id="rId60">
        <w:r>
          <w:rPr>
            <w:color w:val="0000FF"/>
            <w:sz w:val="20"/>
            <w:u w:val="single" w:color="0000FF"/>
          </w:rPr>
          <w:t>Lockheed Martin Corporation Supplemental Savings Plan, as amended and restated effective January 1, 2</w:t>
        </w:r>
      </w:hyperlink>
      <w:r>
        <w:rPr>
          <w:color w:val="0000FF"/>
          <w:sz w:val="20"/>
          <w:u w:val="single" w:color="0000FF"/>
        </w:rPr>
        <w:t>015</w:t>
      </w:r>
      <w:r>
        <w:rPr>
          <w:color w:val="0000FF"/>
          <w:sz w:val="20"/>
        </w:rPr>
        <w:t xml:space="preserve"> </w:t>
      </w:r>
      <w:hyperlink r:id="rId61">
        <w:r>
          <w:rPr>
            <w:color w:val="0000FF"/>
            <w:sz w:val="20"/>
            <w:u w:val="single" w:color="0000FF"/>
          </w:rPr>
          <w:t>(incorporated by reference to Exhibit 10.4 to Lockheed Martin Corporation’s Quarterly Report on Form 10-Q fo</w:t>
        </w:r>
      </w:hyperlink>
      <w:r>
        <w:rPr>
          <w:color w:val="0000FF"/>
          <w:sz w:val="20"/>
          <w:u w:val="single" w:color="0000FF"/>
        </w:rPr>
        <w:t>r</w:t>
      </w:r>
      <w:r>
        <w:rPr>
          <w:color w:val="0000FF"/>
          <w:sz w:val="20"/>
        </w:rPr>
        <w:t xml:space="preserve"> </w:t>
      </w:r>
      <w:hyperlink r:id="rId62">
        <w:r>
          <w:rPr>
            <w:color w:val="0000FF"/>
            <w:sz w:val="20"/>
            <w:u w:val="single" w:color="0000FF"/>
          </w:rPr>
          <w:t>the quarter ended March 29, 2015)</w:t>
        </w:r>
      </w:hyperlink>
      <w:r>
        <w:rPr>
          <w:sz w:val="20"/>
        </w:rPr>
        <w:t>.</w:t>
      </w:r>
    </w:p>
    <w:p w14:paraId="40D78298" w14:textId="77777777" w:rsidR="00AE2255" w:rsidRDefault="00000000">
      <w:pPr>
        <w:pStyle w:val="ListParagraph"/>
        <w:numPr>
          <w:ilvl w:val="1"/>
          <w:numId w:val="9"/>
        </w:numPr>
        <w:tabs>
          <w:tab w:val="left" w:pos="1652"/>
          <w:tab w:val="left" w:pos="1653"/>
        </w:tabs>
        <w:spacing w:before="160" w:line="208" w:lineRule="auto"/>
        <w:ind w:right="510"/>
        <w:jc w:val="both"/>
        <w:rPr>
          <w:sz w:val="20"/>
        </w:rPr>
      </w:pPr>
      <w:hyperlink r:id="rId63">
        <w:r>
          <w:rPr>
            <w:color w:val="0000FF"/>
            <w:sz w:val="20"/>
            <w:u w:val="single" w:color="0000FF"/>
          </w:rPr>
          <w:t>Amendment to Lockheed Martin Corporation Supplemental Savings Plan and Lockheed Martin Corpor</w:t>
        </w:r>
      </w:hyperlink>
      <w:r>
        <w:rPr>
          <w:color w:val="0000FF"/>
          <w:sz w:val="20"/>
          <w:u w:val="single" w:color="0000FF"/>
        </w:rPr>
        <w:t>ation</w:t>
      </w:r>
      <w:r>
        <w:rPr>
          <w:color w:val="0000FF"/>
          <w:sz w:val="20"/>
        </w:rPr>
        <w:t xml:space="preserve"> </w:t>
      </w:r>
      <w:hyperlink r:id="rId64">
        <w:r>
          <w:rPr>
            <w:color w:val="0000FF"/>
            <w:sz w:val="20"/>
            <w:u w:val="single" w:color="0000FF"/>
          </w:rPr>
          <w:t>Nonqualified Capital Accumulation Program, dated December 18, 2019 (incorporated by reference to Ex</w:t>
        </w:r>
      </w:hyperlink>
      <w:r>
        <w:rPr>
          <w:color w:val="0000FF"/>
          <w:sz w:val="20"/>
          <w:u w:val="single" w:color="0000FF"/>
        </w:rPr>
        <w:t>hibit</w:t>
      </w:r>
      <w:r>
        <w:rPr>
          <w:color w:val="0000FF"/>
          <w:sz w:val="20"/>
        </w:rPr>
        <w:t xml:space="preserve"> </w:t>
      </w:r>
      <w:hyperlink r:id="rId65">
        <w:r>
          <w:rPr>
            <w:color w:val="0000FF"/>
            <w:sz w:val="20"/>
            <w:u w:val="single" w:color="0000FF"/>
          </w:rPr>
          <w:t>10.31 to Lockheed Martin Corporation’s Annual Report on Form 10-K for the year ended December 31, 2019).</w:t>
        </w:r>
      </w:hyperlink>
    </w:p>
    <w:p w14:paraId="26B9DECE" w14:textId="77777777" w:rsidR="00AE2255" w:rsidRDefault="00000000">
      <w:pPr>
        <w:pStyle w:val="ListParagraph"/>
        <w:numPr>
          <w:ilvl w:val="1"/>
          <w:numId w:val="9"/>
        </w:numPr>
        <w:tabs>
          <w:tab w:val="left" w:pos="1652"/>
          <w:tab w:val="left" w:pos="1653"/>
        </w:tabs>
        <w:spacing w:before="160" w:line="208" w:lineRule="auto"/>
        <w:ind w:right="512"/>
        <w:jc w:val="both"/>
        <w:rPr>
          <w:sz w:val="20"/>
        </w:rPr>
      </w:pPr>
      <w:hyperlink r:id="rId66">
        <w:r>
          <w:rPr>
            <w:color w:val="0000FF"/>
            <w:sz w:val="20"/>
            <w:u w:val="single" w:color="0000FF"/>
          </w:rPr>
          <w:t>Lockheed Martin Corporation Nonqualified Capital Accumulation Plan, as amended and restated ge</w:t>
        </w:r>
      </w:hyperlink>
      <w:r>
        <w:rPr>
          <w:color w:val="0000FF"/>
          <w:sz w:val="20"/>
          <w:u w:val="single" w:color="0000FF"/>
        </w:rPr>
        <w:t>nerally</w:t>
      </w:r>
      <w:r>
        <w:rPr>
          <w:color w:val="0000FF"/>
          <w:sz w:val="20"/>
        </w:rPr>
        <w:t xml:space="preserve"> </w:t>
      </w:r>
      <w:hyperlink r:id="rId67">
        <w:r>
          <w:rPr>
            <w:color w:val="0000FF"/>
            <w:sz w:val="20"/>
            <w:u w:val="single" w:color="0000FF"/>
          </w:rPr>
          <w:t>effective as of December 18, 2015 (incorporated by reference to Exhibit 10.22 to Lockheed Martin Corporation’s</w:t>
        </w:r>
      </w:hyperlink>
      <w:r>
        <w:rPr>
          <w:color w:val="0000FF"/>
          <w:sz w:val="20"/>
        </w:rPr>
        <w:t xml:space="preserve"> </w:t>
      </w:r>
      <w:hyperlink r:id="rId68">
        <w:r>
          <w:rPr>
            <w:color w:val="0000FF"/>
            <w:sz w:val="20"/>
            <w:u w:val="single" w:color="0000FF"/>
          </w:rPr>
          <w:t>Annual Report on Form 10-K for the year ended December 31, 2015).</w:t>
        </w:r>
      </w:hyperlink>
    </w:p>
    <w:p w14:paraId="43A559A8" w14:textId="77777777" w:rsidR="00AE2255" w:rsidRDefault="00000000">
      <w:pPr>
        <w:pStyle w:val="ListParagraph"/>
        <w:numPr>
          <w:ilvl w:val="1"/>
          <w:numId w:val="9"/>
        </w:numPr>
        <w:tabs>
          <w:tab w:val="left" w:pos="1652"/>
          <w:tab w:val="left" w:pos="1653"/>
        </w:tabs>
        <w:spacing w:before="160" w:line="208" w:lineRule="auto"/>
        <w:ind w:right="510"/>
        <w:jc w:val="both"/>
        <w:rPr>
          <w:sz w:val="20"/>
        </w:rPr>
      </w:pPr>
      <w:hyperlink r:id="rId69">
        <w:r>
          <w:rPr>
            <w:color w:val="0000FF"/>
            <w:sz w:val="20"/>
            <w:u w:val="single" w:color="0000FF"/>
          </w:rPr>
          <w:t>Lockheed Martin Corporation Deferred Management Incentive Compensation Plan, as amended and res</w:t>
        </w:r>
      </w:hyperlink>
      <w:r>
        <w:rPr>
          <w:color w:val="0000FF"/>
          <w:sz w:val="20"/>
          <w:u w:val="single" w:color="0000FF"/>
        </w:rPr>
        <w:t>tated</w:t>
      </w:r>
      <w:r>
        <w:rPr>
          <w:color w:val="0000FF"/>
          <w:sz w:val="20"/>
        </w:rPr>
        <w:t xml:space="preserve"> </w:t>
      </w:r>
      <w:hyperlink r:id="rId70">
        <w:r>
          <w:rPr>
            <w:color w:val="0000FF"/>
            <w:sz w:val="20"/>
            <w:u w:val="single" w:color="0000FF"/>
          </w:rPr>
          <w:t>effective January 1, 2020 (incorporated by reference to Exhibit 10.8 to Lockheed Martin Corporation’s Ann</w:t>
        </w:r>
      </w:hyperlink>
      <w:r>
        <w:rPr>
          <w:color w:val="0000FF"/>
          <w:sz w:val="20"/>
          <w:u w:val="single" w:color="0000FF"/>
        </w:rPr>
        <w:t>ual</w:t>
      </w:r>
      <w:r>
        <w:rPr>
          <w:color w:val="0000FF"/>
          <w:sz w:val="20"/>
        </w:rPr>
        <w:t xml:space="preserve"> </w:t>
      </w:r>
      <w:hyperlink r:id="rId71">
        <w:r>
          <w:rPr>
            <w:color w:val="0000FF"/>
            <w:sz w:val="20"/>
            <w:u w:val="single" w:color="0000FF"/>
          </w:rPr>
          <w:t>Report on Form 10-K for the year ended December 31, 2019).</w:t>
        </w:r>
      </w:hyperlink>
    </w:p>
    <w:p w14:paraId="396D4D2F" w14:textId="77777777" w:rsidR="00AE2255" w:rsidRDefault="00000000">
      <w:pPr>
        <w:pStyle w:val="ListParagraph"/>
        <w:numPr>
          <w:ilvl w:val="1"/>
          <w:numId w:val="9"/>
        </w:numPr>
        <w:tabs>
          <w:tab w:val="left" w:pos="1652"/>
          <w:tab w:val="left" w:pos="1653"/>
        </w:tabs>
        <w:spacing w:before="161" w:line="208" w:lineRule="auto"/>
        <w:ind w:right="694"/>
        <w:rPr>
          <w:sz w:val="20"/>
        </w:rPr>
      </w:pPr>
      <w:hyperlink r:id="rId72">
        <w:r>
          <w:rPr>
            <w:color w:val="0000FF"/>
            <w:sz w:val="20"/>
            <w:u w:val="single" w:color="0000FF"/>
          </w:rPr>
          <w:t>Amendment No.1 to Lockheed Martin Corporation Deferred Management Incentive Compensation Plan, as</w:t>
        </w:r>
      </w:hyperlink>
      <w:r>
        <w:rPr>
          <w:color w:val="0000FF"/>
          <w:sz w:val="20"/>
        </w:rPr>
        <w:t xml:space="preserve"> </w:t>
      </w:r>
      <w:hyperlink r:id="rId73">
        <w:r>
          <w:rPr>
            <w:color w:val="0000FF"/>
            <w:sz w:val="20"/>
            <w:u w:val="single" w:color="0000FF"/>
          </w:rPr>
          <w:t>amended</w:t>
        </w:r>
        <w:r>
          <w:rPr>
            <w:color w:val="0000FF"/>
            <w:spacing w:val="-3"/>
            <w:sz w:val="20"/>
            <w:u w:val="single" w:color="0000FF"/>
          </w:rPr>
          <w:t xml:space="preserve"> </w:t>
        </w:r>
        <w:r>
          <w:rPr>
            <w:color w:val="0000FF"/>
            <w:sz w:val="20"/>
            <w:u w:val="single" w:color="0000FF"/>
          </w:rPr>
          <w:t>and</w:t>
        </w:r>
        <w:r>
          <w:rPr>
            <w:color w:val="0000FF"/>
            <w:spacing w:val="-3"/>
            <w:sz w:val="20"/>
            <w:u w:val="single" w:color="0000FF"/>
          </w:rPr>
          <w:t xml:space="preserve"> </w:t>
        </w:r>
        <w:r>
          <w:rPr>
            <w:color w:val="0000FF"/>
            <w:sz w:val="20"/>
            <w:u w:val="single" w:color="0000FF"/>
          </w:rPr>
          <w:t>restated</w:t>
        </w:r>
        <w:r>
          <w:rPr>
            <w:color w:val="0000FF"/>
            <w:spacing w:val="-3"/>
            <w:sz w:val="20"/>
            <w:u w:val="single" w:color="0000FF"/>
          </w:rPr>
          <w:t xml:space="preserve"> </w:t>
        </w:r>
        <w:r>
          <w:rPr>
            <w:color w:val="0000FF"/>
            <w:sz w:val="20"/>
            <w:u w:val="single" w:color="0000FF"/>
          </w:rPr>
          <w:t>effective</w:t>
        </w:r>
        <w:r>
          <w:rPr>
            <w:color w:val="0000FF"/>
            <w:spacing w:val="-4"/>
            <w:sz w:val="20"/>
            <w:u w:val="single" w:color="0000FF"/>
          </w:rPr>
          <w:t xml:space="preserve"> </w:t>
        </w:r>
        <w:r>
          <w:rPr>
            <w:color w:val="0000FF"/>
            <w:sz w:val="20"/>
            <w:u w:val="single" w:color="0000FF"/>
          </w:rPr>
          <w:t>January</w:t>
        </w:r>
        <w:r>
          <w:rPr>
            <w:color w:val="0000FF"/>
            <w:spacing w:val="-3"/>
            <w:sz w:val="20"/>
            <w:u w:val="single" w:color="0000FF"/>
          </w:rPr>
          <w:t xml:space="preserve"> </w:t>
        </w:r>
        <w:r>
          <w:rPr>
            <w:color w:val="0000FF"/>
            <w:sz w:val="20"/>
            <w:u w:val="single" w:color="0000FF"/>
          </w:rPr>
          <w:t>1,</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4"/>
            <w:sz w:val="20"/>
            <w:u w:val="single" w:color="0000FF"/>
          </w:rPr>
          <w:t xml:space="preserve"> </w:t>
        </w:r>
        <w:r>
          <w:rPr>
            <w:color w:val="0000FF"/>
            <w:sz w:val="20"/>
            <w:u w:val="single" w:color="0000FF"/>
          </w:rPr>
          <w:t>10.12</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hyperlink>
      <w:r>
        <w:rPr>
          <w:color w:val="0000FF"/>
          <w:sz w:val="20"/>
        </w:rPr>
        <w:t xml:space="preserve"> </w:t>
      </w:r>
      <w:hyperlink r:id="rId74">
        <w:r>
          <w:rPr>
            <w:color w:val="0000FF"/>
            <w:sz w:val="20"/>
            <w:u w:val="single" w:color="0000FF"/>
          </w:rPr>
          <w:t>Corporation’s Annual Report on Form 10-K for the year ended December 31, 2020).</w:t>
        </w:r>
      </w:hyperlink>
    </w:p>
    <w:p w14:paraId="3136E508" w14:textId="77777777" w:rsidR="00AE2255" w:rsidRDefault="00000000">
      <w:pPr>
        <w:pStyle w:val="ListParagraph"/>
        <w:numPr>
          <w:ilvl w:val="1"/>
          <w:numId w:val="9"/>
        </w:numPr>
        <w:tabs>
          <w:tab w:val="left" w:pos="1652"/>
          <w:tab w:val="left" w:pos="1653"/>
        </w:tabs>
        <w:spacing w:before="133" w:line="208" w:lineRule="auto"/>
        <w:ind w:right="794"/>
        <w:rPr>
          <w:sz w:val="20"/>
        </w:rPr>
      </w:pPr>
      <w:hyperlink r:id="rId75">
        <w:r>
          <w:rPr>
            <w:color w:val="0000FF"/>
            <w:sz w:val="20"/>
            <w:u w:val="single" w:color="0000FF"/>
          </w:rPr>
          <w:t>Amendment No. 2 to Lockheed Martin Corporation Deferred Management Incentive Compensation Plan, as</w:t>
        </w:r>
      </w:hyperlink>
      <w:r>
        <w:rPr>
          <w:color w:val="0000FF"/>
          <w:sz w:val="20"/>
        </w:rPr>
        <w:t xml:space="preserve"> </w:t>
      </w:r>
      <w:hyperlink r:id="rId76">
        <w:r>
          <w:rPr>
            <w:color w:val="0000FF"/>
            <w:sz w:val="20"/>
            <w:u w:val="single" w:color="0000FF"/>
          </w:rPr>
          <w:t>amended</w:t>
        </w:r>
        <w:r>
          <w:rPr>
            <w:color w:val="0000FF"/>
            <w:spacing w:val="-3"/>
            <w:sz w:val="20"/>
            <w:u w:val="single" w:color="0000FF"/>
          </w:rPr>
          <w:t xml:space="preserve"> </w:t>
        </w:r>
        <w:r>
          <w:rPr>
            <w:color w:val="0000FF"/>
            <w:sz w:val="20"/>
            <w:u w:val="single" w:color="0000FF"/>
          </w:rPr>
          <w:t>and</w:t>
        </w:r>
        <w:r>
          <w:rPr>
            <w:color w:val="0000FF"/>
            <w:spacing w:val="-3"/>
            <w:sz w:val="20"/>
            <w:u w:val="single" w:color="0000FF"/>
          </w:rPr>
          <w:t xml:space="preserve"> </w:t>
        </w:r>
        <w:r>
          <w:rPr>
            <w:color w:val="0000FF"/>
            <w:sz w:val="20"/>
            <w:u w:val="single" w:color="0000FF"/>
          </w:rPr>
          <w:t>restated</w:t>
        </w:r>
        <w:r>
          <w:rPr>
            <w:color w:val="0000FF"/>
            <w:spacing w:val="-3"/>
            <w:sz w:val="20"/>
            <w:u w:val="single" w:color="0000FF"/>
          </w:rPr>
          <w:t xml:space="preserve"> </w:t>
        </w:r>
        <w:r>
          <w:rPr>
            <w:color w:val="0000FF"/>
            <w:sz w:val="20"/>
            <w:u w:val="single" w:color="0000FF"/>
          </w:rPr>
          <w:t>effective</w:t>
        </w:r>
        <w:r>
          <w:rPr>
            <w:color w:val="0000FF"/>
            <w:spacing w:val="-4"/>
            <w:sz w:val="20"/>
            <w:u w:val="single" w:color="0000FF"/>
          </w:rPr>
          <w:t xml:space="preserve"> </w:t>
        </w:r>
        <w:r>
          <w:rPr>
            <w:color w:val="0000FF"/>
            <w:sz w:val="20"/>
            <w:u w:val="single" w:color="0000FF"/>
          </w:rPr>
          <w:t>January</w:t>
        </w:r>
        <w:r>
          <w:rPr>
            <w:color w:val="0000FF"/>
            <w:spacing w:val="-3"/>
            <w:sz w:val="20"/>
            <w:u w:val="single" w:color="0000FF"/>
          </w:rPr>
          <w:t xml:space="preserve"> </w:t>
        </w:r>
        <w:r>
          <w:rPr>
            <w:color w:val="0000FF"/>
            <w:sz w:val="20"/>
            <w:u w:val="single" w:color="0000FF"/>
          </w:rPr>
          <w:t>1,</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4"/>
            <w:sz w:val="20"/>
            <w:u w:val="single" w:color="0000FF"/>
          </w:rPr>
          <w:t xml:space="preserve"> </w:t>
        </w:r>
        <w:r>
          <w:rPr>
            <w:color w:val="0000FF"/>
            <w:sz w:val="20"/>
            <w:u w:val="single" w:color="0000FF"/>
          </w:rPr>
          <w:t>10.8</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hyperlink>
      <w:r>
        <w:rPr>
          <w:color w:val="0000FF"/>
          <w:sz w:val="20"/>
        </w:rPr>
        <w:t xml:space="preserve"> </w:t>
      </w:r>
      <w:hyperlink r:id="rId77">
        <w:r>
          <w:rPr>
            <w:color w:val="0000FF"/>
            <w:sz w:val="20"/>
            <w:u w:val="single" w:color="0000FF"/>
          </w:rPr>
          <w:t>Corporation’s Quarterly Report on Form 10-Q for the quarter ended March 27, 2022).</w:t>
        </w:r>
      </w:hyperlink>
    </w:p>
    <w:p w14:paraId="21FD3F65" w14:textId="77777777" w:rsidR="00AE2255" w:rsidRDefault="00000000">
      <w:pPr>
        <w:pStyle w:val="ListParagraph"/>
        <w:numPr>
          <w:ilvl w:val="1"/>
          <w:numId w:val="9"/>
        </w:numPr>
        <w:tabs>
          <w:tab w:val="left" w:pos="1652"/>
          <w:tab w:val="left" w:pos="1653"/>
        </w:tabs>
        <w:spacing w:before="161" w:line="208" w:lineRule="auto"/>
        <w:ind w:right="510"/>
        <w:rPr>
          <w:sz w:val="20"/>
        </w:rPr>
      </w:pPr>
      <w:r>
        <w:rPr>
          <w:color w:val="0000FF"/>
          <w:sz w:val="20"/>
          <w:u w:val="single" w:color="0000FF"/>
        </w:rPr>
        <w:t>Amendment</w:t>
      </w:r>
      <w:r>
        <w:rPr>
          <w:color w:val="0000FF"/>
          <w:spacing w:val="36"/>
          <w:sz w:val="20"/>
          <w:u w:val="single" w:color="0000FF"/>
        </w:rPr>
        <w:t xml:space="preserve"> </w:t>
      </w:r>
      <w:r>
        <w:rPr>
          <w:color w:val="0000FF"/>
          <w:sz w:val="20"/>
          <w:u w:val="single" w:color="0000FF"/>
        </w:rPr>
        <w:t>No.</w:t>
      </w:r>
      <w:r>
        <w:rPr>
          <w:color w:val="0000FF"/>
          <w:spacing w:val="36"/>
          <w:sz w:val="20"/>
          <w:u w:val="single" w:color="0000FF"/>
        </w:rPr>
        <w:t xml:space="preserve"> </w:t>
      </w:r>
      <w:r>
        <w:rPr>
          <w:color w:val="0000FF"/>
          <w:sz w:val="20"/>
          <w:u w:val="single" w:color="0000FF"/>
        </w:rPr>
        <w:t>3</w:t>
      </w:r>
      <w:r>
        <w:rPr>
          <w:color w:val="0000FF"/>
          <w:spacing w:val="36"/>
          <w:sz w:val="20"/>
          <w:u w:val="single" w:color="0000FF"/>
        </w:rPr>
        <w:t xml:space="preserve"> </w:t>
      </w:r>
      <w:r>
        <w:rPr>
          <w:color w:val="0000FF"/>
          <w:sz w:val="20"/>
          <w:u w:val="single" w:color="0000FF"/>
        </w:rPr>
        <w:t>to</w:t>
      </w:r>
      <w:r>
        <w:rPr>
          <w:color w:val="0000FF"/>
          <w:spacing w:val="36"/>
          <w:sz w:val="20"/>
          <w:u w:val="single" w:color="0000FF"/>
        </w:rPr>
        <w:t xml:space="preserve"> </w:t>
      </w:r>
      <w:r>
        <w:rPr>
          <w:color w:val="0000FF"/>
          <w:sz w:val="20"/>
          <w:u w:val="single" w:color="0000FF"/>
        </w:rPr>
        <w:t>Lockheed</w:t>
      </w:r>
      <w:r>
        <w:rPr>
          <w:color w:val="0000FF"/>
          <w:spacing w:val="36"/>
          <w:sz w:val="20"/>
          <w:u w:val="single" w:color="0000FF"/>
        </w:rPr>
        <w:t xml:space="preserve"> </w:t>
      </w:r>
      <w:r>
        <w:rPr>
          <w:color w:val="0000FF"/>
          <w:sz w:val="20"/>
          <w:u w:val="single" w:color="0000FF"/>
        </w:rPr>
        <w:t>Martin</w:t>
      </w:r>
      <w:r>
        <w:rPr>
          <w:color w:val="0000FF"/>
          <w:spacing w:val="36"/>
          <w:sz w:val="20"/>
          <w:u w:val="single" w:color="0000FF"/>
        </w:rPr>
        <w:t xml:space="preserve"> </w:t>
      </w:r>
      <w:r>
        <w:rPr>
          <w:color w:val="0000FF"/>
          <w:sz w:val="20"/>
          <w:u w:val="single" w:color="0000FF"/>
        </w:rPr>
        <w:t>Corporation</w:t>
      </w:r>
      <w:r>
        <w:rPr>
          <w:color w:val="0000FF"/>
          <w:spacing w:val="36"/>
          <w:sz w:val="20"/>
          <w:u w:val="single" w:color="0000FF"/>
        </w:rPr>
        <w:t xml:space="preserve"> </w:t>
      </w:r>
      <w:r>
        <w:rPr>
          <w:color w:val="0000FF"/>
          <w:sz w:val="20"/>
          <w:u w:val="single" w:color="0000FF"/>
        </w:rPr>
        <w:t>Deferred</w:t>
      </w:r>
      <w:r>
        <w:rPr>
          <w:color w:val="0000FF"/>
          <w:spacing w:val="36"/>
          <w:sz w:val="20"/>
          <w:u w:val="single" w:color="0000FF"/>
        </w:rPr>
        <w:t xml:space="preserve"> </w:t>
      </w:r>
      <w:r>
        <w:rPr>
          <w:color w:val="0000FF"/>
          <w:sz w:val="20"/>
          <w:u w:val="single" w:color="0000FF"/>
        </w:rPr>
        <w:t>Management</w:t>
      </w:r>
      <w:r>
        <w:rPr>
          <w:color w:val="0000FF"/>
          <w:spacing w:val="36"/>
          <w:sz w:val="20"/>
          <w:u w:val="single" w:color="0000FF"/>
        </w:rPr>
        <w:t xml:space="preserve"> </w:t>
      </w:r>
      <w:r>
        <w:rPr>
          <w:color w:val="0000FF"/>
          <w:sz w:val="20"/>
          <w:u w:val="single" w:color="0000FF"/>
        </w:rPr>
        <w:t>Incentive</w:t>
      </w:r>
      <w:r>
        <w:rPr>
          <w:color w:val="0000FF"/>
          <w:spacing w:val="36"/>
          <w:sz w:val="20"/>
          <w:u w:val="single" w:color="0000FF"/>
        </w:rPr>
        <w:t xml:space="preserve"> </w:t>
      </w:r>
      <w:r>
        <w:rPr>
          <w:color w:val="0000FF"/>
          <w:sz w:val="20"/>
          <w:u w:val="single" w:color="0000FF"/>
        </w:rPr>
        <w:t>Compensation</w:t>
      </w:r>
      <w:r>
        <w:rPr>
          <w:color w:val="0000FF"/>
          <w:spacing w:val="36"/>
          <w:sz w:val="20"/>
          <w:u w:val="single" w:color="0000FF"/>
        </w:rPr>
        <w:t xml:space="preserve"> </w:t>
      </w:r>
      <w:r>
        <w:rPr>
          <w:color w:val="0000FF"/>
          <w:sz w:val="20"/>
          <w:u w:val="single" w:color="0000FF"/>
        </w:rPr>
        <w:t>Plan,</w:t>
      </w:r>
      <w:r>
        <w:rPr>
          <w:color w:val="0000FF"/>
          <w:spacing w:val="36"/>
          <w:sz w:val="20"/>
          <w:u w:val="single" w:color="0000FF"/>
        </w:rPr>
        <w:t xml:space="preserve"> </w:t>
      </w:r>
      <w:r>
        <w:rPr>
          <w:color w:val="0000FF"/>
          <w:sz w:val="20"/>
          <w:u w:val="single" w:color="0000FF"/>
        </w:rPr>
        <w:t>as</w:t>
      </w:r>
      <w:r>
        <w:rPr>
          <w:color w:val="0000FF"/>
          <w:sz w:val="20"/>
        </w:rPr>
        <w:t xml:space="preserve"> </w:t>
      </w:r>
      <w:r>
        <w:rPr>
          <w:color w:val="0000FF"/>
          <w:sz w:val="20"/>
          <w:u w:val="single" w:color="0000FF"/>
        </w:rPr>
        <w:t>amended and restated generally effective January 1, 2020.</w:t>
      </w:r>
    </w:p>
    <w:p w14:paraId="0B75D738" w14:textId="77777777" w:rsidR="00AE2255" w:rsidRDefault="00000000">
      <w:pPr>
        <w:pStyle w:val="ListParagraph"/>
        <w:numPr>
          <w:ilvl w:val="1"/>
          <w:numId w:val="9"/>
        </w:numPr>
        <w:tabs>
          <w:tab w:val="left" w:pos="1652"/>
          <w:tab w:val="left" w:pos="1653"/>
        </w:tabs>
        <w:spacing w:before="174" w:line="208" w:lineRule="auto"/>
        <w:ind w:right="512"/>
        <w:jc w:val="both"/>
        <w:rPr>
          <w:sz w:val="20"/>
        </w:rPr>
      </w:pPr>
      <w:hyperlink r:id="rId78">
        <w:r>
          <w:rPr>
            <w:color w:val="0000FF"/>
            <w:sz w:val="20"/>
            <w:u w:val="single" w:color="0000FF"/>
          </w:rPr>
          <w:t>Lockheed Martin Corporation Amended and Restated 2021 Management Incentive Compens</w:t>
        </w:r>
      </w:hyperlink>
      <w:r>
        <w:rPr>
          <w:color w:val="0000FF"/>
          <w:sz w:val="20"/>
          <w:u w:val="single" w:color="0000FF"/>
        </w:rPr>
        <w:t>ation Plan</w:t>
      </w:r>
      <w:r>
        <w:rPr>
          <w:color w:val="0000FF"/>
          <w:sz w:val="20"/>
        </w:rPr>
        <w:t xml:space="preserve"> </w:t>
      </w:r>
      <w:hyperlink r:id="rId79">
        <w:r>
          <w:rPr>
            <w:color w:val="0000FF"/>
            <w:sz w:val="20"/>
            <w:u w:val="single" w:color="0000FF"/>
          </w:rPr>
          <w:t>(incorporated by reference to Exhibit 10.6 to Lockheed Martin Corporation’s Quarterly Report on Form 10-Q fo</w:t>
        </w:r>
      </w:hyperlink>
      <w:r>
        <w:rPr>
          <w:color w:val="0000FF"/>
          <w:sz w:val="20"/>
          <w:u w:val="single" w:color="0000FF"/>
        </w:rPr>
        <w:t>r</w:t>
      </w:r>
      <w:r>
        <w:rPr>
          <w:color w:val="0000FF"/>
          <w:sz w:val="20"/>
        </w:rPr>
        <w:t xml:space="preserve"> </w:t>
      </w:r>
      <w:hyperlink r:id="rId80">
        <w:r>
          <w:rPr>
            <w:color w:val="0000FF"/>
            <w:sz w:val="20"/>
            <w:u w:val="single" w:color="0000FF"/>
          </w:rPr>
          <w:t>the quarter ended March 27, 2022)</w:t>
        </w:r>
      </w:hyperlink>
      <w:r>
        <w:rPr>
          <w:sz w:val="20"/>
        </w:rPr>
        <w:t>.</w:t>
      </w:r>
    </w:p>
    <w:p w14:paraId="42CE246F" w14:textId="77777777" w:rsidR="00AE2255" w:rsidRDefault="00000000">
      <w:pPr>
        <w:pStyle w:val="ListParagraph"/>
        <w:numPr>
          <w:ilvl w:val="1"/>
          <w:numId w:val="9"/>
        </w:numPr>
        <w:tabs>
          <w:tab w:val="left" w:pos="1652"/>
          <w:tab w:val="left" w:pos="1653"/>
        </w:tabs>
        <w:spacing w:before="159" w:line="208" w:lineRule="auto"/>
        <w:ind w:right="512"/>
        <w:jc w:val="both"/>
        <w:rPr>
          <w:sz w:val="20"/>
        </w:rPr>
      </w:pPr>
      <w:hyperlink r:id="rId81">
        <w:r>
          <w:rPr>
            <w:color w:val="0000FF"/>
            <w:sz w:val="20"/>
            <w:u w:val="single" w:color="0000FF"/>
          </w:rPr>
          <w:t>Lockheed Martin Corporation 2011 Incentive Performance Award Plan, as amended and restated Januar</w:t>
        </w:r>
      </w:hyperlink>
      <w:r>
        <w:rPr>
          <w:color w:val="0000FF"/>
          <w:sz w:val="20"/>
          <w:u w:val="single" w:color="0000FF"/>
        </w:rPr>
        <w:t>y 24,</w:t>
      </w:r>
      <w:r>
        <w:rPr>
          <w:color w:val="0000FF"/>
          <w:sz w:val="20"/>
        </w:rPr>
        <w:t xml:space="preserve"> </w:t>
      </w:r>
      <w:hyperlink r:id="rId82">
        <w:r>
          <w:rPr>
            <w:color w:val="0000FF"/>
            <w:sz w:val="20"/>
            <w:u w:val="single" w:color="0000FF"/>
          </w:rPr>
          <w:t>2019 (incorporated by reference to Exhibit 10.13 to Lockheed Martin Corporation’s Annual Report on Form 1</w:t>
        </w:r>
      </w:hyperlink>
      <w:r>
        <w:rPr>
          <w:color w:val="0000FF"/>
          <w:sz w:val="20"/>
          <w:u w:val="single" w:color="0000FF"/>
        </w:rPr>
        <w:t>0-</w:t>
      </w:r>
      <w:r>
        <w:rPr>
          <w:color w:val="0000FF"/>
          <w:sz w:val="20"/>
        </w:rPr>
        <w:t xml:space="preserve"> </w:t>
      </w:r>
      <w:hyperlink r:id="rId83">
        <w:r>
          <w:rPr>
            <w:color w:val="0000FF"/>
            <w:sz w:val="20"/>
            <w:u w:val="single" w:color="0000FF"/>
          </w:rPr>
          <w:t>K for the year ended December 31, 2018).</w:t>
        </w:r>
      </w:hyperlink>
    </w:p>
    <w:p w14:paraId="79588CCA" w14:textId="77777777" w:rsidR="00AE2255" w:rsidRDefault="00AE2255">
      <w:pPr>
        <w:pStyle w:val="BodyText"/>
        <w:spacing w:before="7"/>
      </w:pPr>
    </w:p>
    <w:p w14:paraId="551E12C0" w14:textId="77777777" w:rsidR="00AE2255" w:rsidRDefault="00000000">
      <w:pPr>
        <w:pStyle w:val="ListParagraph"/>
        <w:numPr>
          <w:ilvl w:val="1"/>
          <w:numId w:val="9"/>
        </w:numPr>
        <w:tabs>
          <w:tab w:val="left" w:pos="1652"/>
          <w:tab w:val="left" w:pos="1653"/>
        </w:tabs>
        <w:spacing w:line="208" w:lineRule="auto"/>
        <w:ind w:right="511"/>
        <w:jc w:val="both"/>
        <w:rPr>
          <w:sz w:val="20"/>
        </w:rPr>
      </w:pPr>
      <w:hyperlink r:id="rId84">
        <w:r>
          <w:rPr>
            <w:color w:val="0000FF"/>
            <w:sz w:val="20"/>
            <w:u w:val="single" w:color="0000FF"/>
          </w:rPr>
          <w:t>Form of 2020 Annual Restricted Stock Unit Award Agreement under the Lockheed Martin Corporation</w:t>
        </w:r>
      </w:hyperlink>
      <w:r>
        <w:rPr>
          <w:color w:val="0000FF"/>
          <w:sz w:val="20"/>
          <w:u w:val="single" w:color="0000FF"/>
        </w:rPr>
        <w:t xml:space="preserve"> 2011</w:t>
      </w:r>
      <w:r>
        <w:rPr>
          <w:color w:val="0000FF"/>
          <w:sz w:val="20"/>
        </w:rPr>
        <w:t xml:space="preserve"> </w:t>
      </w:r>
      <w:hyperlink r:id="rId85">
        <w:r>
          <w:rPr>
            <w:color w:val="0000FF"/>
            <w:sz w:val="20"/>
            <w:u w:val="single" w:color="0000FF"/>
          </w:rPr>
          <w:t>Incentive Performance Award Plan (incorporated by reference to Exhibit 10.1 to Lockheed Martin Corporation’</w:t>
        </w:r>
      </w:hyperlink>
      <w:r>
        <w:rPr>
          <w:color w:val="0000FF"/>
          <w:sz w:val="20"/>
          <w:u w:val="single" w:color="0000FF"/>
        </w:rPr>
        <w:t>s</w:t>
      </w:r>
      <w:r>
        <w:rPr>
          <w:color w:val="0000FF"/>
          <w:sz w:val="20"/>
        </w:rPr>
        <w:t xml:space="preserve"> </w:t>
      </w:r>
      <w:hyperlink r:id="rId86">
        <w:r>
          <w:rPr>
            <w:color w:val="0000FF"/>
            <w:sz w:val="20"/>
            <w:u w:val="single" w:color="0000FF"/>
          </w:rPr>
          <w:t>Quarterly Report on Form 10-Q for the quarter ended March 29, 2020).</w:t>
        </w:r>
      </w:hyperlink>
    </w:p>
    <w:p w14:paraId="7DC222D8" w14:textId="77777777" w:rsidR="00AE2255" w:rsidRDefault="00AE2255">
      <w:pPr>
        <w:spacing w:line="208" w:lineRule="auto"/>
        <w:jc w:val="both"/>
        <w:rPr>
          <w:sz w:val="20"/>
        </w:rPr>
        <w:sectPr w:rsidR="00AE2255">
          <w:pgSz w:w="12240" w:h="15840"/>
          <w:pgMar w:top="440" w:right="560" w:bottom="720" w:left="380" w:header="230" w:footer="531" w:gutter="0"/>
          <w:cols w:space="720"/>
        </w:sectPr>
      </w:pPr>
    </w:p>
    <w:p w14:paraId="1BBFA32B" w14:textId="77777777" w:rsidR="00AE2255" w:rsidRDefault="00AE2255">
      <w:pPr>
        <w:pStyle w:val="BodyText"/>
        <w:spacing w:before="5"/>
        <w:rPr>
          <w:sz w:val="29"/>
        </w:rPr>
      </w:pPr>
    </w:p>
    <w:p w14:paraId="21E37546" w14:textId="77777777" w:rsidR="00AE2255" w:rsidRDefault="00000000">
      <w:pPr>
        <w:pStyle w:val="ListParagraph"/>
        <w:numPr>
          <w:ilvl w:val="1"/>
          <w:numId w:val="9"/>
        </w:numPr>
        <w:tabs>
          <w:tab w:val="left" w:pos="1652"/>
          <w:tab w:val="left" w:pos="1653"/>
        </w:tabs>
        <w:spacing w:before="116" w:line="208" w:lineRule="auto"/>
        <w:ind w:right="512"/>
        <w:jc w:val="both"/>
        <w:rPr>
          <w:sz w:val="20"/>
        </w:rPr>
      </w:pPr>
      <w:hyperlink r:id="rId87">
        <w:r>
          <w:rPr>
            <w:color w:val="0000FF"/>
            <w:sz w:val="20"/>
            <w:u w:val="single" w:color="0000FF"/>
          </w:rPr>
          <w:t>Form of Performance Stock Unit Award Agreement (2020 - 2022 Performance Period) under the Loc</w:t>
        </w:r>
      </w:hyperlink>
      <w:r>
        <w:rPr>
          <w:color w:val="0000FF"/>
          <w:sz w:val="20"/>
          <w:u w:val="single" w:color="0000FF"/>
        </w:rPr>
        <w:t>kheed</w:t>
      </w:r>
      <w:r>
        <w:rPr>
          <w:color w:val="0000FF"/>
          <w:sz w:val="20"/>
        </w:rPr>
        <w:t xml:space="preserve"> </w:t>
      </w:r>
      <w:hyperlink r:id="rId88">
        <w:r>
          <w:rPr>
            <w:color w:val="0000FF"/>
            <w:sz w:val="20"/>
            <w:u w:val="single" w:color="0000FF"/>
          </w:rPr>
          <w:t>Martin Corporation 2011 Incentive Performance Award Plan (incorporated by reference to Exhibit</w:t>
        </w:r>
      </w:hyperlink>
      <w:r>
        <w:rPr>
          <w:color w:val="0000FF"/>
          <w:sz w:val="20"/>
          <w:u w:val="single" w:color="0000FF"/>
        </w:rPr>
        <w:t xml:space="preserve"> 10.2 to</w:t>
      </w:r>
      <w:r>
        <w:rPr>
          <w:color w:val="0000FF"/>
          <w:sz w:val="20"/>
        </w:rPr>
        <w:t xml:space="preserve"> </w:t>
      </w:r>
      <w:hyperlink r:id="rId89">
        <w:r>
          <w:rPr>
            <w:color w:val="0000FF"/>
            <w:sz w:val="20"/>
            <w:u w:val="single" w:color="0000FF"/>
          </w:rPr>
          <w:t>Lockheed Martin Corporation’s Quarterly Report on Form 10-Q for the quarter ended March 29, 2020).</w:t>
        </w:r>
      </w:hyperlink>
    </w:p>
    <w:p w14:paraId="2E16D14D" w14:textId="77777777" w:rsidR="00AE2255" w:rsidRDefault="00000000">
      <w:pPr>
        <w:pStyle w:val="ListParagraph"/>
        <w:numPr>
          <w:ilvl w:val="1"/>
          <w:numId w:val="9"/>
        </w:numPr>
        <w:tabs>
          <w:tab w:val="left" w:pos="1652"/>
          <w:tab w:val="left" w:pos="1653"/>
        </w:tabs>
        <w:spacing w:before="179" w:line="208" w:lineRule="auto"/>
        <w:ind w:right="510"/>
        <w:jc w:val="both"/>
        <w:rPr>
          <w:sz w:val="20"/>
        </w:rPr>
      </w:pPr>
      <w:hyperlink r:id="rId90">
        <w:r>
          <w:rPr>
            <w:color w:val="0000FF"/>
            <w:sz w:val="20"/>
            <w:u w:val="single" w:color="0000FF"/>
          </w:rPr>
          <w:t>Form of Long Term Incentive Performance Award Agreement (2020 - 2022 Performance Period) und</w:t>
        </w:r>
      </w:hyperlink>
      <w:r>
        <w:rPr>
          <w:color w:val="0000FF"/>
          <w:sz w:val="20"/>
          <w:u w:val="single" w:color="0000FF"/>
        </w:rPr>
        <w:t>er the</w:t>
      </w:r>
      <w:r>
        <w:rPr>
          <w:color w:val="0000FF"/>
          <w:sz w:val="20"/>
        </w:rPr>
        <w:t xml:space="preserve"> </w:t>
      </w:r>
      <w:hyperlink r:id="rId91">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w:t>
        </w:r>
        <w:r>
          <w:rPr>
            <w:color w:val="0000FF"/>
            <w:spacing w:val="-3"/>
            <w:sz w:val="20"/>
            <w:u w:val="single" w:color="0000FF"/>
          </w:rPr>
          <w:t xml:space="preserve"> </w:t>
        </w:r>
        <w:r>
          <w:rPr>
            <w:color w:val="0000FF"/>
            <w:sz w:val="20"/>
            <w:u w:val="single" w:color="0000FF"/>
          </w:rPr>
          <w:t>2011</w:t>
        </w:r>
        <w:r>
          <w:rPr>
            <w:color w:val="0000FF"/>
            <w:spacing w:val="-3"/>
            <w:sz w:val="20"/>
            <w:u w:val="single" w:color="0000FF"/>
          </w:rPr>
          <w:t xml:space="preserve"> </w:t>
        </w:r>
        <w:r>
          <w:rPr>
            <w:color w:val="0000FF"/>
            <w:sz w:val="20"/>
            <w:u w:val="single" w:color="0000FF"/>
          </w:rPr>
          <w:t>Incentive</w:t>
        </w:r>
        <w:r>
          <w:rPr>
            <w:color w:val="0000FF"/>
            <w:spacing w:val="-3"/>
            <w:sz w:val="20"/>
            <w:u w:val="single" w:color="0000FF"/>
          </w:rPr>
          <w:t xml:space="preserve"> </w:t>
        </w:r>
        <w:r>
          <w:rPr>
            <w:color w:val="0000FF"/>
            <w:sz w:val="20"/>
            <w:u w:val="single" w:color="0000FF"/>
          </w:rPr>
          <w:t>Performance</w:t>
        </w:r>
        <w:r>
          <w:rPr>
            <w:color w:val="0000FF"/>
            <w:spacing w:val="-3"/>
            <w:sz w:val="20"/>
            <w:u w:val="single" w:color="0000FF"/>
          </w:rPr>
          <w:t xml:space="preserve"> </w:t>
        </w:r>
        <w:r>
          <w:rPr>
            <w:color w:val="0000FF"/>
            <w:sz w:val="20"/>
            <w:u w:val="single" w:color="0000FF"/>
          </w:rPr>
          <w:t>Award</w:t>
        </w:r>
        <w:r>
          <w:rPr>
            <w:color w:val="0000FF"/>
            <w:spacing w:val="-3"/>
            <w:sz w:val="20"/>
            <w:u w:val="single" w:color="0000FF"/>
          </w:rPr>
          <w:t xml:space="preserve"> </w:t>
        </w:r>
        <w:r>
          <w:rPr>
            <w:color w:val="0000FF"/>
            <w:sz w:val="20"/>
            <w:u w:val="single" w:color="0000FF"/>
          </w:rPr>
          <w:t>Plan</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3"/>
            <w:sz w:val="20"/>
            <w:u w:val="single" w:color="0000FF"/>
          </w:rPr>
          <w:t xml:space="preserve"> </w:t>
        </w:r>
        <w:r>
          <w:rPr>
            <w:color w:val="0000FF"/>
            <w:sz w:val="20"/>
            <w:u w:val="single" w:color="0000FF"/>
          </w:rPr>
          <w:t>10.3</w:t>
        </w:r>
      </w:hyperlink>
      <w:r>
        <w:rPr>
          <w:color w:val="0000FF"/>
          <w:sz w:val="20"/>
        </w:rPr>
        <w:t xml:space="preserve"> </w:t>
      </w:r>
      <w:hyperlink r:id="rId92">
        <w:r>
          <w:rPr>
            <w:color w:val="0000FF"/>
            <w:sz w:val="20"/>
            <w:u w:val="single" w:color="0000FF"/>
          </w:rPr>
          <w:t>to Lockheed Martin Corporation’s Quarterly Report on Form 10-Q for the quarter ended March 29, 2020).</w:t>
        </w:r>
      </w:hyperlink>
    </w:p>
    <w:p w14:paraId="3C684CC4"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93">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Incentive</w:t>
        </w:r>
        <w:r>
          <w:rPr>
            <w:color w:val="0000FF"/>
            <w:spacing w:val="-3"/>
            <w:sz w:val="20"/>
            <w:u w:val="single" w:color="0000FF"/>
          </w:rPr>
          <w:t xml:space="preserve"> </w:t>
        </w:r>
        <w:r>
          <w:rPr>
            <w:color w:val="0000FF"/>
            <w:sz w:val="20"/>
            <w:u w:val="single" w:color="0000FF"/>
          </w:rPr>
          <w:t>Performance</w:t>
        </w:r>
        <w:r>
          <w:rPr>
            <w:color w:val="0000FF"/>
            <w:spacing w:val="-3"/>
            <w:sz w:val="20"/>
            <w:u w:val="single" w:color="0000FF"/>
          </w:rPr>
          <w:t xml:space="preserve"> </w:t>
        </w:r>
        <w:r>
          <w:rPr>
            <w:color w:val="0000FF"/>
            <w:sz w:val="20"/>
            <w:u w:val="single" w:color="0000FF"/>
          </w:rPr>
          <w:t>Award</w:t>
        </w:r>
        <w:r>
          <w:rPr>
            <w:color w:val="0000FF"/>
            <w:spacing w:val="-3"/>
            <w:sz w:val="20"/>
            <w:u w:val="single" w:color="0000FF"/>
          </w:rPr>
          <w:t xml:space="preserve"> </w:t>
        </w:r>
        <w:r>
          <w:rPr>
            <w:color w:val="0000FF"/>
            <w:sz w:val="20"/>
            <w:u w:val="single" w:color="0000FF"/>
          </w:rPr>
          <w:t>Plan</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3"/>
            <w:sz w:val="20"/>
            <w:u w:val="single" w:color="0000FF"/>
          </w:rPr>
          <w:t xml:space="preserve"> </w:t>
        </w:r>
        <w:r>
          <w:rPr>
            <w:color w:val="0000FF"/>
            <w:sz w:val="20"/>
            <w:u w:val="single" w:color="0000FF"/>
          </w:rPr>
          <w:t>10.1</w:t>
        </w:r>
      </w:hyperlink>
      <w:r>
        <w:rPr>
          <w:color w:val="0000FF"/>
          <w:sz w:val="20"/>
        </w:rPr>
        <w:t xml:space="preserve"> </w:t>
      </w:r>
      <w:hyperlink r:id="rId94">
        <w:r>
          <w:rPr>
            <w:color w:val="0000FF"/>
            <w:sz w:val="20"/>
            <w:u w:val="single" w:color="0000FF"/>
          </w:rPr>
          <w:t>to Lockheed Martin Corporation’s Current Report on Form 8-K filed with the SEC on April 23, 2020).</w:t>
        </w:r>
      </w:hyperlink>
    </w:p>
    <w:p w14:paraId="0855D439" w14:textId="77777777" w:rsidR="00AE2255" w:rsidRDefault="00AE2255">
      <w:pPr>
        <w:pStyle w:val="BodyText"/>
        <w:spacing w:before="8"/>
        <w:rPr>
          <w:sz w:val="18"/>
        </w:rPr>
      </w:pPr>
    </w:p>
    <w:p w14:paraId="5FBB3A17" w14:textId="77777777" w:rsidR="00AE2255" w:rsidRDefault="00000000">
      <w:pPr>
        <w:pStyle w:val="ListParagraph"/>
        <w:numPr>
          <w:ilvl w:val="1"/>
          <w:numId w:val="9"/>
        </w:numPr>
        <w:tabs>
          <w:tab w:val="left" w:pos="1652"/>
          <w:tab w:val="left" w:pos="1653"/>
        </w:tabs>
        <w:spacing w:line="208" w:lineRule="auto"/>
        <w:ind w:right="511"/>
        <w:jc w:val="both"/>
        <w:rPr>
          <w:sz w:val="20"/>
        </w:rPr>
      </w:pPr>
      <w:hyperlink r:id="rId95">
        <w:r>
          <w:rPr>
            <w:color w:val="0000FF"/>
            <w:sz w:val="20"/>
            <w:u w:val="single" w:color="0000FF"/>
          </w:rPr>
          <w:t>Form of 2020 Annual Restricted Stock Unit Award Agreement under the Lockheed Martin Corporation</w:t>
        </w:r>
      </w:hyperlink>
      <w:r>
        <w:rPr>
          <w:color w:val="0000FF"/>
          <w:sz w:val="20"/>
          <w:u w:val="single" w:color="0000FF"/>
        </w:rPr>
        <w:t xml:space="preserve"> 2020</w:t>
      </w:r>
      <w:r>
        <w:rPr>
          <w:color w:val="0000FF"/>
          <w:sz w:val="20"/>
        </w:rPr>
        <w:t xml:space="preserve"> </w:t>
      </w:r>
      <w:hyperlink r:id="rId96">
        <w:r>
          <w:rPr>
            <w:color w:val="0000FF"/>
            <w:sz w:val="20"/>
            <w:u w:val="single" w:color="0000FF"/>
          </w:rPr>
          <w:t>Incentive Performance Award Plan (incorporated by reference to Exhibit 10.2 to Lockheed Martin Corporation’</w:t>
        </w:r>
      </w:hyperlink>
      <w:r>
        <w:rPr>
          <w:color w:val="0000FF"/>
          <w:sz w:val="20"/>
          <w:u w:val="single" w:color="0000FF"/>
        </w:rPr>
        <w:t>s</w:t>
      </w:r>
      <w:r>
        <w:rPr>
          <w:color w:val="0000FF"/>
          <w:sz w:val="20"/>
        </w:rPr>
        <w:t xml:space="preserve"> </w:t>
      </w:r>
      <w:hyperlink r:id="rId97">
        <w:r>
          <w:rPr>
            <w:color w:val="0000FF"/>
            <w:sz w:val="20"/>
            <w:u w:val="single" w:color="0000FF"/>
          </w:rPr>
          <w:t>Quarterly Report on Form 10-Q for the quarter ended June 28, 2020).</w:t>
        </w:r>
      </w:hyperlink>
    </w:p>
    <w:p w14:paraId="2CB064B7" w14:textId="77777777" w:rsidR="00AE2255" w:rsidRDefault="00000000">
      <w:pPr>
        <w:pStyle w:val="ListParagraph"/>
        <w:numPr>
          <w:ilvl w:val="1"/>
          <w:numId w:val="9"/>
        </w:numPr>
        <w:tabs>
          <w:tab w:val="left" w:pos="1652"/>
          <w:tab w:val="left" w:pos="1653"/>
        </w:tabs>
        <w:spacing w:before="180" w:line="208" w:lineRule="auto"/>
        <w:ind w:right="512"/>
        <w:jc w:val="both"/>
        <w:rPr>
          <w:sz w:val="20"/>
        </w:rPr>
      </w:pPr>
      <w:hyperlink r:id="rId98">
        <w:r>
          <w:rPr>
            <w:color w:val="0000FF"/>
            <w:sz w:val="20"/>
            <w:u w:val="single" w:color="0000FF"/>
          </w:rPr>
          <w:t>Form of Performance Stock Unit Award Agreement (2020 - 2022 Performance Period) under the Loc</w:t>
        </w:r>
      </w:hyperlink>
      <w:r>
        <w:rPr>
          <w:color w:val="0000FF"/>
          <w:sz w:val="20"/>
          <w:u w:val="single" w:color="0000FF"/>
        </w:rPr>
        <w:t>kheed</w:t>
      </w:r>
      <w:r>
        <w:rPr>
          <w:color w:val="0000FF"/>
          <w:sz w:val="20"/>
        </w:rPr>
        <w:t xml:space="preserve"> </w:t>
      </w:r>
      <w:hyperlink r:id="rId99">
        <w:r>
          <w:rPr>
            <w:color w:val="0000FF"/>
            <w:sz w:val="20"/>
            <w:u w:val="single" w:color="0000FF"/>
          </w:rPr>
          <w:t>Martin Corporation 2020 Incentive Performance Award Plan (incorporated by reference to Exhibit</w:t>
        </w:r>
      </w:hyperlink>
      <w:r>
        <w:rPr>
          <w:color w:val="0000FF"/>
          <w:sz w:val="20"/>
          <w:u w:val="single" w:color="0000FF"/>
        </w:rPr>
        <w:t xml:space="preserve"> 10.3 to</w:t>
      </w:r>
      <w:r>
        <w:rPr>
          <w:color w:val="0000FF"/>
          <w:sz w:val="20"/>
        </w:rPr>
        <w:t xml:space="preserve"> </w:t>
      </w:r>
      <w:hyperlink r:id="rId100">
        <w:r>
          <w:rPr>
            <w:color w:val="0000FF"/>
            <w:sz w:val="20"/>
            <w:u w:val="single" w:color="0000FF"/>
          </w:rPr>
          <w:t>Lockheed Martin Corporation’s Quarterly Report on Form 10-Q for the quarter ended June 28, 2020).</w:t>
        </w:r>
      </w:hyperlink>
    </w:p>
    <w:p w14:paraId="06148A97" w14:textId="77777777" w:rsidR="00AE2255" w:rsidRDefault="00000000">
      <w:pPr>
        <w:pStyle w:val="ListParagraph"/>
        <w:numPr>
          <w:ilvl w:val="1"/>
          <w:numId w:val="9"/>
        </w:numPr>
        <w:tabs>
          <w:tab w:val="left" w:pos="1652"/>
          <w:tab w:val="left" w:pos="1653"/>
        </w:tabs>
        <w:spacing w:before="179" w:line="208" w:lineRule="auto"/>
        <w:ind w:right="510"/>
        <w:jc w:val="both"/>
        <w:rPr>
          <w:sz w:val="20"/>
        </w:rPr>
      </w:pPr>
      <w:hyperlink r:id="rId101">
        <w:r>
          <w:rPr>
            <w:color w:val="0000FF"/>
            <w:sz w:val="20"/>
            <w:u w:val="single" w:color="0000FF"/>
          </w:rPr>
          <w:t>Form of Long Term Incentive Performance Award Agreement (2020 - 2022 Performance Period) und</w:t>
        </w:r>
      </w:hyperlink>
      <w:r>
        <w:rPr>
          <w:color w:val="0000FF"/>
          <w:sz w:val="20"/>
          <w:u w:val="single" w:color="0000FF"/>
        </w:rPr>
        <w:t>er the</w:t>
      </w:r>
      <w:r>
        <w:rPr>
          <w:color w:val="0000FF"/>
          <w:sz w:val="20"/>
        </w:rPr>
        <w:t xml:space="preserve"> </w:t>
      </w:r>
      <w:hyperlink r:id="rId102">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Incentive</w:t>
        </w:r>
        <w:r>
          <w:rPr>
            <w:color w:val="0000FF"/>
            <w:spacing w:val="-3"/>
            <w:sz w:val="20"/>
            <w:u w:val="single" w:color="0000FF"/>
          </w:rPr>
          <w:t xml:space="preserve"> </w:t>
        </w:r>
        <w:r>
          <w:rPr>
            <w:color w:val="0000FF"/>
            <w:sz w:val="20"/>
            <w:u w:val="single" w:color="0000FF"/>
          </w:rPr>
          <w:t>Performance</w:t>
        </w:r>
        <w:r>
          <w:rPr>
            <w:color w:val="0000FF"/>
            <w:spacing w:val="-3"/>
            <w:sz w:val="20"/>
            <w:u w:val="single" w:color="0000FF"/>
          </w:rPr>
          <w:t xml:space="preserve"> </w:t>
        </w:r>
        <w:r>
          <w:rPr>
            <w:color w:val="0000FF"/>
            <w:sz w:val="20"/>
            <w:u w:val="single" w:color="0000FF"/>
          </w:rPr>
          <w:t>Award</w:t>
        </w:r>
        <w:r>
          <w:rPr>
            <w:color w:val="0000FF"/>
            <w:spacing w:val="-3"/>
            <w:sz w:val="20"/>
            <w:u w:val="single" w:color="0000FF"/>
          </w:rPr>
          <w:t xml:space="preserve"> </w:t>
        </w:r>
        <w:r>
          <w:rPr>
            <w:color w:val="0000FF"/>
            <w:sz w:val="20"/>
            <w:u w:val="single" w:color="0000FF"/>
          </w:rPr>
          <w:t>Plan</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3"/>
            <w:sz w:val="20"/>
            <w:u w:val="single" w:color="0000FF"/>
          </w:rPr>
          <w:t xml:space="preserve"> </w:t>
        </w:r>
        <w:r>
          <w:rPr>
            <w:color w:val="0000FF"/>
            <w:sz w:val="20"/>
            <w:u w:val="single" w:color="0000FF"/>
          </w:rPr>
          <w:t>10.4</w:t>
        </w:r>
      </w:hyperlink>
      <w:r>
        <w:rPr>
          <w:color w:val="0000FF"/>
          <w:sz w:val="20"/>
        </w:rPr>
        <w:t xml:space="preserve"> </w:t>
      </w:r>
      <w:hyperlink r:id="rId103">
        <w:r>
          <w:rPr>
            <w:color w:val="0000FF"/>
            <w:sz w:val="20"/>
            <w:u w:val="single" w:color="0000FF"/>
          </w:rPr>
          <w:t>to Lockheed Martin Corporation’s Quarterly Report on Form 10-Q for the quarter ended June 28, 2020).</w:t>
        </w:r>
      </w:hyperlink>
    </w:p>
    <w:p w14:paraId="5D15689E"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104">
        <w:r>
          <w:rPr>
            <w:color w:val="0000FF"/>
            <w:sz w:val="20"/>
            <w:u w:val="single" w:color="0000FF"/>
          </w:rPr>
          <w:t>Form of 2021 Annual Restricted Stock Unit Award Agreement under the Lockheed Martin Corporation</w:t>
        </w:r>
      </w:hyperlink>
      <w:r>
        <w:rPr>
          <w:color w:val="0000FF"/>
          <w:sz w:val="20"/>
          <w:u w:val="single" w:color="0000FF"/>
        </w:rPr>
        <w:t xml:space="preserve"> 2020</w:t>
      </w:r>
      <w:r>
        <w:rPr>
          <w:color w:val="0000FF"/>
          <w:sz w:val="20"/>
        </w:rPr>
        <w:t xml:space="preserve"> </w:t>
      </w:r>
      <w:hyperlink r:id="rId105">
        <w:r>
          <w:rPr>
            <w:color w:val="0000FF"/>
            <w:sz w:val="20"/>
            <w:u w:val="single" w:color="0000FF"/>
          </w:rPr>
          <w:t>Incentive Performance Award Plan (incorporated by reference to Exhibit 10.1 to Lockheed Martin Corporation’</w:t>
        </w:r>
      </w:hyperlink>
      <w:r>
        <w:rPr>
          <w:color w:val="0000FF"/>
          <w:sz w:val="20"/>
          <w:u w:val="single" w:color="0000FF"/>
        </w:rPr>
        <w:t>s</w:t>
      </w:r>
      <w:r>
        <w:rPr>
          <w:color w:val="0000FF"/>
          <w:sz w:val="20"/>
        </w:rPr>
        <w:t xml:space="preserve"> </w:t>
      </w:r>
      <w:hyperlink r:id="rId106">
        <w:r>
          <w:rPr>
            <w:color w:val="0000FF"/>
            <w:sz w:val="20"/>
            <w:u w:val="single" w:color="0000FF"/>
          </w:rPr>
          <w:t>Quarterly Report on Form 10-Q for the quarter ended March 28, 2021).</w:t>
        </w:r>
      </w:hyperlink>
    </w:p>
    <w:p w14:paraId="195B6438" w14:textId="77777777" w:rsidR="00AE2255" w:rsidRDefault="00000000">
      <w:pPr>
        <w:pStyle w:val="ListParagraph"/>
        <w:numPr>
          <w:ilvl w:val="1"/>
          <w:numId w:val="9"/>
        </w:numPr>
        <w:tabs>
          <w:tab w:val="left" w:pos="1652"/>
          <w:tab w:val="left" w:pos="1653"/>
        </w:tabs>
        <w:spacing w:before="180" w:line="208" w:lineRule="auto"/>
        <w:ind w:right="512"/>
        <w:jc w:val="both"/>
        <w:rPr>
          <w:sz w:val="20"/>
        </w:rPr>
      </w:pPr>
      <w:hyperlink r:id="rId107">
        <w:r>
          <w:rPr>
            <w:color w:val="0000FF"/>
            <w:sz w:val="20"/>
            <w:u w:val="single" w:color="0000FF"/>
          </w:rPr>
          <w:t>Form of Performance Stock Unit Award Agreement (2021 - 2023 Performance Period) under the Loc</w:t>
        </w:r>
      </w:hyperlink>
      <w:r>
        <w:rPr>
          <w:color w:val="0000FF"/>
          <w:sz w:val="20"/>
          <w:u w:val="single" w:color="0000FF"/>
        </w:rPr>
        <w:t>kheed</w:t>
      </w:r>
      <w:r>
        <w:rPr>
          <w:color w:val="0000FF"/>
          <w:sz w:val="20"/>
        </w:rPr>
        <w:t xml:space="preserve"> </w:t>
      </w:r>
      <w:hyperlink r:id="rId108">
        <w:r>
          <w:rPr>
            <w:color w:val="0000FF"/>
            <w:sz w:val="20"/>
            <w:u w:val="single" w:color="0000FF"/>
          </w:rPr>
          <w:t>Martin Corporation 2020 Incentive Performance Award Plan (incorporated by reference to Exhibit</w:t>
        </w:r>
      </w:hyperlink>
      <w:r>
        <w:rPr>
          <w:color w:val="0000FF"/>
          <w:sz w:val="20"/>
          <w:u w:val="single" w:color="0000FF"/>
        </w:rPr>
        <w:t xml:space="preserve"> 10.2 to</w:t>
      </w:r>
      <w:r>
        <w:rPr>
          <w:color w:val="0000FF"/>
          <w:sz w:val="20"/>
        </w:rPr>
        <w:t xml:space="preserve"> </w:t>
      </w:r>
      <w:hyperlink r:id="rId109">
        <w:r>
          <w:rPr>
            <w:color w:val="0000FF"/>
            <w:sz w:val="20"/>
            <w:u w:val="single" w:color="0000FF"/>
          </w:rPr>
          <w:t>Lockheed Martin Corporation’s Quarterly Report on Form 10-Q for the quarter ended March 28, 2021).</w:t>
        </w:r>
      </w:hyperlink>
    </w:p>
    <w:p w14:paraId="6220849E" w14:textId="77777777" w:rsidR="00AE2255" w:rsidRDefault="00000000">
      <w:pPr>
        <w:pStyle w:val="ListParagraph"/>
        <w:numPr>
          <w:ilvl w:val="1"/>
          <w:numId w:val="9"/>
        </w:numPr>
        <w:tabs>
          <w:tab w:val="left" w:pos="1652"/>
          <w:tab w:val="left" w:pos="1653"/>
        </w:tabs>
        <w:spacing w:before="180" w:line="208" w:lineRule="auto"/>
        <w:ind w:right="510"/>
        <w:jc w:val="both"/>
        <w:rPr>
          <w:sz w:val="20"/>
        </w:rPr>
      </w:pPr>
      <w:hyperlink r:id="rId110">
        <w:r>
          <w:rPr>
            <w:color w:val="0000FF"/>
            <w:sz w:val="20"/>
            <w:u w:val="single" w:color="0000FF"/>
          </w:rPr>
          <w:t>Form of Long Term Incentive Performance Award Agreement (2021 - 2023 Performance Period) und</w:t>
        </w:r>
      </w:hyperlink>
      <w:r>
        <w:rPr>
          <w:color w:val="0000FF"/>
          <w:sz w:val="20"/>
          <w:u w:val="single" w:color="0000FF"/>
        </w:rPr>
        <w:t>er the</w:t>
      </w:r>
      <w:r>
        <w:rPr>
          <w:color w:val="0000FF"/>
          <w:sz w:val="20"/>
        </w:rPr>
        <w:t xml:space="preserve"> </w:t>
      </w:r>
      <w:hyperlink r:id="rId111">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Incentive</w:t>
        </w:r>
        <w:r>
          <w:rPr>
            <w:color w:val="0000FF"/>
            <w:spacing w:val="-3"/>
            <w:sz w:val="20"/>
            <w:u w:val="single" w:color="0000FF"/>
          </w:rPr>
          <w:t xml:space="preserve"> </w:t>
        </w:r>
        <w:r>
          <w:rPr>
            <w:color w:val="0000FF"/>
            <w:sz w:val="20"/>
            <w:u w:val="single" w:color="0000FF"/>
          </w:rPr>
          <w:t>Performance</w:t>
        </w:r>
        <w:r>
          <w:rPr>
            <w:color w:val="0000FF"/>
            <w:spacing w:val="-3"/>
            <w:sz w:val="20"/>
            <w:u w:val="single" w:color="0000FF"/>
          </w:rPr>
          <w:t xml:space="preserve"> </w:t>
        </w:r>
        <w:r>
          <w:rPr>
            <w:color w:val="0000FF"/>
            <w:sz w:val="20"/>
            <w:u w:val="single" w:color="0000FF"/>
          </w:rPr>
          <w:t>Award</w:t>
        </w:r>
        <w:r>
          <w:rPr>
            <w:color w:val="0000FF"/>
            <w:spacing w:val="-3"/>
            <w:sz w:val="20"/>
            <w:u w:val="single" w:color="0000FF"/>
          </w:rPr>
          <w:t xml:space="preserve"> </w:t>
        </w:r>
        <w:r>
          <w:rPr>
            <w:color w:val="0000FF"/>
            <w:sz w:val="20"/>
            <w:u w:val="single" w:color="0000FF"/>
          </w:rPr>
          <w:t>Plan</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3"/>
            <w:sz w:val="20"/>
            <w:u w:val="single" w:color="0000FF"/>
          </w:rPr>
          <w:t xml:space="preserve"> </w:t>
        </w:r>
        <w:r>
          <w:rPr>
            <w:color w:val="0000FF"/>
            <w:sz w:val="20"/>
            <w:u w:val="single" w:color="0000FF"/>
          </w:rPr>
          <w:t>10.3</w:t>
        </w:r>
      </w:hyperlink>
      <w:r>
        <w:rPr>
          <w:color w:val="0000FF"/>
          <w:sz w:val="20"/>
        </w:rPr>
        <w:t xml:space="preserve"> </w:t>
      </w:r>
      <w:hyperlink r:id="rId112">
        <w:r>
          <w:rPr>
            <w:color w:val="0000FF"/>
            <w:sz w:val="20"/>
            <w:u w:val="single" w:color="0000FF"/>
          </w:rPr>
          <w:t>to Lockheed Martin Corporation’s Quarterly Report on Form 10-Q for the quarter ended March 28, 2021).</w:t>
        </w:r>
      </w:hyperlink>
    </w:p>
    <w:p w14:paraId="148C9E28" w14:textId="77777777" w:rsidR="00AE2255" w:rsidRDefault="00000000">
      <w:pPr>
        <w:pStyle w:val="ListParagraph"/>
        <w:numPr>
          <w:ilvl w:val="1"/>
          <w:numId w:val="9"/>
        </w:numPr>
        <w:tabs>
          <w:tab w:val="left" w:pos="1652"/>
          <w:tab w:val="left" w:pos="1653"/>
        </w:tabs>
        <w:spacing w:before="179" w:line="208" w:lineRule="auto"/>
        <w:ind w:right="511"/>
        <w:jc w:val="both"/>
        <w:rPr>
          <w:sz w:val="20"/>
        </w:rPr>
      </w:pPr>
      <w:hyperlink r:id="rId113">
        <w:r>
          <w:rPr>
            <w:color w:val="0000FF"/>
            <w:sz w:val="20"/>
            <w:u w:val="single" w:color="0000FF"/>
          </w:rPr>
          <w:t>Form of 2022 Annual Restricted Stock Unit Award Agreement under the Lockheed Martin Corporation</w:t>
        </w:r>
      </w:hyperlink>
      <w:r>
        <w:rPr>
          <w:color w:val="0000FF"/>
          <w:sz w:val="20"/>
          <w:u w:val="single" w:color="0000FF"/>
        </w:rPr>
        <w:t xml:space="preserve"> 2020</w:t>
      </w:r>
      <w:r>
        <w:rPr>
          <w:color w:val="0000FF"/>
          <w:sz w:val="20"/>
        </w:rPr>
        <w:t xml:space="preserve"> </w:t>
      </w:r>
      <w:hyperlink r:id="rId114">
        <w:r>
          <w:rPr>
            <w:color w:val="0000FF"/>
            <w:sz w:val="20"/>
            <w:u w:val="single" w:color="0000FF"/>
          </w:rPr>
          <w:t>Incentive Performance Award Plan (incorporated by reference to Exhibit 10.1 to Lockheed Martin Corporation’</w:t>
        </w:r>
      </w:hyperlink>
      <w:r>
        <w:rPr>
          <w:color w:val="0000FF"/>
          <w:sz w:val="20"/>
          <w:u w:val="single" w:color="0000FF"/>
        </w:rPr>
        <w:t>s</w:t>
      </w:r>
      <w:r>
        <w:rPr>
          <w:color w:val="0000FF"/>
          <w:sz w:val="20"/>
        </w:rPr>
        <w:t xml:space="preserve"> </w:t>
      </w:r>
      <w:hyperlink r:id="rId115">
        <w:r>
          <w:rPr>
            <w:color w:val="0000FF"/>
            <w:sz w:val="20"/>
            <w:u w:val="single" w:color="0000FF"/>
          </w:rPr>
          <w:t>Quarterly Report on Form 10-Q for the quarter ended March 27, 2022).</w:t>
        </w:r>
      </w:hyperlink>
    </w:p>
    <w:p w14:paraId="719C2890" w14:textId="77777777" w:rsidR="00AE2255" w:rsidRDefault="00000000">
      <w:pPr>
        <w:pStyle w:val="ListParagraph"/>
        <w:numPr>
          <w:ilvl w:val="1"/>
          <w:numId w:val="9"/>
        </w:numPr>
        <w:tabs>
          <w:tab w:val="left" w:pos="1652"/>
          <w:tab w:val="left" w:pos="1653"/>
        </w:tabs>
        <w:spacing w:before="180" w:line="208" w:lineRule="auto"/>
        <w:ind w:right="512"/>
        <w:jc w:val="both"/>
        <w:rPr>
          <w:sz w:val="20"/>
        </w:rPr>
      </w:pPr>
      <w:hyperlink r:id="rId116">
        <w:r>
          <w:rPr>
            <w:color w:val="0000FF"/>
            <w:sz w:val="20"/>
            <w:u w:val="single" w:color="0000FF"/>
          </w:rPr>
          <w:t>Form of Performance Stock Unit Award Agreement (2022 - 2024 Performance Period) under the Loc</w:t>
        </w:r>
      </w:hyperlink>
      <w:r>
        <w:rPr>
          <w:color w:val="0000FF"/>
          <w:sz w:val="20"/>
          <w:u w:val="single" w:color="0000FF"/>
        </w:rPr>
        <w:t>kheed</w:t>
      </w:r>
      <w:r>
        <w:rPr>
          <w:color w:val="0000FF"/>
          <w:sz w:val="20"/>
        </w:rPr>
        <w:t xml:space="preserve"> </w:t>
      </w:r>
      <w:hyperlink r:id="rId117">
        <w:r>
          <w:rPr>
            <w:color w:val="0000FF"/>
            <w:sz w:val="20"/>
            <w:u w:val="single" w:color="0000FF"/>
          </w:rPr>
          <w:t>Martin Corporation 2020 Incentive Performance Award Plan (incorporated by reference to Exhibit</w:t>
        </w:r>
      </w:hyperlink>
      <w:r>
        <w:rPr>
          <w:color w:val="0000FF"/>
          <w:sz w:val="20"/>
          <w:u w:val="single" w:color="0000FF"/>
        </w:rPr>
        <w:t xml:space="preserve"> 10.2 to</w:t>
      </w:r>
      <w:r>
        <w:rPr>
          <w:color w:val="0000FF"/>
          <w:sz w:val="20"/>
        </w:rPr>
        <w:t xml:space="preserve"> </w:t>
      </w:r>
      <w:hyperlink r:id="rId118">
        <w:r>
          <w:rPr>
            <w:color w:val="0000FF"/>
            <w:sz w:val="20"/>
            <w:u w:val="single" w:color="0000FF"/>
          </w:rPr>
          <w:t>Lockheed Martin Corporation’s Quarterly Report on Form 10-Q for the quarter ended March 27, 2022).</w:t>
        </w:r>
      </w:hyperlink>
    </w:p>
    <w:p w14:paraId="0ECD19D2" w14:textId="77777777" w:rsidR="00AE2255" w:rsidRDefault="00000000">
      <w:pPr>
        <w:pStyle w:val="ListParagraph"/>
        <w:numPr>
          <w:ilvl w:val="1"/>
          <w:numId w:val="9"/>
        </w:numPr>
        <w:tabs>
          <w:tab w:val="left" w:pos="1652"/>
          <w:tab w:val="left" w:pos="1653"/>
        </w:tabs>
        <w:spacing w:before="180" w:line="208" w:lineRule="auto"/>
        <w:ind w:right="510"/>
        <w:jc w:val="both"/>
        <w:rPr>
          <w:sz w:val="20"/>
        </w:rPr>
      </w:pPr>
      <w:hyperlink r:id="rId119">
        <w:r>
          <w:rPr>
            <w:color w:val="0000FF"/>
            <w:sz w:val="20"/>
            <w:u w:val="single" w:color="0000FF"/>
          </w:rPr>
          <w:t>Form of Long Term Incentive Performance Award Agreement (2022 - 2024 Performance Period) und</w:t>
        </w:r>
      </w:hyperlink>
      <w:r>
        <w:rPr>
          <w:color w:val="0000FF"/>
          <w:sz w:val="20"/>
          <w:u w:val="single" w:color="0000FF"/>
        </w:rPr>
        <w:t>er the</w:t>
      </w:r>
      <w:r>
        <w:rPr>
          <w:color w:val="0000FF"/>
          <w:sz w:val="20"/>
        </w:rPr>
        <w:t xml:space="preserve"> </w:t>
      </w:r>
      <w:hyperlink r:id="rId120">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w:t>
        </w:r>
        <w:r>
          <w:rPr>
            <w:color w:val="0000FF"/>
            <w:spacing w:val="-3"/>
            <w:sz w:val="20"/>
            <w:u w:val="single" w:color="0000FF"/>
          </w:rPr>
          <w:t xml:space="preserve"> </w:t>
        </w:r>
        <w:r>
          <w:rPr>
            <w:color w:val="0000FF"/>
            <w:sz w:val="20"/>
            <w:u w:val="single" w:color="0000FF"/>
          </w:rPr>
          <w:t>2020</w:t>
        </w:r>
        <w:r>
          <w:rPr>
            <w:color w:val="0000FF"/>
            <w:spacing w:val="-3"/>
            <w:sz w:val="20"/>
            <w:u w:val="single" w:color="0000FF"/>
          </w:rPr>
          <w:t xml:space="preserve"> </w:t>
        </w:r>
        <w:r>
          <w:rPr>
            <w:color w:val="0000FF"/>
            <w:sz w:val="20"/>
            <w:u w:val="single" w:color="0000FF"/>
          </w:rPr>
          <w:t>Incentive</w:t>
        </w:r>
        <w:r>
          <w:rPr>
            <w:color w:val="0000FF"/>
            <w:spacing w:val="-3"/>
            <w:sz w:val="20"/>
            <w:u w:val="single" w:color="0000FF"/>
          </w:rPr>
          <w:t xml:space="preserve"> </w:t>
        </w:r>
        <w:r>
          <w:rPr>
            <w:color w:val="0000FF"/>
            <w:sz w:val="20"/>
            <w:u w:val="single" w:color="0000FF"/>
          </w:rPr>
          <w:t>Performance</w:t>
        </w:r>
        <w:r>
          <w:rPr>
            <w:color w:val="0000FF"/>
            <w:spacing w:val="-3"/>
            <w:sz w:val="20"/>
            <w:u w:val="single" w:color="0000FF"/>
          </w:rPr>
          <w:t xml:space="preserve"> </w:t>
        </w:r>
        <w:r>
          <w:rPr>
            <w:color w:val="0000FF"/>
            <w:sz w:val="20"/>
            <w:u w:val="single" w:color="0000FF"/>
          </w:rPr>
          <w:t>Award</w:t>
        </w:r>
        <w:r>
          <w:rPr>
            <w:color w:val="0000FF"/>
            <w:spacing w:val="-3"/>
            <w:sz w:val="20"/>
            <w:u w:val="single" w:color="0000FF"/>
          </w:rPr>
          <w:t xml:space="preserve"> </w:t>
        </w:r>
        <w:r>
          <w:rPr>
            <w:color w:val="0000FF"/>
            <w:sz w:val="20"/>
            <w:u w:val="single" w:color="0000FF"/>
          </w:rPr>
          <w:t>Plan</w:t>
        </w:r>
        <w:r>
          <w:rPr>
            <w:color w:val="0000FF"/>
            <w:spacing w:val="-3"/>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3"/>
            <w:sz w:val="20"/>
            <w:u w:val="single" w:color="0000FF"/>
          </w:rPr>
          <w:t xml:space="preserve"> </w:t>
        </w:r>
        <w:r>
          <w:rPr>
            <w:color w:val="0000FF"/>
            <w:sz w:val="20"/>
            <w:u w:val="single" w:color="0000FF"/>
          </w:rPr>
          <w:t>10.3</w:t>
        </w:r>
      </w:hyperlink>
      <w:r>
        <w:rPr>
          <w:color w:val="0000FF"/>
          <w:sz w:val="20"/>
        </w:rPr>
        <w:t xml:space="preserve"> </w:t>
      </w:r>
      <w:hyperlink r:id="rId121">
        <w:r>
          <w:rPr>
            <w:color w:val="0000FF"/>
            <w:sz w:val="20"/>
            <w:u w:val="single" w:color="0000FF"/>
          </w:rPr>
          <w:t>to Lockheed Martin Corporation’s Quarterly Report on Form 10-Q for the quarter ended March 27, 2022).</w:t>
        </w:r>
      </w:hyperlink>
    </w:p>
    <w:p w14:paraId="6D644A5A"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122">
        <w:r>
          <w:rPr>
            <w:color w:val="0000FF"/>
            <w:sz w:val="20"/>
            <w:u w:val="single" w:color="0000FF"/>
          </w:rPr>
          <w:t>CFO New Hire Restricted Stock Unit Award Agreement under the Lockheed Martin Corporation 2020 Incentiv</w:t>
        </w:r>
      </w:hyperlink>
      <w:r>
        <w:rPr>
          <w:color w:val="0000FF"/>
          <w:sz w:val="20"/>
          <w:u w:val="single" w:color="0000FF"/>
        </w:rPr>
        <w:t>e</w:t>
      </w:r>
      <w:r>
        <w:rPr>
          <w:color w:val="0000FF"/>
          <w:sz w:val="20"/>
        </w:rPr>
        <w:t xml:space="preserve"> </w:t>
      </w:r>
      <w:hyperlink r:id="rId123">
        <w:r>
          <w:rPr>
            <w:color w:val="0000FF"/>
            <w:sz w:val="20"/>
            <w:u w:val="single" w:color="0000FF"/>
          </w:rPr>
          <w:t>Performance Award Plan (incorporated by reference to Exhibit 10.4 to Lockheed Martin Corporation’s Quarterl</w:t>
        </w:r>
      </w:hyperlink>
      <w:r>
        <w:rPr>
          <w:color w:val="0000FF"/>
          <w:sz w:val="20"/>
          <w:u w:val="single" w:color="0000FF"/>
        </w:rPr>
        <w:t>y</w:t>
      </w:r>
      <w:r>
        <w:rPr>
          <w:color w:val="0000FF"/>
          <w:sz w:val="20"/>
        </w:rPr>
        <w:t xml:space="preserve"> </w:t>
      </w:r>
      <w:hyperlink r:id="rId124">
        <w:r>
          <w:rPr>
            <w:color w:val="0000FF"/>
            <w:sz w:val="20"/>
            <w:u w:val="single" w:color="0000FF"/>
          </w:rPr>
          <w:t>Report on Form 10-Q for the quarter ended March 27, 2022).</w:t>
        </w:r>
      </w:hyperlink>
    </w:p>
    <w:p w14:paraId="3B856052" w14:textId="77777777" w:rsidR="00AE2255" w:rsidRDefault="00000000">
      <w:pPr>
        <w:pStyle w:val="ListParagraph"/>
        <w:numPr>
          <w:ilvl w:val="1"/>
          <w:numId w:val="9"/>
        </w:numPr>
        <w:tabs>
          <w:tab w:val="left" w:pos="1652"/>
          <w:tab w:val="left" w:pos="1653"/>
        </w:tabs>
        <w:spacing w:before="179" w:line="208" w:lineRule="auto"/>
        <w:ind w:right="510"/>
        <w:jc w:val="both"/>
        <w:rPr>
          <w:sz w:val="20"/>
        </w:rPr>
      </w:pPr>
      <w:hyperlink r:id="rId125">
        <w:r>
          <w:rPr>
            <w:color w:val="0000FF"/>
            <w:sz w:val="20"/>
            <w:u w:val="single" w:color="0000FF"/>
          </w:rPr>
          <w:t>CFO Transition Restricted Stock Unit Award Agreement under the Lockheed Martin Corporation 2020 Incentiv</w:t>
        </w:r>
      </w:hyperlink>
      <w:r>
        <w:rPr>
          <w:color w:val="0000FF"/>
          <w:sz w:val="20"/>
          <w:u w:val="single" w:color="0000FF"/>
        </w:rPr>
        <w:t>e</w:t>
      </w:r>
      <w:r>
        <w:rPr>
          <w:color w:val="0000FF"/>
          <w:sz w:val="20"/>
        </w:rPr>
        <w:t xml:space="preserve"> </w:t>
      </w:r>
      <w:hyperlink r:id="rId126">
        <w:r>
          <w:rPr>
            <w:color w:val="0000FF"/>
            <w:sz w:val="20"/>
            <w:u w:val="single" w:color="0000FF"/>
          </w:rPr>
          <w:t>Performance Award Plan (incorporated by reference to Exhibit 10.5 to Lockheed Martin Corporation’s Quarterl</w:t>
        </w:r>
      </w:hyperlink>
      <w:r>
        <w:rPr>
          <w:color w:val="0000FF"/>
          <w:sz w:val="20"/>
          <w:u w:val="single" w:color="0000FF"/>
        </w:rPr>
        <w:t>y</w:t>
      </w:r>
      <w:r>
        <w:rPr>
          <w:color w:val="0000FF"/>
          <w:sz w:val="20"/>
        </w:rPr>
        <w:t xml:space="preserve"> </w:t>
      </w:r>
      <w:hyperlink r:id="rId127">
        <w:r>
          <w:rPr>
            <w:color w:val="0000FF"/>
            <w:sz w:val="20"/>
            <w:u w:val="single" w:color="0000FF"/>
          </w:rPr>
          <w:t>Report on Form 10-Q for the quarter ended March 27, 2022).</w:t>
        </w:r>
      </w:hyperlink>
    </w:p>
    <w:p w14:paraId="06CD0CEC"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128">
        <w:r>
          <w:rPr>
            <w:color w:val="0000FF"/>
            <w:sz w:val="20"/>
            <w:u w:val="single" w:color="0000FF"/>
          </w:rPr>
          <w:t>Amendment to Outstanding Long-Term Incentive Performance and Performance Stock Unit Award Agreemen</w:t>
        </w:r>
      </w:hyperlink>
      <w:r>
        <w:rPr>
          <w:color w:val="0000FF"/>
          <w:sz w:val="20"/>
          <w:u w:val="single" w:color="0000FF"/>
        </w:rPr>
        <w:t>ts</w:t>
      </w:r>
      <w:r>
        <w:rPr>
          <w:color w:val="0000FF"/>
          <w:sz w:val="20"/>
        </w:rPr>
        <w:t xml:space="preserve"> </w:t>
      </w:r>
      <w:hyperlink r:id="rId129">
        <w:r>
          <w:rPr>
            <w:color w:val="0000FF"/>
            <w:sz w:val="20"/>
            <w:u w:val="single" w:color="0000FF"/>
          </w:rPr>
          <w:t>(effective September 14, 2020) (incorporated by reference to Exhibit 10.2 to Lockheed Martin Corporat</w:t>
        </w:r>
      </w:hyperlink>
      <w:r>
        <w:rPr>
          <w:color w:val="0000FF"/>
          <w:sz w:val="20"/>
          <w:u w:val="single" w:color="0000FF"/>
        </w:rPr>
        <w:t>ion’s</w:t>
      </w:r>
      <w:r>
        <w:rPr>
          <w:color w:val="0000FF"/>
          <w:sz w:val="20"/>
        </w:rPr>
        <w:t xml:space="preserve"> </w:t>
      </w:r>
      <w:hyperlink r:id="rId130">
        <w:r>
          <w:rPr>
            <w:color w:val="0000FF"/>
            <w:sz w:val="20"/>
            <w:u w:val="single" w:color="0000FF"/>
          </w:rPr>
          <w:t>Quarterly Report on Form 10-Q for the quarter ended September 27, 2020).</w:t>
        </w:r>
      </w:hyperlink>
    </w:p>
    <w:p w14:paraId="03757921"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131">
        <w:r>
          <w:rPr>
            <w:color w:val="0000FF"/>
            <w:sz w:val="20"/>
            <w:u w:val="single" w:color="0000FF"/>
          </w:rPr>
          <w:t>Amendment to Outstanding Long-Term Incentive Performance and Performance Stock Unit Award Agreemen</w:t>
        </w:r>
      </w:hyperlink>
      <w:r>
        <w:rPr>
          <w:color w:val="0000FF"/>
          <w:sz w:val="20"/>
          <w:u w:val="single" w:color="0000FF"/>
        </w:rPr>
        <w:t>ts</w:t>
      </w:r>
      <w:r>
        <w:rPr>
          <w:color w:val="0000FF"/>
          <w:sz w:val="20"/>
        </w:rPr>
        <w:t xml:space="preserve"> </w:t>
      </w:r>
      <w:hyperlink r:id="rId132">
        <w:r>
          <w:rPr>
            <w:color w:val="0000FF"/>
            <w:sz w:val="20"/>
            <w:u w:val="single" w:color="0000FF"/>
          </w:rPr>
          <w:t>(effective February 24, 2021) (incorporated by reference to Exhibit 10.4 to Lockheed Martin Corpor</w:t>
        </w:r>
      </w:hyperlink>
      <w:r>
        <w:rPr>
          <w:color w:val="0000FF"/>
          <w:sz w:val="20"/>
          <w:u w:val="single" w:color="0000FF"/>
        </w:rPr>
        <w:t>ation’s</w:t>
      </w:r>
      <w:r>
        <w:rPr>
          <w:color w:val="0000FF"/>
          <w:sz w:val="20"/>
        </w:rPr>
        <w:t xml:space="preserve"> </w:t>
      </w:r>
      <w:hyperlink r:id="rId133">
        <w:r>
          <w:rPr>
            <w:color w:val="0000FF"/>
            <w:sz w:val="20"/>
            <w:u w:val="single" w:color="0000FF"/>
          </w:rPr>
          <w:t>Quarterly Report on Form 10-Q for the quarter ended March 28, 2021).</w:t>
        </w:r>
      </w:hyperlink>
    </w:p>
    <w:p w14:paraId="4CB48DBA" w14:textId="77777777" w:rsidR="00AE2255" w:rsidRDefault="00000000">
      <w:pPr>
        <w:pStyle w:val="ListParagraph"/>
        <w:numPr>
          <w:ilvl w:val="1"/>
          <w:numId w:val="9"/>
        </w:numPr>
        <w:tabs>
          <w:tab w:val="left" w:pos="1652"/>
          <w:tab w:val="left" w:pos="1653"/>
        </w:tabs>
        <w:spacing w:before="180" w:line="208" w:lineRule="auto"/>
        <w:ind w:right="511"/>
        <w:jc w:val="both"/>
        <w:rPr>
          <w:sz w:val="20"/>
        </w:rPr>
      </w:pPr>
      <w:hyperlink r:id="rId134">
        <w:r>
          <w:rPr>
            <w:color w:val="0000FF"/>
            <w:sz w:val="20"/>
            <w:u w:val="single" w:color="0000FF"/>
          </w:rPr>
          <w:t>Amendment to Outstanding Long-Term Incentive Performance and Performance Stock Unit Award Agreemen</w:t>
        </w:r>
      </w:hyperlink>
      <w:r>
        <w:rPr>
          <w:color w:val="0000FF"/>
          <w:sz w:val="20"/>
          <w:u w:val="single" w:color="0000FF"/>
        </w:rPr>
        <w:t>ts</w:t>
      </w:r>
      <w:r>
        <w:rPr>
          <w:color w:val="0000FF"/>
          <w:sz w:val="20"/>
        </w:rPr>
        <w:t xml:space="preserve"> </w:t>
      </w:r>
      <w:hyperlink r:id="rId135">
        <w:r>
          <w:rPr>
            <w:color w:val="0000FF"/>
            <w:sz w:val="20"/>
            <w:u w:val="single" w:color="0000FF"/>
          </w:rPr>
          <w:t>(effective June 24, 2021) (incorporated by reference to Exhibit 10.1 to Lockheed Martin Corporation’s Quarterl</w:t>
        </w:r>
      </w:hyperlink>
      <w:r>
        <w:rPr>
          <w:color w:val="0000FF"/>
          <w:sz w:val="20"/>
          <w:u w:val="single" w:color="0000FF"/>
        </w:rPr>
        <w:t>y</w:t>
      </w:r>
      <w:r>
        <w:rPr>
          <w:color w:val="0000FF"/>
          <w:sz w:val="20"/>
        </w:rPr>
        <w:t xml:space="preserve"> </w:t>
      </w:r>
      <w:hyperlink r:id="rId136">
        <w:r>
          <w:rPr>
            <w:color w:val="0000FF"/>
            <w:sz w:val="20"/>
            <w:u w:val="single" w:color="0000FF"/>
          </w:rPr>
          <w:t>Report on Form 10-Q for the quarter ended June 27, 2021).</w:t>
        </w:r>
      </w:hyperlink>
    </w:p>
    <w:p w14:paraId="45ADEEE3" w14:textId="77777777" w:rsidR="00AE2255" w:rsidRDefault="00000000">
      <w:pPr>
        <w:pStyle w:val="ListParagraph"/>
        <w:numPr>
          <w:ilvl w:val="1"/>
          <w:numId w:val="9"/>
        </w:numPr>
        <w:tabs>
          <w:tab w:val="left" w:pos="1652"/>
          <w:tab w:val="left" w:pos="1653"/>
        </w:tabs>
        <w:spacing w:before="179" w:line="208" w:lineRule="auto"/>
        <w:ind w:right="510"/>
        <w:jc w:val="both"/>
        <w:rPr>
          <w:sz w:val="20"/>
        </w:rPr>
      </w:pPr>
      <w:hyperlink r:id="rId137">
        <w:r>
          <w:rPr>
            <w:color w:val="0000FF"/>
            <w:sz w:val="20"/>
            <w:u w:val="single" w:color="0000FF"/>
          </w:rPr>
          <w:t>Amendment to Lockheed Martin Corporation Consolidated Supplemental Retirement Benefit Plan, as amend</w:t>
        </w:r>
      </w:hyperlink>
      <w:r>
        <w:rPr>
          <w:color w:val="0000FF"/>
          <w:sz w:val="20"/>
          <w:u w:val="single" w:color="0000FF"/>
        </w:rPr>
        <w:t>ed</w:t>
      </w:r>
      <w:r>
        <w:rPr>
          <w:color w:val="0000FF"/>
          <w:sz w:val="20"/>
        </w:rPr>
        <w:t xml:space="preserve"> </w:t>
      </w:r>
      <w:hyperlink r:id="rId138">
        <w:r>
          <w:rPr>
            <w:color w:val="0000FF"/>
            <w:sz w:val="20"/>
            <w:u w:val="single" w:color="0000FF"/>
          </w:rPr>
          <w:t>and restated effective October 5, 2018 (incorporated by reference to Exhibit 10.9 to Lock</w:t>
        </w:r>
      </w:hyperlink>
      <w:r>
        <w:rPr>
          <w:color w:val="0000FF"/>
          <w:sz w:val="20"/>
          <w:u w:val="single" w:color="0000FF"/>
        </w:rPr>
        <w:t>heed Martin</w:t>
      </w:r>
      <w:r>
        <w:rPr>
          <w:color w:val="0000FF"/>
          <w:sz w:val="20"/>
        </w:rPr>
        <w:t xml:space="preserve"> </w:t>
      </w:r>
      <w:hyperlink r:id="rId139">
        <w:r>
          <w:rPr>
            <w:color w:val="0000FF"/>
            <w:sz w:val="20"/>
            <w:u w:val="single" w:color="0000FF"/>
          </w:rPr>
          <w:t>Corporation’s Quarterly Report on Form 10-Q for the quarter ended March 27, 2022).</w:t>
        </w:r>
      </w:hyperlink>
    </w:p>
    <w:p w14:paraId="3CB25DE5" w14:textId="77777777" w:rsidR="00AE2255" w:rsidRDefault="00AE2255">
      <w:pPr>
        <w:spacing w:line="208" w:lineRule="auto"/>
        <w:jc w:val="both"/>
        <w:rPr>
          <w:sz w:val="20"/>
        </w:rPr>
        <w:sectPr w:rsidR="00AE2255">
          <w:pgSz w:w="12240" w:h="15840"/>
          <w:pgMar w:top="440" w:right="560" w:bottom="720" w:left="380" w:header="230" w:footer="531" w:gutter="0"/>
          <w:cols w:space="720"/>
        </w:sectPr>
      </w:pPr>
    </w:p>
    <w:p w14:paraId="21C8F575" w14:textId="77777777" w:rsidR="00AE2255" w:rsidRDefault="00AE2255">
      <w:pPr>
        <w:pStyle w:val="BodyText"/>
        <w:spacing w:before="4"/>
        <w:rPr>
          <w:sz w:val="28"/>
        </w:rPr>
      </w:pPr>
    </w:p>
    <w:p w14:paraId="357D461F" w14:textId="77777777" w:rsidR="00AE2255" w:rsidRDefault="00000000">
      <w:pPr>
        <w:pStyle w:val="ListParagraph"/>
        <w:numPr>
          <w:ilvl w:val="1"/>
          <w:numId w:val="9"/>
        </w:numPr>
        <w:tabs>
          <w:tab w:val="left" w:pos="1652"/>
          <w:tab w:val="left" w:pos="1653"/>
        </w:tabs>
        <w:spacing w:before="124" w:line="201" w:lineRule="auto"/>
        <w:ind w:right="510"/>
        <w:jc w:val="both"/>
        <w:rPr>
          <w:sz w:val="20"/>
        </w:rPr>
      </w:pPr>
      <w:hyperlink r:id="rId140">
        <w:r>
          <w:rPr>
            <w:color w:val="0000FF"/>
            <w:position w:val="1"/>
            <w:sz w:val="20"/>
            <w:u w:val="single" w:color="0000FF"/>
          </w:rPr>
          <w:t>Lockheed Martin Corporation Executive Severance Plan, as amended and restated effective December 1, 2</w:t>
        </w:r>
      </w:hyperlink>
      <w:r>
        <w:rPr>
          <w:color w:val="0000FF"/>
          <w:position w:val="1"/>
          <w:sz w:val="20"/>
          <w:u w:val="single" w:color="0000FF"/>
        </w:rPr>
        <w:t>016</w:t>
      </w:r>
      <w:r>
        <w:rPr>
          <w:color w:val="0000FF"/>
          <w:position w:val="1"/>
          <w:sz w:val="20"/>
        </w:rPr>
        <w:t xml:space="preserve"> </w:t>
      </w:r>
      <w:hyperlink r:id="rId141">
        <w:r>
          <w:rPr>
            <w:color w:val="0000FF"/>
            <w:sz w:val="20"/>
            <w:u w:val="single" w:color="0000FF"/>
          </w:rPr>
          <w:t>(incorporated by reference to Exhibit 10.26 to Lockheed Martin Corporation’s Annual Report on Form 10-K f</w:t>
        </w:r>
      </w:hyperlink>
      <w:r>
        <w:rPr>
          <w:color w:val="0000FF"/>
          <w:sz w:val="20"/>
          <w:u w:val="single" w:color="0000FF"/>
        </w:rPr>
        <w:t>or</w:t>
      </w:r>
      <w:r>
        <w:rPr>
          <w:color w:val="0000FF"/>
          <w:sz w:val="20"/>
        </w:rPr>
        <w:t xml:space="preserve"> </w:t>
      </w:r>
      <w:hyperlink r:id="rId142">
        <w:r>
          <w:rPr>
            <w:color w:val="0000FF"/>
            <w:sz w:val="20"/>
            <w:u w:val="single" w:color="0000FF"/>
          </w:rPr>
          <w:t>the year ended December 31, 2016)</w:t>
        </w:r>
      </w:hyperlink>
      <w:r>
        <w:rPr>
          <w:sz w:val="20"/>
        </w:rPr>
        <w:t>.</w:t>
      </w:r>
    </w:p>
    <w:p w14:paraId="21F7EB14" w14:textId="77777777" w:rsidR="00AE2255" w:rsidRDefault="00000000">
      <w:pPr>
        <w:pStyle w:val="ListParagraph"/>
        <w:numPr>
          <w:ilvl w:val="1"/>
          <w:numId w:val="9"/>
        </w:numPr>
        <w:tabs>
          <w:tab w:val="left" w:pos="1652"/>
          <w:tab w:val="left" w:pos="1653"/>
        </w:tabs>
        <w:spacing w:before="160" w:line="201" w:lineRule="auto"/>
        <w:ind w:right="511"/>
        <w:jc w:val="both"/>
        <w:rPr>
          <w:sz w:val="20"/>
        </w:rPr>
      </w:pPr>
      <w:hyperlink r:id="rId143">
        <w:r>
          <w:rPr>
            <w:color w:val="0000FF"/>
            <w:position w:val="1"/>
            <w:sz w:val="20"/>
            <w:u w:val="single" w:color="0000FF"/>
          </w:rPr>
          <w:t>Amendment No. 1 to Lockheed Martin Corporation Executive Severance Plan, as amended and restated effective</w:t>
        </w:r>
      </w:hyperlink>
      <w:r>
        <w:rPr>
          <w:color w:val="0000FF"/>
          <w:position w:val="1"/>
          <w:sz w:val="20"/>
        </w:rPr>
        <w:t xml:space="preserve"> </w:t>
      </w:r>
      <w:hyperlink r:id="rId144">
        <w:r>
          <w:rPr>
            <w:color w:val="0000FF"/>
            <w:sz w:val="20"/>
            <w:u w:val="single" w:color="0000FF"/>
          </w:rPr>
          <w:t>December 1, 2016 (incorporated by reference</w:t>
        </w:r>
        <w:r>
          <w:rPr>
            <w:color w:val="0000FF"/>
            <w:spacing w:val="-1"/>
            <w:sz w:val="20"/>
            <w:u w:val="single" w:color="0000FF"/>
          </w:rPr>
          <w:t xml:space="preserve"> </w:t>
        </w:r>
        <w:r>
          <w:rPr>
            <w:color w:val="0000FF"/>
            <w:sz w:val="20"/>
            <w:u w:val="single" w:color="0000FF"/>
          </w:rPr>
          <w:t>to Exhibit</w:t>
        </w:r>
        <w:r>
          <w:rPr>
            <w:color w:val="0000FF"/>
            <w:spacing w:val="-1"/>
            <w:sz w:val="20"/>
            <w:u w:val="single" w:color="0000FF"/>
          </w:rPr>
          <w:t xml:space="preserve"> </w:t>
        </w:r>
        <w:r>
          <w:rPr>
            <w:color w:val="0000FF"/>
            <w:sz w:val="20"/>
            <w:u w:val="single" w:color="0000FF"/>
          </w:rPr>
          <w:t>10.1 to Lockheed Martin Corporation’s</w:t>
        </w:r>
        <w:r>
          <w:rPr>
            <w:color w:val="0000FF"/>
            <w:spacing w:val="-1"/>
            <w:sz w:val="20"/>
            <w:u w:val="single" w:color="0000FF"/>
          </w:rPr>
          <w:t xml:space="preserve"> </w:t>
        </w:r>
        <w:r>
          <w:rPr>
            <w:color w:val="0000FF"/>
            <w:sz w:val="20"/>
            <w:u w:val="single" w:color="0000FF"/>
          </w:rPr>
          <w:t>Quarterly Report</w:t>
        </w:r>
      </w:hyperlink>
      <w:r>
        <w:rPr>
          <w:color w:val="0000FF"/>
          <w:sz w:val="20"/>
        </w:rPr>
        <w:t xml:space="preserve"> </w:t>
      </w:r>
      <w:hyperlink r:id="rId145">
        <w:r>
          <w:rPr>
            <w:color w:val="0000FF"/>
            <w:sz w:val="20"/>
            <w:u w:val="single" w:color="0000FF"/>
          </w:rPr>
          <w:t>on Form 10-Q for the quarter ended June 24, 2018)</w:t>
        </w:r>
      </w:hyperlink>
      <w:r>
        <w:rPr>
          <w:sz w:val="20"/>
        </w:rPr>
        <w:t>.</w:t>
      </w:r>
    </w:p>
    <w:p w14:paraId="3F02339C" w14:textId="77777777" w:rsidR="00AE2255" w:rsidRDefault="00000000">
      <w:pPr>
        <w:pStyle w:val="ListParagraph"/>
        <w:numPr>
          <w:ilvl w:val="1"/>
          <w:numId w:val="9"/>
        </w:numPr>
        <w:tabs>
          <w:tab w:val="left" w:pos="1652"/>
          <w:tab w:val="left" w:pos="1653"/>
        </w:tabs>
        <w:spacing w:before="163" w:line="208" w:lineRule="auto"/>
        <w:ind w:right="511"/>
        <w:jc w:val="both"/>
        <w:rPr>
          <w:sz w:val="20"/>
        </w:rPr>
      </w:pPr>
      <w:hyperlink r:id="rId146">
        <w:r>
          <w:rPr>
            <w:color w:val="0000FF"/>
            <w:sz w:val="20"/>
            <w:u w:val="single" w:color="0000FF"/>
          </w:rPr>
          <w:t>Amendment No. 2 to Lockheed Martin Corporation Executive Severance Plan, as amended and restated effective</w:t>
        </w:r>
      </w:hyperlink>
      <w:r>
        <w:rPr>
          <w:color w:val="0000FF"/>
          <w:sz w:val="20"/>
        </w:rPr>
        <w:t xml:space="preserve"> </w:t>
      </w:r>
      <w:hyperlink r:id="rId147">
        <w:r>
          <w:rPr>
            <w:color w:val="0000FF"/>
            <w:sz w:val="20"/>
            <w:u w:val="single" w:color="0000FF"/>
          </w:rPr>
          <w:t>December 1, 2016 (incorporated by reference</w:t>
        </w:r>
        <w:r>
          <w:rPr>
            <w:color w:val="0000FF"/>
            <w:spacing w:val="-1"/>
            <w:sz w:val="20"/>
            <w:u w:val="single" w:color="0000FF"/>
          </w:rPr>
          <w:t xml:space="preserve"> </w:t>
        </w:r>
        <w:r>
          <w:rPr>
            <w:color w:val="0000FF"/>
            <w:sz w:val="20"/>
            <w:u w:val="single" w:color="0000FF"/>
          </w:rPr>
          <w:t>to Exhibit</w:t>
        </w:r>
        <w:r>
          <w:rPr>
            <w:color w:val="0000FF"/>
            <w:spacing w:val="-1"/>
            <w:sz w:val="20"/>
            <w:u w:val="single" w:color="0000FF"/>
          </w:rPr>
          <w:t xml:space="preserve"> </w:t>
        </w:r>
        <w:r>
          <w:rPr>
            <w:color w:val="0000FF"/>
            <w:sz w:val="20"/>
            <w:u w:val="single" w:color="0000FF"/>
          </w:rPr>
          <w:t>10.6 to Lockheed Martin Corporation’s</w:t>
        </w:r>
        <w:r>
          <w:rPr>
            <w:color w:val="0000FF"/>
            <w:spacing w:val="-1"/>
            <w:sz w:val="20"/>
            <w:u w:val="single" w:color="0000FF"/>
          </w:rPr>
          <w:t xml:space="preserve"> </w:t>
        </w:r>
        <w:r>
          <w:rPr>
            <w:color w:val="0000FF"/>
            <w:sz w:val="20"/>
            <w:u w:val="single" w:color="0000FF"/>
          </w:rPr>
          <w:t>Quarterly Report</w:t>
        </w:r>
      </w:hyperlink>
      <w:r>
        <w:rPr>
          <w:color w:val="0000FF"/>
          <w:sz w:val="20"/>
        </w:rPr>
        <w:t xml:space="preserve"> </w:t>
      </w:r>
      <w:hyperlink r:id="rId148">
        <w:r>
          <w:rPr>
            <w:color w:val="0000FF"/>
            <w:sz w:val="20"/>
            <w:u w:val="single" w:color="0000FF"/>
          </w:rPr>
          <w:t>on Form 10-Q for the quarter ended June 28, 2020).</w:t>
        </w:r>
      </w:hyperlink>
    </w:p>
    <w:p w14:paraId="5282BD3D" w14:textId="77777777" w:rsidR="00AE2255" w:rsidRDefault="00000000">
      <w:pPr>
        <w:pStyle w:val="ListParagraph"/>
        <w:numPr>
          <w:ilvl w:val="1"/>
          <w:numId w:val="9"/>
        </w:numPr>
        <w:tabs>
          <w:tab w:val="left" w:pos="1652"/>
          <w:tab w:val="left" w:pos="1653"/>
        </w:tabs>
        <w:spacing w:before="160" w:line="208" w:lineRule="auto"/>
        <w:ind w:right="511"/>
        <w:jc w:val="both"/>
        <w:rPr>
          <w:sz w:val="20"/>
        </w:rPr>
      </w:pPr>
      <w:hyperlink r:id="rId149">
        <w:r>
          <w:rPr>
            <w:color w:val="0000FF"/>
            <w:sz w:val="20"/>
            <w:u w:val="single" w:color="0000FF"/>
          </w:rPr>
          <w:t>Amendment No. 3 to Lockheed Martin Corporation Executive Severance Plan, as amended and restated effective</w:t>
        </w:r>
      </w:hyperlink>
      <w:r>
        <w:rPr>
          <w:color w:val="0000FF"/>
          <w:sz w:val="20"/>
        </w:rPr>
        <w:t xml:space="preserve"> </w:t>
      </w:r>
      <w:hyperlink r:id="rId150">
        <w:r>
          <w:rPr>
            <w:color w:val="0000FF"/>
            <w:sz w:val="20"/>
            <w:u w:val="single" w:color="0000FF"/>
          </w:rPr>
          <w:t>December 1, 2016 (incorporated by reference</w:t>
        </w:r>
        <w:r>
          <w:rPr>
            <w:color w:val="0000FF"/>
            <w:spacing w:val="-1"/>
            <w:sz w:val="20"/>
            <w:u w:val="single" w:color="0000FF"/>
          </w:rPr>
          <w:t xml:space="preserve"> </w:t>
        </w:r>
        <w:r>
          <w:rPr>
            <w:color w:val="0000FF"/>
            <w:sz w:val="20"/>
            <w:u w:val="single" w:color="0000FF"/>
          </w:rPr>
          <w:t>to Exhibit</w:t>
        </w:r>
        <w:r>
          <w:rPr>
            <w:color w:val="0000FF"/>
            <w:spacing w:val="-1"/>
            <w:sz w:val="20"/>
            <w:u w:val="single" w:color="0000FF"/>
          </w:rPr>
          <w:t xml:space="preserve"> </w:t>
        </w:r>
        <w:r>
          <w:rPr>
            <w:color w:val="0000FF"/>
            <w:sz w:val="20"/>
            <w:u w:val="single" w:color="0000FF"/>
          </w:rPr>
          <w:t>10.1 to Lockheed Martin Corporation’s</w:t>
        </w:r>
        <w:r>
          <w:rPr>
            <w:color w:val="0000FF"/>
            <w:spacing w:val="-1"/>
            <w:sz w:val="20"/>
            <w:u w:val="single" w:color="0000FF"/>
          </w:rPr>
          <w:t xml:space="preserve"> </w:t>
        </w:r>
        <w:r>
          <w:rPr>
            <w:color w:val="0000FF"/>
            <w:sz w:val="20"/>
            <w:u w:val="single" w:color="0000FF"/>
          </w:rPr>
          <w:t>Quarterly Report</w:t>
        </w:r>
      </w:hyperlink>
      <w:r>
        <w:rPr>
          <w:color w:val="0000FF"/>
          <w:sz w:val="20"/>
        </w:rPr>
        <w:t xml:space="preserve"> </w:t>
      </w:r>
      <w:hyperlink r:id="rId151">
        <w:r>
          <w:rPr>
            <w:color w:val="0000FF"/>
            <w:sz w:val="20"/>
            <w:u w:val="single" w:color="0000FF"/>
          </w:rPr>
          <w:t>on Form 10-Q for the quarter ended September 27, 2020).</w:t>
        </w:r>
      </w:hyperlink>
    </w:p>
    <w:p w14:paraId="7CA2B7A1" w14:textId="77777777" w:rsidR="00AE2255" w:rsidRDefault="00000000">
      <w:pPr>
        <w:pStyle w:val="ListParagraph"/>
        <w:numPr>
          <w:ilvl w:val="1"/>
          <w:numId w:val="9"/>
        </w:numPr>
        <w:tabs>
          <w:tab w:val="left" w:pos="1652"/>
          <w:tab w:val="left" w:pos="1653"/>
        </w:tabs>
        <w:spacing w:before="160" w:line="208" w:lineRule="auto"/>
        <w:ind w:right="511"/>
        <w:jc w:val="both"/>
        <w:rPr>
          <w:sz w:val="20"/>
        </w:rPr>
      </w:pPr>
      <w:hyperlink r:id="rId152">
        <w:r>
          <w:rPr>
            <w:color w:val="0000FF"/>
            <w:sz w:val="20"/>
            <w:u w:val="single" w:color="0000FF"/>
          </w:rPr>
          <w:t>Amendment No. 4 to Lockheed Martin Corporation Executive Severance Plan, as amended and restated effective</w:t>
        </w:r>
      </w:hyperlink>
      <w:r>
        <w:rPr>
          <w:color w:val="0000FF"/>
          <w:sz w:val="20"/>
        </w:rPr>
        <w:t xml:space="preserve"> </w:t>
      </w:r>
      <w:hyperlink r:id="rId153">
        <w:r>
          <w:rPr>
            <w:color w:val="0000FF"/>
            <w:sz w:val="20"/>
            <w:u w:val="single" w:color="0000FF"/>
          </w:rPr>
          <w:t>December 1, 2016 (incorporated by reference</w:t>
        </w:r>
        <w:r>
          <w:rPr>
            <w:color w:val="0000FF"/>
            <w:spacing w:val="-1"/>
            <w:sz w:val="20"/>
            <w:u w:val="single" w:color="0000FF"/>
          </w:rPr>
          <w:t xml:space="preserve"> </w:t>
        </w:r>
        <w:r>
          <w:rPr>
            <w:color w:val="0000FF"/>
            <w:sz w:val="20"/>
            <w:u w:val="single" w:color="0000FF"/>
          </w:rPr>
          <w:t>to Exhibit</w:t>
        </w:r>
        <w:r>
          <w:rPr>
            <w:color w:val="0000FF"/>
            <w:spacing w:val="-1"/>
            <w:sz w:val="20"/>
            <w:u w:val="single" w:color="0000FF"/>
          </w:rPr>
          <w:t xml:space="preserve"> </w:t>
        </w:r>
        <w:r>
          <w:rPr>
            <w:color w:val="0000FF"/>
            <w:sz w:val="20"/>
            <w:u w:val="single" w:color="0000FF"/>
          </w:rPr>
          <w:t>10.1 to Lockheed Martin Corporation’s</w:t>
        </w:r>
        <w:r>
          <w:rPr>
            <w:color w:val="0000FF"/>
            <w:spacing w:val="-1"/>
            <w:sz w:val="20"/>
            <w:u w:val="single" w:color="0000FF"/>
          </w:rPr>
          <w:t xml:space="preserve"> </w:t>
        </w:r>
        <w:r>
          <w:rPr>
            <w:color w:val="0000FF"/>
            <w:sz w:val="20"/>
            <w:u w:val="single" w:color="0000FF"/>
          </w:rPr>
          <w:t>Quarterly Report</w:t>
        </w:r>
      </w:hyperlink>
      <w:r>
        <w:rPr>
          <w:color w:val="0000FF"/>
          <w:sz w:val="20"/>
        </w:rPr>
        <w:t xml:space="preserve"> </w:t>
      </w:r>
      <w:hyperlink r:id="rId154">
        <w:r>
          <w:rPr>
            <w:color w:val="0000FF"/>
            <w:sz w:val="20"/>
            <w:u w:val="single" w:color="0000FF"/>
          </w:rPr>
          <w:t>on Form 10-Q for the quarter ended September 25, 2022).</w:t>
        </w:r>
      </w:hyperlink>
    </w:p>
    <w:p w14:paraId="096B9FF7" w14:textId="77777777" w:rsidR="00AE2255" w:rsidRDefault="00000000">
      <w:pPr>
        <w:pStyle w:val="ListParagraph"/>
        <w:numPr>
          <w:ilvl w:val="1"/>
          <w:numId w:val="9"/>
        </w:numPr>
        <w:tabs>
          <w:tab w:val="left" w:pos="1652"/>
          <w:tab w:val="left" w:pos="1653"/>
        </w:tabs>
        <w:spacing w:before="160" w:line="208" w:lineRule="auto"/>
        <w:ind w:right="511"/>
        <w:jc w:val="both"/>
        <w:rPr>
          <w:sz w:val="20"/>
        </w:rPr>
      </w:pPr>
      <w:r>
        <w:rPr>
          <w:color w:val="0000FF"/>
          <w:sz w:val="20"/>
          <w:u w:val="single" w:color="0000FF"/>
        </w:rPr>
        <w:t>Amendment No. 5 to Lockheed Martin Corporation Executive Severance Plan, as amended and restated effective</w:t>
      </w:r>
      <w:r>
        <w:rPr>
          <w:color w:val="0000FF"/>
          <w:sz w:val="20"/>
        </w:rPr>
        <w:t xml:space="preserve"> </w:t>
      </w:r>
      <w:r>
        <w:rPr>
          <w:color w:val="0000FF"/>
          <w:sz w:val="20"/>
          <w:u w:val="single" w:color="0000FF"/>
        </w:rPr>
        <w:t>December 1, 2016.</w:t>
      </w:r>
    </w:p>
    <w:p w14:paraId="00E47F9B" w14:textId="77777777" w:rsidR="00AE2255" w:rsidRDefault="00000000">
      <w:pPr>
        <w:pStyle w:val="ListParagraph"/>
        <w:numPr>
          <w:ilvl w:val="1"/>
          <w:numId w:val="9"/>
        </w:numPr>
        <w:tabs>
          <w:tab w:val="left" w:pos="1652"/>
          <w:tab w:val="left" w:pos="1653"/>
        </w:tabs>
        <w:spacing w:before="159" w:line="208" w:lineRule="auto"/>
        <w:ind w:right="1149"/>
        <w:rPr>
          <w:sz w:val="20"/>
        </w:rPr>
      </w:pPr>
      <w:hyperlink r:id="rId155">
        <w:r>
          <w:rPr>
            <w:color w:val="0000FF"/>
            <w:sz w:val="20"/>
            <w:u w:val="single" w:color="0000FF"/>
          </w:rPr>
          <w:t>Offer</w:t>
        </w:r>
        <w:r>
          <w:rPr>
            <w:color w:val="0000FF"/>
            <w:spacing w:val="-3"/>
            <w:sz w:val="20"/>
            <w:u w:val="single" w:color="0000FF"/>
          </w:rPr>
          <w:t xml:space="preserve"> </w:t>
        </w:r>
        <w:r>
          <w:rPr>
            <w:color w:val="0000FF"/>
            <w:sz w:val="20"/>
            <w:u w:val="single" w:color="0000FF"/>
          </w:rPr>
          <w:t>Letter</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Jesus</w:t>
        </w:r>
        <w:r>
          <w:rPr>
            <w:color w:val="0000FF"/>
            <w:spacing w:val="-4"/>
            <w:sz w:val="20"/>
            <w:u w:val="single" w:color="0000FF"/>
          </w:rPr>
          <w:t xml:space="preserve"> </w:t>
        </w:r>
        <w:r>
          <w:rPr>
            <w:color w:val="0000FF"/>
            <w:sz w:val="20"/>
            <w:u w:val="single" w:color="0000FF"/>
          </w:rPr>
          <w:t>Malave</w:t>
        </w:r>
        <w:r>
          <w:rPr>
            <w:color w:val="0000FF"/>
            <w:spacing w:val="-4"/>
            <w:sz w:val="20"/>
            <w:u w:val="single" w:color="0000FF"/>
          </w:rPr>
          <w:t xml:space="preserve"> </w:t>
        </w:r>
        <w:r>
          <w:rPr>
            <w:color w:val="0000FF"/>
            <w:sz w:val="20"/>
            <w:u w:val="single" w:color="0000FF"/>
          </w:rPr>
          <w:t>(incorporated</w:t>
        </w:r>
        <w:r>
          <w:rPr>
            <w:color w:val="0000FF"/>
            <w:spacing w:val="-3"/>
            <w:sz w:val="20"/>
            <w:u w:val="single" w:color="0000FF"/>
          </w:rPr>
          <w:t xml:space="preserve"> </w:t>
        </w:r>
        <w:r>
          <w:rPr>
            <w:color w:val="0000FF"/>
            <w:sz w:val="20"/>
            <w:u w:val="single" w:color="0000FF"/>
          </w:rPr>
          <w:t>by</w:t>
        </w:r>
        <w:r>
          <w:rPr>
            <w:color w:val="0000FF"/>
            <w:spacing w:val="-3"/>
            <w:sz w:val="20"/>
            <w:u w:val="single" w:color="0000FF"/>
          </w:rPr>
          <w:t xml:space="preserve"> </w:t>
        </w:r>
        <w:r>
          <w:rPr>
            <w:color w:val="0000FF"/>
            <w:sz w:val="20"/>
            <w:u w:val="single" w:color="0000FF"/>
          </w:rPr>
          <w:t>reference</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Exhibit</w:t>
        </w:r>
        <w:r>
          <w:rPr>
            <w:color w:val="0000FF"/>
            <w:spacing w:val="-4"/>
            <w:sz w:val="20"/>
            <w:u w:val="single" w:color="0000FF"/>
          </w:rPr>
          <w:t xml:space="preserve"> </w:t>
        </w:r>
        <w:r>
          <w:rPr>
            <w:color w:val="0000FF"/>
            <w:sz w:val="20"/>
            <w:u w:val="single" w:color="0000FF"/>
          </w:rPr>
          <w:t>10.7</w:t>
        </w:r>
        <w:r>
          <w:rPr>
            <w:color w:val="0000FF"/>
            <w:spacing w:val="-3"/>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Lockheed</w:t>
        </w:r>
        <w:r>
          <w:rPr>
            <w:color w:val="0000FF"/>
            <w:spacing w:val="-3"/>
            <w:sz w:val="20"/>
            <w:u w:val="single" w:color="0000FF"/>
          </w:rPr>
          <w:t xml:space="preserve"> </w:t>
        </w:r>
        <w:r>
          <w:rPr>
            <w:color w:val="0000FF"/>
            <w:sz w:val="20"/>
            <w:u w:val="single" w:color="0000FF"/>
          </w:rPr>
          <w:t>Martin</w:t>
        </w:r>
        <w:r>
          <w:rPr>
            <w:color w:val="0000FF"/>
            <w:spacing w:val="-3"/>
            <w:sz w:val="20"/>
            <w:u w:val="single" w:color="0000FF"/>
          </w:rPr>
          <w:t xml:space="preserve"> </w:t>
        </w:r>
        <w:r>
          <w:rPr>
            <w:color w:val="0000FF"/>
            <w:sz w:val="20"/>
            <w:u w:val="single" w:color="0000FF"/>
          </w:rPr>
          <w:t>Corporation’s</w:t>
        </w:r>
      </w:hyperlink>
      <w:r>
        <w:rPr>
          <w:color w:val="0000FF"/>
          <w:sz w:val="20"/>
        </w:rPr>
        <w:t xml:space="preserve"> </w:t>
      </w:r>
      <w:hyperlink r:id="rId156">
        <w:r>
          <w:rPr>
            <w:color w:val="0000FF"/>
            <w:sz w:val="20"/>
            <w:u w:val="single" w:color="0000FF"/>
          </w:rPr>
          <w:t>Quarterly Report on Form 10-Q for the quarter ended March 27, 2022).</w:t>
        </w:r>
      </w:hyperlink>
    </w:p>
    <w:p w14:paraId="59000B9D" w14:textId="77777777" w:rsidR="00AE2255" w:rsidRDefault="00000000">
      <w:pPr>
        <w:pStyle w:val="BodyText"/>
        <w:tabs>
          <w:tab w:val="left" w:pos="1652"/>
        </w:tabs>
        <w:spacing w:before="141"/>
        <w:ind w:left="662"/>
      </w:pPr>
      <w:r>
        <w:rPr>
          <w:spacing w:val="-5"/>
          <w:position w:val="1"/>
        </w:rPr>
        <w:t>21</w:t>
      </w:r>
      <w:r>
        <w:rPr>
          <w:position w:val="1"/>
        </w:rPr>
        <w:tab/>
      </w:r>
      <w:r>
        <w:rPr>
          <w:color w:val="0000FF"/>
          <w:u w:val="single" w:color="0000FF"/>
        </w:rPr>
        <w:t>Subsidiaries</w:t>
      </w:r>
      <w:r>
        <w:rPr>
          <w:color w:val="0000FF"/>
          <w:spacing w:val="-5"/>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Lockheed</w:t>
      </w:r>
      <w:r>
        <w:rPr>
          <w:color w:val="0000FF"/>
          <w:spacing w:val="-4"/>
          <w:u w:val="single" w:color="0000FF"/>
        </w:rPr>
        <w:t xml:space="preserve"> </w:t>
      </w:r>
      <w:r>
        <w:rPr>
          <w:color w:val="0000FF"/>
          <w:u w:val="single" w:color="0000FF"/>
        </w:rPr>
        <w:t>Martin</w:t>
      </w:r>
      <w:r>
        <w:rPr>
          <w:color w:val="0000FF"/>
          <w:spacing w:val="-3"/>
          <w:u w:val="single" w:color="0000FF"/>
        </w:rPr>
        <w:t xml:space="preserve"> </w:t>
      </w:r>
      <w:r>
        <w:rPr>
          <w:color w:val="0000FF"/>
          <w:spacing w:val="-2"/>
          <w:u w:val="single" w:color="0000FF"/>
        </w:rPr>
        <w:t>Corporation.</w:t>
      </w:r>
    </w:p>
    <w:p w14:paraId="71CA699D" w14:textId="77777777" w:rsidR="00AE2255" w:rsidRDefault="00000000">
      <w:pPr>
        <w:pStyle w:val="ListParagraph"/>
        <w:numPr>
          <w:ilvl w:val="0"/>
          <w:numId w:val="8"/>
        </w:numPr>
        <w:tabs>
          <w:tab w:val="left" w:pos="1652"/>
          <w:tab w:val="left" w:pos="1653"/>
        </w:tabs>
        <w:spacing w:before="135"/>
        <w:ind w:hanging="991"/>
        <w:rPr>
          <w:sz w:val="20"/>
        </w:rPr>
      </w:pPr>
      <w:r>
        <w:rPr>
          <w:color w:val="0000FF"/>
          <w:sz w:val="20"/>
          <w:u w:val="single" w:color="0000FF"/>
        </w:rPr>
        <w:t>Consent</w:t>
      </w:r>
      <w:r>
        <w:rPr>
          <w:color w:val="0000FF"/>
          <w:spacing w:val="-7"/>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Independent</w:t>
      </w:r>
      <w:r>
        <w:rPr>
          <w:color w:val="0000FF"/>
          <w:spacing w:val="-5"/>
          <w:sz w:val="20"/>
          <w:u w:val="single" w:color="0000FF"/>
        </w:rPr>
        <w:t xml:space="preserve"> </w:t>
      </w:r>
      <w:r>
        <w:rPr>
          <w:color w:val="0000FF"/>
          <w:sz w:val="20"/>
          <w:u w:val="single" w:color="0000FF"/>
        </w:rPr>
        <w:t>Registered</w:t>
      </w:r>
      <w:r>
        <w:rPr>
          <w:color w:val="0000FF"/>
          <w:spacing w:val="-3"/>
          <w:sz w:val="20"/>
          <w:u w:val="single" w:color="0000FF"/>
        </w:rPr>
        <w:t xml:space="preserve"> </w:t>
      </w:r>
      <w:r>
        <w:rPr>
          <w:color w:val="0000FF"/>
          <w:sz w:val="20"/>
          <w:u w:val="single" w:color="0000FF"/>
        </w:rPr>
        <w:t>Public</w:t>
      </w:r>
      <w:r>
        <w:rPr>
          <w:color w:val="0000FF"/>
          <w:spacing w:val="-5"/>
          <w:sz w:val="20"/>
          <w:u w:val="single" w:color="0000FF"/>
        </w:rPr>
        <w:t xml:space="preserve"> </w:t>
      </w:r>
      <w:r>
        <w:rPr>
          <w:color w:val="0000FF"/>
          <w:sz w:val="20"/>
          <w:u w:val="single" w:color="0000FF"/>
        </w:rPr>
        <w:t>Accounting</w:t>
      </w:r>
      <w:r>
        <w:rPr>
          <w:color w:val="0000FF"/>
          <w:spacing w:val="-3"/>
          <w:sz w:val="20"/>
          <w:u w:val="single" w:color="0000FF"/>
        </w:rPr>
        <w:t xml:space="preserve"> </w:t>
      </w:r>
      <w:r>
        <w:rPr>
          <w:color w:val="0000FF"/>
          <w:spacing w:val="-2"/>
          <w:sz w:val="20"/>
          <w:u w:val="single" w:color="0000FF"/>
        </w:rPr>
        <w:t>Firm.</w:t>
      </w:r>
    </w:p>
    <w:p w14:paraId="7D42A0B2" w14:textId="77777777" w:rsidR="00AE2255" w:rsidRDefault="00000000">
      <w:pPr>
        <w:pStyle w:val="ListParagraph"/>
        <w:numPr>
          <w:ilvl w:val="0"/>
          <w:numId w:val="8"/>
        </w:numPr>
        <w:tabs>
          <w:tab w:val="left" w:pos="1652"/>
          <w:tab w:val="left" w:pos="1653"/>
        </w:tabs>
        <w:spacing w:before="135"/>
        <w:ind w:hanging="991"/>
        <w:rPr>
          <w:sz w:val="20"/>
        </w:rPr>
      </w:pPr>
      <w:r>
        <w:rPr>
          <w:color w:val="0000FF"/>
          <w:sz w:val="20"/>
          <w:u w:val="single" w:color="0000FF"/>
        </w:rPr>
        <w:t>Powers</w:t>
      </w:r>
      <w:r>
        <w:rPr>
          <w:color w:val="0000FF"/>
          <w:spacing w:val="-3"/>
          <w:sz w:val="20"/>
          <w:u w:val="single" w:color="0000FF"/>
        </w:rPr>
        <w:t xml:space="preserve"> </w:t>
      </w:r>
      <w:r>
        <w:rPr>
          <w:color w:val="0000FF"/>
          <w:sz w:val="20"/>
          <w:u w:val="single" w:color="0000FF"/>
        </w:rPr>
        <w:t>of</w:t>
      </w:r>
      <w:r>
        <w:rPr>
          <w:color w:val="0000FF"/>
          <w:spacing w:val="-1"/>
          <w:sz w:val="20"/>
          <w:u w:val="single" w:color="0000FF"/>
        </w:rPr>
        <w:t xml:space="preserve"> </w:t>
      </w:r>
      <w:r>
        <w:rPr>
          <w:color w:val="0000FF"/>
          <w:spacing w:val="-2"/>
          <w:sz w:val="20"/>
          <w:u w:val="single" w:color="0000FF"/>
        </w:rPr>
        <w:t>Attorney.</w:t>
      </w:r>
    </w:p>
    <w:p w14:paraId="001BC5D4" w14:textId="77777777" w:rsidR="00AE2255" w:rsidRDefault="00000000">
      <w:pPr>
        <w:pStyle w:val="ListParagraph"/>
        <w:numPr>
          <w:ilvl w:val="1"/>
          <w:numId w:val="7"/>
        </w:numPr>
        <w:tabs>
          <w:tab w:val="left" w:pos="1652"/>
          <w:tab w:val="left" w:pos="1653"/>
        </w:tabs>
        <w:spacing w:before="135"/>
        <w:ind w:hanging="991"/>
        <w:rPr>
          <w:sz w:val="20"/>
        </w:rPr>
      </w:pPr>
      <w:r>
        <w:rPr>
          <w:color w:val="0000FF"/>
          <w:sz w:val="20"/>
          <w:u w:val="single" w:color="0000FF"/>
        </w:rPr>
        <w:t>Certification</w:t>
      </w:r>
      <w:r>
        <w:rPr>
          <w:color w:val="0000FF"/>
          <w:spacing w:val="-5"/>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James</w:t>
      </w:r>
      <w:r>
        <w:rPr>
          <w:color w:val="0000FF"/>
          <w:spacing w:val="-4"/>
          <w:sz w:val="20"/>
          <w:u w:val="single" w:color="0000FF"/>
        </w:rPr>
        <w:t xml:space="preserve"> </w:t>
      </w:r>
      <w:r>
        <w:rPr>
          <w:color w:val="0000FF"/>
          <w:sz w:val="20"/>
          <w:u w:val="single" w:color="0000FF"/>
        </w:rPr>
        <w:t>D.</w:t>
      </w:r>
      <w:r>
        <w:rPr>
          <w:color w:val="0000FF"/>
          <w:spacing w:val="-3"/>
          <w:sz w:val="20"/>
          <w:u w:val="single" w:color="0000FF"/>
        </w:rPr>
        <w:t xml:space="preserve"> </w:t>
      </w:r>
      <w:proofErr w:type="spellStart"/>
      <w:r>
        <w:rPr>
          <w:color w:val="0000FF"/>
          <w:sz w:val="20"/>
          <w:u w:val="single" w:color="0000FF"/>
        </w:rPr>
        <w:t>Taiclet</w:t>
      </w:r>
      <w:proofErr w:type="spellEnd"/>
      <w:r>
        <w:rPr>
          <w:color w:val="0000FF"/>
          <w:spacing w:val="-3"/>
          <w:sz w:val="20"/>
          <w:u w:val="single" w:color="0000FF"/>
        </w:rPr>
        <w:t xml:space="preserve"> </w:t>
      </w:r>
      <w:r>
        <w:rPr>
          <w:color w:val="0000FF"/>
          <w:sz w:val="20"/>
          <w:u w:val="single" w:color="0000FF"/>
        </w:rPr>
        <w:t>pursuant</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Section</w:t>
      </w:r>
      <w:r>
        <w:rPr>
          <w:color w:val="0000FF"/>
          <w:spacing w:val="-3"/>
          <w:sz w:val="20"/>
          <w:u w:val="single" w:color="0000FF"/>
        </w:rPr>
        <w:t xml:space="preserve"> </w:t>
      </w:r>
      <w:r>
        <w:rPr>
          <w:color w:val="0000FF"/>
          <w:sz w:val="20"/>
          <w:u w:val="single" w:color="0000FF"/>
        </w:rPr>
        <w:t>302</w:t>
      </w:r>
      <w:r>
        <w:rPr>
          <w:color w:val="0000FF"/>
          <w:spacing w:val="-3"/>
          <w:sz w:val="20"/>
          <w:u w:val="single" w:color="0000FF"/>
        </w:rPr>
        <w:t xml:space="preserve"> </w:t>
      </w:r>
      <w:r>
        <w:rPr>
          <w:color w:val="0000FF"/>
          <w:sz w:val="20"/>
          <w:u w:val="single" w:color="0000FF"/>
        </w:rPr>
        <w:t>of</w:t>
      </w:r>
      <w:r>
        <w:rPr>
          <w:color w:val="0000FF"/>
          <w:spacing w:val="-2"/>
          <w:sz w:val="20"/>
          <w:u w:val="single" w:color="0000FF"/>
        </w:rPr>
        <w:t xml:space="preserve"> </w:t>
      </w:r>
      <w:r>
        <w:rPr>
          <w:color w:val="0000FF"/>
          <w:sz w:val="20"/>
          <w:u w:val="single" w:color="0000FF"/>
        </w:rPr>
        <w:t>the</w:t>
      </w:r>
      <w:r>
        <w:rPr>
          <w:color w:val="0000FF"/>
          <w:spacing w:val="-4"/>
          <w:sz w:val="20"/>
          <w:u w:val="single" w:color="0000FF"/>
        </w:rPr>
        <w:t xml:space="preserve"> </w:t>
      </w:r>
      <w:r>
        <w:rPr>
          <w:color w:val="0000FF"/>
          <w:sz w:val="20"/>
          <w:u w:val="single" w:color="0000FF"/>
        </w:rPr>
        <w:t>Sarbanes-Oxley</w:t>
      </w:r>
      <w:r>
        <w:rPr>
          <w:color w:val="0000FF"/>
          <w:spacing w:val="-3"/>
          <w:sz w:val="20"/>
          <w:u w:val="single" w:color="0000FF"/>
        </w:rPr>
        <w:t xml:space="preserve"> </w:t>
      </w:r>
      <w:r>
        <w:rPr>
          <w:color w:val="0000FF"/>
          <w:sz w:val="20"/>
          <w:u w:val="single" w:color="0000FF"/>
        </w:rPr>
        <w:t>Act</w:t>
      </w:r>
      <w:r>
        <w:rPr>
          <w:color w:val="0000FF"/>
          <w:spacing w:val="-4"/>
          <w:sz w:val="20"/>
          <w:u w:val="single" w:color="0000FF"/>
        </w:rPr>
        <w:t xml:space="preserve"> </w:t>
      </w:r>
      <w:r>
        <w:rPr>
          <w:color w:val="0000FF"/>
          <w:sz w:val="20"/>
          <w:u w:val="single" w:color="0000FF"/>
        </w:rPr>
        <w:t>of</w:t>
      </w:r>
      <w:r>
        <w:rPr>
          <w:color w:val="0000FF"/>
          <w:spacing w:val="-2"/>
          <w:sz w:val="20"/>
          <w:u w:val="single" w:color="0000FF"/>
        </w:rPr>
        <w:t xml:space="preserve"> 2002.</w:t>
      </w:r>
    </w:p>
    <w:p w14:paraId="4480FE8D" w14:textId="77777777" w:rsidR="00AE2255" w:rsidRDefault="00000000">
      <w:pPr>
        <w:pStyle w:val="ListParagraph"/>
        <w:numPr>
          <w:ilvl w:val="1"/>
          <w:numId w:val="7"/>
        </w:numPr>
        <w:tabs>
          <w:tab w:val="left" w:pos="1652"/>
          <w:tab w:val="left" w:pos="1653"/>
        </w:tabs>
        <w:spacing w:before="135"/>
        <w:ind w:hanging="991"/>
        <w:rPr>
          <w:sz w:val="20"/>
        </w:rPr>
      </w:pPr>
      <w:r>
        <w:rPr>
          <w:color w:val="0000FF"/>
          <w:sz w:val="20"/>
          <w:u w:val="single" w:color="0000FF"/>
        </w:rPr>
        <w:t>Certification</w:t>
      </w:r>
      <w:r>
        <w:rPr>
          <w:color w:val="0000FF"/>
          <w:spacing w:val="-5"/>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Jesus</w:t>
      </w:r>
      <w:r>
        <w:rPr>
          <w:color w:val="0000FF"/>
          <w:spacing w:val="-4"/>
          <w:sz w:val="20"/>
          <w:u w:val="single" w:color="0000FF"/>
        </w:rPr>
        <w:t xml:space="preserve"> </w:t>
      </w:r>
      <w:r>
        <w:rPr>
          <w:color w:val="0000FF"/>
          <w:sz w:val="20"/>
          <w:u w:val="single" w:color="0000FF"/>
        </w:rPr>
        <w:t>Malave</w:t>
      </w:r>
      <w:r>
        <w:rPr>
          <w:color w:val="0000FF"/>
          <w:spacing w:val="-3"/>
          <w:sz w:val="20"/>
          <w:u w:val="single" w:color="0000FF"/>
        </w:rPr>
        <w:t xml:space="preserve"> </w:t>
      </w:r>
      <w:r>
        <w:rPr>
          <w:color w:val="0000FF"/>
          <w:sz w:val="20"/>
          <w:u w:val="single" w:color="0000FF"/>
        </w:rPr>
        <w:t>pursuant</w:t>
      </w:r>
      <w:r>
        <w:rPr>
          <w:color w:val="0000FF"/>
          <w:spacing w:val="-4"/>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Section</w:t>
      </w:r>
      <w:r>
        <w:rPr>
          <w:color w:val="0000FF"/>
          <w:spacing w:val="-2"/>
          <w:sz w:val="20"/>
          <w:u w:val="single" w:color="0000FF"/>
        </w:rPr>
        <w:t xml:space="preserve"> </w:t>
      </w:r>
      <w:r>
        <w:rPr>
          <w:color w:val="0000FF"/>
          <w:sz w:val="20"/>
          <w:u w:val="single" w:color="0000FF"/>
        </w:rPr>
        <w:t>302</w:t>
      </w:r>
      <w:r>
        <w:rPr>
          <w:color w:val="0000FF"/>
          <w:spacing w:val="-3"/>
          <w:sz w:val="20"/>
          <w:u w:val="single" w:color="0000FF"/>
        </w:rPr>
        <w:t xml:space="preserve"> </w:t>
      </w:r>
      <w:r>
        <w:rPr>
          <w:color w:val="0000FF"/>
          <w:sz w:val="20"/>
          <w:u w:val="single" w:color="0000FF"/>
        </w:rPr>
        <w:t>of</w:t>
      </w:r>
      <w:r>
        <w:rPr>
          <w:color w:val="0000FF"/>
          <w:spacing w:val="-3"/>
          <w:sz w:val="20"/>
          <w:u w:val="single" w:color="0000FF"/>
        </w:rPr>
        <w:t xml:space="preserve"> </w:t>
      </w:r>
      <w:r>
        <w:rPr>
          <w:color w:val="0000FF"/>
          <w:sz w:val="20"/>
          <w:u w:val="single" w:color="0000FF"/>
        </w:rPr>
        <w:t>the</w:t>
      </w:r>
      <w:r>
        <w:rPr>
          <w:color w:val="0000FF"/>
          <w:spacing w:val="-3"/>
          <w:sz w:val="20"/>
          <w:u w:val="single" w:color="0000FF"/>
        </w:rPr>
        <w:t xml:space="preserve"> </w:t>
      </w:r>
      <w:r>
        <w:rPr>
          <w:color w:val="0000FF"/>
          <w:sz w:val="20"/>
          <w:u w:val="single" w:color="0000FF"/>
        </w:rPr>
        <w:t>Sarbanes-Oxley</w:t>
      </w:r>
      <w:r>
        <w:rPr>
          <w:color w:val="0000FF"/>
          <w:spacing w:val="-3"/>
          <w:sz w:val="20"/>
          <w:u w:val="single" w:color="0000FF"/>
        </w:rPr>
        <w:t xml:space="preserve"> </w:t>
      </w:r>
      <w:r>
        <w:rPr>
          <w:color w:val="0000FF"/>
          <w:sz w:val="20"/>
          <w:u w:val="single" w:color="0000FF"/>
        </w:rPr>
        <w:t>Act</w:t>
      </w:r>
      <w:r>
        <w:rPr>
          <w:color w:val="0000FF"/>
          <w:spacing w:val="-4"/>
          <w:sz w:val="20"/>
          <w:u w:val="single" w:color="0000FF"/>
        </w:rPr>
        <w:t xml:space="preserve"> </w:t>
      </w:r>
      <w:r>
        <w:rPr>
          <w:color w:val="0000FF"/>
          <w:sz w:val="20"/>
          <w:u w:val="single" w:color="0000FF"/>
        </w:rPr>
        <w:t>of</w:t>
      </w:r>
      <w:r>
        <w:rPr>
          <w:color w:val="0000FF"/>
          <w:spacing w:val="-2"/>
          <w:sz w:val="20"/>
          <w:u w:val="single" w:color="0000FF"/>
        </w:rPr>
        <w:t xml:space="preserve"> 2002.</w:t>
      </w:r>
    </w:p>
    <w:p w14:paraId="23B24B55" w14:textId="77777777" w:rsidR="00AE2255" w:rsidRDefault="00000000">
      <w:pPr>
        <w:pStyle w:val="BodyText"/>
        <w:tabs>
          <w:tab w:val="left" w:pos="1652"/>
        </w:tabs>
        <w:spacing w:before="154" w:line="208" w:lineRule="auto"/>
        <w:ind w:left="1652" w:right="513" w:hanging="990"/>
      </w:pPr>
      <w:r>
        <w:rPr>
          <w:spacing w:val="-6"/>
          <w:position w:val="1"/>
        </w:rPr>
        <w:t>32</w:t>
      </w:r>
      <w:r>
        <w:rPr>
          <w:position w:val="1"/>
        </w:rPr>
        <w:tab/>
      </w:r>
      <w:r>
        <w:rPr>
          <w:color w:val="0000FF"/>
          <w:u w:val="single" w:color="0000FF"/>
        </w:rPr>
        <w:t xml:space="preserve">Certification of James D. </w:t>
      </w:r>
      <w:proofErr w:type="spellStart"/>
      <w:r>
        <w:rPr>
          <w:color w:val="0000FF"/>
          <w:u w:val="single" w:color="0000FF"/>
        </w:rPr>
        <w:t>Taiclet</w:t>
      </w:r>
      <w:proofErr w:type="spellEnd"/>
      <w:r>
        <w:rPr>
          <w:color w:val="0000FF"/>
          <w:u w:val="single" w:color="0000FF"/>
        </w:rPr>
        <w:t xml:space="preserve"> and Jesus Malave pursuant to 18 U.S.C. Section 1350, as adopted pursuant to</w:t>
      </w:r>
      <w:r>
        <w:rPr>
          <w:color w:val="0000FF"/>
          <w:spacing w:val="40"/>
        </w:rPr>
        <w:t xml:space="preserve"> </w:t>
      </w:r>
      <w:r>
        <w:rPr>
          <w:color w:val="0000FF"/>
          <w:u w:val="single" w:color="0000FF"/>
        </w:rPr>
        <w:t>Section 906 of the Sarbanes-Oxley Act of 2002.</w:t>
      </w:r>
    </w:p>
    <w:p w14:paraId="0A00B128" w14:textId="77777777" w:rsidR="00AE2255" w:rsidRDefault="00000000">
      <w:pPr>
        <w:pStyle w:val="BodyText"/>
        <w:tabs>
          <w:tab w:val="left" w:pos="1652"/>
        </w:tabs>
        <w:spacing w:before="160" w:line="208" w:lineRule="auto"/>
        <w:ind w:left="1652" w:right="513" w:hanging="990"/>
      </w:pPr>
      <w:r>
        <w:rPr>
          <w:spacing w:val="-2"/>
          <w:position w:val="1"/>
        </w:rPr>
        <w:t>101.INS</w:t>
      </w:r>
      <w:r>
        <w:rPr>
          <w:position w:val="1"/>
        </w:rPr>
        <w:tab/>
      </w:r>
      <w:r>
        <w:t>XBRL Instance Document - the instance document does not appear in the Interactive Data File because its XBRL tags are embedded within the Inline XBRL document</w:t>
      </w:r>
    </w:p>
    <w:p w14:paraId="579904A0" w14:textId="77777777" w:rsidR="00AE2255" w:rsidRDefault="00000000">
      <w:pPr>
        <w:pStyle w:val="BodyText"/>
        <w:tabs>
          <w:tab w:val="left" w:pos="1652"/>
        </w:tabs>
        <w:spacing w:before="141"/>
        <w:ind w:left="662"/>
      </w:pPr>
      <w:r>
        <w:rPr>
          <w:spacing w:val="-2"/>
          <w:position w:val="1"/>
        </w:rPr>
        <w:t>101.SCH</w:t>
      </w:r>
      <w:r>
        <w:rPr>
          <w:position w:val="1"/>
        </w:rPr>
        <w:tab/>
      </w:r>
      <w:r>
        <w:t>XBRL</w:t>
      </w:r>
      <w:r>
        <w:rPr>
          <w:spacing w:val="-7"/>
        </w:rPr>
        <w:t xml:space="preserve"> </w:t>
      </w:r>
      <w:r>
        <w:t>Taxonomy</w:t>
      </w:r>
      <w:r>
        <w:rPr>
          <w:spacing w:val="-4"/>
        </w:rPr>
        <w:t xml:space="preserve"> </w:t>
      </w:r>
      <w:r>
        <w:t>Extension</w:t>
      </w:r>
      <w:r>
        <w:rPr>
          <w:spacing w:val="-4"/>
        </w:rPr>
        <w:t xml:space="preserve"> </w:t>
      </w:r>
      <w:r>
        <w:t>Schema</w:t>
      </w:r>
      <w:r>
        <w:rPr>
          <w:spacing w:val="-4"/>
        </w:rPr>
        <w:t xml:space="preserve"> </w:t>
      </w:r>
      <w:r>
        <w:rPr>
          <w:spacing w:val="-2"/>
        </w:rPr>
        <w:t>Document</w:t>
      </w:r>
    </w:p>
    <w:p w14:paraId="245357B3" w14:textId="77777777" w:rsidR="00AE2255" w:rsidRDefault="00000000">
      <w:pPr>
        <w:pStyle w:val="BodyText"/>
        <w:tabs>
          <w:tab w:val="left" w:pos="1652"/>
        </w:tabs>
        <w:spacing w:before="135" w:line="381" w:lineRule="auto"/>
        <w:ind w:left="662" w:right="4644"/>
      </w:pPr>
      <w:r>
        <w:rPr>
          <w:spacing w:val="-2"/>
          <w:position w:val="1"/>
        </w:rPr>
        <w:t>101.CAL</w:t>
      </w:r>
      <w:r>
        <w:rPr>
          <w:position w:val="1"/>
        </w:rPr>
        <w:tab/>
      </w:r>
      <w:r>
        <w:t xml:space="preserve">XBRL Taxonomy Extension Calculation </w:t>
      </w:r>
      <w:proofErr w:type="spellStart"/>
      <w:r>
        <w:t>Linkbase</w:t>
      </w:r>
      <w:proofErr w:type="spellEnd"/>
      <w:r>
        <w:t xml:space="preserve"> Document </w:t>
      </w:r>
      <w:r>
        <w:rPr>
          <w:spacing w:val="-2"/>
          <w:position w:val="1"/>
        </w:rPr>
        <w:t>101.DEF</w:t>
      </w:r>
      <w:r>
        <w:rPr>
          <w:position w:val="1"/>
        </w:rPr>
        <w:tab/>
      </w:r>
      <w:r>
        <w:t xml:space="preserve">XBRL Taxonomy Extension Definition </w:t>
      </w:r>
      <w:proofErr w:type="spellStart"/>
      <w:r>
        <w:t>Linkbase</w:t>
      </w:r>
      <w:proofErr w:type="spellEnd"/>
      <w:r>
        <w:t xml:space="preserve"> Document </w:t>
      </w:r>
      <w:r>
        <w:rPr>
          <w:spacing w:val="-2"/>
          <w:position w:val="1"/>
        </w:rPr>
        <w:t>101.LAB</w:t>
      </w:r>
      <w:r>
        <w:rPr>
          <w:position w:val="1"/>
        </w:rPr>
        <w:tab/>
      </w:r>
      <w:r>
        <w:t xml:space="preserve">XBRL Taxonomy Extension Label </w:t>
      </w:r>
      <w:proofErr w:type="spellStart"/>
      <w:r>
        <w:t>Linkbase</w:t>
      </w:r>
      <w:proofErr w:type="spellEnd"/>
      <w:r>
        <w:t xml:space="preserve"> Document </w:t>
      </w:r>
      <w:r>
        <w:rPr>
          <w:spacing w:val="-2"/>
          <w:position w:val="1"/>
        </w:rPr>
        <w:t>101.PRE</w:t>
      </w:r>
      <w:r>
        <w:rPr>
          <w:position w:val="1"/>
        </w:rPr>
        <w:tab/>
      </w:r>
      <w:r>
        <w:t>XBRL</w:t>
      </w:r>
      <w:r>
        <w:rPr>
          <w:spacing w:val="-9"/>
        </w:rPr>
        <w:t xml:space="preserve"> </w:t>
      </w:r>
      <w:r>
        <w:t>Taxonomy</w:t>
      </w:r>
      <w:r>
        <w:rPr>
          <w:spacing w:val="-8"/>
        </w:rPr>
        <w:t xml:space="preserve"> </w:t>
      </w:r>
      <w:r>
        <w:t>Extension</w:t>
      </w:r>
      <w:r>
        <w:rPr>
          <w:spacing w:val="-8"/>
        </w:rPr>
        <w:t xml:space="preserve"> </w:t>
      </w:r>
      <w:r>
        <w:t>Presentation</w:t>
      </w:r>
      <w:r>
        <w:rPr>
          <w:spacing w:val="-8"/>
        </w:rPr>
        <w:t xml:space="preserve"> </w:t>
      </w:r>
      <w:proofErr w:type="spellStart"/>
      <w:r>
        <w:t>Linkbase</w:t>
      </w:r>
      <w:proofErr w:type="spellEnd"/>
      <w:r>
        <w:rPr>
          <w:spacing w:val="-9"/>
        </w:rPr>
        <w:t xml:space="preserve"> </w:t>
      </w:r>
      <w:r>
        <w:t>Document</w:t>
      </w:r>
    </w:p>
    <w:p w14:paraId="2C58453F" w14:textId="77777777" w:rsidR="00AE2255" w:rsidRDefault="00000000">
      <w:pPr>
        <w:pStyle w:val="BodyText"/>
        <w:tabs>
          <w:tab w:val="left" w:pos="1652"/>
        </w:tabs>
        <w:spacing w:before="16" w:line="208" w:lineRule="auto"/>
        <w:ind w:left="1652" w:right="513" w:hanging="990"/>
      </w:pPr>
      <w:r>
        <w:rPr>
          <w:spacing w:val="-4"/>
          <w:position w:val="1"/>
        </w:rPr>
        <w:t>104</w:t>
      </w:r>
      <w:r>
        <w:rPr>
          <w:position w:val="1"/>
        </w:rPr>
        <w:tab/>
      </w:r>
      <w:r>
        <w:t>Cover Page Interactive Data File - the cover page XBRL tags are embedded within the Inline XBRL document</w:t>
      </w:r>
      <w:r>
        <w:rPr>
          <w:spacing w:val="40"/>
        </w:rPr>
        <w:t xml:space="preserve"> </w:t>
      </w:r>
      <w:r>
        <w:t>contained in Exhibit 101</w:t>
      </w:r>
    </w:p>
    <w:p w14:paraId="516545D9" w14:textId="77777777" w:rsidR="00AE2255" w:rsidRDefault="00AE2255">
      <w:pPr>
        <w:pStyle w:val="BodyText"/>
        <w:rPr>
          <w:sz w:val="22"/>
        </w:rPr>
      </w:pPr>
    </w:p>
    <w:p w14:paraId="35356602" w14:textId="77777777" w:rsidR="00AE2255" w:rsidRDefault="00AE2255">
      <w:pPr>
        <w:pStyle w:val="BodyText"/>
        <w:spacing w:before="6"/>
        <w:rPr>
          <w:sz w:val="31"/>
        </w:rPr>
      </w:pPr>
    </w:p>
    <w:p w14:paraId="5C971BD6" w14:textId="77777777" w:rsidR="00AE2255" w:rsidRDefault="00000000">
      <w:pPr>
        <w:pStyle w:val="BodyText"/>
        <w:tabs>
          <w:tab w:val="left" w:pos="1599"/>
        </w:tabs>
        <w:ind w:left="610"/>
      </w:pPr>
      <w:r>
        <w:rPr>
          <w:spacing w:val="-10"/>
        </w:rPr>
        <w:t>*</w:t>
      </w:r>
      <w:r>
        <w:tab/>
        <w:t>Exhibits</w:t>
      </w:r>
      <w:r>
        <w:rPr>
          <w:spacing w:val="-6"/>
        </w:rPr>
        <w:t xml:space="preserve"> </w:t>
      </w:r>
      <w:r>
        <w:t>10.2</w:t>
      </w:r>
      <w:r>
        <w:rPr>
          <w:spacing w:val="-3"/>
        </w:rPr>
        <w:t xml:space="preserve"> </w:t>
      </w:r>
      <w:r>
        <w:t>through</w:t>
      </w:r>
      <w:r>
        <w:rPr>
          <w:spacing w:val="-3"/>
        </w:rPr>
        <w:t xml:space="preserve"> </w:t>
      </w:r>
      <w:r>
        <w:t>10.41</w:t>
      </w:r>
      <w:r>
        <w:rPr>
          <w:spacing w:val="-2"/>
        </w:rPr>
        <w:t xml:space="preserve"> </w:t>
      </w:r>
      <w:r>
        <w:t>constitute</w:t>
      </w:r>
      <w:r>
        <w:rPr>
          <w:spacing w:val="-4"/>
        </w:rPr>
        <w:t xml:space="preserve"> </w:t>
      </w:r>
      <w:r>
        <w:t>management</w:t>
      </w:r>
      <w:r>
        <w:rPr>
          <w:spacing w:val="-4"/>
        </w:rPr>
        <w:t xml:space="preserve"> </w:t>
      </w:r>
      <w:r>
        <w:t>contracts</w:t>
      </w:r>
      <w:r>
        <w:rPr>
          <w:spacing w:val="-4"/>
        </w:rPr>
        <w:t xml:space="preserve"> </w:t>
      </w:r>
      <w:r>
        <w:t>or</w:t>
      </w:r>
      <w:r>
        <w:rPr>
          <w:spacing w:val="-2"/>
        </w:rPr>
        <w:t xml:space="preserve"> </w:t>
      </w:r>
      <w:r>
        <w:t>compensatory</w:t>
      </w:r>
      <w:r>
        <w:rPr>
          <w:spacing w:val="-3"/>
        </w:rPr>
        <w:t xml:space="preserve"> </w:t>
      </w:r>
      <w:r>
        <w:t>plans</w:t>
      </w:r>
      <w:r>
        <w:rPr>
          <w:spacing w:val="-4"/>
        </w:rPr>
        <w:t xml:space="preserve"> </w:t>
      </w:r>
      <w:r>
        <w:t>or</w:t>
      </w:r>
      <w:r>
        <w:rPr>
          <w:spacing w:val="-2"/>
        </w:rPr>
        <w:t xml:space="preserve"> arrangements.</w:t>
      </w:r>
    </w:p>
    <w:p w14:paraId="2C13DB07" w14:textId="77777777" w:rsidR="00AE2255" w:rsidRDefault="00AE2255">
      <w:pPr>
        <w:pStyle w:val="BodyText"/>
        <w:spacing w:before="8"/>
        <w:rPr>
          <w:sz w:val="28"/>
        </w:rPr>
      </w:pPr>
    </w:p>
    <w:p w14:paraId="10C65FCE" w14:textId="77777777" w:rsidR="00AE2255" w:rsidRDefault="00000000">
      <w:pPr>
        <w:pStyle w:val="Heading2"/>
        <w:tabs>
          <w:tab w:val="left" w:pos="1869"/>
        </w:tabs>
      </w:pPr>
      <w:bookmarkStart w:id="89" w:name="Item_16._Form_10-K_Summary"/>
      <w:bookmarkStart w:id="90" w:name="_bookmark30"/>
      <w:bookmarkEnd w:id="89"/>
      <w:bookmarkEnd w:id="90"/>
      <w:r>
        <w:t>ITEM</w:t>
      </w:r>
      <w:r>
        <w:rPr>
          <w:spacing w:val="-4"/>
        </w:rPr>
        <w:t xml:space="preserve"> </w:t>
      </w:r>
      <w:r>
        <w:rPr>
          <w:spacing w:val="-5"/>
        </w:rPr>
        <w:t>16.</w:t>
      </w:r>
      <w:r>
        <w:tab/>
        <w:t>Form</w:t>
      </w:r>
      <w:r>
        <w:rPr>
          <w:spacing w:val="-2"/>
        </w:rPr>
        <w:t xml:space="preserve"> </w:t>
      </w:r>
      <w:r>
        <w:t>10-K</w:t>
      </w:r>
      <w:r>
        <w:rPr>
          <w:spacing w:val="-1"/>
        </w:rPr>
        <w:t xml:space="preserve"> </w:t>
      </w:r>
      <w:r>
        <w:rPr>
          <w:spacing w:val="-2"/>
        </w:rPr>
        <w:t>Summary</w:t>
      </w:r>
    </w:p>
    <w:p w14:paraId="25562785" w14:textId="77777777" w:rsidR="00AE2255" w:rsidRDefault="00AE2255">
      <w:pPr>
        <w:pStyle w:val="BodyText"/>
        <w:spacing w:before="3"/>
        <w:rPr>
          <w:b/>
          <w:sz w:val="18"/>
        </w:rPr>
      </w:pPr>
    </w:p>
    <w:p w14:paraId="7536F04E" w14:textId="77777777" w:rsidR="00AE2255" w:rsidRDefault="00000000">
      <w:pPr>
        <w:pStyle w:val="BodyText"/>
        <w:ind w:left="970"/>
      </w:pPr>
      <w:r>
        <w:rPr>
          <w:spacing w:val="-2"/>
        </w:rPr>
        <w:t>None.</w:t>
      </w:r>
    </w:p>
    <w:p w14:paraId="57ADDC1E" w14:textId="77777777" w:rsidR="00AE2255" w:rsidRDefault="00AE2255">
      <w:pPr>
        <w:sectPr w:rsidR="00AE2255">
          <w:pgSz w:w="12240" w:h="15840"/>
          <w:pgMar w:top="440" w:right="560" w:bottom="720" w:left="380" w:header="230" w:footer="531" w:gutter="0"/>
          <w:cols w:space="720"/>
        </w:sectPr>
      </w:pPr>
    </w:p>
    <w:p w14:paraId="43E2476F" w14:textId="77777777" w:rsidR="00AE2255" w:rsidRDefault="00AE2255">
      <w:pPr>
        <w:pStyle w:val="BodyText"/>
        <w:spacing w:before="7"/>
        <w:rPr>
          <w:sz w:val="22"/>
        </w:rPr>
      </w:pPr>
    </w:p>
    <w:p w14:paraId="5ADB53AD" w14:textId="77777777" w:rsidR="00AE2255" w:rsidRDefault="00000000">
      <w:pPr>
        <w:pStyle w:val="Heading1"/>
        <w:spacing w:before="92"/>
        <w:ind w:left="517" w:right="337"/>
        <w:jc w:val="center"/>
      </w:pPr>
      <w:bookmarkStart w:id="91" w:name="SIGNATURES"/>
      <w:bookmarkStart w:id="92" w:name="_bookmark31"/>
      <w:bookmarkEnd w:id="91"/>
      <w:bookmarkEnd w:id="92"/>
      <w:r>
        <w:rPr>
          <w:spacing w:val="-2"/>
        </w:rPr>
        <w:t>SIGNATURES</w:t>
      </w:r>
    </w:p>
    <w:p w14:paraId="2B25F255" w14:textId="77777777" w:rsidR="00AE2255" w:rsidRDefault="00000000">
      <w:pPr>
        <w:pStyle w:val="BodyText"/>
        <w:spacing w:before="133" w:line="249" w:lineRule="auto"/>
        <w:ind w:left="610" w:right="430" w:firstLine="360"/>
      </w:pPr>
      <w:r>
        <w:t>Pursuant</w:t>
      </w:r>
      <w:r>
        <w:rPr>
          <w:spacing w:val="-3"/>
        </w:rPr>
        <w:t xml:space="preserve"> </w:t>
      </w:r>
      <w:r>
        <w:t>to</w:t>
      </w:r>
      <w:r>
        <w:rPr>
          <w:spacing w:val="-2"/>
        </w:rPr>
        <w:t xml:space="preserve"> </w:t>
      </w:r>
      <w:r>
        <w:t>the</w:t>
      </w:r>
      <w:r>
        <w:rPr>
          <w:spacing w:val="-3"/>
        </w:rPr>
        <w:t xml:space="preserve"> </w:t>
      </w:r>
      <w:r>
        <w:t>requirements</w:t>
      </w:r>
      <w:r>
        <w:rPr>
          <w:spacing w:val="-3"/>
        </w:rPr>
        <w:t xml:space="preserve"> </w:t>
      </w:r>
      <w:r>
        <w:t>of</w:t>
      </w:r>
      <w:r>
        <w:rPr>
          <w:spacing w:val="-2"/>
        </w:rPr>
        <w:t xml:space="preserve"> </w:t>
      </w:r>
      <w:r>
        <w:t>Section</w:t>
      </w:r>
      <w:r>
        <w:rPr>
          <w:spacing w:val="-2"/>
        </w:rPr>
        <w:t xml:space="preserve"> </w:t>
      </w:r>
      <w:r>
        <w:t>13</w:t>
      </w:r>
      <w:r>
        <w:rPr>
          <w:spacing w:val="-2"/>
        </w:rPr>
        <w:t xml:space="preserve"> </w:t>
      </w:r>
      <w:r>
        <w:t>or</w:t>
      </w:r>
      <w:r>
        <w:rPr>
          <w:spacing w:val="-2"/>
        </w:rPr>
        <w:t xml:space="preserve"> </w:t>
      </w:r>
      <w:r>
        <w:t>15(d)</w:t>
      </w:r>
      <w:r>
        <w:rPr>
          <w:spacing w:val="-2"/>
        </w:rPr>
        <w:t xml:space="preserve"> </w:t>
      </w:r>
      <w:r>
        <w:t>of</w:t>
      </w:r>
      <w:r>
        <w:rPr>
          <w:spacing w:val="-2"/>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2"/>
        </w:rPr>
        <w:t xml:space="preserve"> </w:t>
      </w:r>
      <w:r>
        <w:t>1934,</w:t>
      </w:r>
      <w:r>
        <w:rPr>
          <w:spacing w:val="-2"/>
        </w:rPr>
        <w:t xml:space="preserve"> </w:t>
      </w:r>
      <w:r>
        <w:t>the</w:t>
      </w:r>
      <w:r>
        <w:rPr>
          <w:spacing w:val="-3"/>
        </w:rPr>
        <w:t xml:space="preserve"> </w:t>
      </w:r>
      <w:r>
        <w:t>registrant</w:t>
      </w:r>
      <w:r>
        <w:rPr>
          <w:spacing w:val="-3"/>
        </w:rPr>
        <w:t xml:space="preserve"> </w:t>
      </w:r>
      <w:r>
        <w:t>has</w:t>
      </w:r>
      <w:r>
        <w:rPr>
          <w:spacing w:val="-3"/>
        </w:rPr>
        <w:t xml:space="preserve"> </w:t>
      </w:r>
      <w:r>
        <w:t>duly</w:t>
      </w:r>
      <w:r>
        <w:rPr>
          <w:spacing w:val="-2"/>
        </w:rPr>
        <w:t xml:space="preserve"> </w:t>
      </w:r>
      <w:r>
        <w:t>caused this report to be signed on its behalf by the undersigned, thereunto duly authorized.</w:t>
      </w:r>
    </w:p>
    <w:p w14:paraId="69CE8297" w14:textId="77777777" w:rsidR="00AE2255" w:rsidRDefault="00000000">
      <w:pPr>
        <w:pStyle w:val="BodyText"/>
        <w:spacing w:before="75" w:line="266" w:lineRule="auto"/>
        <w:ind w:left="7142" w:right="1086"/>
      </w:pPr>
      <w:r>
        <w:t>Lockheed</w:t>
      </w:r>
      <w:r>
        <w:rPr>
          <w:spacing w:val="-13"/>
        </w:rPr>
        <w:t xml:space="preserve"> </w:t>
      </w:r>
      <w:r>
        <w:t>Martin</w:t>
      </w:r>
      <w:r>
        <w:rPr>
          <w:spacing w:val="-12"/>
        </w:rPr>
        <w:t xml:space="preserve"> </w:t>
      </w:r>
      <w:r>
        <w:t xml:space="preserve">Corporation </w:t>
      </w:r>
      <w:r>
        <w:rPr>
          <w:spacing w:val="-2"/>
        </w:rPr>
        <w:t>(Registrant)</w:t>
      </w:r>
    </w:p>
    <w:p w14:paraId="3274C149" w14:textId="77777777" w:rsidR="00AE2255" w:rsidRDefault="00000000">
      <w:pPr>
        <w:pStyle w:val="BodyText"/>
        <w:tabs>
          <w:tab w:val="left" w:pos="7243"/>
        </w:tabs>
        <w:spacing w:before="91"/>
        <w:ind w:left="662"/>
      </w:pPr>
      <w:r>
        <w:pict w14:anchorId="59BA8B4E">
          <v:group id="docshapegroup66" o:spid="_x0000_s2143" style="position:absolute;left:0;text-align:left;margin-left:401.25pt;margin-top:16.95pt;width:161.25pt;height:1pt;z-index:-15705088;mso-wrap-distance-left:0;mso-wrap-distance-right:0;mso-position-horizontal-relative:page" coordorigin="8025,339" coordsize="3225,20">
            <v:shape id="docshape67" o:spid="_x0000_s2145" style="position:absolute;left:8025;top:349;width:3225;height:2" coordorigin="8025,349" coordsize="3225,0" path="m11250,349r-3225,e" fillcolor="black" stroked="f">
              <v:fill opacity="0"/>
              <v:path arrowok="t"/>
            </v:shape>
            <v:line id="_x0000_s2144" style="position:absolute" from="8025,349" to="11250,349" strokeweight="1pt"/>
            <w10:wrap type="topAndBottom" anchorx="page"/>
          </v:group>
        </w:pict>
      </w:r>
      <w:r>
        <w:t>Date:</w:t>
      </w:r>
      <w:r>
        <w:rPr>
          <w:spacing w:val="-4"/>
        </w:rPr>
        <w:t xml:space="preserve"> </w:t>
      </w:r>
      <w:r>
        <w:t>January</w:t>
      </w:r>
      <w:r>
        <w:rPr>
          <w:spacing w:val="-2"/>
        </w:rPr>
        <w:t xml:space="preserve"> </w:t>
      </w:r>
      <w:r>
        <w:t>26,</w:t>
      </w:r>
      <w:r>
        <w:rPr>
          <w:spacing w:val="-2"/>
        </w:rPr>
        <w:t xml:space="preserve"> </w:t>
      </w:r>
      <w:proofErr w:type="gramStart"/>
      <w:r>
        <w:rPr>
          <w:spacing w:val="-4"/>
        </w:rPr>
        <w:t>2023</w:t>
      </w:r>
      <w:proofErr w:type="gramEnd"/>
      <w:r>
        <w:tab/>
        <w:t>By:</w:t>
      </w:r>
      <w:r>
        <w:rPr>
          <w:spacing w:val="28"/>
        </w:rPr>
        <w:t xml:space="preserve">  </w:t>
      </w:r>
      <w:r>
        <w:t>/s/</w:t>
      </w:r>
      <w:r>
        <w:rPr>
          <w:spacing w:val="-2"/>
        </w:rPr>
        <w:t xml:space="preserve"> </w:t>
      </w:r>
      <w:r>
        <w:t>H.</w:t>
      </w:r>
      <w:r>
        <w:rPr>
          <w:spacing w:val="-1"/>
        </w:rPr>
        <w:t xml:space="preserve"> </w:t>
      </w:r>
      <w:r>
        <w:t>Edward</w:t>
      </w:r>
      <w:r>
        <w:rPr>
          <w:spacing w:val="-1"/>
        </w:rPr>
        <w:t xml:space="preserve"> </w:t>
      </w:r>
      <w:r>
        <w:t>Paul</w:t>
      </w:r>
      <w:r>
        <w:rPr>
          <w:spacing w:val="-2"/>
        </w:rPr>
        <w:t xml:space="preserve"> </w:t>
      </w:r>
      <w:r>
        <w:rPr>
          <w:spacing w:val="-5"/>
        </w:rPr>
        <w:t>III</w:t>
      </w:r>
    </w:p>
    <w:p w14:paraId="4427CC9C" w14:textId="77777777" w:rsidR="00AE2255" w:rsidRDefault="00000000">
      <w:pPr>
        <w:pStyle w:val="BodyText"/>
        <w:spacing w:before="15"/>
        <w:ind w:right="2079"/>
        <w:jc w:val="right"/>
      </w:pPr>
      <w:r>
        <w:t>H.</w:t>
      </w:r>
      <w:r>
        <w:rPr>
          <w:spacing w:val="-3"/>
        </w:rPr>
        <w:t xml:space="preserve"> </w:t>
      </w:r>
      <w:r>
        <w:t>Edward</w:t>
      </w:r>
      <w:r>
        <w:rPr>
          <w:spacing w:val="-2"/>
        </w:rPr>
        <w:t xml:space="preserve"> </w:t>
      </w:r>
      <w:r>
        <w:t>Paul</w:t>
      </w:r>
      <w:r>
        <w:rPr>
          <w:spacing w:val="-2"/>
        </w:rPr>
        <w:t xml:space="preserve"> </w:t>
      </w:r>
      <w:r>
        <w:rPr>
          <w:spacing w:val="-5"/>
        </w:rPr>
        <w:t>III</w:t>
      </w:r>
    </w:p>
    <w:p w14:paraId="45E15443" w14:textId="77777777" w:rsidR="00AE2255" w:rsidRDefault="00000000">
      <w:pPr>
        <w:pStyle w:val="BodyText"/>
        <w:spacing w:before="59" w:line="208" w:lineRule="auto"/>
        <w:ind w:left="7697"/>
      </w:pPr>
      <w:r>
        <w:t>Vice</w:t>
      </w:r>
      <w:r>
        <w:rPr>
          <w:spacing w:val="-11"/>
        </w:rPr>
        <w:t xml:space="preserve"> </w:t>
      </w:r>
      <w:r>
        <w:t>President,</w:t>
      </w:r>
      <w:r>
        <w:rPr>
          <w:spacing w:val="-10"/>
        </w:rPr>
        <w:t xml:space="preserve"> </w:t>
      </w:r>
      <w:r>
        <w:t>Controller,</w:t>
      </w:r>
      <w:r>
        <w:rPr>
          <w:spacing w:val="-10"/>
        </w:rPr>
        <w:t xml:space="preserve"> </w:t>
      </w:r>
      <w:r>
        <w:t>and</w:t>
      </w:r>
      <w:r>
        <w:rPr>
          <w:spacing w:val="-10"/>
        </w:rPr>
        <w:t xml:space="preserve"> </w:t>
      </w:r>
      <w:r>
        <w:t>Chief Accounting Officer</w:t>
      </w:r>
    </w:p>
    <w:p w14:paraId="706A7524" w14:textId="77777777" w:rsidR="00AE2255" w:rsidRDefault="00000000">
      <w:pPr>
        <w:pStyle w:val="BodyText"/>
        <w:spacing w:before="147" w:line="249" w:lineRule="auto"/>
        <w:ind w:left="610" w:right="157" w:firstLine="360"/>
      </w:pPr>
      <w:r>
        <w:t>Pursuant</w:t>
      </w:r>
      <w:r>
        <w:rPr>
          <w:spacing w:val="-3"/>
        </w:rPr>
        <w:t xml:space="preserve"> </w:t>
      </w:r>
      <w:r>
        <w:t>to</w:t>
      </w:r>
      <w:r>
        <w:rPr>
          <w:spacing w:val="-2"/>
        </w:rPr>
        <w:t xml:space="preserve"> </w:t>
      </w:r>
      <w:r>
        <w:t>the</w:t>
      </w:r>
      <w:r>
        <w:rPr>
          <w:spacing w:val="-3"/>
        </w:rPr>
        <w:t xml:space="preserve"> </w:t>
      </w:r>
      <w:r>
        <w:t>requirements</w:t>
      </w:r>
      <w:r>
        <w:rPr>
          <w:spacing w:val="-3"/>
        </w:rPr>
        <w:t xml:space="preserve"> </w:t>
      </w:r>
      <w:r>
        <w:t>of</w:t>
      </w:r>
      <w:r>
        <w:rPr>
          <w:spacing w:val="-2"/>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2"/>
        </w:rPr>
        <w:t xml:space="preserve"> </w:t>
      </w:r>
      <w:r>
        <w:t>1934,</w:t>
      </w:r>
      <w:r>
        <w:rPr>
          <w:spacing w:val="-2"/>
        </w:rPr>
        <w:t xml:space="preserve"> </w:t>
      </w:r>
      <w:r>
        <w:t>this</w:t>
      </w:r>
      <w:r>
        <w:rPr>
          <w:spacing w:val="-3"/>
        </w:rPr>
        <w:t xml:space="preserve"> </w:t>
      </w:r>
      <w:r>
        <w:t>report</w:t>
      </w:r>
      <w:r>
        <w:rPr>
          <w:spacing w:val="-3"/>
        </w:rPr>
        <w:t xml:space="preserve"> </w:t>
      </w:r>
      <w:r>
        <w:t>has</w:t>
      </w:r>
      <w:r>
        <w:rPr>
          <w:spacing w:val="-3"/>
        </w:rPr>
        <w:t xml:space="preserve"> </w:t>
      </w:r>
      <w:r>
        <w:t>been</w:t>
      </w:r>
      <w:r>
        <w:rPr>
          <w:spacing w:val="-2"/>
        </w:rPr>
        <w:t xml:space="preserve"> </w:t>
      </w:r>
      <w:r>
        <w:t>signed</w:t>
      </w:r>
      <w:r>
        <w:rPr>
          <w:spacing w:val="-2"/>
        </w:rPr>
        <w:t xml:space="preserve"> </w:t>
      </w:r>
      <w:r>
        <w:t>below</w:t>
      </w:r>
      <w:r>
        <w:rPr>
          <w:spacing w:val="-3"/>
        </w:rPr>
        <w:t xml:space="preserve"> </w:t>
      </w:r>
      <w:r>
        <w:t>by</w:t>
      </w:r>
      <w:r>
        <w:rPr>
          <w:spacing w:val="-2"/>
        </w:rPr>
        <w:t xml:space="preserve"> </w:t>
      </w:r>
      <w:r>
        <w:t>the</w:t>
      </w:r>
      <w:r>
        <w:rPr>
          <w:spacing w:val="-3"/>
        </w:rPr>
        <w:t xml:space="preserve"> </w:t>
      </w:r>
      <w:r>
        <w:t>following persons on behalf of the registrant and in the capacities and on the dates indicated.</w:t>
      </w:r>
    </w:p>
    <w:p w14:paraId="3F1CC803" w14:textId="77777777" w:rsidR="00AE2255" w:rsidRDefault="00000000">
      <w:pPr>
        <w:tabs>
          <w:tab w:val="left" w:pos="4922"/>
          <w:tab w:val="left" w:pos="9212"/>
        </w:tabs>
        <w:spacing w:before="33"/>
        <w:ind w:left="827"/>
        <w:rPr>
          <w:b/>
          <w:sz w:val="20"/>
        </w:rPr>
      </w:pPr>
      <w:r>
        <w:pict w14:anchorId="647F1E9A">
          <v:group id="docshapegroup68" o:spid="_x0000_s2140" style="position:absolute;left:0;text-align:left;margin-left:57.75pt;margin-top:40.3pt;width:177pt;height:1pt;z-index:-22624768;mso-position-horizontal-relative:page" coordorigin="1155,806" coordsize="3540,20">
            <v:shape id="docshape69" o:spid="_x0000_s2142" style="position:absolute;left:1155;top:815;width:3540;height:2" coordorigin="1155,816" coordsize="3540,0" path="m4695,816r-3540,e" fillcolor="black" stroked="f">
              <v:fill opacity="0"/>
              <v:path arrowok="t"/>
            </v:shape>
            <v:line id="_x0000_s2141" style="position:absolute" from="1155,816" to="4695,816" strokeweight="1pt"/>
            <w10:wrap anchorx="page"/>
          </v:group>
        </w:pict>
      </w:r>
      <w:r>
        <w:pict w14:anchorId="7BC5F007">
          <v:group id="docshapegroup70" o:spid="_x0000_s2137" style="position:absolute;left:0;text-align:left;margin-left:57.75pt;margin-top:77.8pt;width:177pt;height:1pt;z-index:-22624256;mso-position-horizontal-relative:page" coordorigin="1155,1556" coordsize="3540,20">
            <v:shape id="docshape71" o:spid="_x0000_s2139" style="position:absolute;left:1155;top:1565;width:3540;height:2" coordorigin="1155,1566" coordsize="3540,0" path="m4695,1566r-3540,e" fillcolor="black" stroked="f">
              <v:fill opacity="0"/>
              <v:path arrowok="t"/>
            </v:shape>
            <v:line id="_x0000_s2138" style="position:absolute" from="1155,1566" to="4695,1566" strokeweight="1pt"/>
            <w10:wrap anchorx="page"/>
          </v:group>
        </w:pict>
      </w:r>
      <w:r>
        <w:pict w14:anchorId="739646EF">
          <v:group id="docshapegroup72" o:spid="_x0000_s2134" style="position:absolute;left:0;text-align:left;margin-left:57.75pt;margin-top:223.3pt;width:177pt;height:1pt;z-index:-22623744;mso-position-horizontal-relative:page" coordorigin="1155,4466" coordsize="3540,20">
            <v:shape id="docshape73" o:spid="_x0000_s2136" style="position:absolute;left:1155;top:4475;width:3540;height:2" coordorigin="1155,4476" coordsize="3540,0" path="m4695,4476r-3540,e" fillcolor="black" stroked="f">
              <v:fill opacity="0"/>
              <v:path arrowok="t"/>
            </v:shape>
            <v:line id="_x0000_s2135" style="position:absolute" from="1155,4476" to="4695,4476" strokeweight="1pt"/>
            <w10:wrap anchorx="page"/>
          </v:group>
        </w:pict>
      </w:r>
      <w:r>
        <w:rPr>
          <w:b/>
          <w:spacing w:val="-2"/>
          <w:sz w:val="20"/>
          <w:u w:val="single"/>
        </w:rPr>
        <w:t>Signatures</w:t>
      </w:r>
      <w:r>
        <w:rPr>
          <w:b/>
          <w:sz w:val="20"/>
        </w:rPr>
        <w:tab/>
      </w:r>
      <w:r>
        <w:rPr>
          <w:b/>
          <w:spacing w:val="-2"/>
          <w:sz w:val="20"/>
          <w:u w:val="single"/>
        </w:rPr>
        <w:t>Titles</w:t>
      </w:r>
      <w:r>
        <w:rPr>
          <w:b/>
          <w:sz w:val="20"/>
        </w:rPr>
        <w:tab/>
      </w:r>
      <w:r>
        <w:rPr>
          <w:b/>
          <w:spacing w:val="-4"/>
          <w:sz w:val="20"/>
          <w:u w:val="single"/>
        </w:rPr>
        <w:t>Date</w:t>
      </w:r>
    </w:p>
    <w:p w14:paraId="4E31DE26" w14:textId="77777777" w:rsidR="00AE2255" w:rsidRDefault="00AE2255">
      <w:pPr>
        <w:pStyle w:val="BodyText"/>
        <w:spacing w:before="8"/>
        <w:rPr>
          <w:b/>
          <w:sz w:val="6"/>
        </w:rPr>
      </w:pPr>
    </w:p>
    <w:tbl>
      <w:tblPr>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5"/>
        <w:gridCol w:w="3540"/>
        <w:gridCol w:w="360"/>
        <w:gridCol w:w="4290"/>
        <w:gridCol w:w="1875"/>
      </w:tblGrid>
      <w:tr w:rsidR="00AE2255" w14:paraId="166946D5" w14:textId="77777777">
        <w:trPr>
          <w:trHeight w:val="730"/>
        </w:trPr>
        <w:tc>
          <w:tcPr>
            <w:tcW w:w="4065" w:type="dxa"/>
            <w:gridSpan w:val="3"/>
          </w:tcPr>
          <w:p w14:paraId="6A244772" w14:textId="77777777" w:rsidR="00AE2255" w:rsidRDefault="00000000">
            <w:pPr>
              <w:pStyle w:val="TableParagraph"/>
              <w:spacing w:before="145" w:line="280" w:lineRule="atLeast"/>
              <w:ind w:left="217" w:right="2139"/>
              <w:jc w:val="left"/>
              <w:rPr>
                <w:sz w:val="20"/>
              </w:rPr>
            </w:pPr>
            <w:r>
              <w:rPr>
                <w:sz w:val="20"/>
              </w:rPr>
              <w:t>/s/</w:t>
            </w:r>
            <w:r>
              <w:rPr>
                <w:spacing w:val="-13"/>
                <w:sz w:val="20"/>
              </w:rPr>
              <w:t xml:space="preserve"> </w:t>
            </w:r>
            <w:r>
              <w:rPr>
                <w:sz w:val="20"/>
              </w:rPr>
              <w:t>James</w:t>
            </w:r>
            <w:r>
              <w:rPr>
                <w:spacing w:val="-12"/>
                <w:sz w:val="20"/>
              </w:rPr>
              <w:t xml:space="preserve"> </w:t>
            </w:r>
            <w:r>
              <w:rPr>
                <w:sz w:val="20"/>
              </w:rPr>
              <w:t>D.</w:t>
            </w:r>
            <w:r>
              <w:rPr>
                <w:spacing w:val="-13"/>
                <w:sz w:val="20"/>
              </w:rPr>
              <w:t xml:space="preserve"> </w:t>
            </w:r>
            <w:proofErr w:type="spellStart"/>
            <w:r>
              <w:rPr>
                <w:sz w:val="20"/>
              </w:rPr>
              <w:t>Taiclet</w:t>
            </w:r>
            <w:proofErr w:type="spellEnd"/>
            <w:r>
              <w:rPr>
                <w:sz w:val="20"/>
              </w:rPr>
              <w:t xml:space="preserve"> James D. </w:t>
            </w:r>
            <w:proofErr w:type="spellStart"/>
            <w:r>
              <w:rPr>
                <w:sz w:val="20"/>
              </w:rPr>
              <w:t>Taiclet</w:t>
            </w:r>
            <w:proofErr w:type="spellEnd"/>
          </w:p>
        </w:tc>
        <w:tc>
          <w:tcPr>
            <w:tcW w:w="4290" w:type="dxa"/>
          </w:tcPr>
          <w:p w14:paraId="0CD5D2FC" w14:textId="77777777" w:rsidR="00AE2255" w:rsidRDefault="00000000">
            <w:pPr>
              <w:pStyle w:val="TableParagraph"/>
              <w:spacing w:before="41" w:line="208" w:lineRule="auto"/>
              <w:ind w:left="247"/>
              <w:jc w:val="left"/>
              <w:rPr>
                <w:sz w:val="20"/>
              </w:rPr>
            </w:pPr>
            <w:r>
              <w:rPr>
                <w:sz w:val="20"/>
              </w:rPr>
              <w:t>Chairman,</w:t>
            </w:r>
            <w:r>
              <w:rPr>
                <w:spacing w:val="-8"/>
                <w:sz w:val="20"/>
              </w:rPr>
              <w:t xml:space="preserve"> </w:t>
            </w:r>
            <w:proofErr w:type="gramStart"/>
            <w:r>
              <w:rPr>
                <w:sz w:val="20"/>
              </w:rPr>
              <w:t>President</w:t>
            </w:r>
            <w:proofErr w:type="gramEnd"/>
            <w:r>
              <w:rPr>
                <w:spacing w:val="-9"/>
                <w:sz w:val="20"/>
              </w:rPr>
              <w:t xml:space="preserve"> </w:t>
            </w:r>
            <w:r>
              <w:rPr>
                <w:sz w:val="20"/>
              </w:rPr>
              <w:t>and</w:t>
            </w:r>
            <w:r>
              <w:rPr>
                <w:spacing w:val="-8"/>
                <w:sz w:val="20"/>
              </w:rPr>
              <w:t xml:space="preserve"> </w:t>
            </w:r>
            <w:r>
              <w:rPr>
                <w:sz w:val="20"/>
              </w:rPr>
              <w:t>Chief</w:t>
            </w:r>
            <w:r>
              <w:rPr>
                <w:spacing w:val="-8"/>
                <w:sz w:val="20"/>
              </w:rPr>
              <w:t xml:space="preserve"> </w:t>
            </w:r>
            <w:r>
              <w:rPr>
                <w:sz w:val="20"/>
              </w:rPr>
              <w:t>Executive</w:t>
            </w:r>
            <w:r>
              <w:rPr>
                <w:spacing w:val="-9"/>
                <w:sz w:val="20"/>
              </w:rPr>
              <w:t xml:space="preserve"> </w:t>
            </w:r>
            <w:r>
              <w:rPr>
                <w:sz w:val="20"/>
              </w:rPr>
              <w:t>Officer (Principal Executive Officer)</w:t>
            </w:r>
          </w:p>
        </w:tc>
        <w:tc>
          <w:tcPr>
            <w:tcW w:w="1875" w:type="dxa"/>
          </w:tcPr>
          <w:p w14:paraId="020BB69D"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0AFCB800" w14:textId="77777777">
        <w:trPr>
          <w:trHeight w:val="730"/>
        </w:trPr>
        <w:tc>
          <w:tcPr>
            <w:tcW w:w="4065" w:type="dxa"/>
            <w:gridSpan w:val="3"/>
          </w:tcPr>
          <w:p w14:paraId="5FCF09C9" w14:textId="77777777" w:rsidR="00AE2255" w:rsidRDefault="00000000">
            <w:pPr>
              <w:pStyle w:val="TableParagraph"/>
              <w:spacing w:before="145" w:line="280" w:lineRule="atLeast"/>
              <w:ind w:left="217" w:right="2139"/>
              <w:jc w:val="left"/>
              <w:rPr>
                <w:sz w:val="20"/>
              </w:rPr>
            </w:pPr>
            <w:r>
              <w:rPr>
                <w:sz w:val="20"/>
              </w:rPr>
              <w:t>/s/</w:t>
            </w:r>
            <w:r>
              <w:rPr>
                <w:spacing w:val="-13"/>
                <w:sz w:val="20"/>
              </w:rPr>
              <w:t xml:space="preserve"> </w:t>
            </w:r>
            <w:r>
              <w:rPr>
                <w:sz w:val="20"/>
              </w:rPr>
              <w:t>Jesus</w:t>
            </w:r>
            <w:r>
              <w:rPr>
                <w:spacing w:val="-12"/>
                <w:sz w:val="20"/>
              </w:rPr>
              <w:t xml:space="preserve"> </w:t>
            </w:r>
            <w:r>
              <w:rPr>
                <w:sz w:val="20"/>
              </w:rPr>
              <w:t>Malave Jesus Malave</w:t>
            </w:r>
          </w:p>
        </w:tc>
        <w:tc>
          <w:tcPr>
            <w:tcW w:w="4290" w:type="dxa"/>
          </w:tcPr>
          <w:p w14:paraId="24B73B8A" w14:textId="77777777" w:rsidR="00AE2255" w:rsidRDefault="00000000">
            <w:pPr>
              <w:pStyle w:val="TableParagraph"/>
              <w:spacing w:before="41" w:line="208" w:lineRule="auto"/>
              <w:ind w:left="247"/>
              <w:jc w:val="left"/>
              <w:rPr>
                <w:sz w:val="20"/>
              </w:rPr>
            </w:pPr>
            <w:r>
              <w:rPr>
                <w:sz w:val="20"/>
              </w:rPr>
              <w:t>Chief</w:t>
            </w:r>
            <w:r>
              <w:rPr>
                <w:spacing w:val="-10"/>
                <w:sz w:val="20"/>
              </w:rPr>
              <w:t xml:space="preserve"> </w:t>
            </w:r>
            <w:r>
              <w:rPr>
                <w:sz w:val="20"/>
              </w:rPr>
              <w:t>Financial</w:t>
            </w:r>
            <w:r>
              <w:rPr>
                <w:spacing w:val="-11"/>
                <w:sz w:val="20"/>
              </w:rPr>
              <w:t xml:space="preserve"> </w:t>
            </w:r>
            <w:r>
              <w:rPr>
                <w:sz w:val="20"/>
              </w:rPr>
              <w:t>Officer</w:t>
            </w:r>
            <w:r>
              <w:rPr>
                <w:spacing w:val="-10"/>
                <w:sz w:val="20"/>
              </w:rPr>
              <w:t xml:space="preserve"> </w:t>
            </w:r>
            <w:r>
              <w:rPr>
                <w:sz w:val="20"/>
              </w:rPr>
              <w:t>(Principal</w:t>
            </w:r>
            <w:r>
              <w:rPr>
                <w:spacing w:val="-11"/>
                <w:sz w:val="20"/>
              </w:rPr>
              <w:t xml:space="preserve"> </w:t>
            </w:r>
            <w:r>
              <w:rPr>
                <w:sz w:val="20"/>
              </w:rPr>
              <w:t xml:space="preserve">Financial </w:t>
            </w:r>
            <w:r>
              <w:rPr>
                <w:spacing w:val="-2"/>
                <w:sz w:val="20"/>
              </w:rPr>
              <w:t>Officer)</w:t>
            </w:r>
          </w:p>
        </w:tc>
        <w:tc>
          <w:tcPr>
            <w:tcW w:w="1875" w:type="dxa"/>
          </w:tcPr>
          <w:p w14:paraId="2473D69B"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53B6780D" w14:textId="77777777">
        <w:trPr>
          <w:trHeight w:val="730"/>
        </w:trPr>
        <w:tc>
          <w:tcPr>
            <w:tcW w:w="4065" w:type="dxa"/>
            <w:gridSpan w:val="3"/>
          </w:tcPr>
          <w:p w14:paraId="1C2B9A9D" w14:textId="77777777" w:rsidR="00AE2255" w:rsidRDefault="00000000">
            <w:pPr>
              <w:pStyle w:val="TableParagraph"/>
              <w:spacing w:before="195" w:after="20"/>
              <w:ind w:left="217"/>
              <w:jc w:val="left"/>
              <w:rPr>
                <w:sz w:val="20"/>
              </w:rPr>
            </w:pPr>
            <w:r>
              <w:rPr>
                <w:sz w:val="20"/>
              </w:rPr>
              <w:t>/s/</w:t>
            </w:r>
            <w:r>
              <w:rPr>
                <w:spacing w:val="-3"/>
                <w:sz w:val="20"/>
              </w:rPr>
              <w:t xml:space="preserve"> </w:t>
            </w:r>
            <w:r>
              <w:rPr>
                <w:sz w:val="20"/>
              </w:rPr>
              <w:t>H.</w:t>
            </w:r>
            <w:r>
              <w:rPr>
                <w:spacing w:val="-2"/>
                <w:sz w:val="20"/>
              </w:rPr>
              <w:t xml:space="preserve"> </w:t>
            </w:r>
            <w:r>
              <w:rPr>
                <w:sz w:val="20"/>
              </w:rPr>
              <w:t>Edward</w:t>
            </w:r>
            <w:r>
              <w:rPr>
                <w:spacing w:val="-3"/>
                <w:sz w:val="20"/>
              </w:rPr>
              <w:t xml:space="preserve"> </w:t>
            </w:r>
            <w:r>
              <w:rPr>
                <w:sz w:val="20"/>
              </w:rPr>
              <w:t>Paul</w:t>
            </w:r>
            <w:r>
              <w:rPr>
                <w:spacing w:val="-2"/>
                <w:sz w:val="20"/>
              </w:rPr>
              <w:t xml:space="preserve"> </w:t>
            </w:r>
            <w:r>
              <w:rPr>
                <w:spacing w:val="-5"/>
                <w:sz w:val="20"/>
              </w:rPr>
              <w:t>III</w:t>
            </w:r>
          </w:p>
          <w:p w14:paraId="4FD73EDE" w14:textId="77777777" w:rsidR="00AE2255" w:rsidRDefault="00000000">
            <w:pPr>
              <w:pStyle w:val="TableParagraph"/>
              <w:spacing w:before="0" w:line="20" w:lineRule="exact"/>
              <w:ind w:left="155"/>
              <w:jc w:val="left"/>
              <w:rPr>
                <w:sz w:val="2"/>
              </w:rPr>
            </w:pPr>
            <w:r>
              <w:rPr>
                <w:sz w:val="2"/>
              </w:rPr>
            </w:r>
            <w:r>
              <w:rPr>
                <w:sz w:val="2"/>
              </w:rPr>
              <w:pict w14:anchorId="248F62EB">
                <v:group id="docshapegroup74" o:spid="_x0000_s2131" style="width:177pt;height:1pt;mso-position-horizontal-relative:char;mso-position-vertical-relative:line" coordsize="3540,20">
                  <v:shape id="docshape75" o:spid="_x0000_s2133" style="position:absolute;top:10;width:3540;height:2" coordorigin=",10" coordsize="3540,0" path="m3540,10l,10e" fillcolor="black" stroked="f">
                    <v:fill opacity="0"/>
                    <v:path arrowok="t"/>
                  </v:shape>
                  <v:line id="_x0000_s2132" style="position:absolute" from="0,10" to="3540,10" strokeweight="1pt"/>
                  <w10:wrap type="none"/>
                  <w10:anchorlock/>
                </v:group>
              </w:pict>
            </w:r>
          </w:p>
          <w:p w14:paraId="0F93AF95" w14:textId="77777777" w:rsidR="00AE2255" w:rsidRDefault="00000000">
            <w:pPr>
              <w:pStyle w:val="TableParagraph"/>
              <w:spacing w:before="15" w:line="230" w:lineRule="exact"/>
              <w:ind w:left="217"/>
              <w:jc w:val="left"/>
              <w:rPr>
                <w:sz w:val="20"/>
              </w:rPr>
            </w:pPr>
            <w:r>
              <w:rPr>
                <w:sz w:val="20"/>
              </w:rPr>
              <w:t>H.</w:t>
            </w:r>
            <w:r>
              <w:rPr>
                <w:spacing w:val="-3"/>
                <w:sz w:val="20"/>
              </w:rPr>
              <w:t xml:space="preserve"> </w:t>
            </w:r>
            <w:r>
              <w:rPr>
                <w:sz w:val="20"/>
              </w:rPr>
              <w:t>Edward</w:t>
            </w:r>
            <w:r>
              <w:rPr>
                <w:spacing w:val="-2"/>
                <w:sz w:val="20"/>
              </w:rPr>
              <w:t xml:space="preserve"> </w:t>
            </w:r>
            <w:r>
              <w:rPr>
                <w:sz w:val="20"/>
              </w:rPr>
              <w:t>Paul</w:t>
            </w:r>
            <w:r>
              <w:rPr>
                <w:spacing w:val="-2"/>
                <w:sz w:val="20"/>
              </w:rPr>
              <w:t xml:space="preserve"> </w:t>
            </w:r>
            <w:r>
              <w:rPr>
                <w:spacing w:val="-5"/>
                <w:sz w:val="20"/>
              </w:rPr>
              <w:t>III</w:t>
            </w:r>
          </w:p>
        </w:tc>
        <w:tc>
          <w:tcPr>
            <w:tcW w:w="4290" w:type="dxa"/>
          </w:tcPr>
          <w:p w14:paraId="2FC38DF1" w14:textId="77777777" w:rsidR="00AE2255" w:rsidRDefault="00000000">
            <w:pPr>
              <w:pStyle w:val="TableParagraph"/>
              <w:spacing w:before="41" w:line="208" w:lineRule="auto"/>
              <w:ind w:left="247"/>
              <w:jc w:val="left"/>
              <w:rPr>
                <w:sz w:val="20"/>
              </w:rPr>
            </w:pPr>
            <w:r>
              <w:rPr>
                <w:sz w:val="20"/>
              </w:rPr>
              <w:t>Vice</w:t>
            </w:r>
            <w:r>
              <w:rPr>
                <w:spacing w:val="-9"/>
                <w:sz w:val="20"/>
              </w:rPr>
              <w:t xml:space="preserve"> </w:t>
            </w:r>
            <w:r>
              <w:rPr>
                <w:sz w:val="20"/>
              </w:rPr>
              <w:t>President,</w:t>
            </w:r>
            <w:r>
              <w:rPr>
                <w:spacing w:val="-8"/>
                <w:sz w:val="20"/>
              </w:rPr>
              <w:t xml:space="preserve"> </w:t>
            </w:r>
            <w:r>
              <w:rPr>
                <w:sz w:val="20"/>
              </w:rPr>
              <w:t>Controller,</w:t>
            </w:r>
            <w:r>
              <w:rPr>
                <w:spacing w:val="-8"/>
                <w:sz w:val="20"/>
              </w:rPr>
              <w:t xml:space="preserve"> </w:t>
            </w:r>
            <w:r>
              <w:rPr>
                <w:sz w:val="20"/>
              </w:rPr>
              <w:t>and</w:t>
            </w:r>
            <w:r>
              <w:rPr>
                <w:spacing w:val="-8"/>
                <w:sz w:val="20"/>
              </w:rPr>
              <w:t xml:space="preserve"> </w:t>
            </w:r>
            <w:r>
              <w:rPr>
                <w:sz w:val="20"/>
              </w:rPr>
              <w:t>Chief</w:t>
            </w:r>
            <w:r>
              <w:rPr>
                <w:spacing w:val="-8"/>
                <w:sz w:val="20"/>
              </w:rPr>
              <w:t xml:space="preserve"> </w:t>
            </w:r>
            <w:r>
              <w:rPr>
                <w:sz w:val="20"/>
              </w:rPr>
              <w:t>Accounting Officer (Principal Accounting Officer)</w:t>
            </w:r>
          </w:p>
        </w:tc>
        <w:tc>
          <w:tcPr>
            <w:tcW w:w="1875" w:type="dxa"/>
          </w:tcPr>
          <w:p w14:paraId="7C2933D5"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72111412" w14:textId="77777777">
        <w:trPr>
          <w:trHeight w:val="520"/>
        </w:trPr>
        <w:tc>
          <w:tcPr>
            <w:tcW w:w="4065" w:type="dxa"/>
            <w:gridSpan w:val="3"/>
          </w:tcPr>
          <w:p w14:paraId="1A28665D" w14:textId="77777777" w:rsidR="00AE2255" w:rsidRDefault="00000000">
            <w:pPr>
              <w:pStyle w:val="TableParagraph"/>
              <w:spacing w:before="0" w:after="20" w:line="215" w:lineRule="exact"/>
              <w:ind w:left="217"/>
              <w:jc w:val="left"/>
              <w:rPr>
                <w:sz w:val="20"/>
              </w:rPr>
            </w:pPr>
            <w:r>
              <w:rPr>
                <w:sz w:val="20"/>
              </w:rPr>
              <w:t>*</w:t>
            </w:r>
          </w:p>
          <w:p w14:paraId="1AEBB6E2" w14:textId="77777777" w:rsidR="00AE2255" w:rsidRDefault="00000000">
            <w:pPr>
              <w:pStyle w:val="TableParagraph"/>
              <w:spacing w:before="0" w:line="20" w:lineRule="exact"/>
              <w:ind w:left="155"/>
              <w:jc w:val="left"/>
              <w:rPr>
                <w:sz w:val="2"/>
              </w:rPr>
            </w:pPr>
            <w:r>
              <w:rPr>
                <w:sz w:val="2"/>
              </w:rPr>
            </w:r>
            <w:r>
              <w:rPr>
                <w:sz w:val="2"/>
              </w:rPr>
              <w:pict w14:anchorId="46D1E3E8">
                <v:group id="docshapegroup76" o:spid="_x0000_s2128" style="width:177pt;height:1pt;mso-position-horizontal-relative:char;mso-position-vertical-relative:line" coordsize="3540,20">
                  <v:shape id="docshape77" o:spid="_x0000_s2130" style="position:absolute;top:10;width:3540;height:2" coordorigin=",10" coordsize="3540,0" path="m3540,10l,10e" fillcolor="black" stroked="f">
                    <v:fill opacity="0"/>
                    <v:path arrowok="t"/>
                  </v:shape>
                  <v:line id="_x0000_s2129" style="position:absolute" from="0,10" to="3540,10" strokeweight="1pt"/>
                  <w10:wrap type="none"/>
                  <w10:anchorlock/>
                </v:group>
              </w:pict>
            </w:r>
          </w:p>
          <w:p w14:paraId="5FD3BF50" w14:textId="77777777" w:rsidR="00AE2255" w:rsidRDefault="00000000">
            <w:pPr>
              <w:pStyle w:val="TableParagraph"/>
              <w:spacing w:before="15" w:line="230" w:lineRule="exact"/>
              <w:ind w:left="217"/>
              <w:jc w:val="left"/>
              <w:rPr>
                <w:sz w:val="20"/>
              </w:rPr>
            </w:pPr>
            <w:r>
              <w:rPr>
                <w:sz w:val="20"/>
              </w:rPr>
              <w:t>Daniel</w:t>
            </w:r>
            <w:r>
              <w:rPr>
                <w:spacing w:val="-4"/>
                <w:sz w:val="20"/>
              </w:rPr>
              <w:t xml:space="preserve"> </w:t>
            </w:r>
            <w:r>
              <w:rPr>
                <w:sz w:val="20"/>
              </w:rPr>
              <w:t>F.</w:t>
            </w:r>
            <w:r>
              <w:rPr>
                <w:spacing w:val="-2"/>
                <w:sz w:val="20"/>
              </w:rPr>
              <w:t xml:space="preserve"> </w:t>
            </w:r>
            <w:proofErr w:type="spellStart"/>
            <w:r>
              <w:rPr>
                <w:spacing w:val="-2"/>
                <w:sz w:val="20"/>
              </w:rPr>
              <w:t>Akerson</w:t>
            </w:r>
            <w:proofErr w:type="spellEnd"/>
          </w:p>
        </w:tc>
        <w:tc>
          <w:tcPr>
            <w:tcW w:w="4290" w:type="dxa"/>
          </w:tcPr>
          <w:p w14:paraId="595F3747" w14:textId="77777777" w:rsidR="00AE2255" w:rsidRDefault="00000000">
            <w:pPr>
              <w:pStyle w:val="TableParagraph"/>
              <w:spacing w:before="17"/>
              <w:ind w:left="247"/>
              <w:jc w:val="left"/>
              <w:rPr>
                <w:sz w:val="20"/>
              </w:rPr>
            </w:pPr>
            <w:r>
              <w:rPr>
                <w:spacing w:val="-2"/>
                <w:sz w:val="20"/>
              </w:rPr>
              <w:t>Director</w:t>
            </w:r>
          </w:p>
        </w:tc>
        <w:tc>
          <w:tcPr>
            <w:tcW w:w="1875" w:type="dxa"/>
          </w:tcPr>
          <w:p w14:paraId="34D8891E"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48058325" w14:textId="77777777">
        <w:trPr>
          <w:trHeight w:val="520"/>
        </w:trPr>
        <w:tc>
          <w:tcPr>
            <w:tcW w:w="4065" w:type="dxa"/>
            <w:gridSpan w:val="3"/>
          </w:tcPr>
          <w:p w14:paraId="143BDE05" w14:textId="77777777" w:rsidR="00AE2255" w:rsidRDefault="00000000">
            <w:pPr>
              <w:pStyle w:val="TableParagraph"/>
              <w:spacing w:before="0" w:after="20" w:line="215" w:lineRule="exact"/>
              <w:ind w:left="217"/>
              <w:jc w:val="left"/>
              <w:rPr>
                <w:sz w:val="20"/>
              </w:rPr>
            </w:pPr>
            <w:r>
              <w:rPr>
                <w:sz w:val="20"/>
              </w:rPr>
              <w:t>*</w:t>
            </w:r>
          </w:p>
          <w:p w14:paraId="57C11372" w14:textId="77777777" w:rsidR="00AE2255" w:rsidRDefault="00000000">
            <w:pPr>
              <w:pStyle w:val="TableParagraph"/>
              <w:spacing w:before="0" w:line="20" w:lineRule="exact"/>
              <w:ind w:left="155"/>
              <w:jc w:val="left"/>
              <w:rPr>
                <w:sz w:val="2"/>
              </w:rPr>
            </w:pPr>
            <w:r>
              <w:rPr>
                <w:sz w:val="2"/>
              </w:rPr>
            </w:r>
            <w:r>
              <w:rPr>
                <w:sz w:val="2"/>
              </w:rPr>
              <w:pict w14:anchorId="7C22562D">
                <v:group id="docshapegroup78" o:spid="_x0000_s2125" style="width:177pt;height:1pt;mso-position-horizontal-relative:char;mso-position-vertical-relative:line" coordsize="3540,20">
                  <v:shape id="docshape79" o:spid="_x0000_s2127" style="position:absolute;top:10;width:3540;height:2" coordorigin=",10" coordsize="3540,0" path="m3540,10l,10e" fillcolor="black" stroked="f">
                    <v:fill opacity="0"/>
                    <v:path arrowok="t"/>
                  </v:shape>
                  <v:line id="_x0000_s2126" style="position:absolute" from="0,10" to="3540,10" strokeweight="1pt"/>
                  <w10:wrap type="none"/>
                  <w10:anchorlock/>
                </v:group>
              </w:pict>
            </w:r>
          </w:p>
          <w:p w14:paraId="2513EE02" w14:textId="77777777" w:rsidR="00AE2255" w:rsidRDefault="00000000">
            <w:pPr>
              <w:pStyle w:val="TableParagraph"/>
              <w:spacing w:before="15" w:line="230" w:lineRule="exact"/>
              <w:ind w:left="217"/>
              <w:jc w:val="left"/>
              <w:rPr>
                <w:sz w:val="20"/>
              </w:rPr>
            </w:pPr>
            <w:r>
              <w:rPr>
                <w:sz w:val="20"/>
              </w:rPr>
              <w:t>David</w:t>
            </w:r>
            <w:r>
              <w:rPr>
                <w:spacing w:val="-2"/>
                <w:sz w:val="20"/>
              </w:rPr>
              <w:t xml:space="preserve"> </w:t>
            </w:r>
            <w:r>
              <w:rPr>
                <w:sz w:val="20"/>
              </w:rPr>
              <w:t>B.</w:t>
            </w:r>
            <w:r>
              <w:rPr>
                <w:spacing w:val="-2"/>
                <w:sz w:val="20"/>
              </w:rPr>
              <w:t xml:space="preserve"> Burritt</w:t>
            </w:r>
          </w:p>
        </w:tc>
        <w:tc>
          <w:tcPr>
            <w:tcW w:w="4290" w:type="dxa"/>
          </w:tcPr>
          <w:p w14:paraId="089E844B" w14:textId="77777777" w:rsidR="00AE2255" w:rsidRDefault="00000000">
            <w:pPr>
              <w:pStyle w:val="TableParagraph"/>
              <w:spacing w:before="17"/>
              <w:ind w:left="247"/>
              <w:jc w:val="left"/>
              <w:rPr>
                <w:sz w:val="20"/>
              </w:rPr>
            </w:pPr>
            <w:r>
              <w:rPr>
                <w:spacing w:val="-2"/>
                <w:sz w:val="20"/>
              </w:rPr>
              <w:t>Director</w:t>
            </w:r>
          </w:p>
        </w:tc>
        <w:tc>
          <w:tcPr>
            <w:tcW w:w="1875" w:type="dxa"/>
          </w:tcPr>
          <w:p w14:paraId="4445E240"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55BE9D10" w14:textId="77777777">
        <w:trPr>
          <w:trHeight w:val="520"/>
        </w:trPr>
        <w:tc>
          <w:tcPr>
            <w:tcW w:w="4065" w:type="dxa"/>
            <w:gridSpan w:val="3"/>
          </w:tcPr>
          <w:p w14:paraId="168510BD" w14:textId="77777777" w:rsidR="00AE2255" w:rsidRDefault="00000000">
            <w:pPr>
              <w:pStyle w:val="TableParagraph"/>
              <w:spacing w:before="0" w:after="20" w:line="215" w:lineRule="exact"/>
              <w:ind w:left="217"/>
              <w:jc w:val="left"/>
              <w:rPr>
                <w:sz w:val="20"/>
              </w:rPr>
            </w:pPr>
            <w:r>
              <w:rPr>
                <w:sz w:val="20"/>
              </w:rPr>
              <w:t>*</w:t>
            </w:r>
          </w:p>
          <w:p w14:paraId="09DFE487" w14:textId="77777777" w:rsidR="00AE2255" w:rsidRDefault="00000000">
            <w:pPr>
              <w:pStyle w:val="TableParagraph"/>
              <w:spacing w:before="0" w:line="20" w:lineRule="exact"/>
              <w:ind w:left="155"/>
              <w:jc w:val="left"/>
              <w:rPr>
                <w:sz w:val="2"/>
              </w:rPr>
            </w:pPr>
            <w:r>
              <w:rPr>
                <w:sz w:val="2"/>
              </w:rPr>
            </w:r>
            <w:r>
              <w:rPr>
                <w:sz w:val="2"/>
              </w:rPr>
              <w:pict w14:anchorId="59B08212">
                <v:group id="docshapegroup80" o:spid="_x0000_s2122" style="width:177pt;height:1pt;mso-position-horizontal-relative:char;mso-position-vertical-relative:line" coordsize="3540,20">
                  <v:shape id="docshape81" o:spid="_x0000_s2124" style="position:absolute;top:10;width:3540;height:2" coordorigin=",10" coordsize="3540,0" path="m3540,10l,10e" fillcolor="black" stroked="f">
                    <v:fill opacity="0"/>
                    <v:path arrowok="t"/>
                  </v:shape>
                  <v:line id="_x0000_s2123" style="position:absolute" from="0,10" to="3540,10" strokeweight="1pt"/>
                  <w10:wrap type="none"/>
                  <w10:anchorlock/>
                </v:group>
              </w:pict>
            </w:r>
          </w:p>
          <w:p w14:paraId="6D4EB58E" w14:textId="77777777" w:rsidR="00AE2255" w:rsidRDefault="00000000">
            <w:pPr>
              <w:pStyle w:val="TableParagraph"/>
              <w:spacing w:before="15" w:line="230" w:lineRule="exact"/>
              <w:ind w:left="217"/>
              <w:jc w:val="left"/>
              <w:rPr>
                <w:sz w:val="20"/>
              </w:rPr>
            </w:pPr>
            <w:r>
              <w:rPr>
                <w:sz w:val="20"/>
              </w:rPr>
              <w:t>Bruce</w:t>
            </w:r>
            <w:r>
              <w:rPr>
                <w:spacing w:val="-5"/>
                <w:sz w:val="20"/>
              </w:rPr>
              <w:t xml:space="preserve"> </w:t>
            </w:r>
            <w:r>
              <w:rPr>
                <w:sz w:val="20"/>
              </w:rPr>
              <w:t>A.</w:t>
            </w:r>
            <w:r>
              <w:rPr>
                <w:spacing w:val="-1"/>
                <w:sz w:val="20"/>
              </w:rPr>
              <w:t xml:space="preserve"> </w:t>
            </w:r>
            <w:r>
              <w:rPr>
                <w:spacing w:val="-2"/>
                <w:sz w:val="20"/>
              </w:rPr>
              <w:t>Carlson</w:t>
            </w:r>
          </w:p>
        </w:tc>
        <w:tc>
          <w:tcPr>
            <w:tcW w:w="4290" w:type="dxa"/>
          </w:tcPr>
          <w:p w14:paraId="7F97F05C" w14:textId="77777777" w:rsidR="00AE2255" w:rsidRDefault="00000000">
            <w:pPr>
              <w:pStyle w:val="TableParagraph"/>
              <w:spacing w:before="17"/>
              <w:ind w:left="247"/>
              <w:jc w:val="left"/>
              <w:rPr>
                <w:sz w:val="20"/>
              </w:rPr>
            </w:pPr>
            <w:r>
              <w:rPr>
                <w:spacing w:val="-2"/>
                <w:sz w:val="20"/>
              </w:rPr>
              <w:t>Director</w:t>
            </w:r>
          </w:p>
        </w:tc>
        <w:tc>
          <w:tcPr>
            <w:tcW w:w="1875" w:type="dxa"/>
          </w:tcPr>
          <w:p w14:paraId="02ECE94B"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2B06CCBC" w14:textId="77777777">
        <w:trPr>
          <w:trHeight w:val="520"/>
        </w:trPr>
        <w:tc>
          <w:tcPr>
            <w:tcW w:w="3705" w:type="dxa"/>
            <w:gridSpan w:val="2"/>
            <w:tcBorders>
              <w:right w:val="nil"/>
            </w:tcBorders>
          </w:tcPr>
          <w:p w14:paraId="0C9C5F36" w14:textId="77777777" w:rsidR="00AE2255" w:rsidRDefault="00000000">
            <w:pPr>
              <w:pStyle w:val="TableParagraph"/>
              <w:spacing w:before="0" w:line="215" w:lineRule="exact"/>
              <w:ind w:left="217"/>
              <w:jc w:val="left"/>
              <w:rPr>
                <w:sz w:val="20"/>
              </w:rPr>
            </w:pPr>
            <w:r>
              <w:rPr>
                <w:sz w:val="20"/>
              </w:rPr>
              <w:t>*</w:t>
            </w:r>
          </w:p>
          <w:p w14:paraId="65FD506A" w14:textId="77777777" w:rsidR="00AE2255" w:rsidRDefault="00000000">
            <w:pPr>
              <w:pStyle w:val="TableParagraph"/>
              <w:spacing w:before="55" w:line="230" w:lineRule="exact"/>
              <w:ind w:left="217"/>
              <w:jc w:val="left"/>
              <w:rPr>
                <w:sz w:val="20"/>
              </w:rPr>
            </w:pPr>
            <w:r>
              <w:rPr>
                <w:sz w:val="20"/>
              </w:rPr>
              <w:t>John</w:t>
            </w:r>
            <w:r>
              <w:rPr>
                <w:spacing w:val="-1"/>
                <w:sz w:val="20"/>
              </w:rPr>
              <w:t xml:space="preserve"> </w:t>
            </w:r>
            <w:r>
              <w:rPr>
                <w:sz w:val="20"/>
              </w:rPr>
              <w:t>M.</w:t>
            </w:r>
            <w:r>
              <w:rPr>
                <w:spacing w:val="-1"/>
                <w:sz w:val="20"/>
              </w:rPr>
              <w:t xml:space="preserve"> </w:t>
            </w:r>
            <w:r>
              <w:rPr>
                <w:spacing w:val="-2"/>
                <w:sz w:val="20"/>
              </w:rPr>
              <w:t>Donovan</w:t>
            </w:r>
          </w:p>
        </w:tc>
        <w:tc>
          <w:tcPr>
            <w:tcW w:w="360" w:type="dxa"/>
            <w:vMerge w:val="restart"/>
            <w:tcBorders>
              <w:left w:val="nil"/>
            </w:tcBorders>
          </w:tcPr>
          <w:p w14:paraId="4202DC62" w14:textId="77777777" w:rsidR="00AE2255" w:rsidRDefault="00AE2255">
            <w:pPr>
              <w:pStyle w:val="TableParagraph"/>
              <w:spacing w:before="0"/>
              <w:jc w:val="left"/>
              <w:rPr>
                <w:sz w:val="20"/>
              </w:rPr>
            </w:pPr>
          </w:p>
        </w:tc>
        <w:tc>
          <w:tcPr>
            <w:tcW w:w="4290" w:type="dxa"/>
          </w:tcPr>
          <w:p w14:paraId="02CD6855" w14:textId="77777777" w:rsidR="00AE2255" w:rsidRDefault="00000000">
            <w:pPr>
              <w:pStyle w:val="TableParagraph"/>
              <w:spacing w:before="17"/>
              <w:ind w:left="247"/>
              <w:jc w:val="left"/>
              <w:rPr>
                <w:sz w:val="20"/>
              </w:rPr>
            </w:pPr>
            <w:r>
              <w:rPr>
                <w:spacing w:val="-2"/>
                <w:sz w:val="20"/>
              </w:rPr>
              <w:t>Director</w:t>
            </w:r>
          </w:p>
        </w:tc>
        <w:tc>
          <w:tcPr>
            <w:tcW w:w="1875" w:type="dxa"/>
          </w:tcPr>
          <w:p w14:paraId="1D28385B"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3AC31E26" w14:textId="77777777">
        <w:trPr>
          <w:trHeight w:val="235"/>
        </w:trPr>
        <w:tc>
          <w:tcPr>
            <w:tcW w:w="165" w:type="dxa"/>
            <w:vMerge w:val="restart"/>
            <w:tcBorders>
              <w:right w:val="nil"/>
            </w:tcBorders>
          </w:tcPr>
          <w:p w14:paraId="3EE91254" w14:textId="77777777" w:rsidR="00AE2255" w:rsidRDefault="00AE2255">
            <w:pPr>
              <w:pStyle w:val="TableParagraph"/>
              <w:spacing w:before="0"/>
              <w:jc w:val="left"/>
              <w:rPr>
                <w:sz w:val="20"/>
              </w:rPr>
            </w:pPr>
          </w:p>
        </w:tc>
        <w:tc>
          <w:tcPr>
            <w:tcW w:w="3540" w:type="dxa"/>
            <w:tcBorders>
              <w:left w:val="nil"/>
              <w:right w:val="nil"/>
            </w:tcBorders>
          </w:tcPr>
          <w:p w14:paraId="0E70E5AE" w14:textId="77777777" w:rsidR="00AE2255" w:rsidRDefault="00000000">
            <w:pPr>
              <w:pStyle w:val="TableParagraph"/>
              <w:spacing w:before="0" w:line="215" w:lineRule="exact"/>
              <w:ind w:left="62"/>
              <w:jc w:val="left"/>
              <w:rPr>
                <w:sz w:val="20"/>
              </w:rPr>
            </w:pPr>
            <w:r>
              <w:rPr>
                <w:sz w:val="20"/>
              </w:rPr>
              <w:t>*</w:t>
            </w:r>
          </w:p>
        </w:tc>
        <w:tc>
          <w:tcPr>
            <w:tcW w:w="360" w:type="dxa"/>
            <w:vMerge/>
            <w:tcBorders>
              <w:top w:val="nil"/>
              <w:left w:val="nil"/>
            </w:tcBorders>
          </w:tcPr>
          <w:p w14:paraId="1C27EA6D" w14:textId="77777777" w:rsidR="00AE2255" w:rsidRDefault="00AE2255">
            <w:pPr>
              <w:rPr>
                <w:sz w:val="2"/>
                <w:szCs w:val="2"/>
              </w:rPr>
            </w:pPr>
          </w:p>
        </w:tc>
        <w:tc>
          <w:tcPr>
            <w:tcW w:w="4290" w:type="dxa"/>
            <w:vMerge w:val="restart"/>
          </w:tcPr>
          <w:p w14:paraId="42592380" w14:textId="77777777" w:rsidR="00AE2255" w:rsidRDefault="00000000">
            <w:pPr>
              <w:pStyle w:val="TableParagraph"/>
              <w:spacing w:before="17"/>
              <w:ind w:left="247"/>
              <w:jc w:val="left"/>
              <w:rPr>
                <w:sz w:val="20"/>
              </w:rPr>
            </w:pPr>
            <w:r>
              <w:rPr>
                <w:spacing w:val="-2"/>
                <w:sz w:val="20"/>
              </w:rPr>
              <w:t>Director</w:t>
            </w:r>
          </w:p>
        </w:tc>
        <w:tc>
          <w:tcPr>
            <w:tcW w:w="1875" w:type="dxa"/>
            <w:vMerge w:val="restart"/>
          </w:tcPr>
          <w:p w14:paraId="70B3BF69" w14:textId="77777777" w:rsidR="00AE2255" w:rsidRDefault="00000000">
            <w:pPr>
              <w:pStyle w:val="TableParagraph"/>
              <w:spacing w:before="17"/>
              <w:ind w:left="247"/>
              <w:jc w:val="left"/>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3EB0A85F" w14:textId="77777777">
        <w:trPr>
          <w:trHeight w:val="265"/>
        </w:trPr>
        <w:tc>
          <w:tcPr>
            <w:tcW w:w="165" w:type="dxa"/>
            <w:vMerge/>
            <w:tcBorders>
              <w:top w:val="nil"/>
              <w:right w:val="nil"/>
            </w:tcBorders>
          </w:tcPr>
          <w:p w14:paraId="6A686D25" w14:textId="77777777" w:rsidR="00AE2255" w:rsidRDefault="00AE2255">
            <w:pPr>
              <w:rPr>
                <w:sz w:val="2"/>
                <w:szCs w:val="2"/>
              </w:rPr>
            </w:pPr>
          </w:p>
        </w:tc>
        <w:tc>
          <w:tcPr>
            <w:tcW w:w="3540" w:type="dxa"/>
            <w:tcBorders>
              <w:left w:val="nil"/>
              <w:right w:val="nil"/>
            </w:tcBorders>
          </w:tcPr>
          <w:p w14:paraId="4330205F" w14:textId="77777777" w:rsidR="00AE2255" w:rsidRDefault="00000000">
            <w:pPr>
              <w:pStyle w:val="TableParagraph"/>
              <w:spacing w:before="15" w:line="230" w:lineRule="exact"/>
              <w:ind w:left="62"/>
              <w:jc w:val="left"/>
              <w:rPr>
                <w:sz w:val="20"/>
              </w:rPr>
            </w:pPr>
            <w:r>
              <w:rPr>
                <w:sz w:val="20"/>
              </w:rPr>
              <w:t>Joseph</w:t>
            </w:r>
            <w:r>
              <w:rPr>
                <w:spacing w:val="-2"/>
                <w:sz w:val="20"/>
              </w:rPr>
              <w:t xml:space="preserve"> </w:t>
            </w:r>
            <w:r>
              <w:rPr>
                <w:sz w:val="20"/>
              </w:rPr>
              <w:t>F.</w:t>
            </w:r>
            <w:r>
              <w:rPr>
                <w:spacing w:val="-2"/>
                <w:sz w:val="20"/>
              </w:rPr>
              <w:t xml:space="preserve"> </w:t>
            </w:r>
            <w:r>
              <w:rPr>
                <w:sz w:val="20"/>
              </w:rPr>
              <w:t>Dunford,</w:t>
            </w:r>
            <w:r>
              <w:rPr>
                <w:spacing w:val="-1"/>
                <w:sz w:val="20"/>
              </w:rPr>
              <w:t xml:space="preserve"> </w:t>
            </w:r>
            <w:r>
              <w:rPr>
                <w:spacing w:val="-5"/>
                <w:sz w:val="20"/>
              </w:rPr>
              <w:t>Jr.</w:t>
            </w:r>
          </w:p>
        </w:tc>
        <w:tc>
          <w:tcPr>
            <w:tcW w:w="360" w:type="dxa"/>
            <w:vMerge/>
            <w:tcBorders>
              <w:top w:val="nil"/>
              <w:left w:val="nil"/>
            </w:tcBorders>
          </w:tcPr>
          <w:p w14:paraId="2856C6FD" w14:textId="77777777" w:rsidR="00AE2255" w:rsidRDefault="00AE2255">
            <w:pPr>
              <w:rPr>
                <w:sz w:val="2"/>
                <w:szCs w:val="2"/>
              </w:rPr>
            </w:pPr>
          </w:p>
        </w:tc>
        <w:tc>
          <w:tcPr>
            <w:tcW w:w="4290" w:type="dxa"/>
            <w:vMerge/>
            <w:tcBorders>
              <w:top w:val="nil"/>
            </w:tcBorders>
          </w:tcPr>
          <w:p w14:paraId="241C8FA9" w14:textId="77777777" w:rsidR="00AE2255" w:rsidRDefault="00AE2255">
            <w:pPr>
              <w:rPr>
                <w:sz w:val="2"/>
                <w:szCs w:val="2"/>
              </w:rPr>
            </w:pPr>
          </w:p>
        </w:tc>
        <w:tc>
          <w:tcPr>
            <w:tcW w:w="1875" w:type="dxa"/>
            <w:vMerge/>
            <w:tcBorders>
              <w:top w:val="nil"/>
            </w:tcBorders>
          </w:tcPr>
          <w:p w14:paraId="76BFFF43" w14:textId="77777777" w:rsidR="00AE2255" w:rsidRDefault="00AE2255">
            <w:pPr>
              <w:rPr>
                <w:sz w:val="2"/>
                <w:szCs w:val="2"/>
              </w:rPr>
            </w:pPr>
          </w:p>
        </w:tc>
      </w:tr>
      <w:tr w:rsidR="00AE2255" w14:paraId="17C70FDE" w14:textId="77777777">
        <w:trPr>
          <w:trHeight w:val="520"/>
        </w:trPr>
        <w:tc>
          <w:tcPr>
            <w:tcW w:w="4065" w:type="dxa"/>
            <w:gridSpan w:val="3"/>
          </w:tcPr>
          <w:p w14:paraId="1A38283E" w14:textId="77777777" w:rsidR="00AE2255" w:rsidRDefault="00000000">
            <w:pPr>
              <w:pStyle w:val="TableParagraph"/>
              <w:spacing w:before="0" w:after="20" w:line="215" w:lineRule="exact"/>
              <w:ind w:left="217"/>
              <w:jc w:val="left"/>
              <w:rPr>
                <w:sz w:val="20"/>
              </w:rPr>
            </w:pPr>
            <w:r>
              <w:rPr>
                <w:sz w:val="20"/>
              </w:rPr>
              <w:t>*</w:t>
            </w:r>
          </w:p>
          <w:p w14:paraId="776CA34B" w14:textId="77777777" w:rsidR="00AE2255" w:rsidRDefault="00000000">
            <w:pPr>
              <w:pStyle w:val="TableParagraph"/>
              <w:spacing w:before="0" w:line="20" w:lineRule="exact"/>
              <w:ind w:left="155"/>
              <w:jc w:val="left"/>
              <w:rPr>
                <w:sz w:val="2"/>
              </w:rPr>
            </w:pPr>
            <w:r>
              <w:rPr>
                <w:sz w:val="2"/>
              </w:rPr>
            </w:r>
            <w:r>
              <w:rPr>
                <w:sz w:val="2"/>
              </w:rPr>
              <w:pict w14:anchorId="7C663760">
                <v:group id="docshapegroup82" o:spid="_x0000_s2119" style="width:177pt;height:1pt;mso-position-horizontal-relative:char;mso-position-vertical-relative:line" coordsize="3540,20">
                  <v:shape id="docshape83" o:spid="_x0000_s2121" style="position:absolute;top:10;width:3540;height:2" coordorigin=",10" coordsize="3540,0" path="m3540,10l,10e" fillcolor="black" stroked="f">
                    <v:fill opacity="0"/>
                    <v:path arrowok="t"/>
                  </v:shape>
                  <v:line id="_x0000_s2120" style="position:absolute" from="0,10" to="3540,10" strokeweight="1pt"/>
                  <w10:wrap type="none"/>
                  <w10:anchorlock/>
                </v:group>
              </w:pict>
            </w:r>
          </w:p>
          <w:p w14:paraId="1DC16D1C" w14:textId="77777777" w:rsidR="00AE2255" w:rsidRDefault="00000000">
            <w:pPr>
              <w:pStyle w:val="TableParagraph"/>
              <w:spacing w:before="15" w:line="230" w:lineRule="exact"/>
              <w:ind w:left="217"/>
              <w:jc w:val="left"/>
              <w:rPr>
                <w:sz w:val="20"/>
              </w:rPr>
            </w:pPr>
            <w:r>
              <w:rPr>
                <w:sz w:val="20"/>
              </w:rPr>
              <w:t>James</w:t>
            </w:r>
            <w:r>
              <w:rPr>
                <w:spacing w:val="-5"/>
                <w:sz w:val="20"/>
              </w:rPr>
              <w:t xml:space="preserve"> </w:t>
            </w:r>
            <w:r>
              <w:rPr>
                <w:sz w:val="20"/>
              </w:rPr>
              <w:t>O.</w:t>
            </w:r>
            <w:r>
              <w:rPr>
                <w:spacing w:val="-3"/>
                <w:sz w:val="20"/>
              </w:rPr>
              <w:t xml:space="preserve"> </w:t>
            </w:r>
            <w:r>
              <w:rPr>
                <w:sz w:val="20"/>
              </w:rPr>
              <w:t>Ellis,</w:t>
            </w:r>
            <w:r>
              <w:rPr>
                <w:spacing w:val="-3"/>
                <w:sz w:val="20"/>
              </w:rPr>
              <w:t xml:space="preserve"> </w:t>
            </w:r>
            <w:r>
              <w:rPr>
                <w:spacing w:val="-5"/>
                <w:sz w:val="20"/>
              </w:rPr>
              <w:t>Jr.</w:t>
            </w:r>
          </w:p>
        </w:tc>
        <w:tc>
          <w:tcPr>
            <w:tcW w:w="4290" w:type="dxa"/>
          </w:tcPr>
          <w:p w14:paraId="20837E33" w14:textId="77777777" w:rsidR="00AE2255" w:rsidRDefault="00000000">
            <w:pPr>
              <w:pStyle w:val="TableParagraph"/>
              <w:spacing w:before="17"/>
              <w:ind w:left="247"/>
              <w:jc w:val="left"/>
              <w:rPr>
                <w:sz w:val="20"/>
              </w:rPr>
            </w:pPr>
            <w:r>
              <w:rPr>
                <w:spacing w:val="-2"/>
                <w:sz w:val="20"/>
              </w:rPr>
              <w:t>Director</w:t>
            </w:r>
          </w:p>
        </w:tc>
        <w:tc>
          <w:tcPr>
            <w:tcW w:w="1875" w:type="dxa"/>
          </w:tcPr>
          <w:p w14:paraId="6F8D38C0"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2B885AF2" w14:textId="77777777">
        <w:trPr>
          <w:trHeight w:val="520"/>
        </w:trPr>
        <w:tc>
          <w:tcPr>
            <w:tcW w:w="4065" w:type="dxa"/>
            <w:gridSpan w:val="3"/>
          </w:tcPr>
          <w:p w14:paraId="4AB883B3" w14:textId="77777777" w:rsidR="00AE2255" w:rsidRDefault="00000000">
            <w:pPr>
              <w:pStyle w:val="TableParagraph"/>
              <w:spacing w:before="0" w:after="20" w:line="215" w:lineRule="exact"/>
              <w:ind w:left="217"/>
              <w:jc w:val="left"/>
              <w:rPr>
                <w:sz w:val="20"/>
              </w:rPr>
            </w:pPr>
            <w:r>
              <w:rPr>
                <w:sz w:val="20"/>
              </w:rPr>
              <w:t>*</w:t>
            </w:r>
          </w:p>
          <w:p w14:paraId="23A151E1" w14:textId="77777777" w:rsidR="00AE2255" w:rsidRDefault="00000000">
            <w:pPr>
              <w:pStyle w:val="TableParagraph"/>
              <w:spacing w:before="0" w:line="20" w:lineRule="exact"/>
              <w:ind w:left="155"/>
              <w:jc w:val="left"/>
              <w:rPr>
                <w:sz w:val="2"/>
              </w:rPr>
            </w:pPr>
            <w:r>
              <w:rPr>
                <w:sz w:val="2"/>
              </w:rPr>
            </w:r>
            <w:r>
              <w:rPr>
                <w:sz w:val="2"/>
              </w:rPr>
              <w:pict w14:anchorId="2FADE128">
                <v:group id="docshapegroup84" o:spid="_x0000_s2116" style="width:177pt;height:1pt;mso-position-horizontal-relative:char;mso-position-vertical-relative:line" coordsize="3540,20">
                  <v:shape id="docshape85" o:spid="_x0000_s2118" style="position:absolute;top:10;width:3540;height:2" coordorigin=",10" coordsize="3540,0" path="m3540,10l,10e" fillcolor="black" stroked="f">
                    <v:fill opacity="0"/>
                    <v:path arrowok="t"/>
                  </v:shape>
                  <v:line id="_x0000_s2117" style="position:absolute" from="0,10" to="3540,10" strokeweight="1pt"/>
                  <w10:wrap type="none"/>
                  <w10:anchorlock/>
                </v:group>
              </w:pict>
            </w:r>
          </w:p>
          <w:p w14:paraId="7ECEF522" w14:textId="77777777" w:rsidR="00AE2255" w:rsidRDefault="00000000">
            <w:pPr>
              <w:pStyle w:val="TableParagraph"/>
              <w:spacing w:before="15" w:line="230" w:lineRule="exact"/>
              <w:ind w:left="217"/>
              <w:jc w:val="left"/>
              <w:rPr>
                <w:sz w:val="20"/>
              </w:rPr>
            </w:pPr>
            <w:r>
              <w:rPr>
                <w:sz w:val="20"/>
              </w:rPr>
              <w:t>Thomas</w:t>
            </w:r>
            <w:r>
              <w:rPr>
                <w:spacing w:val="-3"/>
                <w:sz w:val="20"/>
              </w:rPr>
              <w:t xml:space="preserve"> </w:t>
            </w:r>
            <w:r>
              <w:rPr>
                <w:sz w:val="20"/>
              </w:rPr>
              <w:t>J.</w:t>
            </w:r>
            <w:r>
              <w:rPr>
                <w:spacing w:val="-2"/>
                <w:sz w:val="20"/>
              </w:rPr>
              <w:t xml:space="preserve"> </w:t>
            </w:r>
            <w:r>
              <w:rPr>
                <w:spacing w:val="-4"/>
                <w:sz w:val="20"/>
              </w:rPr>
              <w:t>Falk</w:t>
            </w:r>
          </w:p>
        </w:tc>
        <w:tc>
          <w:tcPr>
            <w:tcW w:w="4290" w:type="dxa"/>
          </w:tcPr>
          <w:p w14:paraId="649F15BB" w14:textId="77777777" w:rsidR="00AE2255" w:rsidRDefault="00000000">
            <w:pPr>
              <w:pStyle w:val="TableParagraph"/>
              <w:spacing w:before="17"/>
              <w:ind w:left="247"/>
              <w:jc w:val="left"/>
              <w:rPr>
                <w:sz w:val="20"/>
              </w:rPr>
            </w:pPr>
            <w:r>
              <w:rPr>
                <w:spacing w:val="-2"/>
                <w:sz w:val="20"/>
              </w:rPr>
              <w:t>Director</w:t>
            </w:r>
          </w:p>
        </w:tc>
        <w:tc>
          <w:tcPr>
            <w:tcW w:w="1875" w:type="dxa"/>
          </w:tcPr>
          <w:p w14:paraId="461194DA"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2D85DF0B" w14:textId="77777777">
        <w:trPr>
          <w:trHeight w:val="550"/>
        </w:trPr>
        <w:tc>
          <w:tcPr>
            <w:tcW w:w="4065" w:type="dxa"/>
            <w:gridSpan w:val="3"/>
          </w:tcPr>
          <w:p w14:paraId="2915B109" w14:textId="77777777" w:rsidR="00AE2255" w:rsidRDefault="00000000">
            <w:pPr>
              <w:pStyle w:val="TableParagraph"/>
              <w:spacing w:before="15" w:after="20"/>
              <w:ind w:left="217"/>
              <w:jc w:val="left"/>
              <w:rPr>
                <w:sz w:val="20"/>
              </w:rPr>
            </w:pPr>
            <w:r>
              <w:rPr>
                <w:sz w:val="20"/>
              </w:rPr>
              <w:t>*</w:t>
            </w:r>
          </w:p>
          <w:p w14:paraId="403565CF" w14:textId="77777777" w:rsidR="00AE2255" w:rsidRDefault="00000000">
            <w:pPr>
              <w:pStyle w:val="TableParagraph"/>
              <w:spacing w:before="0" w:line="20" w:lineRule="exact"/>
              <w:ind w:left="155"/>
              <w:jc w:val="left"/>
              <w:rPr>
                <w:sz w:val="2"/>
              </w:rPr>
            </w:pPr>
            <w:r>
              <w:rPr>
                <w:sz w:val="2"/>
              </w:rPr>
            </w:r>
            <w:r>
              <w:rPr>
                <w:sz w:val="2"/>
              </w:rPr>
              <w:pict w14:anchorId="67A3D1D7">
                <v:group id="docshapegroup86" o:spid="_x0000_s2113" style="width:177pt;height:1pt;mso-position-horizontal-relative:char;mso-position-vertical-relative:line" coordsize="3540,20">
                  <v:shape id="docshape87" o:spid="_x0000_s2115" style="position:absolute;top:10;width:3540;height:2" coordorigin=",10" coordsize="3540,0" path="m3540,10l,10e" fillcolor="black" stroked="f">
                    <v:fill opacity="0"/>
                    <v:path arrowok="t"/>
                  </v:shape>
                  <v:line id="_x0000_s2114" style="position:absolute" from="0,10" to="3540,10" strokeweight="1pt"/>
                  <w10:wrap type="none"/>
                  <w10:anchorlock/>
                </v:group>
              </w:pict>
            </w:r>
          </w:p>
          <w:p w14:paraId="5B8F913C" w14:textId="77777777" w:rsidR="00AE2255" w:rsidRDefault="00000000">
            <w:pPr>
              <w:pStyle w:val="TableParagraph"/>
              <w:spacing w:before="15" w:line="230" w:lineRule="exact"/>
              <w:ind w:left="217"/>
              <w:jc w:val="left"/>
              <w:rPr>
                <w:sz w:val="20"/>
              </w:rPr>
            </w:pPr>
            <w:r>
              <w:rPr>
                <w:sz w:val="20"/>
              </w:rPr>
              <w:t>Ilene</w:t>
            </w:r>
            <w:r>
              <w:rPr>
                <w:spacing w:val="-5"/>
                <w:sz w:val="20"/>
              </w:rPr>
              <w:t xml:space="preserve"> </w:t>
            </w:r>
            <w:r>
              <w:rPr>
                <w:sz w:val="20"/>
              </w:rPr>
              <w:t>S.</w:t>
            </w:r>
            <w:r>
              <w:rPr>
                <w:spacing w:val="-1"/>
                <w:sz w:val="20"/>
              </w:rPr>
              <w:t xml:space="preserve"> </w:t>
            </w:r>
            <w:r>
              <w:rPr>
                <w:spacing w:val="-2"/>
                <w:sz w:val="20"/>
              </w:rPr>
              <w:t>Gordon</w:t>
            </w:r>
          </w:p>
        </w:tc>
        <w:tc>
          <w:tcPr>
            <w:tcW w:w="4290" w:type="dxa"/>
          </w:tcPr>
          <w:p w14:paraId="2DC39F3D" w14:textId="77777777" w:rsidR="00AE2255" w:rsidRDefault="00000000">
            <w:pPr>
              <w:pStyle w:val="TableParagraph"/>
              <w:spacing w:before="17"/>
              <w:ind w:left="247"/>
              <w:jc w:val="left"/>
              <w:rPr>
                <w:sz w:val="20"/>
              </w:rPr>
            </w:pPr>
            <w:r>
              <w:rPr>
                <w:spacing w:val="-2"/>
                <w:sz w:val="20"/>
              </w:rPr>
              <w:t>Director</w:t>
            </w:r>
          </w:p>
        </w:tc>
        <w:tc>
          <w:tcPr>
            <w:tcW w:w="1875" w:type="dxa"/>
          </w:tcPr>
          <w:p w14:paraId="44C0A4FA"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5068613D" w14:textId="77777777">
        <w:trPr>
          <w:trHeight w:val="535"/>
        </w:trPr>
        <w:tc>
          <w:tcPr>
            <w:tcW w:w="3705" w:type="dxa"/>
            <w:gridSpan w:val="2"/>
            <w:tcBorders>
              <w:right w:val="nil"/>
            </w:tcBorders>
          </w:tcPr>
          <w:p w14:paraId="03CA62C5" w14:textId="77777777" w:rsidR="00AE2255" w:rsidRDefault="00000000">
            <w:pPr>
              <w:pStyle w:val="TableParagraph"/>
              <w:spacing w:before="0" w:line="215" w:lineRule="exact"/>
              <w:ind w:left="217"/>
              <w:jc w:val="left"/>
              <w:rPr>
                <w:sz w:val="20"/>
              </w:rPr>
            </w:pPr>
            <w:r>
              <w:rPr>
                <w:sz w:val="20"/>
              </w:rPr>
              <w:t>*</w:t>
            </w:r>
          </w:p>
          <w:p w14:paraId="063BD4C5" w14:textId="77777777" w:rsidR="00AE2255" w:rsidRDefault="00000000">
            <w:pPr>
              <w:pStyle w:val="TableParagraph"/>
              <w:spacing w:before="70" w:line="230" w:lineRule="exact"/>
              <w:ind w:left="217"/>
              <w:jc w:val="left"/>
              <w:rPr>
                <w:sz w:val="20"/>
              </w:rPr>
            </w:pPr>
            <w:r>
              <w:rPr>
                <w:sz w:val="20"/>
              </w:rPr>
              <w:t>Vicki</w:t>
            </w:r>
            <w:r>
              <w:rPr>
                <w:spacing w:val="-5"/>
                <w:sz w:val="20"/>
              </w:rPr>
              <w:t xml:space="preserve"> </w:t>
            </w:r>
            <w:r>
              <w:rPr>
                <w:sz w:val="20"/>
              </w:rPr>
              <w:t>A.</w:t>
            </w:r>
            <w:r>
              <w:rPr>
                <w:spacing w:val="-2"/>
                <w:sz w:val="20"/>
              </w:rPr>
              <w:t xml:space="preserve"> </w:t>
            </w:r>
            <w:proofErr w:type="spellStart"/>
            <w:r>
              <w:rPr>
                <w:spacing w:val="-2"/>
                <w:sz w:val="20"/>
              </w:rPr>
              <w:t>Hollub</w:t>
            </w:r>
            <w:proofErr w:type="spellEnd"/>
          </w:p>
        </w:tc>
        <w:tc>
          <w:tcPr>
            <w:tcW w:w="360" w:type="dxa"/>
            <w:vMerge w:val="restart"/>
            <w:tcBorders>
              <w:left w:val="nil"/>
            </w:tcBorders>
          </w:tcPr>
          <w:p w14:paraId="405E3BB2" w14:textId="77777777" w:rsidR="00AE2255" w:rsidRDefault="00AE2255">
            <w:pPr>
              <w:pStyle w:val="TableParagraph"/>
              <w:spacing w:before="0"/>
              <w:jc w:val="left"/>
              <w:rPr>
                <w:sz w:val="20"/>
              </w:rPr>
            </w:pPr>
          </w:p>
        </w:tc>
        <w:tc>
          <w:tcPr>
            <w:tcW w:w="4290" w:type="dxa"/>
          </w:tcPr>
          <w:p w14:paraId="7A24E2FE" w14:textId="77777777" w:rsidR="00AE2255" w:rsidRDefault="00000000">
            <w:pPr>
              <w:pStyle w:val="TableParagraph"/>
              <w:spacing w:before="17"/>
              <w:ind w:left="247"/>
              <w:jc w:val="left"/>
              <w:rPr>
                <w:sz w:val="20"/>
              </w:rPr>
            </w:pPr>
            <w:r>
              <w:rPr>
                <w:spacing w:val="-2"/>
                <w:sz w:val="20"/>
              </w:rPr>
              <w:t>Director</w:t>
            </w:r>
          </w:p>
        </w:tc>
        <w:tc>
          <w:tcPr>
            <w:tcW w:w="1875" w:type="dxa"/>
          </w:tcPr>
          <w:p w14:paraId="7425277A"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29204D8D" w14:textId="77777777">
        <w:trPr>
          <w:trHeight w:val="265"/>
        </w:trPr>
        <w:tc>
          <w:tcPr>
            <w:tcW w:w="165" w:type="dxa"/>
            <w:vMerge w:val="restart"/>
            <w:tcBorders>
              <w:right w:val="nil"/>
            </w:tcBorders>
          </w:tcPr>
          <w:p w14:paraId="4F674CFB" w14:textId="77777777" w:rsidR="00AE2255" w:rsidRDefault="00AE2255">
            <w:pPr>
              <w:pStyle w:val="TableParagraph"/>
              <w:spacing w:before="0"/>
              <w:jc w:val="left"/>
              <w:rPr>
                <w:sz w:val="20"/>
              </w:rPr>
            </w:pPr>
          </w:p>
        </w:tc>
        <w:tc>
          <w:tcPr>
            <w:tcW w:w="3540" w:type="dxa"/>
            <w:tcBorders>
              <w:left w:val="nil"/>
              <w:right w:val="nil"/>
            </w:tcBorders>
          </w:tcPr>
          <w:p w14:paraId="490121A2" w14:textId="77777777" w:rsidR="00AE2255" w:rsidRDefault="00000000">
            <w:pPr>
              <w:pStyle w:val="TableParagraph"/>
              <w:spacing w:before="15" w:line="230" w:lineRule="exact"/>
              <w:ind w:left="62"/>
              <w:jc w:val="left"/>
              <w:rPr>
                <w:sz w:val="20"/>
              </w:rPr>
            </w:pPr>
            <w:r>
              <w:rPr>
                <w:sz w:val="20"/>
              </w:rPr>
              <w:t>*</w:t>
            </w:r>
          </w:p>
        </w:tc>
        <w:tc>
          <w:tcPr>
            <w:tcW w:w="360" w:type="dxa"/>
            <w:vMerge/>
            <w:tcBorders>
              <w:top w:val="nil"/>
              <w:left w:val="nil"/>
            </w:tcBorders>
          </w:tcPr>
          <w:p w14:paraId="4B7425A2" w14:textId="77777777" w:rsidR="00AE2255" w:rsidRDefault="00AE2255">
            <w:pPr>
              <w:rPr>
                <w:sz w:val="2"/>
                <w:szCs w:val="2"/>
              </w:rPr>
            </w:pPr>
          </w:p>
        </w:tc>
        <w:tc>
          <w:tcPr>
            <w:tcW w:w="4290" w:type="dxa"/>
            <w:vMerge w:val="restart"/>
          </w:tcPr>
          <w:p w14:paraId="41D49344" w14:textId="77777777" w:rsidR="00AE2255" w:rsidRDefault="00000000">
            <w:pPr>
              <w:pStyle w:val="TableParagraph"/>
              <w:spacing w:before="17"/>
              <w:ind w:left="247"/>
              <w:jc w:val="left"/>
              <w:rPr>
                <w:sz w:val="20"/>
              </w:rPr>
            </w:pPr>
            <w:r>
              <w:rPr>
                <w:spacing w:val="-2"/>
                <w:sz w:val="20"/>
              </w:rPr>
              <w:t>Director</w:t>
            </w:r>
          </w:p>
        </w:tc>
        <w:tc>
          <w:tcPr>
            <w:tcW w:w="1875" w:type="dxa"/>
            <w:vMerge w:val="restart"/>
          </w:tcPr>
          <w:p w14:paraId="13226243" w14:textId="77777777" w:rsidR="00AE2255" w:rsidRDefault="00000000">
            <w:pPr>
              <w:pStyle w:val="TableParagraph"/>
              <w:spacing w:before="17"/>
              <w:ind w:left="247"/>
              <w:jc w:val="left"/>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44CF967F" w14:textId="77777777">
        <w:trPr>
          <w:trHeight w:val="265"/>
        </w:trPr>
        <w:tc>
          <w:tcPr>
            <w:tcW w:w="165" w:type="dxa"/>
            <w:vMerge/>
            <w:tcBorders>
              <w:top w:val="nil"/>
              <w:right w:val="nil"/>
            </w:tcBorders>
          </w:tcPr>
          <w:p w14:paraId="574BF050" w14:textId="77777777" w:rsidR="00AE2255" w:rsidRDefault="00AE2255">
            <w:pPr>
              <w:rPr>
                <w:sz w:val="2"/>
                <w:szCs w:val="2"/>
              </w:rPr>
            </w:pPr>
          </w:p>
        </w:tc>
        <w:tc>
          <w:tcPr>
            <w:tcW w:w="3540" w:type="dxa"/>
            <w:tcBorders>
              <w:left w:val="nil"/>
              <w:right w:val="nil"/>
            </w:tcBorders>
          </w:tcPr>
          <w:p w14:paraId="174F21F4" w14:textId="77777777" w:rsidR="00AE2255" w:rsidRDefault="00000000">
            <w:pPr>
              <w:pStyle w:val="TableParagraph"/>
              <w:spacing w:before="15" w:line="230" w:lineRule="exact"/>
              <w:ind w:left="62"/>
              <w:jc w:val="left"/>
              <w:rPr>
                <w:sz w:val="20"/>
              </w:rPr>
            </w:pPr>
            <w:r>
              <w:rPr>
                <w:sz w:val="20"/>
              </w:rPr>
              <w:t>Jeh</w:t>
            </w:r>
            <w:r>
              <w:rPr>
                <w:spacing w:val="-2"/>
                <w:sz w:val="20"/>
              </w:rPr>
              <w:t xml:space="preserve"> </w:t>
            </w:r>
            <w:r>
              <w:rPr>
                <w:sz w:val="20"/>
              </w:rPr>
              <w:t>C.</w:t>
            </w:r>
            <w:r>
              <w:rPr>
                <w:spacing w:val="-1"/>
                <w:sz w:val="20"/>
              </w:rPr>
              <w:t xml:space="preserve"> </w:t>
            </w:r>
            <w:r>
              <w:rPr>
                <w:spacing w:val="-2"/>
                <w:sz w:val="20"/>
              </w:rPr>
              <w:t>Johnson</w:t>
            </w:r>
          </w:p>
        </w:tc>
        <w:tc>
          <w:tcPr>
            <w:tcW w:w="360" w:type="dxa"/>
            <w:vMerge/>
            <w:tcBorders>
              <w:top w:val="nil"/>
              <w:left w:val="nil"/>
            </w:tcBorders>
          </w:tcPr>
          <w:p w14:paraId="51D64EE7" w14:textId="77777777" w:rsidR="00AE2255" w:rsidRDefault="00AE2255">
            <w:pPr>
              <w:rPr>
                <w:sz w:val="2"/>
                <w:szCs w:val="2"/>
              </w:rPr>
            </w:pPr>
          </w:p>
        </w:tc>
        <w:tc>
          <w:tcPr>
            <w:tcW w:w="4290" w:type="dxa"/>
            <w:vMerge/>
            <w:tcBorders>
              <w:top w:val="nil"/>
            </w:tcBorders>
          </w:tcPr>
          <w:p w14:paraId="259DD5C7" w14:textId="77777777" w:rsidR="00AE2255" w:rsidRDefault="00AE2255">
            <w:pPr>
              <w:rPr>
                <w:sz w:val="2"/>
                <w:szCs w:val="2"/>
              </w:rPr>
            </w:pPr>
          </w:p>
        </w:tc>
        <w:tc>
          <w:tcPr>
            <w:tcW w:w="1875" w:type="dxa"/>
            <w:vMerge/>
            <w:tcBorders>
              <w:top w:val="nil"/>
            </w:tcBorders>
          </w:tcPr>
          <w:p w14:paraId="331EEF50" w14:textId="77777777" w:rsidR="00AE2255" w:rsidRDefault="00AE2255">
            <w:pPr>
              <w:rPr>
                <w:sz w:val="2"/>
                <w:szCs w:val="2"/>
              </w:rPr>
            </w:pPr>
          </w:p>
        </w:tc>
      </w:tr>
      <w:tr w:rsidR="00AE2255" w14:paraId="77C94805" w14:textId="77777777">
        <w:trPr>
          <w:trHeight w:val="520"/>
        </w:trPr>
        <w:tc>
          <w:tcPr>
            <w:tcW w:w="4065" w:type="dxa"/>
            <w:gridSpan w:val="3"/>
          </w:tcPr>
          <w:p w14:paraId="6ACD5615" w14:textId="77777777" w:rsidR="00AE2255" w:rsidRDefault="00000000">
            <w:pPr>
              <w:pStyle w:val="TableParagraph"/>
              <w:spacing w:before="0" w:after="20" w:line="215" w:lineRule="exact"/>
              <w:ind w:left="217"/>
              <w:jc w:val="left"/>
              <w:rPr>
                <w:sz w:val="20"/>
              </w:rPr>
            </w:pPr>
            <w:r>
              <w:rPr>
                <w:sz w:val="20"/>
              </w:rPr>
              <w:t>*</w:t>
            </w:r>
          </w:p>
          <w:p w14:paraId="626C5C90" w14:textId="77777777" w:rsidR="00AE2255" w:rsidRDefault="00000000">
            <w:pPr>
              <w:pStyle w:val="TableParagraph"/>
              <w:spacing w:before="0" w:line="20" w:lineRule="exact"/>
              <w:ind w:left="155"/>
              <w:jc w:val="left"/>
              <w:rPr>
                <w:sz w:val="2"/>
              </w:rPr>
            </w:pPr>
            <w:r>
              <w:rPr>
                <w:sz w:val="2"/>
              </w:rPr>
            </w:r>
            <w:r>
              <w:rPr>
                <w:sz w:val="2"/>
              </w:rPr>
              <w:pict w14:anchorId="6F7A681D">
                <v:group id="docshapegroup88" o:spid="_x0000_s2110" style="width:177pt;height:1pt;mso-position-horizontal-relative:char;mso-position-vertical-relative:line" coordsize="3540,20">
                  <v:shape id="docshape89" o:spid="_x0000_s2112" style="position:absolute;top:10;width:3540;height:2" coordorigin=",10" coordsize="3540,0" path="m3540,10l,10e" fillcolor="black" stroked="f">
                    <v:fill opacity="0"/>
                    <v:path arrowok="t"/>
                  </v:shape>
                  <v:line id="_x0000_s2111" style="position:absolute" from="0,10" to="3540,10" strokeweight="1pt"/>
                  <w10:wrap type="none"/>
                  <w10:anchorlock/>
                </v:group>
              </w:pict>
            </w:r>
          </w:p>
          <w:p w14:paraId="7227E0BE" w14:textId="77777777" w:rsidR="00AE2255" w:rsidRDefault="00000000">
            <w:pPr>
              <w:pStyle w:val="TableParagraph"/>
              <w:spacing w:before="17" w:line="228" w:lineRule="exact"/>
              <w:ind w:left="217"/>
              <w:jc w:val="left"/>
              <w:rPr>
                <w:sz w:val="20"/>
              </w:rPr>
            </w:pPr>
            <w:r>
              <w:rPr>
                <w:sz w:val="20"/>
              </w:rPr>
              <w:t>Debra</w:t>
            </w:r>
            <w:r>
              <w:rPr>
                <w:spacing w:val="-4"/>
                <w:sz w:val="20"/>
              </w:rPr>
              <w:t xml:space="preserve"> </w:t>
            </w:r>
            <w:r>
              <w:rPr>
                <w:sz w:val="20"/>
              </w:rPr>
              <w:t>L.</w:t>
            </w:r>
            <w:r>
              <w:rPr>
                <w:spacing w:val="-3"/>
                <w:sz w:val="20"/>
              </w:rPr>
              <w:t xml:space="preserve"> </w:t>
            </w:r>
            <w:r>
              <w:rPr>
                <w:sz w:val="20"/>
              </w:rPr>
              <w:t>Reed-</w:t>
            </w:r>
            <w:proofErr w:type="spellStart"/>
            <w:r>
              <w:rPr>
                <w:spacing w:val="-2"/>
                <w:sz w:val="20"/>
              </w:rPr>
              <w:t>Klages</w:t>
            </w:r>
            <w:proofErr w:type="spellEnd"/>
          </w:p>
        </w:tc>
        <w:tc>
          <w:tcPr>
            <w:tcW w:w="4290" w:type="dxa"/>
          </w:tcPr>
          <w:p w14:paraId="7EE5D075" w14:textId="77777777" w:rsidR="00AE2255" w:rsidRDefault="00000000">
            <w:pPr>
              <w:pStyle w:val="TableParagraph"/>
              <w:spacing w:before="17"/>
              <w:ind w:left="247"/>
              <w:jc w:val="left"/>
              <w:rPr>
                <w:sz w:val="20"/>
              </w:rPr>
            </w:pPr>
            <w:r>
              <w:rPr>
                <w:spacing w:val="-2"/>
                <w:sz w:val="20"/>
              </w:rPr>
              <w:t>Director</w:t>
            </w:r>
          </w:p>
        </w:tc>
        <w:tc>
          <w:tcPr>
            <w:tcW w:w="1875" w:type="dxa"/>
          </w:tcPr>
          <w:p w14:paraId="517B0706"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r w:rsidR="00AE2255" w14:paraId="365E243D" w14:textId="77777777">
        <w:trPr>
          <w:trHeight w:val="535"/>
        </w:trPr>
        <w:tc>
          <w:tcPr>
            <w:tcW w:w="4065" w:type="dxa"/>
            <w:gridSpan w:val="3"/>
          </w:tcPr>
          <w:p w14:paraId="7FDCD5A8" w14:textId="77777777" w:rsidR="00AE2255" w:rsidRDefault="00000000">
            <w:pPr>
              <w:pStyle w:val="TableParagraph"/>
              <w:spacing w:before="0" w:after="20" w:line="215" w:lineRule="exact"/>
              <w:ind w:left="217"/>
              <w:jc w:val="left"/>
              <w:rPr>
                <w:sz w:val="20"/>
              </w:rPr>
            </w:pPr>
            <w:r>
              <w:rPr>
                <w:sz w:val="20"/>
              </w:rPr>
              <w:t>*</w:t>
            </w:r>
          </w:p>
          <w:p w14:paraId="55FD9952" w14:textId="77777777" w:rsidR="00AE2255" w:rsidRDefault="00000000">
            <w:pPr>
              <w:pStyle w:val="TableParagraph"/>
              <w:spacing w:before="0" w:line="20" w:lineRule="exact"/>
              <w:ind w:left="155"/>
              <w:jc w:val="left"/>
              <w:rPr>
                <w:sz w:val="2"/>
              </w:rPr>
            </w:pPr>
            <w:r>
              <w:rPr>
                <w:sz w:val="2"/>
              </w:rPr>
            </w:r>
            <w:r>
              <w:rPr>
                <w:sz w:val="2"/>
              </w:rPr>
              <w:pict w14:anchorId="7D02F719">
                <v:group id="docshapegroup90" o:spid="_x0000_s2107" style="width:177pt;height:1pt;mso-position-horizontal-relative:char;mso-position-vertical-relative:line" coordsize="3540,20">
                  <v:shape id="docshape91" o:spid="_x0000_s2109" style="position:absolute;top:10;width:3540;height:2" coordorigin=",10" coordsize="3540,0" path="m3540,10l,10e" fillcolor="black" stroked="f">
                    <v:fill opacity="0"/>
                    <v:path arrowok="t"/>
                  </v:shape>
                  <v:line id="_x0000_s2108" style="position:absolute" from="0,10" to="3540,10" strokeweight="1pt"/>
                  <w10:wrap type="none"/>
                  <w10:anchorlock/>
                </v:group>
              </w:pict>
            </w:r>
          </w:p>
          <w:p w14:paraId="7CEFD266" w14:textId="77777777" w:rsidR="00AE2255" w:rsidRDefault="00000000">
            <w:pPr>
              <w:pStyle w:val="TableParagraph"/>
              <w:spacing w:before="17"/>
              <w:ind w:left="217"/>
              <w:jc w:val="left"/>
              <w:rPr>
                <w:sz w:val="20"/>
              </w:rPr>
            </w:pPr>
            <w:r>
              <w:rPr>
                <w:sz w:val="20"/>
              </w:rPr>
              <w:t>Patricia</w:t>
            </w:r>
            <w:r>
              <w:rPr>
                <w:spacing w:val="-5"/>
                <w:sz w:val="20"/>
              </w:rPr>
              <w:t xml:space="preserve"> </w:t>
            </w:r>
            <w:r>
              <w:rPr>
                <w:sz w:val="20"/>
              </w:rPr>
              <w:t>E.</w:t>
            </w:r>
            <w:r>
              <w:rPr>
                <w:spacing w:val="-3"/>
                <w:sz w:val="20"/>
              </w:rPr>
              <w:t xml:space="preserve"> </w:t>
            </w:r>
            <w:proofErr w:type="spellStart"/>
            <w:r>
              <w:rPr>
                <w:spacing w:val="-2"/>
                <w:sz w:val="20"/>
              </w:rPr>
              <w:t>Yarrington</w:t>
            </w:r>
            <w:proofErr w:type="spellEnd"/>
          </w:p>
        </w:tc>
        <w:tc>
          <w:tcPr>
            <w:tcW w:w="4290" w:type="dxa"/>
          </w:tcPr>
          <w:p w14:paraId="17679DAD" w14:textId="77777777" w:rsidR="00AE2255" w:rsidRDefault="00000000">
            <w:pPr>
              <w:pStyle w:val="TableParagraph"/>
              <w:spacing w:before="17"/>
              <w:ind w:left="247"/>
              <w:jc w:val="left"/>
              <w:rPr>
                <w:sz w:val="20"/>
              </w:rPr>
            </w:pPr>
            <w:r>
              <w:rPr>
                <w:spacing w:val="-2"/>
                <w:sz w:val="20"/>
              </w:rPr>
              <w:t>Director</w:t>
            </w:r>
          </w:p>
        </w:tc>
        <w:tc>
          <w:tcPr>
            <w:tcW w:w="1875" w:type="dxa"/>
          </w:tcPr>
          <w:p w14:paraId="7D18AAD2" w14:textId="77777777" w:rsidR="00AE2255" w:rsidRDefault="00000000">
            <w:pPr>
              <w:pStyle w:val="TableParagraph"/>
              <w:spacing w:before="17"/>
              <w:ind w:left="236" w:right="225"/>
              <w:jc w:val="center"/>
              <w:rPr>
                <w:sz w:val="20"/>
              </w:rPr>
            </w:pPr>
            <w:r>
              <w:rPr>
                <w:sz w:val="20"/>
              </w:rPr>
              <w:t>January</w:t>
            </w:r>
            <w:r>
              <w:rPr>
                <w:spacing w:val="-2"/>
                <w:sz w:val="20"/>
              </w:rPr>
              <w:t xml:space="preserve"> </w:t>
            </w:r>
            <w:r>
              <w:rPr>
                <w:sz w:val="20"/>
              </w:rPr>
              <w:t>26,</w:t>
            </w:r>
            <w:r>
              <w:rPr>
                <w:spacing w:val="-1"/>
                <w:sz w:val="20"/>
              </w:rPr>
              <w:t xml:space="preserve"> </w:t>
            </w:r>
            <w:r>
              <w:rPr>
                <w:spacing w:val="-4"/>
                <w:sz w:val="20"/>
              </w:rPr>
              <w:t>2023</w:t>
            </w:r>
          </w:p>
        </w:tc>
      </w:tr>
    </w:tbl>
    <w:p w14:paraId="54A10C01" w14:textId="77777777" w:rsidR="00AE2255" w:rsidRDefault="00000000">
      <w:pPr>
        <w:pStyle w:val="BodyText"/>
        <w:spacing w:before="162" w:line="249" w:lineRule="auto"/>
        <w:ind w:left="1060" w:right="620" w:hanging="45"/>
      </w:pPr>
      <w:r>
        <w:pict w14:anchorId="75CE84FF">
          <v:group id="docshapegroup92" o:spid="_x0000_s2104" style="position:absolute;left:0;text-align:left;margin-left:57.75pt;margin-top:-99.25pt;width:177pt;height:1pt;z-index:-22623232;mso-position-horizontal-relative:page;mso-position-vertical-relative:text" coordorigin="1155,-1985" coordsize="3540,20">
            <v:shape id="docshape93" o:spid="_x0000_s2106" style="position:absolute;left:1155;top:-1975;width:3540;height:2" coordorigin="1155,-1975" coordsize="3540,0" path="m4695,-1975r-3540,e" fillcolor="black" stroked="f">
              <v:fill opacity="0"/>
              <v:path arrowok="t"/>
            </v:shape>
            <v:line id="_x0000_s2105" style="position:absolute" from="1155,-1975" to="4695,-1975" strokeweight="1pt"/>
            <w10:wrap anchorx="page"/>
          </v:group>
        </w:pict>
      </w:r>
      <w:r>
        <w:t>*By</w:t>
      </w:r>
      <w:r>
        <w:rPr>
          <w:spacing w:val="-3"/>
        </w:rPr>
        <w:t xml:space="preserve"> </w:t>
      </w:r>
      <w:r>
        <w:t>Maryanne</w:t>
      </w:r>
      <w:r>
        <w:rPr>
          <w:spacing w:val="-4"/>
        </w:rPr>
        <w:t xml:space="preserve"> </w:t>
      </w:r>
      <w:r>
        <w:t>R.</w:t>
      </w:r>
      <w:r>
        <w:rPr>
          <w:spacing w:val="-3"/>
        </w:rPr>
        <w:t xml:space="preserve"> </w:t>
      </w:r>
      <w:proofErr w:type="spellStart"/>
      <w:r>
        <w:t>Lavan</w:t>
      </w:r>
      <w:proofErr w:type="spellEnd"/>
      <w:r>
        <w:rPr>
          <w:spacing w:val="-3"/>
        </w:rPr>
        <w:t xml:space="preserve"> </w:t>
      </w:r>
      <w:r>
        <w:t>pursuant</w:t>
      </w:r>
      <w:r>
        <w:rPr>
          <w:spacing w:val="-4"/>
        </w:rPr>
        <w:t xml:space="preserve"> </w:t>
      </w:r>
      <w:r>
        <w:t>to</w:t>
      </w:r>
      <w:r>
        <w:rPr>
          <w:spacing w:val="-3"/>
        </w:rPr>
        <w:t xml:space="preserve"> </w:t>
      </w:r>
      <w:r>
        <w:t>a</w:t>
      </w:r>
      <w:r>
        <w:rPr>
          <w:spacing w:val="-4"/>
        </w:rPr>
        <w:t xml:space="preserve"> </w:t>
      </w:r>
      <w:r>
        <w:t>Power</w:t>
      </w:r>
      <w:r>
        <w:rPr>
          <w:spacing w:val="-3"/>
        </w:rPr>
        <w:t xml:space="preserve"> </w:t>
      </w:r>
      <w:r>
        <w:t>of</w:t>
      </w:r>
      <w:r>
        <w:rPr>
          <w:spacing w:val="-3"/>
        </w:rPr>
        <w:t xml:space="preserve"> </w:t>
      </w:r>
      <w:r>
        <w:t>Attorney</w:t>
      </w:r>
      <w:r>
        <w:rPr>
          <w:spacing w:val="-3"/>
        </w:rPr>
        <w:t xml:space="preserve"> </w:t>
      </w:r>
      <w:r>
        <w:t>executed</w:t>
      </w:r>
      <w:r>
        <w:rPr>
          <w:spacing w:val="-3"/>
        </w:rPr>
        <w:t xml:space="preserve"> </w:t>
      </w:r>
      <w:r>
        <w:t>by</w:t>
      </w:r>
      <w:r>
        <w:rPr>
          <w:spacing w:val="-3"/>
        </w:rPr>
        <w:t xml:space="preserve"> </w:t>
      </w:r>
      <w:r>
        <w:t>the</w:t>
      </w:r>
      <w:r>
        <w:rPr>
          <w:spacing w:val="-4"/>
        </w:rPr>
        <w:t xml:space="preserve"> </w:t>
      </w:r>
      <w:r>
        <w:t>Directors</w:t>
      </w:r>
      <w:r>
        <w:rPr>
          <w:spacing w:val="-4"/>
        </w:rPr>
        <w:t xml:space="preserve"> </w:t>
      </w:r>
      <w:r>
        <w:t>listed</w:t>
      </w:r>
      <w:r>
        <w:rPr>
          <w:spacing w:val="-3"/>
        </w:rPr>
        <w:t xml:space="preserve"> </w:t>
      </w:r>
      <w:r>
        <w:t>above,</w:t>
      </w:r>
      <w:r>
        <w:rPr>
          <w:spacing w:val="-3"/>
        </w:rPr>
        <w:t xml:space="preserve"> </w:t>
      </w:r>
      <w:r>
        <w:t>which</w:t>
      </w:r>
      <w:r>
        <w:rPr>
          <w:spacing w:val="-3"/>
        </w:rPr>
        <w:t xml:space="preserve"> </w:t>
      </w:r>
      <w:r>
        <w:t>has</w:t>
      </w:r>
      <w:r>
        <w:rPr>
          <w:spacing w:val="-4"/>
        </w:rPr>
        <w:t xml:space="preserve"> </w:t>
      </w:r>
      <w:r>
        <w:t>been</w:t>
      </w:r>
      <w:r>
        <w:rPr>
          <w:spacing w:val="-3"/>
        </w:rPr>
        <w:t xml:space="preserve"> </w:t>
      </w:r>
      <w:r>
        <w:t>filed with this Annual Report on Form 10-K.</w:t>
      </w:r>
    </w:p>
    <w:p w14:paraId="41566605" w14:textId="77777777" w:rsidR="00AE2255" w:rsidRDefault="00000000">
      <w:pPr>
        <w:pStyle w:val="BodyText"/>
        <w:tabs>
          <w:tab w:val="left" w:pos="6193"/>
        </w:tabs>
        <w:spacing w:before="197" w:line="328" w:lineRule="auto"/>
        <w:ind w:left="6647" w:right="2819" w:hanging="5985"/>
      </w:pPr>
      <w:r>
        <w:pict w14:anchorId="0ED121DA">
          <v:group id="docshapegroup94" o:spid="_x0000_s2101" style="position:absolute;left:0;text-align:left;margin-left:348.75pt;margin-top:23.75pt;width:213.75pt;height:1pt;z-index:-22622720;mso-position-horizontal-relative:page" coordorigin="6975,475" coordsize="4275,20">
            <v:shape id="docshape95" o:spid="_x0000_s2103" style="position:absolute;left:6975;top:485;width:4275;height:2" coordorigin="6975,485" coordsize="4275,0" path="m11250,485r-4275,e" fillcolor="black" stroked="f">
              <v:fill opacity="0"/>
              <v:path arrowok="t"/>
            </v:shape>
            <v:line id="_x0000_s2102" style="position:absolute" from="6975,485" to="11250,485" strokeweight="1pt"/>
            <w10:wrap anchorx="page"/>
          </v:group>
        </w:pict>
      </w:r>
      <w:r>
        <w:t xml:space="preserve">Date: January 26, </w:t>
      </w:r>
      <w:proofErr w:type="gramStart"/>
      <w:r>
        <w:t>2023</w:t>
      </w:r>
      <w:proofErr w:type="gramEnd"/>
      <w:r>
        <w:tab/>
        <w:t>By:</w:t>
      </w:r>
      <w:r>
        <w:rPr>
          <w:spacing w:val="80"/>
        </w:rPr>
        <w:t xml:space="preserve"> </w:t>
      </w:r>
      <w:r>
        <w:rPr>
          <w:position w:val="-2"/>
        </w:rPr>
        <w:t>/s/</w:t>
      </w:r>
      <w:r>
        <w:rPr>
          <w:spacing w:val="-7"/>
          <w:position w:val="-2"/>
        </w:rPr>
        <w:t xml:space="preserve"> </w:t>
      </w:r>
      <w:r>
        <w:rPr>
          <w:position w:val="-2"/>
        </w:rPr>
        <w:t>Maryanne</w:t>
      </w:r>
      <w:r>
        <w:rPr>
          <w:spacing w:val="-7"/>
          <w:position w:val="-2"/>
        </w:rPr>
        <w:t xml:space="preserve"> </w:t>
      </w:r>
      <w:r>
        <w:rPr>
          <w:position w:val="-2"/>
        </w:rPr>
        <w:t>R.</w:t>
      </w:r>
      <w:r>
        <w:rPr>
          <w:spacing w:val="-6"/>
          <w:position w:val="-2"/>
        </w:rPr>
        <w:t xml:space="preserve"> </w:t>
      </w:r>
      <w:proofErr w:type="spellStart"/>
      <w:r>
        <w:rPr>
          <w:position w:val="-2"/>
        </w:rPr>
        <w:t>Lavan</w:t>
      </w:r>
      <w:proofErr w:type="spellEnd"/>
      <w:r>
        <w:rPr>
          <w:position w:val="-2"/>
        </w:rPr>
        <w:t xml:space="preserve"> </w:t>
      </w:r>
      <w:r>
        <w:t xml:space="preserve">Maryanne R. </w:t>
      </w:r>
      <w:proofErr w:type="spellStart"/>
      <w:r>
        <w:t>Lavan</w:t>
      </w:r>
      <w:proofErr w:type="spellEnd"/>
      <w:r>
        <w:t xml:space="preserve"> </w:t>
      </w:r>
      <w:r>
        <w:rPr>
          <w:spacing w:val="-2"/>
        </w:rPr>
        <w:t>Attorney-in-fact</w:t>
      </w:r>
    </w:p>
    <w:p w14:paraId="2A94979F" w14:textId="77777777" w:rsidR="00AE2255" w:rsidRDefault="00AE2255">
      <w:pPr>
        <w:spacing w:line="328" w:lineRule="auto"/>
        <w:sectPr w:rsidR="00AE2255">
          <w:pgSz w:w="12240" w:h="15840"/>
          <w:pgMar w:top="440" w:right="560" w:bottom="720" w:left="380" w:header="230" w:footer="531" w:gutter="0"/>
          <w:cols w:space="720"/>
        </w:sectPr>
      </w:pPr>
    </w:p>
    <w:p w14:paraId="21898562" w14:textId="77777777" w:rsidR="00AE2255" w:rsidRDefault="00AE2255">
      <w:pPr>
        <w:pStyle w:val="BodyText"/>
        <w:spacing w:before="9"/>
        <w:rPr>
          <w:sz w:val="13"/>
        </w:rPr>
      </w:pPr>
    </w:p>
    <w:p w14:paraId="33CEB32E" w14:textId="77777777" w:rsidR="00AE2255" w:rsidRDefault="00000000">
      <w:pPr>
        <w:pStyle w:val="Heading1"/>
        <w:spacing w:before="91" w:line="222" w:lineRule="exact"/>
        <w:ind w:left="517" w:right="338"/>
        <w:jc w:val="center"/>
      </w:pPr>
      <w:bookmarkStart w:id="93" w:name="Ex_10.13"/>
      <w:bookmarkEnd w:id="93"/>
      <w:r>
        <w:t>LOCKHEED</w:t>
      </w:r>
      <w:r>
        <w:rPr>
          <w:spacing w:val="-7"/>
        </w:rPr>
        <w:t xml:space="preserve"> </w:t>
      </w:r>
      <w:r>
        <w:t>MARTIN</w:t>
      </w:r>
      <w:r>
        <w:rPr>
          <w:spacing w:val="-7"/>
        </w:rPr>
        <w:t xml:space="preserve"> </w:t>
      </w:r>
      <w:r>
        <w:rPr>
          <w:spacing w:val="-2"/>
        </w:rPr>
        <w:t>CORPORATION</w:t>
      </w:r>
    </w:p>
    <w:p w14:paraId="1BBCB67E" w14:textId="77777777" w:rsidR="00AE2255" w:rsidRDefault="00000000">
      <w:pPr>
        <w:spacing w:line="219" w:lineRule="exact"/>
        <w:ind w:left="517" w:right="338"/>
        <w:jc w:val="center"/>
        <w:rPr>
          <w:b/>
          <w:sz w:val="20"/>
        </w:rPr>
      </w:pPr>
      <w:r>
        <w:rPr>
          <w:b/>
          <w:sz w:val="20"/>
        </w:rPr>
        <w:t>DEFERRED</w:t>
      </w:r>
      <w:r>
        <w:rPr>
          <w:b/>
          <w:spacing w:val="-10"/>
          <w:sz w:val="20"/>
        </w:rPr>
        <w:t xml:space="preserve"> </w:t>
      </w:r>
      <w:r>
        <w:rPr>
          <w:b/>
          <w:sz w:val="20"/>
        </w:rPr>
        <w:t>MANAGEMENT</w:t>
      </w:r>
      <w:r>
        <w:rPr>
          <w:b/>
          <w:spacing w:val="-10"/>
          <w:sz w:val="20"/>
        </w:rPr>
        <w:t xml:space="preserve"> </w:t>
      </w:r>
      <w:r>
        <w:rPr>
          <w:b/>
          <w:sz w:val="20"/>
        </w:rPr>
        <w:t>INCENTIVE</w:t>
      </w:r>
      <w:r>
        <w:rPr>
          <w:b/>
          <w:spacing w:val="-10"/>
          <w:sz w:val="20"/>
        </w:rPr>
        <w:t xml:space="preserve"> </w:t>
      </w:r>
      <w:r>
        <w:rPr>
          <w:b/>
          <w:sz w:val="20"/>
        </w:rPr>
        <w:t>COMPENSATION</w:t>
      </w:r>
      <w:r>
        <w:rPr>
          <w:b/>
          <w:spacing w:val="-9"/>
          <w:sz w:val="20"/>
        </w:rPr>
        <w:t xml:space="preserve"> </w:t>
      </w:r>
      <w:r>
        <w:rPr>
          <w:b/>
          <w:spacing w:val="-4"/>
          <w:sz w:val="20"/>
        </w:rPr>
        <w:t>PLAN</w:t>
      </w:r>
    </w:p>
    <w:p w14:paraId="31B1BDE4" w14:textId="77777777" w:rsidR="00AE2255" w:rsidRDefault="00000000">
      <w:pPr>
        <w:spacing w:line="227" w:lineRule="exact"/>
        <w:ind w:left="517" w:right="338"/>
        <w:jc w:val="center"/>
        <w:rPr>
          <w:b/>
          <w:sz w:val="20"/>
        </w:rPr>
      </w:pPr>
      <w:r>
        <w:rPr>
          <w:b/>
          <w:sz w:val="20"/>
        </w:rPr>
        <w:t>(As</w:t>
      </w:r>
      <w:r>
        <w:rPr>
          <w:b/>
          <w:spacing w:val="-5"/>
          <w:sz w:val="20"/>
        </w:rPr>
        <w:t xml:space="preserve"> </w:t>
      </w:r>
      <w:r>
        <w:rPr>
          <w:b/>
          <w:sz w:val="20"/>
        </w:rPr>
        <w:t>Amended</w:t>
      </w:r>
      <w:r>
        <w:rPr>
          <w:b/>
          <w:spacing w:val="-4"/>
          <w:sz w:val="20"/>
        </w:rPr>
        <w:t xml:space="preserve"> </w:t>
      </w:r>
      <w:r>
        <w:rPr>
          <w:b/>
          <w:sz w:val="20"/>
        </w:rPr>
        <w:t>and</w:t>
      </w:r>
      <w:r>
        <w:rPr>
          <w:b/>
          <w:spacing w:val="-4"/>
          <w:sz w:val="20"/>
        </w:rPr>
        <w:t xml:space="preserve"> </w:t>
      </w:r>
      <w:r>
        <w:rPr>
          <w:b/>
          <w:sz w:val="20"/>
        </w:rPr>
        <w:t>Restated</w:t>
      </w:r>
      <w:r>
        <w:rPr>
          <w:b/>
          <w:spacing w:val="-4"/>
          <w:sz w:val="20"/>
        </w:rPr>
        <w:t xml:space="preserve"> </w:t>
      </w:r>
      <w:r>
        <w:rPr>
          <w:b/>
          <w:sz w:val="20"/>
        </w:rPr>
        <w:t>Generally</w:t>
      </w:r>
      <w:r>
        <w:rPr>
          <w:b/>
          <w:spacing w:val="-3"/>
          <w:sz w:val="20"/>
        </w:rPr>
        <w:t xml:space="preserve"> </w:t>
      </w:r>
      <w:r>
        <w:rPr>
          <w:b/>
          <w:sz w:val="20"/>
        </w:rPr>
        <w:t>Effective</w:t>
      </w:r>
      <w:r>
        <w:rPr>
          <w:b/>
          <w:spacing w:val="-4"/>
          <w:sz w:val="20"/>
        </w:rPr>
        <w:t xml:space="preserve"> </w:t>
      </w:r>
      <w:r>
        <w:rPr>
          <w:b/>
          <w:sz w:val="20"/>
        </w:rPr>
        <w:t>January</w:t>
      </w:r>
      <w:r>
        <w:rPr>
          <w:b/>
          <w:spacing w:val="-3"/>
          <w:sz w:val="20"/>
        </w:rPr>
        <w:t xml:space="preserve"> </w:t>
      </w:r>
      <w:r>
        <w:rPr>
          <w:b/>
          <w:sz w:val="20"/>
        </w:rPr>
        <w:t>1,</w:t>
      </w:r>
      <w:r>
        <w:rPr>
          <w:b/>
          <w:spacing w:val="-3"/>
          <w:sz w:val="20"/>
        </w:rPr>
        <w:t xml:space="preserve"> </w:t>
      </w:r>
      <w:r>
        <w:rPr>
          <w:b/>
          <w:spacing w:val="-2"/>
          <w:sz w:val="20"/>
        </w:rPr>
        <w:t>2020)</w:t>
      </w:r>
    </w:p>
    <w:p w14:paraId="0ACE9D90" w14:textId="77777777" w:rsidR="00AE2255" w:rsidRDefault="00AE2255">
      <w:pPr>
        <w:pStyle w:val="BodyText"/>
        <w:spacing w:before="2"/>
        <w:rPr>
          <w:b/>
          <w:sz w:val="23"/>
        </w:rPr>
      </w:pPr>
    </w:p>
    <w:p w14:paraId="337F4699" w14:textId="77777777" w:rsidR="00AE2255" w:rsidRDefault="00000000">
      <w:pPr>
        <w:spacing w:line="232" w:lineRule="auto"/>
        <w:ind w:left="4750" w:right="4566" w:hanging="1"/>
        <w:jc w:val="center"/>
        <w:rPr>
          <w:b/>
          <w:sz w:val="24"/>
        </w:rPr>
      </w:pPr>
      <w:r>
        <w:rPr>
          <w:b/>
          <w:sz w:val="24"/>
        </w:rPr>
        <w:t>Amendment No. 3 Eligibility</w:t>
      </w:r>
      <w:r>
        <w:rPr>
          <w:b/>
          <w:spacing w:val="-15"/>
          <w:sz w:val="24"/>
        </w:rPr>
        <w:t xml:space="preserve"> </w:t>
      </w:r>
      <w:r>
        <w:rPr>
          <w:b/>
          <w:sz w:val="24"/>
        </w:rPr>
        <w:t>Deadline</w:t>
      </w:r>
    </w:p>
    <w:p w14:paraId="34C438A5" w14:textId="77777777" w:rsidR="00AE2255" w:rsidRDefault="00AE2255">
      <w:pPr>
        <w:pStyle w:val="BodyText"/>
        <w:spacing w:before="6"/>
        <w:rPr>
          <w:b/>
          <w:sz w:val="24"/>
        </w:rPr>
      </w:pPr>
    </w:p>
    <w:p w14:paraId="66BDDC58" w14:textId="77777777" w:rsidR="00AE2255" w:rsidRDefault="00000000">
      <w:pPr>
        <w:spacing w:line="232" w:lineRule="auto"/>
        <w:ind w:left="520"/>
        <w:rPr>
          <w:sz w:val="24"/>
        </w:rPr>
      </w:pPr>
      <w:r>
        <w:rPr>
          <w:sz w:val="24"/>
        </w:rPr>
        <w:t>Lockheed Martin Corporation wishes to revise the Lockheed Martin Corporation Deferred Management Incentive</w:t>
      </w:r>
      <w:r>
        <w:rPr>
          <w:spacing w:val="-3"/>
          <w:sz w:val="24"/>
        </w:rPr>
        <w:t xml:space="preserve"> </w:t>
      </w:r>
      <w:r>
        <w:rPr>
          <w:sz w:val="24"/>
        </w:rPr>
        <w:t>Compensation</w:t>
      </w:r>
      <w:r>
        <w:rPr>
          <w:spacing w:val="-3"/>
          <w:sz w:val="24"/>
        </w:rPr>
        <w:t xml:space="preserve"> </w:t>
      </w:r>
      <w:r>
        <w:rPr>
          <w:sz w:val="24"/>
        </w:rPr>
        <w:t>Plan</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to</w:t>
      </w:r>
      <w:r>
        <w:rPr>
          <w:spacing w:val="-3"/>
          <w:sz w:val="24"/>
        </w:rPr>
        <w:t xml:space="preserve"> </w:t>
      </w:r>
      <w:r>
        <w:rPr>
          <w:sz w:val="24"/>
        </w:rPr>
        <w:t>adjust</w:t>
      </w:r>
      <w:r>
        <w:rPr>
          <w:spacing w:val="-3"/>
          <w:sz w:val="24"/>
        </w:rPr>
        <w:t xml:space="preserve"> </w:t>
      </w:r>
      <w:r>
        <w:rPr>
          <w:sz w:val="24"/>
        </w:rPr>
        <w:t>the</w:t>
      </w:r>
      <w:r>
        <w:rPr>
          <w:spacing w:val="-3"/>
          <w:sz w:val="24"/>
        </w:rPr>
        <w:t xml:space="preserve"> </w:t>
      </w:r>
      <w:r>
        <w:rPr>
          <w:sz w:val="24"/>
        </w:rPr>
        <w:t>eligibility</w:t>
      </w:r>
      <w:r>
        <w:rPr>
          <w:spacing w:val="-3"/>
          <w:sz w:val="24"/>
        </w:rPr>
        <w:t xml:space="preserve"> </w:t>
      </w:r>
      <w:r>
        <w:rPr>
          <w:sz w:val="24"/>
        </w:rPr>
        <w:t>deadline</w:t>
      </w:r>
      <w:r>
        <w:rPr>
          <w:spacing w:val="-3"/>
          <w:sz w:val="24"/>
        </w:rPr>
        <w:t xml:space="preserve"> </w:t>
      </w:r>
      <w:r>
        <w:rPr>
          <w:sz w:val="24"/>
        </w:rPr>
        <w:t>for</w:t>
      </w:r>
      <w:r>
        <w:rPr>
          <w:spacing w:val="-3"/>
          <w:sz w:val="24"/>
        </w:rPr>
        <w:t xml:space="preserve"> </w:t>
      </w:r>
      <w:r>
        <w:rPr>
          <w:sz w:val="24"/>
        </w:rPr>
        <w:t>Long</w:t>
      </w:r>
      <w:r>
        <w:rPr>
          <w:spacing w:val="-3"/>
          <w:sz w:val="24"/>
        </w:rPr>
        <w:t xml:space="preserve"> </w:t>
      </w:r>
      <w:r>
        <w:rPr>
          <w:sz w:val="24"/>
        </w:rPr>
        <w:t>Term</w:t>
      </w:r>
      <w:r>
        <w:rPr>
          <w:spacing w:val="-3"/>
          <w:sz w:val="24"/>
        </w:rPr>
        <w:t xml:space="preserve"> </w:t>
      </w:r>
      <w:r>
        <w:rPr>
          <w:sz w:val="24"/>
        </w:rPr>
        <w:t>Incentive</w:t>
      </w:r>
      <w:r>
        <w:rPr>
          <w:spacing w:val="-3"/>
          <w:sz w:val="24"/>
        </w:rPr>
        <w:t xml:space="preserve"> </w:t>
      </w:r>
      <w:r>
        <w:rPr>
          <w:sz w:val="24"/>
        </w:rPr>
        <w:t>Award deferrals. Accordingly, the Plan is amended as follows, effective as of January 1, 2023.</w:t>
      </w:r>
    </w:p>
    <w:p w14:paraId="1CBB03F9" w14:textId="77777777" w:rsidR="00AE2255" w:rsidRDefault="00AE2255">
      <w:pPr>
        <w:pStyle w:val="BodyText"/>
        <w:spacing w:before="8"/>
        <w:rPr>
          <w:sz w:val="23"/>
        </w:rPr>
      </w:pPr>
    </w:p>
    <w:p w14:paraId="4D941F6E" w14:textId="77777777" w:rsidR="00AE2255" w:rsidRDefault="00000000">
      <w:pPr>
        <w:pStyle w:val="ListParagraph"/>
        <w:numPr>
          <w:ilvl w:val="0"/>
          <w:numId w:val="6"/>
        </w:numPr>
        <w:tabs>
          <w:tab w:val="left" w:pos="1240"/>
        </w:tabs>
        <w:rPr>
          <w:sz w:val="24"/>
        </w:rPr>
      </w:pPr>
      <w:r>
        <w:rPr>
          <w:sz w:val="24"/>
        </w:rPr>
        <w:t>Section</w:t>
      </w:r>
      <w:r>
        <w:rPr>
          <w:spacing w:val="-3"/>
          <w:sz w:val="24"/>
        </w:rPr>
        <w:t xml:space="preserve"> </w:t>
      </w:r>
      <w:r>
        <w:rPr>
          <w:sz w:val="24"/>
        </w:rPr>
        <w:t>16 of Article II</w:t>
      </w:r>
      <w:r>
        <w:rPr>
          <w:spacing w:val="-1"/>
          <w:sz w:val="24"/>
        </w:rPr>
        <w:t xml:space="preserve"> </w:t>
      </w:r>
      <w:r>
        <w:rPr>
          <w:sz w:val="24"/>
        </w:rPr>
        <w:t>is</w:t>
      </w:r>
      <w:r>
        <w:rPr>
          <w:spacing w:val="-1"/>
          <w:sz w:val="24"/>
        </w:rPr>
        <w:t xml:space="preserve"> </w:t>
      </w:r>
      <w:r>
        <w:rPr>
          <w:sz w:val="24"/>
        </w:rPr>
        <w:t>amended and restated</w:t>
      </w:r>
      <w:r>
        <w:rPr>
          <w:spacing w:val="-1"/>
          <w:sz w:val="24"/>
        </w:rPr>
        <w:t xml:space="preserve"> </w:t>
      </w:r>
      <w:r>
        <w:rPr>
          <w:sz w:val="24"/>
        </w:rPr>
        <w:t>in its</w:t>
      </w:r>
      <w:r>
        <w:rPr>
          <w:spacing w:val="-1"/>
          <w:sz w:val="24"/>
        </w:rPr>
        <w:t xml:space="preserve"> </w:t>
      </w:r>
      <w:r>
        <w:rPr>
          <w:sz w:val="24"/>
        </w:rPr>
        <w:t>entirety, as</w:t>
      </w:r>
      <w:r>
        <w:rPr>
          <w:spacing w:val="-1"/>
          <w:sz w:val="24"/>
        </w:rPr>
        <w:t xml:space="preserve"> </w:t>
      </w:r>
      <w:r>
        <w:rPr>
          <w:spacing w:val="-2"/>
          <w:sz w:val="24"/>
        </w:rPr>
        <w:t>follows:</w:t>
      </w:r>
    </w:p>
    <w:p w14:paraId="46868CBD" w14:textId="77777777" w:rsidR="00AE2255" w:rsidRDefault="00AE2255">
      <w:pPr>
        <w:pStyle w:val="BodyText"/>
        <w:spacing w:before="4"/>
        <w:rPr>
          <w:sz w:val="23"/>
        </w:rPr>
      </w:pPr>
    </w:p>
    <w:p w14:paraId="32D1F6F8" w14:textId="77777777" w:rsidR="00AE2255" w:rsidRDefault="00000000">
      <w:pPr>
        <w:spacing w:line="232" w:lineRule="auto"/>
        <w:ind w:left="1240" w:right="369"/>
        <w:rPr>
          <w:sz w:val="24"/>
        </w:rPr>
      </w:pPr>
      <w:r>
        <w:rPr>
          <w:sz w:val="24"/>
        </w:rPr>
        <w:t>ELIGIBLE</w:t>
      </w:r>
      <w:r>
        <w:rPr>
          <w:spacing w:val="-1"/>
          <w:sz w:val="24"/>
        </w:rPr>
        <w:t xml:space="preserve"> </w:t>
      </w:r>
      <w:r>
        <w:rPr>
          <w:sz w:val="24"/>
        </w:rPr>
        <w:t>EMPLOYEE</w:t>
      </w:r>
      <w:r>
        <w:rPr>
          <w:spacing w:val="-1"/>
          <w:sz w:val="24"/>
        </w:rPr>
        <w:t xml:space="preserve"> </w:t>
      </w:r>
      <w:r>
        <w:rPr>
          <w:sz w:val="24"/>
        </w:rPr>
        <w:t>--</w:t>
      </w:r>
      <w:r>
        <w:rPr>
          <w:spacing w:val="-1"/>
          <w:sz w:val="24"/>
        </w:rPr>
        <w:t xml:space="preserve"> </w:t>
      </w:r>
      <w:r>
        <w:rPr>
          <w:sz w:val="24"/>
        </w:rPr>
        <w:t>An</w:t>
      </w:r>
      <w:r>
        <w:rPr>
          <w:spacing w:val="-1"/>
          <w:sz w:val="24"/>
        </w:rPr>
        <w:t xml:space="preserve"> </w:t>
      </w:r>
      <w:r>
        <w:rPr>
          <w:sz w:val="24"/>
        </w:rPr>
        <w:t>employee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Company</w:t>
      </w:r>
      <w:r>
        <w:rPr>
          <w:spacing w:val="-1"/>
          <w:sz w:val="24"/>
        </w:rPr>
        <w:t xml:space="preserve"> </w:t>
      </w:r>
      <w:r>
        <w:rPr>
          <w:sz w:val="24"/>
        </w:rPr>
        <w:t>(a)</w:t>
      </w:r>
      <w:r>
        <w:rPr>
          <w:spacing w:val="-1"/>
          <w:sz w:val="24"/>
        </w:rPr>
        <w:t xml:space="preserve"> </w:t>
      </w:r>
      <w:r>
        <w:rPr>
          <w:sz w:val="24"/>
        </w:rPr>
        <w:t>on</w:t>
      </w:r>
      <w:r>
        <w:rPr>
          <w:spacing w:val="-1"/>
          <w:sz w:val="24"/>
        </w:rPr>
        <w:t xml:space="preserve"> </w:t>
      </w:r>
      <w:r>
        <w:rPr>
          <w:sz w:val="24"/>
        </w:rPr>
        <w:t>or</w:t>
      </w:r>
      <w:r>
        <w:rPr>
          <w:spacing w:val="-1"/>
          <w:sz w:val="24"/>
        </w:rPr>
        <w:t xml:space="preserve"> </w:t>
      </w:r>
      <w:r>
        <w:rPr>
          <w:sz w:val="24"/>
        </w:rPr>
        <w:t>before</w:t>
      </w:r>
      <w:r>
        <w:rPr>
          <w:spacing w:val="-1"/>
          <w:sz w:val="24"/>
        </w:rPr>
        <w:t xml:space="preserve"> </w:t>
      </w:r>
      <w:r>
        <w:rPr>
          <w:sz w:val="24"/>
        </w:rPr>
        <w:t>May</w:t>
      </w:r>
      <w:r>
        <w:rPr>
          <w:spacing w:val="-1"/>
          <w:sz w:val="24"/>
        </w:rPr>
        <w:t xml:space="preserve"> </w:t>
      </w:r>
      <w:r>
        <w:rPr>
          <w:sz w:val="24"/>
        </w:rPr>
        <w:t>1</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Award</w:t>
      </w:r>
      <w:r>
        <w:rPr>
          <w:spacing w:val="-1"/>
          <w:sz w:val="24"/>
        </w:rPr>
        <w:t xml:space="preserve"> </w:t>
      </w:r>
      <w:r>
        <w:rPr>
          <w:sz w:val="24"/>
        </w:rPr>
        <w:t>Year who</w:t>
      </w:r>
      <w:r>
        <w:rPr>
          <w:spacing w:val="-2"/>
          <w:sz w:val="24"/>
        </w:rPr>
        <w:t xml:space="preserve"> </w:t>
      </w:r>
      <w:r>
        <w:rPr>
          <w:sz w:val="24"/>
        </w:rPr>
        <w:t>is</w:t>
      </w:r>
      <w:r>
        <w:rPr>
          <w:spacing w:val="-3"/>
          <w:sz w:val="24"/>
        </w:rPr>
        <w:t xml:space="preserve"> </w:t>
      </w:r>
      <w:r>
        <w:rPr>
          <w:sz w:val="24"/>
        </w:rPr>
        <w:t>a</w:t>
      </w:r>
      <w:r>
        <w:rPr>
          <w:spacing w:val="-2"/>
          <w:sz w:val="24"/>
        </w:rPr>
        <w:t xml:space="preserve"> </w:t>
      </w:r>
      <w:r>
        <w:rPr>
          <w:sz w:val="24"/>
        </w:rPr>
        <w:t>participant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MICP,</w:t>
      </w:r>
      <w:r>
        <w:rPr>
          <w:spacing w:val="-2"/>
          <w:sz w:val="24"/>
        </w:rPr>
        <w:t xml:space="preserve"> </w:t>
      </w:r>
      <w:r>
        <w:rPr>
          <w:sz w:val="24"/>
        </w:rPr>
        <w:t>or</w:t>
      </w:r>
      <w:r>
        <w:rPr>
          <w:spacing w:val="-2"/>
          <w:sz w:val="24"/>
        </w:rPr>
        <w:t xml:space="preserve"> </w:t>
      </w:r>
      <w:r>
        <w:rPr>
          <w:sz w:val="24"/>
        </w:rPr>
        <w:t>(b)</w:t>
      </w:r>
      <w:r>
        <w:rPr>
          <w:spacing w:val="-2"/>
          <w:sz w:val="24"/>
        </w:rPr>
        <w:t xml:space="preserve"> </w:t>
      </w:r>
      <w:r>
        <w:rPr>
          <w:sz w:val="24"/>
        </w:rPr>
        <w:t>on</w:t>
      </w:r>
      <w:r>
        <w:rPr>
          <w:spacing w:val="-2"/>
          <w:sz w:val="24"/>
        </w:rPr>
        <w:t xml:space="preserve"> </w:t>
      </w:r>
      <w:r>
        <w:rPr>
          <w:sz w:val="24"/>
        </w:rPr>
        <w:t>or</w:t>
      </w:r>
      <w:r>
        <w:rPr>
          <w:spacing w:val="-2"/>
          <w:sz w:val="24"/>
        </w:rPr>
        <w:t xml:space="preserve"> </w:t>
      </w:r>
      <w:r>
        <w:rPr>
          <w:sz w:val="24"/>
        </w:rPr>
        <w:t>before</w:t>
      </w:r>
      <w:r>
        <w:rPr>
          <w:spacing w:val="-2"/>
          <w:sz w:val="24"/>
        </w:rPr>
        <w:t xml:space="preserve"> </w:t>
      </w:r>
      <w:r>
        <w:rPr>
          <w:sz w:val="24"/>
        </w:rPr>
        <w:t>December</w:t>
      </w:r>
      <w:r>
        <w:rPr>
          <w:spacing w:val="-2"/>
          <w:sz w:val="24"/>
        </w:rPr>
        <w:t xml:space="preserve"> </w:t>
      </w:r>
      <w:r>
        <w:rPr>
          <w:sz w:val="24"/>
        </w:rPr>
        <w:t>31</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Award</w:t>
      </w:r>
      <w:r>
        <w:rPr>
          <w:spacing w:val="-2"/>
          <w:sz w:val="24"/>
        </w:rPr>
        <w:t xml:space="preserve"> </w:t>
      </w:r>
      <w:r>
        <w:rPr>
          <w:sz w:val="24"/>
        </w:rPr>
        <w:t>Year</w:t>
      </w:r>
      <w:r>
        <w:rPr>
          <w:spacing w:val="-2"/>
          <w:sz w:val="24"/>
        </w:rPr>
        <w:t xml:space="preserve"> </w:t>
      </w:r>
      <w:r>
        <w:rPr>
          <w:sz w:val="24"/>
        </w:rPr>
        <w:t>who</w:t>
      </w:r>
      <w:r>
        <w:rPr>
          <w:spacing w:val="-2"/>
          <w:sz w:val="24"/>
        </w:rPr>
        <w:t xml:space="preserve"> </w:t>
      </w:r>
      <w:r>
        <w:rPr>
          <w:sz w:val="24"/>
        </w:rPr>
        <w:t>receives</w:t>
      </w:r>
      <w:r>
        <w:rPr>
          <w:spacing w:val="-3"/>
          <w:sz w:val="24"/>
        </w:rPr>
        <w:t xml:space="preserve"> </w:t>
      </w:r>
      <w:r>
        <w:rPr>
          <w:sz w:val="24"/>
        </w:rPr>
        <w:t xml:space="preserve">a </w:t>
      </w:r>
      <w:proofErr w:type="gramStart"/>
      <w:r>
        <w:rPr>
          <w:sz w:val="24"/>
        </w:rPr>
        <w:t>Long Term</w:t>
      </w:r>
      <w:proofErr w:type="gramEnd"/>
      <w:r>
        <w:rPr>
          <w:sz w:val="24"/>
        </w:rPr>
        <w:t xml:space="preserve"> Incentive Award, in each case who has satisfied such additional requirements for participation in this Deferral Plan as the Committee may from time to time establish. In the exercise of its authority under this provision, the Committee shall limit participation in the Plan to employees whom the Committee believes to be a select group of management or highly compensated</w:t>
      </w:r>
      <w:r>
        <w:rPr>
          <w:spacing w:val="40"/>
          <w:sz w:val="24"/>
        </w:rPr>
        <w:t xml:space="preserve"> </w:t>
      </w:r>
      <w:r>
        <w:rPr>
          <w:sz w:val="24"/>
        </w:rPr>
        <w:t>employees within the meaning of Title I of ERISA.</w:t>
      </w:r>
    </w:p>
    <w:p w14:paraId="3BFC466F" w14:textId="77777777" w:rsidR="00AE2255" w:rsidRDefault="00AE2255">
      <w:pPr>
        <w:pStyle w:val="BodyText"/>
        <w:spacing w:before="5"/>
        <w:rPr>
          <w:sz w:val="23"/>
        </w:rPr>
      </w:pPr>
    </w:p>
    <w:p w14:paraId="5826EEF5" w14:textId="77777777" w:rsidR="00AE2255" w:rsidRDefault="00000000">
      <w:pPr>
        <w:pStyle w:val="ListParagraph"/>
        <w:numPr>
          <w:ilvl w:val="0"/>
          <w:numId w:val="6"/>
        </w:numPr>
        <w:tabs>
          <w:tab w:val="left" w:pos="1240"/>
        </w:tabs>
        <w:spacing w:before="1"/>
        <w:rPr>
          <w:sz w:val="24"/>
        </w:rPr>
      </w:pPr>
      <w:r>
        <w:rPr>
          <w:sz w:val="24"/>
        </w:rPr>
        <w:t>Section</w:t>
      </w:r>
      <w:r>
        <w:rPr>
          <w:spacing w:val="-3"/>
          <w:sz w:val="24"/>
        </w:rPr>
        <w:t xml:space="preserve"> </w:t>
      </w:r>
      <w:r>
        <w:rPr>
          <w:sz w:val="24"/>
        </w:rPr>
        <w:t>1(b) of Article III</w:t>
      </w:r>
      <w:r>
        <w:rPr>
          <w:spacing w:val="-1"/>
          <w:sz w:val="24"/>
        </w:rPr>
        <w:t xml:space="preserve"> </w:t>
      </w:r>
      <w:r>
        <w:rPr>
          <w:sz w:val="24"/>
        </w:rPr>
        <w:t>is</w:t>
      </w:r>
      <w:r>
        <w:rPr>
          <w:spacing w:val="-1"/>
          <w:sz w:val="24"/>
        </w:rPr>
        <w:t xml:space="preserve"> </w:t>
      </w:r>
      <w:r>
        <w:rPr>
          <w:sz w:val="24"/>
        </w:rPr>
        <w:t>amended and restated</w:t>
      </w:r>
      <w:r>
        <w:rPr>
          <w:spacing w:val="-1"/>
          <w:sz w:val="24"/>
        </w:rPr>
        <w:t xml:space="preserve"> </w:t>
      </w:r>
      <w:r>
        <w:rPr>
          <w:sz w:val="24"/>
        </w:rPr>
        <w:t>in its</w:t>
      </w:r>
      <w:r>
        <w:rPr>
          <w:spacing w:val="-1"/>
          <w:sz w:val="24"/>
        </w:rPr>
        <w:t xml:space="preserve"> </w:t>
      </w:r>
      <w:r>
        <w:rPr>
          <w:sz w:val="24"/>
        </w:rPr>
        <w:t>entirety, as</w:t>
      </w:r>
      <w:r>
        <w:rPr>
          <w:spacing w:val="-1"/>
          <w:sz w:val="24"/>
        </w:rPr>
        <w:t xml:space="preserve"> </w:t>
      </w:r>
      <w:r>
        <w:rPr>
          <w:spacing w:val="-2"/>
          <w:sz w:val="24"/>
        </w:rPr>
        <w:t>follows:</w:t>
      </w:r>
    </w:p>
    <w:p w14:paraId="68AA16A7" w14:textId="77777777" w:rsidR="00AE2255" w:rsidRDefault="00AE2255">
      <w:pPr>
        <w:pStyle w:val="BodyText"/>
        <w:spacing w:before="3"/>
        <w:rPr>
          <w:sz w:val="23"/>
        </w:rPr>
      </w:pPr>
    </w:p>
    <w:p w14:paraId="6033E2DA" w14:textId="77777777" w:rsidR="00AE2255" w:rsidRDefault="00000000">
      <w:pPr>
        <w:spacing w:before="1" w:line="232" w:lineRule="auto"/>
        <w:ind w:left="1240" w:right="386"/>
        <w:rPr>
          <w:sz w:val="24"/>
        </w:rPr>
      </w:pPr>
      <w:r>
        <w:rPr>
          <w:sz w:val="24"/>
          <w:u w:val="single"/>
        </w:rPr>
        <w:t>Long Term Incentive Awards</w:t>
      </w:r>
      <w:r>
        <w:rPr>
          <w:sz w:val="24"/>
        </w:rPr>
        <w:t>.</w:t>
      </w:r>
      <w:r>
        <w:rPr>
          <w:spacing w:val="79"/>
          <w:sz w:val="24"/>
        </w:rPr>
        <w:t xml:space="preserve"> </w:t>
      </w:r>
      <w:r>
        <w:rPr>
          <w:sz w:val="24"/>
        </w:rPr>
        <w:t>An Eligible Employee may elect to defer the payment of a Long Term Incentive Award for an Award Year by executing and delivering to the Company a Deferral Agreement as of a date specified by the Senior Vice President, Chief Human Resources Officer, which shall be no later than (</w:t>
      </w:r>
      <w:proofErr w:type="spellStart"/>
      <w:r>
        <w:rPr>
          <w:sz w:val="24"/>
        </w:rPr>
        <w:t>i</w:t>
      </w:r>
      <w:proofErr w:type="spellEnd"/>
      <w:r>
        <w:rPr>
          <w:sz w:val="24"/>
        </w:rPr>
        <w:t>) six months prior to the end of the Performance Period if the Eligible Employee was employed on the later of the beginning of the performance period or date the performance</w:t>
      </w:r>
      <w:r>
        <w:rPr>
          <w:spacing w:val="-3"/>
          <w:sz w:val="24"/>
        </w:rPr>
        <w:t xml:space="preserve"> </w:t>
      </w:r>
      <w:r>
        <w:rPr>
          <w:sz w:val="24"/>
        </w:rPr>
        <w:t>criteria</w:t>
      </w:r>
      <w:r>
        <w:rPr>
          <w:spacing w:val="-3"/>
          <w:sz w:val="24"/>
        </w:rPr>
        <w:t xml:space="preserve"> </w:t>
      </w:r>
      <w:r>
        <w:rPr>
          <w:sz w:val="24"/>
        </w:rPr>
        <w:t>were</w:t>
      </w:r>
      <w:r>
        <w:rPr>
          <w:spacing w:val="-3"/>
          <w:sz w:val="24"/>
        </w:rPr>
        <w:t xml:space="preserve"> </w:t>
      </w:r>
      <w:r>
        <w:rPr>
          <w:sz w:val="24"/>
        </w:rPr>
        <w:t>established;</w:t>
      </w:r>
      <w:r>
        <w:rPr>
          <w:spacing w:val="-3"/>
          <w:sz w:val="24"/>
        </w:rPr>
        <w:t xml:space="preserve"> </w:t>
      </w:r>
      <w:r>
        <w:rPr>
          <w:sz w:val="24"/>
        </w:rPr>
        <w:t>or</w:t>
      </w:r>
      <w:r>
        <w:rPr>
          <w:spacing w:val="-3"/>
          <w:sz w:val="24"/>
        </w:rPr>
        <w:t xml:space="preserve"> </w:t>
      </w:r>
      <w:r>
        <w:rPr>
          <w:sz w:val="24"/>
        </w:rPr>
        <w:t>(ii)</w:t>
      </w:r>
      <w:r>
        <w:rPr>
          <w:spacing w:val="-3"/>
          <w:sz w:val="24"/>
        </w:rPr>
        <w:t xml:space="preserve"> </w:t>
      </w:r>
      <w:r>
        <w:rPr>
          <w:sz w:val="24"/>
        </w:rPr>
        <w:t>30</w:t>
      </w:r>
      <w:r>
        <w:rPr>
          <w:spacing w:val="-3"/>
          <w:sz w:val="24"/>
        </w:rPr>
        <w:t xml:space="preserve"> </w:t>
      </w:r>
      <w:r>
        <w:rPr>
          <w:sz w:val="24"/>
        </w:rPr>
        <w:t>days</w:t>
      </w:r>
      <w:r>
        <w:rPr>
          <w:spacing w:val="-4"/>
          <w:sz w:val="24"/>
        </w:rPr>
        <w:t xml:space="preserve"> </w:t>
      </w:r>
      <w:r>
        <w:rPr>
          <w:sz w:val="24"/>
        </w:rPr>
        <w:t>following</w:t>
      </w:r>
      <w:r>
        <w:rPr>
          <w:spacing w:val="-3"/>
          <w:sz w:val="24"/>
        </w:rPr>
        <w:t xml:space="preserve"> </w:t>
      </w:r>
      <w:r>
        <w:rPr>
          <w:sz w:val="24"/>
        </w:rPr>
        <w:t>the</w:t>
      </w:r>
      <w:r>
        <w:rPr>
          <w:spacing w:val="-3"/>
          <w:sz w:val="24"/>
        </w:rPr>
        <w:t xml:space="preserve"> </w:t>
      </w:r>
      <w:r>
        <w:rPr>
          <w:sz w:val="24"/>
        </w:rPr>
        <w:t>Eligible</w:t>
      </w:r>
      <w:r>
        <w:rPr>
          <w:spacing w:val="-3"/>
          <w:sz w:val="24"/>
        </w:rPr>
        <w:t xml:space="preserve"> </w:t>
      </w:r>
      <w:r>
        <w:rPr>
          <w:sz w:val="24"/>
        </w:rPr>
        <w:t>Employee’s</w:t>
      </w:r>
      <w:r>
        <w:rPr>
          <w:spacing w:val="-4"/>
          <w:sz w:val="24"/>
        </w:rPr>
        <w:t xml:space="preserve"> </w:t>
      </w:r>
      <w:r>
        <w:rPr>
          <w:sz w:val="24"/>
        </w:rPr>
        <w:t>date</w:t>
      </w:r>
      <w:r>
        <w:rPr>
          <w:spacing w:val="-3"/>
          <w:sz w:val="24"/>
        </w:rPr>
        <w:t xml:space="preserve"> </w:t>
      </w:r>
      <w:r>
        <w:rPr>
          <w:sz w:val="24"/>
        </w:rPr>
        <w:t>of</w:t>
      </w:r>
      <w:r>
        <w:rPr>
          <w:spacing w:val="-3"/>
          <w:sz w:val="24"/>
        </w:rPr>
        <w:t xml:space="preserve"> </w:t>
      </w:r>
      <w:r>
        <w:rPr>
          <w:sz w:val="24"/>
        </w:rPr>
        <w:t>hire, if the Eligible Employee was not employed on the later of the beginning of the performance period or date the performance criteria were established, but only with respect to a proportionate share of the total amount of such award.</w:t>
      </w:r>
    </w:p>
    <w:p w14:paraId="4192AB66" w14:textId="77777777" w:rsidR="00AE2255" w:rsidRDefault="00AE2255">
      <w:pPr>
        <w:pStyle w:val="BodyText"/>
        <w:rPr>
          <w:sz w:val="26"/>
        </w:rPr>
      </w:pPr>
    </w:p>
    <w:p w14:paraId="32C6389B" w14:textId="77777777" w:rsidR="00AE2255" w:rsidRDefault="00AE2255">
      <w:pPr>
        <w:pStyle w:val="BodyText"/>
        <w:spacing w:before="6"/>
      </w:pPr>
    </w:p>
    <w:p w14:paraId="79764FE5" w14:textId="77777777" w:rsidR="00AE2255" w:rsidRDefault="00000000">
      <w:pPr>
        <w:spacing w:before="1"/>
        <w:ind w:left="4840"/>
        <w:rPr>
          <w:sz w:val="24"/>
        </w:rPr>
      </w:pPr>
      <w:r>
        <w:rPr>
          <w:sz w:val="24"/>
        </w:rPr>
        <w:t>LOCKHEED</w:t>
      </w:r>
      <w:r>
        <w:rPr>
          <w:spacing w:val="-4"/>
          <w:sz w:val="24"/>
        </w:rPr>
        <w:t xml:space="preserve"> </w:t>
      </w:r>
      <w:r>
        <w:rPr>
          <w:sz w:val="24"/>
        </w:rPr>
        <w:t>MARTIN</w:t>
      </w:r>
      <w:r>
        <w:rPr>
          <w:spacing w:val="-3"/>
          <w:sz w:val="24"/>
        </w:rPr>
        <w:t xml:space="preserve"> </w:t>
      </w:r>
      <w:r>
        <w:rPr>
          <w:spacing w:val="-2"/>
          <w:sz w:val="24"/>
        </w:rPr>
        <w:t>CORPORATION</w:t>
      </w:r>
    </w:p>
    <w:p w14:paraId="4AE4103B" w14:textId="77777777" w:rsidR="00AE2255" w:rsidRDefault="00AE2255">
      <w:pPr>
        <w:pStyle w:val="BodyText"/>
        <w:rPr>
          <w:sz w:val="26"/>
        </w:rPr>
      </w:pPr>
    </w:p>
    <w:p w14:paraId="2A4F9402" w14:textId="77777777" w:rsidR="00AE2255" w:rsidRDefault="00000000">
      <w:pPr>
        <w:tabs>
          <w:tab w:val="left" w:pos="5559"/>
          <w:tab w:val="left" w:pos="8971"/>
        </w:tabs>
        <w:spacing w:before="1" w:line="460" w:lineRule="atLeast"/>
        <w:ind w:left="5560" w:right="2326" w:hanging="720"/>
        <w:rPr>
          <w:sz w:val="24"/>
        </w:rPr>
      </w:pPr>
      <w:r>
        <w:rPr>
          <w:spacing w:val="-4"/>
          <w:sz w:val="24"/>
        </w:rPr>
        <w:t>By:</w:t>
      </w:r>
      <w:r>
        <w:rPr>
          <w:sz w:val="24"/>
        </w:rPr>
        <w:tab/>
        <w:t>_</w:t>
      </w:r>
      <w:r>
        <w:rPr>
          <w:sz w:val="24"/>
          <w:u w:val="thick"/>
        </w:rPr>
        <w:t>/s/ Greg Karol</w:t>
      </w:r>
      <w:r>
        <w:rPr>
          <w:sz w:val="24"/>
          <w:u w:val="thick"/>
        </w:rPr>
        <w:tab/>
      </w:r>
      <w:r>
        <w:rPr>
          <w:sz w:val="24"/>
        </w:rPr>
        <w:t xml:space="preserve"> Greg Karol</w:t>
      </w:r>
    </w:p>
    <w:p w14:paraId="49EDCBC5" w14:textId="77777777" w:rsidR="00AE2255" w:rsidRDefault="00000000">
      <w:pPr>
        <w:spacing w:before="24"/>
        <w:ind w:left="5560"/>
        <w:rPr>
          <w:sz w:val="24"/>
        </w:rPr>
      </w:pPr>
      <w:r>
        <w:rPr>
          <w:sz w:val="24"/>
        </w:rPr>
        <w:t>Senior</w:t>
      </w:r>
      <w:r>
        <w:rPr>
          <w:spacing w:val="-1"/>
          <w:sz w:val="24"/>
        </w:rPr>
        <w:t xml:space="preserve"> </w:t>
      </w:r>
      <w:r>
        <w:rPr>
          <w:sz w:val="24"/>
        </w:rPr>
        <w:t>Vice</w:t>
      </w:r>
      <w:r>
        <w:rPr>
          <w:spacing w:val="-1"/>
          <w:sz w:val="24"/>
        </w:rPr>
        <w:t xml:space="preserve"> </w:t>
      </w:r>
      <w:r>
        <w:rPr>
          <w:spacing w:val="-2"/>
          <w:sz w:val="24"/>
        </w:rPr>
        <w:t>President</w:t>
      </w:r>
    </w:p>
    <w:p w14:paraId="42AF2380" w14:textId="77777777" w:rsidR="00AE2255" w:rsidRDefault="00000000">
      <w:pPr>
        <w:spacing w:before="24"/>
        <w:ind w:left="5560"/>
        <w:rPr>
          <w:sz w:val="24"/>
        </w:rPr>
      </w:pPr>
      <w:r>
        <w:rPr>
          <w:sz w:val="24"/>
        </w:rPr>
        <w:t>Chief</w:t>
      </w:r>
      <w:r>
        <w:rPr>
          <w:spacing w:val="-1"/>
          <w:sz w:val="24"/>
        </w:rPr>
        <w:t xml:space="preserve"> </w:t>
      </w:r>
      <w:r>
        <w:rPr>
          <w:sz w:val="24"/>
        </w:rPr>
        <w:t>Human</w:t>
      </w:r>
      <w:r>
        <w:rPr>
          <w:spacing w:val="-1"/>
          <w:sz w:val="24"/>
        </w:rPr>
        <w:t xml:space="preserve"> </w:t>
      </w:r>
      <w:r>
        <w:rPr>
          <w:sz w:val="24"/>
        </w:rPr>
        <w:t>Resources</w:t>
      </w:r>
      <w:r>
        <w:rPr>
          <w:spacing w:val="-1"/>
          <w:sz w:val="24"/>
        </w:rPr>
        <w:t xml:space="preserve"> </w:t>
      </w:r>
      <w:r>
        <w:rPr>
          <w:spacing w:val="-2"/>
          <w:sz w:val="24"/>
        </w:rPr>
        <w:t>Officer</w:t>
      </w:r>
    </w:p>
    <w:p w14:paraId="53F1C4A8" w14:textId="77777777" w:rsidR="00AE2255" w:rsidRDefault="00AE2255">
      <w:pPr>
        <w:pStyle w:val="BodyText"/>
        <w:spacing w:before="1"/>
        <w:rPr>
          <w:sz w:val="15"/>
        </w:rPr>
      </w:pPr>
    </w:p>
    <w:p w14:paraId="7D125517" w14:textId="77777777" w:rsidR="00AE2255" w:rsidRDefault="00000000">
      <w:pPr>
        <w:tabs>
          <w:tab w:val="left" w:pos="5560"/>
          <w:tab w:val="left" w:pos="5919"/>
          <w:tab w:val="left" w:pos="9053"/>
        </w:tabs>
        <w:spacing w:before="90"/>
        <w:ind w:left="4840"/>
        <w:rPr>
          <w:sz w:val="24"/>
        </w:rPr>
      </w:pPr>
      <w:r>
        <w:rPr>
          <w:spacing w:val="-2"/>
          <w:sz w:val="24"/>
        </w:rPr>
        <w:t>Date:</w:t>
      </w:r>
      <w:r>
        <w:rPr>
          <w:sz w:val="24"/>
        </w:rPr>
        <w:tab/>
      </w:r>
      <w:r>
        <w:rPr>
          <w:sz w:val="24"/>
          <w:u w:val="thick"/>
        </w:rPr>
        <w:tab/>
      </w:r>
      <w:r>
        <w:rPr>
          <w:spacing w:val="-2"/>
          <w:sz w:val="24"/>
          <w:u w:val="thick"/>
        </w:rPr>
        <w:t>12/19/2022</w:t>
      </w:r>
      <w:r>
        <w:rPr>
          <w:sz w:val="24"/>
          <w:u w:val="thick"/>
        </w:rPr>
        <w:tab/>
      </w:r>
    </w:p>
    <w:p w14:paraId="4357616B" w14:textId="77777777" w:rsidR="00AE2255" w:rsidRDefault="00AE2255">
      <w:pPr>
        <w:rPr>
          <w:sz w:val="24"/>
        </w:rPr>
        <w:sectPr w:rsidR="00AE2255">
          <w:headerReference w:type="default" r:id="rId157"/>
          <w:footerReference w:type="default" r:id="rId158"/>
          <w:pgSz w:w="12240" w:h="15840"/>
          <w:pgMar w:top="1060" w:right="560" w:bottom="280" w:left="380" w:header="857" w:footer="0" w:gutter="0"/>
          <w:cols w:space="720"/>
        </w:sectPr>
      </w:pPr>
    </w:p>
    <w:p w14:paraId="0A412EB3" w14:textId="77777777" w:rsidR="00AE2255" w:rsidRDefault="00000000">
      <w:pPr>
        <w:spacing w:before="15" w:line="223" w:lineRule="auto"/>
        <w:ind w:left="3574" w:right="3390"/>
        <w:jc w:val="center"/>
        <w:rPr>
          <w:b/>
          <w:sz w:val="24"/>
        </w:rPr>
      </w:pPr>
      <w:bookmarkStart w:id="94" w:name="Ex_10.40"/>
      <w:bookmarkEnd w:id="94"/>
      <w:r>
        <w:rPr>
          <w:b/>
          <w:sz w:val="24"/>
        </w:rPr>
        <w:lastRenderedPageBreak/>
        <w:t>LOCKHEED</w:t>
      </w:r>
      <w:r>
        <w:rPr>
          <w:b/>
          <w:spacing w:val="-15"/>
          <w:sz w:val="24"/>
        </w:rPr>
        <w:t xml:space="preserve"> </w:t>
      </w:r>
      <w:r>
        <w:rPr>
          <w:b/>
          <w:sz w:val="24"/>
        </w:rPr>
        <w:t>MARTIN</w:t>
      </w:r>
      <w:r>
        <w:rPr>
          <w:b/>
          <w:spacing w:val="-15"/>
          <w:sz w:val="24"/>
        </w:rPr>
        <w:t xml:space="preserve"> </w:t>
      </w:r>
      <w:r>
        <w:rPr>
          <w:b/>
          <w:sz w:val="24"/>
        </w:rPr>
        <w:t>CORPORATION EXECUTIVE SEVERANCE PLAN</w:t>
      </w:r>
    </w:p>
    <w:p w14:paraId="01A940EE" w14:textId="77777777" w:rsidR="00AE2255" w:rsidRDefault="00000000">
      <w:pPr>
        <w:spacing w:line="261" w:lineRule="exact"/>
        <w:ind w:left="517" w:right="334"/>
        <w:jc w:val="center"/>
        <w:rPr>
          <w:b/>
          <w:sz w:val="24"/>
        </w:rPr>
      </w:pPr>
      <w:r>
        <w:rPr>
          <w:b/>
          <w:sz w:val="24"/>
        </w:rPr>
        <w:t>(As</w:t>
      </w:r>
      <w:r>
        <w:rPr>
          <w:b/>
          <w:spacing w:val="-3"/>
          <w:sz w:val="24"/>
        </w:rPr>
        <w:t xml:space="preserve"> </w:t>
      </w:r>
      <w:r>
        <w:rPr>
          <w:b/>
          <w:sz w:val="24"/>
        </w:rPr>
        <w:t>Amended</w:t>
      </w:r>
      <w:r>
        <w:rPr>
          <w:b/>
          <w:spacing w:val="-2"/>
          <w:sz w:val="24"/>
        </w:rPr>
        <w:t xml:space="preserve"> </w:t>
      </w:r>
      <w:r>
        <w:rPr>
          <w:b/>
          <w:sz w:val="24"/>
        </w:rPr>
        <w:t>and</w:t>
      </w:r>
      <w:r>
        <w:rPr>
          <w:b/>
          <w:spacing w:val="-2"/>
          <w:sz w:val="24"/>
        </w:rPr>
        <w:t xml:space="preserve"> </w:t>
      </w:r>
      <w:r>
        <w:rPr>
          <w:b/>
          <w:sz w:val="24"/>
        </w:rPr>
        <w:t>Restated</w:t>
      </w:r>
      <w:r>
        <w:rPr>
          <w:b/>
          <w:spacing w:val="-3"/>
          <w:sz w:val="24"/>
        </w:rPr>
        <w:t xml:space="preserve"> </w:t>
      </w:r>
      <w:r>
        <w:rPr>
          <w:b/>
          <w:sz w:val="24"/>
        </w:rPr>
        <w:t>Effective</w:t>
      </w:r>
      <w:r>
        <w:rPr>
          <w:b/>
          <w:spacing w:val="-1"/>
          <w:sz w:val="24"/>
        </w:rPr>
        <w:t xml:space="preserve"> </w:t>
      </w:r>
      <w:r>
        <w:rPr>
          <w:b/>
          <w:sz w:val="24"/>
        </w:rPr>
        <w:t>December</w:t>
      </w:r>
      <w:r>
        <w:rPr>
          <w:b/>
          <w:spacing w:val="-1"/>
          <w:sz w:val="24"/>
        </w:rPr>
        <w:t xml:space="preserve"> </w:t>
      </w:r>
      <w:r>
        <w:rPr>
          <w:b/>
          <w:sz w:val="24"/>
        </w:rPr>
        <w:t>1,</w:t>
      </w:r>
      <w:r>
        <w:rPr>
          <w:b/>
          <w:spacing w:val="-1"/>
          <w:sz w:val="24"/>
        </w:rPr>
        <w:t xml:space="preserve"> </w:t>
      </w:r>
      <w:r>
        <w:rPr>
          <w:b/>
          <w:spacing w:val="-2"/>
          <w:sz w:val="24"/>
        </w:rPr>
        <w:t>2016)</w:t>
      </w:r>
    </w:p>
    <w:p w14:paraId="552C8AE7" w14:textId="77777777" w:rsidR="00AE2255" w:rsidRDefault="00AE2255">
      <w:pPr>
        <w:pStyle w:val="BodyText"/>
        <w:spacing w:before="8"/>
        <w:rPr>
          <w:b/>
        </w:rPr>
      </w:pPr>
    </w:p>
    <w:p w14:paraId="28D9B2B6" w14:textId="77777777" w:rsidR="00AE2255" w:rsidRDefault="00000000">
      <w:pPr>
        <w:ind w:left="517" w:right="337"/>
        <w:jc w:val="center"/>
        <w:rPr>
          <w:b/>
          <w:sz w:val="24"/>
        </w:rPr>
      </w:pPr>
      <w:r>
        <w:rPr>
          <w:b/>
          <w:sz w:val="24"/>
        </w:rPr>
        <w:t>Amendment</w:t>
      </w:r>
      <w:r>
        <w:rPr>
          <w:b/>
          <w:spacing w:val="-3"/>
          <w:sz w:val="24"/>
        </w:rPr>
        <w:t xml:space="preserve"> </w:t>
      </w:r>
      <w:r>
        <w:rPr>
          <w:b/>
          <w:sz w:val="24"/>
        </w:rPr>
        <w:t>No.</w:t>
      </w:r>
      <w:r>
        <w:rPr>
          <w:b/>
          <w:spacing w:val="-2"/>
          <w:sz w:val="24"/>
        </w:rPr>
        <w:t xml:space="preserve"> </w:t>
      </w:r>
      <w:r>
        <w:rPr>
          <w:b/>
          <w:spacing w:val="-10"/>
          <w:sz w:val="24"/>
        </w:rPr>
        <w:t>5</w:t>
      </w:r>
    </w:p>
    <w:p w14:paraId="42A9B98C" w14:textId="77777777" w:rsidR="00AE2255" w:rsidRDefault="00AE2255">
      <w:pPr>
        <w:pStyle w:val="BodyText"/>
        <w:spacing w:before="7"/>
        <w:rPr>
          <w:b/>
          <w:sz w:val="23"/>
        </w:rPr>
      </w:pPr>
    </w:p>
    <w:p w14:paraId="04400A01" w14:textId="77777777" w:rsidR="00AE2255" w:rsidRDefault="00000000">
      <w:pPr>
        <w:spacing w:before="1" w:line="232" w:lineRule="auto"/>
        <w:ind w:left="520" w:right="386"/>
        <w:rPr>
          <w:sz w:val="24"/>
        </w:rPr>
      </w:pPr>
      <w:r>
        <w:rPr>
          <w:sz w:val="24"/>
        </w:rPr>
        <w:t>Lockheed Martin Corporation (Corporation) wishes to revise the Lockheed Martin Corporation Executive Severance</w:t>
      </w:r>
      <w:r>
        <w:rPr>
          <w:spacing w:val="-1"/>
          <w:sz w:val="24"/>
        </w:rPr>
        <w:t xml:space="preserve"> </w:t>
      </w:r>
      <w:r>
        <w:rPr>
          <w:sz w:val="24"/>
        </w:rPr>
        <w:t>Plan</w:t>
      </w:r>
      <w:r>
        <w:rPr>
          <w:spacing w:val="-1"/>
          <w:sz w:val="24"/>
        </w:rPr>
        <w:t xml:space="preserve"> </w:t>
      </w:r>
      <w:r>
        <w:rPr>
          <w:sz w:val="24"/>
        </w:rPr>
        <w:t>(Plan)</w:t>
      </w:r>
      <w:r>
        <w:rPr>
          <w:spacing w:val="-1"/>
          <w:sz w:val="24"/>
        </w:rPr>
        <w:t xml:space="preserve"> </w:t>
      </w:r>
      <w:r>
        <w:rPr>
          <w:sz w:val="24"/>
        </w:rPr>
        <w:t>to</w:t>
      </w:r>
      <w:r>
        <w:rPr>
          <w:spacing w:val="-1"/>
          <w:sz w:val="24"/>
        </w:rPr>
        <w:t xml:space="preserve"> </w:t>
      </w:r>
      <w:r>
        <w:rPr>
          <w:sz w:val="24"/>
        </w:rPr>
        <w:t>clarify</w:t>
      </w:r>
      <w:r>
        <w:rPr>
          <w:spacing w:val="-1"/>
          <w:sz w:val="24"/>
        </w:rPr>
        <w:t xml:space="preserve"> </w:t>
      </w:r>
      <w:r>
        <w:rPr>
          <w:sz w:val="24"/>
        </w:rPr>
        <w:t>that</w:t>
      </w:r>
      <w:r>
        <w:rPr>
          <w:spacing w:val="-1"/>
          <w:sz w:val="24"/>
        </w:rPr>
        <w:t xml:space="preserve"> </w:t>
      </w:r>
      <w:r>
        <w:rPr>
          <w:sz w:val="24"/>
        </w:rPr>
        <w:t>an</w:t>
      </w:r>
      <w:r>
        <w:rPr>
          <w:spacing w:val="-1"/>
          <w:sz w:val="24"/>
        </w:rPr>
        <w:t xml:space="preserve"> </w:t>
      </w:r>
      <w:r>
        <w:rPr>
          <w:sz w:val="24"/>
        </w:rPr>
        <w:t>employee’s</w:t>
      </w:r>
      <w:r>
        <w:rPr>
          <w:spacing w:val="-2"/>
          <w:sz w:val="24"/>
        </w:rPr>
        <w:t xml:space="preserve"> </w:t>
      </w:r>
      <w:r>
        <w:rPr>
          <w:sz w:val="24"/>
        </w:rPr>
        <w:t>classification</w:t>
      </w:r>
      <w:r>
        <w:rPr>
          <w:spacing w:val="-1"/>
          <w:sz w:val="24"/>
        </w:rPr>
        <w:t xml:space="preserve"> </w:t>
      </w:r>
      <w:r>
        <w:rPr>
          <w:sz w:val="24"/>
        </w:rPr>
        <w:t>for</w:t>
      </w:r>
      <w:r>
        <w:rPr>
          <w:spacing w:val="-1"/>
          <w:sz w:val="24"/>
        </w:rPr>
        <w:t xml:space="preserve"> </w:t>
      </w:r>
      <w:r>
        <w:rPr>
          <w:sz w:val="24"/>
        </w:rPr>
        <w:t>Plan</w:t>
      </w:r>
      <w:r>
        <w:rPr>
          <w:spacing w:val="-1"/>
          <w:sz w:val="24"/>
        </w:rPr>
        <w:t xml:space="preserve"> </w:t>
      </w:r>
      <w:r>
        <w:rPr>
          <w:sz w:val="24"/>
        </w:rPr>
        <w:t>eligibility</w:t>
      </w:r>
      <w:r>
        <w:rPr>
          <w:spacing w:val="-1"/>
          <w:sz w:val="24"/>
        </w:rPr>
        <w:t xml:space="preserve"> </w:t>
      </w:r>
      <w:r>
        <w:rPr>
          <w:sz w:val="24"/>
        </w:rPr>
        <w:t>purposes</w:t>
      </w:r>
      <w:r>
        <w:rPr>
          <w:spacing w:val="-2"/>
          <w:sz w:val="24"/>
        </w:rPr>
        <w:t xml:space="preserve"> </w:t>
      </w:r>
      <w:r>
        <w:rPr>
          <w:sz w:val="24"/>
        </w:rPr>
        <w:t>is</w:t>
      </w:r>
      <w:r>
        <w:rPr>
          <w:spacing w:val="-2"/>
          <w:sz w:val="24"/>
        </w:rPr>
        <w:t xml:space="preserve"> </w:t>
      </w:r>
      <w:r>
        <w:rPr>
          <w:sz w:val="24"/>
        </w:rPr>
        <w:t>determined 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the</w:t>
      </w:r>
      <w:r>
        <w:rPr>
          <w:spacing w:val="-3"/>
          <w:sz w:val="24"/>
        </w:rPr>
        <w:t xml:space="preserve"> </w:t>
      </w:r>
      <w:r>
        <w:rPr>
          <w:sz w:val="24"/>
        </w:rPr>
        <w:t>Corporation</w:t>
      </w:r>
      <w:r>
        <w:rPr>
          <w:spacing w:val="-3"/>
          <w:sz w:val="24"/>
        </w:rPr>
        <w:t xml:space="preserve"> </w:t>
      </w:r>
      <w:r>
        <w:rPr>
          <w:sz w:val="24"/>
        </w:rPr>
        <w:t>notifies</w:t>
      </w:r>
      <w:r>
        <w:rPr>
          <w:spacing w:val="-4"/>
          <w:sz w:val="24"/>
        </w:rPr>
        <w:t xml:space="preserve"> </w:t>
      </w:r>
      <w:r>
        <w:rPr>
          <w:sz w:val="24"/>
        </w:rPr>
        <w:t>the</w:t>
      </w:r>
      <w:r>
        <w:rPr>
          <w:spacing w:val="-3"/>
          <w:sz w:val="24"/>
        </w:rPr>
        <w:t xml:space="preserve"> </w:t>
      </w:r>
      <w:r>
        <w:rPr>
          <w:sz w:val="24"/>
        </w:rPr>
        <w:t>employee</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employee’s</w:t>
      </w:r>
      <w:r>
        <w:rPr>
          <w:spacing w:val="-4"/>
          <w:sz w:val="24"/>
        </w:rPr>
        <w:t xml:space="preserve"> </w:t>
      </w:r>
      <w:r>
        <w:rPr>
          <w:sz w:val="24"/>
        </w:rPr>
        <w:t>employment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terminated</w:t>
      </w:r>
      <w:r>
        <w:rPr>
          <w:spacing w:val="-3"/>
          <w:sz w:val="24"/>
        </w:rPr>
        <w:t xml:space="preserve"> </w:t>
      </w:r>
      <w:r>
        <w:rPr>
          <w:sz w:val="24"/>
        </w:rPr>
        <w:t>due</w:t>
      </w:r>
      <w:r>
        <w:rPr>
          <w:spacing w:val="-3"/>
          <w:sz w:val="24"/>
        </w:rPr>
        <w:t xml:space="preserve"> </w:t>
      </w:r>
      <w:r>
        <w:rPr>
          <w:sz w:val="24"/>
        </w:rPr>
        <w:t xml:space="preserve">to </w:t>
      </w:r>
      <w:r>
        <w:rPr>
          <w:spacing w:val="-2"/>
          <w:sz w:val="24"/>
        </w:rPr>
        <w:t>layoff.</w:t>
      </w:r>
    </w:p>
    <w:p w14:paraId="27CC692F" w14:textId="77777777" w:rsidR="00AE2255" w:rsidRDefault="00AE2255">
      <w:pPr>
        <w:pStyle w:val="BodyText"/>
        <w:spacing w:before="8"/>
        <w:rPr>
          <w:sz w:val="23"/>
        </w:rPr>
      </w:pPr>
    </w:p>
    <w:p w14:paraId="67EBF8FA" w14:textId="77777777" w:rsidR="00AE2255" w:rsidRDefault="00000000">
      <w:pPr>
        <w:pStyle w:val="ListParagraph"/>
        <w:numPr>
          <w:ilvl w:val="0"/>
          <w:numId w:val="5"/>
        </w:numPr>
        <w:tabs>
          <w:tab w:val="left" w:pos="1240"/>
        </w:tabs>
        <w:spacing w:line="232" w:lineRule="auto"/>
        <w:ind w:right="546"/>
        <w:jc w:val="both"/>
        <w:rPr>
          <w:sz w:val="24"/>
        </w:rPr>
      </w:pPr>
      <w:r>
        <w:rPr>
          <w:sz w:val="24"/>
        </w:rPr>
        <w:t>Effective</w:t>
      </w:r>
      <w:r>
        <w:rPr>
          <w:spacing w:val="-1"/>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1"/>
          <w:sz w:val="24"/>
        </w:rPr>
        <w:t xml:space="preserve"> </w:t>
      </w:r>
      <w:r>
        <w:rPr>
          <w:sz w:val="24"/>
        </w:rPr>
        <w:t>Executive</w:t>
      </w:r>
      <w:r>
        <w:rPr>
          <w:spacing w:val="-1"/>
          <w:sz w:val="24"/>
        </w:rPr>
        <w:t xml:space="preserve"> </w:t>
      </w:r>
      <w:r>
        <w:rPr>
          <w:sz w:val="24"/>
        </w:rPr>
        <w:t>Layoff</w:t>
      </w:r>
      <w:r>
        <w:rPr>
          <w:spacing w:val="-1"/>
          <w:sz w:val="24"/>
        </w:rPr>
        <w:t xml:space="preserve"> </w:t>
      </w:r>
      <w:r>
        <w:rPr>
          <w:sz w:val="24"/>
        </w:rPr>
        <w:t>Events</w:t>
      </w:r>
      <w:r>
        <w:rPr>
          <w:spacing w:val="-2"/>
          <w:sz w:val="24"/>
        </w:rPr>
        <w:t xml:space="preserve"> </w:t>
      </w:r>
      <w:r>
        <w:rPr>
          <w:sz w:val="24"/>
        </w:rPr>
        <w:t>of</w:t>
      </w:r>
      <w:r>
        <w:rPr>
          <w:spacing w:val="-1"/>
          <w:sz w:val="24"/>
        </w:rPr>
        <w:t xml:space="preserve"> </w:t>
      </w:r>
      <w:r>
        <w:rPr>
          <w:sz w:val="24"/>
        </w:rPr>
        <w:t>which</w:t>
      </w:r>
      <w:r>
        <w:rPr>
          <w:spacing w:val="-1"/>
          <w:sz w:val="24"/>
        </w:rPr>
        <w:t xml:space="preserve"> </w:t>
      </w:r>
      <w:r>
        <w:rPr>
          <w:sz w:val="24"/>
        </w:rPr>
        <w:t>the</w:t>
      </w:r>
      <w:r>
        <w:rPr>
          <w:spacing w:val="-1"/>
          <w:sz w:val="24"/>
        </w:rPr>
        <w:t xml:space="preserve"> </w:t>
      </w:r>
      <w:r>
        <w:rPr>
          <w:sz w:val="24"/>
        </w:rPr>
        <w:t>Corporation</w:t>
      </w:r>
      <w:r>
        <w:rPr>
          <w:spacing w:val="-1"/>
          <w:sz w:val="24"/>
        </w:rPr>
        <w:t xml:space="preserve"> </w:t>
      </w:r>
      <w:r>
        <w:rPr>
          <w:sz w:val="24"/>
        </w:rPr>
        <w:t>notifies</w:t>
      </w:r>
      <w:r>
        <w:rPr>
          <w:spacing w:val="-2"/>
          <w:sz w:val="24"/>
        </w:rPr>
        <w:t xml:space="preserve"> </w:t>
      </w:r>
      <w:r>
        <w:rPr>
          <w:sz w:val="24"/>
        </w:rPr>
        <w:t>Employees</w:t>
      </w:r>
      <w:r>
        <w:rPr>
          <w:spacing w:val="-2"/>
          <w:sz w:val="24"/>
        </w:rPr>
        <w:t xml:space="preserve"> </w:t>
      </w:r>
      <w:r>
        <w:rPr>
          <w:sz w:val="24"/>
        </w:rPr>
        <w:t>on or</w:t>
      </w:r>
      <w:r>
        <w:rPr>
          <w:spacing w:val="-2"/>
          <w:sz w:val="24"/>
        </w:rPr>
        <w:t xml:space="preserve"> </w:t>
      </w:r>
      <w:r>
        <w:rPr>
          <w:sz w:val="24"/>
        </w:rPr>
        <w:t>after</w:t>
      </w:r>
      <w:r>
        <w:rPr>
          <w:spacing w:val="-2"/>
          <w:sz w:val="24"/>
        </w:rPr>
        <w:t xml:space="preserve"> </w:t>
      </w:r>
      <w:r>
        <w:rPr>
          <w:sz w:val="24"/>
        </w:rPr>
        <w:t>January</w:t>
      </w:r>
      <w:r>
        <w:rPr>
          <w:spacing w:val="-2"/>
          <w:sz w:val="24"/>
        </w:rPr>
        <w:t xml:space="preserve"> </w:t>
      </w:r>
      <w:r>
        <w:rPr>
          <w:sz w:val="24"/>
        </w:rPr>
        <w:t>1,</w:t>
      </w:r>
      <w:r>
        <w:rPr>
          <w:spacing w:val="-2"/>
          <w:sz w:val="24"/>
        </w:rPr>
        <w:t xml:space="preserve"> </w:t>
      </w:r>
      <w:r>
        <w:rPr>
          <w:sz w:val="24"/>
        </w:rPr>
        <w:t>2023,</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sentence</w:t>
      </w:r>
      <w:r>
        <w:rPr>
          <w:spacing w:val="-2"/>
          <w:sz w:val="24"/>
        </w:rPr>
        <w:t xml:space="preserve"> </w:t>
      </w:r>
      <w:r>
        <w:rPr>
          <w:sz w:val="24"/>
        </w:rPr>
        <w:t>of</w:t>
      </w:r>
      <w:r>
        <w:rPr>
          <w:spacing w:val="-2"/>
          <w:sz w:val="24"/>
        </w:rPr>
        <w:t xml:space="preserve"> </w:t>
      </w:r>
      <w:r>
        <w:rPr>
          <w:sz w:val="24"/>
        </w:rPr>
        <w:t>Section</w:t>
      </w:r>
      <w:r>
        <w:rPr>
          <w:spacing w:val="-2"/>
          <w:sz w:val="24"/>
        </w:rPr>
        <w:t xml:space="preserve"> </w:t>
      </w:r>
      <w:r>
        <w:rPr>
          <w:sz w:val="24"/>
        </w:rPr>
        <w:t>3(a)</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Plan</w:t>
      </w:r>
      <w:r>
        <w:rPr>
          <w:spacing w:val="-2"/>
          <w:sz w:val="24"/>
        </w:rPr>
        <w:t xml:space="preserve"> </w:t>
      </w:r>
      <w:r>
        <w:rPr>
          <w:sz w:val="24"/>
        </w:rPr>
        <w:t>is</w:t>
      </w:r>
      <w:r>
        <w:rPr>
          <w:spacing w:val="-3"/>
          <w:sz w:val="24"/>
        </w:rPr>
        <w:t xml:space="preserve"> </w:t>
      </w:r>
      <w:r>
        <w:rPr>
          <w:sz w:val="24"/>
        </w:rPr>
        <w:t>amended</w:t>
      </w:r>
      <w:r>
        <w:rPr>
          <w:spacing w:val="-2"/>
          <w:sz w:val="24"/>
        </w:rPr>
        <w:t xml:space="preserve"> </w:t>
      </w:r>
      <w:r>
        <w:rPr>
          <w:sz w:val="24"/>
        </w:rPr>
        <w:t>and</w:t>
      </w:r>
      <w:r>
        <w:rPr>
          <w:spacing w:val="-2"/>
          <w:sz w:val="24"/>
        </w:rPr>
        <w:t xml:space="preserve"> </w:t>
      </w:r>
      <w:r>
        <w:rPr>
          <w:sz w:val="24"/>
        </w:rPr>
        <w:t>restated</w:t>
      </w:r>
      <w:r>
        <w:rPr>
          <w:spacing w:val="-2"/>
          <w:sz w:val="24"/>
        </w:rPr>
        <w:t xml:space="preserve"> </w:t>
      </w:r>
      <w:r>
        <w:rPr>
          <w:sz w:val="24"/>
        </w:rPr>
        <w:t>in</w:t>
      </w:r>
      <w:r>
        <w:rPr>
          <w:spacing w:val="-2"/>
          <w:sz w:val="24"/>
        </w:rPr>
        <w:t xml:space="preserve"> </w:t>
      </w:r>
      <w:r>
        <w:rPr>
          <w:sz w:val="24"/>
        </w:rPr>
        <w:t>its entirety to read as follows:</w:t>
      </w:r>
    </w:p>
    <w:p w14:paraId="62BB84E8" w14:textId="77777777" w:rsidR="00AE2255" w:rsidRDefault="00AE2255">
      <w:pPr>
        <w:pStyle w:val="BodyText"/>
        <w:spacing w:before="8"/>
        <w:rPr>
          <w:sz w:val="23"/>
        </w:rPr>
      </w:pPr>
    </w:p>
    <w:p w14:paraId="4EE69C4F" w14:textId="77777777" w:rsidR="00AE2255" w:rsidRDefault="00000000">
      <w:pPr>
        <w:spacing w:line="232" w:lineRule="auto"/>
        <w:ind w:left="520" w:right="1086" w:firstLine="720"/>
        <w:rPr>
          <w:sz w:val="24"/>
        </w:rPr>
      </w:pPr>
      <w:r>
        <w:rPr>
          <w:sz w:val="24"/>
        </w:rPr>
        <w:t>“(a)</w:t>
      </w:r>
      <w:r>
        <w:rPr>
          <w:spacing w:val="40"/>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the</w:t>
      </w:r>
      <w:r>
        <w:rPr>
          <w:spacing w:val="-3"/>
          <w:sz w:val="24"/>
        </w:rPr>
        <w:t xml:space="preserve"> </w:t>
      </w:r>
      <w:r>
        <w:rPr>
          <w:sz w:val="24"/>
        </w:rPr>
        <w:t>Employee</w:t>
      </w:r>
      <w:r>
        <w:rPr>
          <w:spacing w:val="-3"/>
          <w:sz w:val="24"/>
        </w:rPr>
        <w:t xml:space="preserve"> </w:t>
      </w:r>
      <w:r>
        <w:rPr>
          <w:sz w:val="24"/>
        </w:rPr>
        <w:t>is</w:t>
      </w:r>
      <w:r>
        <w:rPr>
          <w:spacing w:val="-4"/>
          <w:sz w:val="24"/>
        </w:rPr>
        <w:t xml:space="preserve"> </w:t>
      </w:r>
      <w:r>
        <w:rPr>
          <w:sz w:val="24"/>
        </w:rPr>
        <w:t>notified</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Employee’s</w:t>
      </w:r>
      <w:r>
        <w:rPr>
          <w:spacing w:val="-4"/>
          <w:sz w:val="24"/>
        </w:rPr>
        <w:t xml:space="preserve"> </w:t>
      </w:r>
      <w:r>
        <w:rPr>
          <w:sz w:val="24"/>
        </w:rPr>
        <w:t>employment</w:t>
      </w:r>
      <w:r>
        <w:rPr>
          <w:spacing w:val="-3"/>
          <w:sz w:val="24"/>
        </w:rPr>
        <w:t xml:space="preserve"> </w:t>
      </w:r>
      <w:r>
        <w:rPr>
          <w:sz w:val="24"/>
        </w:rPr>
        <w:t>will</w:t>
      </w:r>
      <w:r>
        <w:rPr>
          <w:spacing w:val="-3"/>
          <w:sz w:val="24"/>
        </w:rPr>
        <w:t xml:space="preserve"> </w:t>
      </w:r>
      <w:r>
        <w:rPr>
          <w:sz w:val="24"/>
        </w:rPr>
        <w:t>terminate</w:t>
      </w:r>
      <w:r>
        <w:rPr>
          <w:spacing w:val="-3"/>
          <w:sz w:val="24"/>
        </w:rPr>
        <w:t xml:space="preserve"> </w:t>
      </w:r>
      <w:r>
        <w:rPr>
          <w:sz w:val="24"/>
        </w:rPr>
        <w:t>on account of an Executive Layoff Event in accordance with Section 8(a), the Employee is either</w:t>
      </w:r>
      <w:proofErr w:type="gramStart"/>
      <w:r>
        <w:rPr>
          <w:sz w:val="24"/>
        </w:rPr>
        <w:t>: ”</w:t>
      </w:r>
      <w:proofErr w:type="gramEnd"/>
    </w:p>
    <w:p w14:paraId="00076F59" w14:textId="77777777" w:rsidR="00AE2255" w:rsidRDefault="00AE2255">
      <w:pPr>
        <w:pStyle w:val="BodyText"/>
        <w:rPr>
          <w:sz w:val="26"/>
        </w:rPr>
      </w:pPr>
    </w:p>
    <w:p w14:paraId="38476B58" w14:textId="77777777" w:rsidR="00AE2255" w:rsidRDefault="00AE2255">
      <w:pPr>
        <w:pStyle w:val="BodyText"/>
        <w:spacing w:before="4"/>
        <w:rPr>
          <w:sz w:val="22"/>
        </w:rPr>
      </w:pPr>
    </w:p>
    <w:p w14:paraId="26EDE9C9" w14:textId="77777777" w:rsidR="00AE2255" w:rsidRDefault="00000000">
      <w:pPr>
        <w:spacing w:line="223" w:lineRule="auto"/>
        <w:ind w:left="520" w:right="157"/>
        <w:rPr>
          <w:sz w:val="24"/>
        </w:rPr>
      </w:pPr>
      <w:r>
        <w:rPr>
          <w:sz w:val="24"/>
        </w:rPr>
        <w:t>The</w:t>
      </w:r>
      <w:r>
        <w:rPr>
          <w:spacing w:val="-4"/>
          <w:sz w:val="24"/>
        </w:rPr>
        <w:t xml:space="preserve"> </w:t>
      </w:r>
      <w:r>
        <w:rPr>
          <w:sz w:val="24"/>
        </w:rPr>
        <w:t>Management</w:t>
      </w:r>
      <w:r>
        <w:rPr>
          <w:spacing w:val="-4"/>
          <w:sz w:val="24"/>
        </w:rPr>
        <w:t xml:space="preserve"> </w:t>
      </w:r>
      <w:r>
        <w:rPr>
          <w:sz w:val="24"/>
        </w:rPr>
        <w:t>Development</w:t>
      </w:r>
      <w:r>
        <w:rPr>
          <w:spacing w:val="-4"/>
          <w:sz w:val="24"/>
        </w:rPr>
        <w:t xml:space="preserve"> </w:t>
      </w:r>
      <w:r>
        <w:rPr>
          <w:sz w:val="24"/>
        </w:rPr>
        <w:t>and</w:t>
      </w:r>
      <w:r>
        <w:rPr>
          <w:spacing w:val="-4"/>
          <w:sz w:val="24"/>
        </w:rPr>
        <w:t xml:space="preserve"> </w:t>
      </w:r>
      <w:r>
        <w:rPr>
          <w:sz w:val="24"/>
        </w:rPr>
        <w:t>Compensation</w:t>
      </w:r>
      <w:r>
        <w:rPr>
          <w:spacing w:val="-4"/>
          <w:sz w:val="24"/>
        </w:rPr>
        <w:t xml:space="preserve"> </w:t>
      </w:r>
      <w:r>
        <w:rPr>
          <w:sz w:val="24"/>
        </w:rPr>
        <w:t>Committee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Corporation’s</w:t>
      </w:r>
      <w:r>
        <w:rPr>
          <w:spacing w:val="-5"/>
          <w:sz w:val="24"/>
        </w:rPr>
        <w:t xml:space="preserve"> </w:t>
      </w:r>
      <w:r>
        <w:rPr>
          <w:sz w:val="24"/>
        </w:rPr>
        <w:t>Board</w:t>
      </w:r>
      <w:r>
        <w:rPr>
          <w:spacing w:val="-4"/>
          <w:sz w:val="24"/>
        </w:rPr>
        <w:t xml:space="preserve"> </w:t>
      </w:r>
      <w:r>
        <w:rPr>
          <w:sz w:val="24"/>
        </w:rPr>
        <w:t>of</w:t>
      </w:r>
      <w:r>
        <w:rPr>
          <w:spacing w:val="-4"/>
          <w:sz w:val="24"/>
        </w:rPr>
        <w:t xml:space="preserve"> </w:t>
      </w:r>
      <w:r>
        <w:rPr>
          <w:sz w:val="24"/>
        </w:rPr>
        <w:t>Directors approved this Amendment No. 5 on December 16, 2022.</w:t>
      </w:r>
    </w:p>
    <w:p w14:paraId="102E8AD4" w14:textId="77777777" w:rsidR="00AE2255" w:rsidRDefault="00AE2255">
      <w:pPr>
        <w:pStyle w:val="BodyText"/>
        <w:rPr>
          <w:sz w:val="26"/>
        </w:rPr>
      </w:pPr>
    </w:p>
    <w:p w14:paraId="6490B371" w14:textId="77777777" w:rsidR="00AE2255" w:rsidRDefault="00000000">
      <w:pPr>
        <w:spacing w:before="172"/>
        <w:ind w:left="4840"/>
        <w:rPr>
          <w:sz w:val="24"/>
        </w:rPr>
      </w:pPr>
      <w:r>
        <w:rPr>
          <w:sz w:val="24"/>
        </w:rPr>
        <w:t>LOCKHEED</w:t>
      </w:r>
      <w:r>
        <w:rPr>
          <w:spacing w:val="-4"/>
          <w:sz w:val="24"/>
        </w:rPr>
        <w:t xml:space="preserve"> </w:t>
      </w:r>
      <w:r>
        <w:rPr>
          <w:sz w:val="24"/>
        </w:rPr>
        <w:t>MARTIN</w:t>
      </w:r>
      <w:r>
        <w:rPr>
          <w:spacing w:val="-3"/>
          <w:sz w:val="24"/>
        </w:rPr>
        <w:t xml:space="preserve"> </w:t>
      </w:r>
      <w:r>
        <w:rPr>
          <w:spacing w:val="-2"/>
          <w:sz w:val="24"/>
        </w:rPr>
        <w:t>CORPORATION</w:t>
      </w:r>
    </w:p>
    <w:p w14:paraId="1E40DA62" w14:textId="77777777" w:rsidR="00AE2255" w:rsidRDefault="00AE2255">
      <w:pPr>
        <w:pStyle w:val="BodyText"/>
        <w:spacing w:before="1"/>
        <w:rPr>
          <w:sz w:val="26"/>
        </w:rPr>
      </w:pPr>
    </w:p>
    <w:p w14:paraId="39069D65" w14:textId="77777777" w:rsidR="00AE2255" w:rsidRDefault="00000000">
      <w:pPr>
        <w:tabs>
          <w:tab w:val="left" w:pos="5559"/>
          <w:tab w:val="left" w:pos="8971"/>
        </w:tabs>
        <w:spacing w:line="460" w:lineRule="atLeast"/>
        <w:ind w:left="5560" w:right="2326" w:hanging="720"/>
        <w:rPr>
          <w:sz w:val="24"/>
        </w:rPr>
      </w:pPr>
      <w:r>
        <w:rPr>
          <w:spacing w:val="-4"/>
          <w:sz w:val="24"/>
        </w:rPr>
        <w:t>By:</w:t>
      </w:r>
      <w:r>
        <w:rPr>
          <w:sz w:val="24"/>
        </w:rPr>
        <w:tab/>
        <w:t>_</w:t>
      </w:r>
      <w:r>
        <w:rPr>
          <w:sz w:val="24"/>
          <w:u w:val="thick"/>
        </w:rPr>
        <w:t>/s/ Greg Karol</w:t>
      </w:r>
      <w:r>
        <w:rPr>
          <w:sz w:val="24"/>
          <w:u w:val="thick"/>
        </w:rPr>
        <w:tab/>
      </w:r>
      <w:r>
        <w:rPr>
          <w:sz w:val="24"/>
        </w:rPr>
        <w:t xml:space="preserve"> Greg Karol</w:t>
      </w:r>
    </w:p>
    <w:p w14:paraId="4DD10395" w14:textId="77777777" w:rsidR="00AE2255" w:rsidRDefault="00000000">
      <w:pPr>
        <w:spacing w:before="24"/>
        <w:ind w:left="5560"/>
        <w:rPr>
          <w:sz w:val="24"/>
        </w:rPr>
      </w:pPr>
      <w:r>
        <w:rPr>
          <w:sz w:val="24"/>
        </w:rPr>
        <w:t>Senior</w:t>
      </w:r>
      <w:r>
        <w:rPr>
          <w:spacing w:val="-1"/>
          <w:sz w:val="24"/>
        </w:rPr>
        <w:t xml:space="preserve"> </w:t>
      </w:r>
      <w:r>
        <w:rPr>
          <w:sz w:val="24"/>
        </w:rPr>
        <w:t>Vice</w:t>
      </w:r>
      <w:r>
        <w:rPr>
          <w:spacing w:val="-1"/>
          <w:sz w:val="24"/>
        </w:rPr>
        <w:t xml:space="preserve"> </w:t>
      </w:r>
      <w:r>
        <w:rPr>
          <w:spacing w:val="-2"/>
          <w:sz w:val="24"/>
        </w:rPr>
        <w:t>President</w:t>
      </w:r>
    </w:p>
    <w:p w14:paraId="66834770" w14:textId="77777777" w:rsidR="00AE2255" w:rsidRDefault="00000000">
      <w:pPr>
        <w:spacing w:before="24"/>
        <w:ind w:left="5560"/>
        <w:rPr>
          <w:sz w:val="24"/>
        </w:rPr>
      </w:pPr>
      <w:r>
        <w:rPr>
          <w:sz w:val="24"/>
        </w:rPr>
        <w:t>Chief</w:t>
      </w:r>
      <w:r>
        <w:rPr>
          <w:spacing w:val="-1"/>
          <w:sz w:val="24"/>
        </w:rPr>
        <w:t xml:space="preserve"> </w:t>
      </w:r>
      <w:r>
        <w:rPr>
          <w:sz w:val="24"/>
        </w:rPr>
        <w:t>Human</w:t>
      </w:r>
      <w:r>
        <w:rPr>
          <w:spacing w:val="-1"/>
          <w:sz w:val="24"/>
        </w:rPr>
        <w:t xml:space="preserve"> </w:t>
      </w:r>
      <w:r>
        <w:rPr>
          <w:sz w:val="24"/>
        </w:rPr>
        <w:t>Resources</w:t>
      </w:r>
      <w:r>
        <w:rPr>
          <w:spacing w:val="-1"/>
          <w:sz w:val="24"/>
        </w:rPr>
        <w:t xml:space="preserve"> </w:t>
      </w:r>
      <w:r>
        <w:rPr>
          <w:spacing w:val="-2"/>
          <w:sz w:val="24"/>
        </w:rPr>
        <w:t>Officer</w:t>
      </w:r>
    </w:p>
    <w:p w14:paraId="55588B7F" w14:textId="77777777" w:rsidR="00AE2255" w:rsidRDefault="00AE2255">
      <w:pPr>
        <w:pStyle w:val="BodyText"/>
        <w:spacing w:before="2"/>
        <w:rPr>
          <w:sz w:val="15"/>
        </w:rPr>
      </w:pPr>
    </w:p>
    <w:p w14:paraId="40EC71FC" w14:textId="77777777" w:rsidR="00AE2255" w:rsidRDefault="00000000">
      <w:pPr>
        <w:tabs>
          <w:tab w:val="left" w:pos="5560"/>
          <w:tab w:val="left" w:pos="5919"/>
          <w:tab w:val="left" w:pos="9053"/>
        </w:tabs>
        <w:spacing w:before="90"/>
        <w:ind w:left="4840"/>
        <w:rPr>
          <w:sz w:val="24"/>
        </w:rPr>
      </w:pPr>
      <w:r>
        <w:rPr>
          <w:spacing w:val="-2"/>
          <w:sz w:val="24"/>
        </w:rPr>
        <w:t>Date:</w:t>
      </w:r>
      <w:r>
        <w:rPr>
          <w:sz w:val="24"/>
        </w:rPr>
        <w:tab/>
      </w:r>
      <w:r>
        <w:rPr>
          <w:sz w:val="24"/>
          <w:u w:val="thick"/>
        </w:rPr>
        <w:tab/>
      </w:r>
      <w:r>
        <w:rPr>
          <w:spacing w:val="-2"/>
          <w:sz w:val="24"/>
          <w:u w:val="thick"/>
        </w:rPr>
        <w:t>12/19/2022</w:t>
      </w:r>
      <w:r>
        <w:rPr>
          <w:sz w:val="24"/>
          <w:u w:val="thick"/>
        </w:rPr>
        <w:tab/>
      </w:r>
    </w:p>
    <w:p w14:paraId="49DDAB23" w14:textId="77777777" w:rsidR="00AE2255" w:rsidRDefault="00AE2255">
      <w:pPr>
        <w:rPr>
          <w:sz w:val="24"/>
        </w:rPr>
        <w:sectPr w:rsidR="00AE2255">
          <w:headerReference w:type="default" r:id="rId159"/>
          <w:footerReference w:type="default" r:id="rId160"/>
          <w:pgSz w:w="12240" w:h="15840"/>
          <w:pgMar w:top="1060" w:right="560" w:bottom="280" w:left="380" w:header="857" w:footer="0" w:gutter="0"/>
          <w:cols w:space="720"/>
        </w:sectPr>
      </w:pPr>
    </w:p>
    <w:p w14:paraId="57FB2858" w14:textId="77777777" w:rsidR="00AE2255" w:rsidRDefault="00AE2255">
      <w:pPr>
        <w:pStyle w:val="BodyText"/>
        <w:spacing w:before="9"/>
        <w:rPr>
          <w:sz w:val="13"/>
        </w:rPr>
      </w:pPr>
    </w:p>
    <w:p w14:paraId="59478E82" w14:textId="77777777" w:rsidR="00AE2255" w:rsidRDefault="00000000">
      <w:pPr>
        <w:pStyle w:val="Heading2"/>
        <w:spacing w:before="91"/>
        <w:ind w:left="517" w:right="338"/>
        <w:jc w:val="center"/>
      </w:pPr>
      <w:bookmarkStart w:id="95" w:name="Exhibit_21"/>
      <w:bookmarkEnd w:id="95"/>
      <w:r>
        <w:t>Subsidiaries</w:t>
      </w:r>
      <w:r>
        <w:rPr>
          <w:spacing w:val="-6"/>
        </w:rPr>
        <w:t xml:space="preserve"> </w:t>
      </w:r>
      <w:r>
        <w:t>of</w:t>
      </w:r>
      <w:r>
        <w:rPr>
          <w:spacing w:val="-5"/>
        </w:rPr>
        <w:t xml:space="preserve"> </w:t>
      </w:r>
      <w:r>
        <w:t>Lockheed</w:t>
      </w:r>
      <w:r>
        <w:rPr>
          <w:spacing w:val="-6"/>
        </w:rPr>
        <w:t xml:space="preserve"> </w:t>
      </w:r>
      <w:r>
        <w:t>Martin</w:t>
      </w:r>
      <w:r>
        <w:rPr>
          <w:spacing w:val="-5"/>
        </w:rPr>
        <w:t xml:space="preserve"> </w:t>
      </w:r>
      <w:r>
        <w:rPr>
          <w:spacing w:val="-2"/>
        </w:rPr>
        <w:t>Corporation</w:t>
      </w:r>
    </w:p>
    <w:p w14:paraId="29330990" w14:textId="77777777" w:rsidR="00AE2255" w:rsidRDefault="00AE2255">
      <w:pPr>
        <w:pStyle w:val="BodyText"/>
        <w:spacing w:before="8"/>
        <w:rPr>
          <w:b/>
          <w:sz w:val="28"/>
        </w:rPr>
      </w:pPr>
    </w:p>
    <w:p w14:paraId="2602A837" w14:textId="77777777" w:rsidR="00AE2255" w:rsidRDefault="00000000">
      <w:pPr>
        <w:tabs>
          <w:tab w:val="left" w:pos="9116"/>
        </w:tabs>
        <w:ind w:left="662"/>
        <w:rPr>
          <w:b/>
          <w:sz w:val="20"/>
        </w:rPr>
      </w:pPr>
      <w:r>
        <w:pict w14:anchorId="080C5B60">
          <v:group id="docshapegroup99" o:spid="_x0000_s2098" style="position:absolute;left:0;text-align:left;margin-left:49.5pt;margin-top:12.5pt;width:511.5pt;height:1pt;z-index:-15697408;mso-wrap-distance-left:0;mso-wrap-distance-right:0;mso-position-horizontal-relative:page" coordorigin="990,250" coordsize="10230,20">
            <v:shape id="docshape100" o:spid="_x0000_s2100" style="position:absolute;left:990;top:259;width:10230;height:2" coordorigin="990,260" coordsize="10230,0" path="m11220,260l990,260e" fillcolor="black" stroked="f">
              <v:fill opacity="0"/>
              <v:path arrowok="t"/>
            </v:shape>
            <v:line id="_x0000_s2099" style="position:absolute" from="990,260" to="11220,260" strokeweight="1pt"/>
            <w10:wrap type="topAndBottom" anchorx="page"/>
          </v:group>
        </w:pict>
      </w:r>
      <w:r>
        <w:rPr>
          <w:b/>
          <w:sz w:val="20"/>
        </w:rPr>
        <w:t>Name</w:t>
      </w:r>
      <w:r>
        <w:rPr>
          <w:b/>
          <w:spacing w:val="-2"/>
          <w:sz w:val="20"/>
        </w:rPr>
        <w:t xml:space="preserve"> </w:t>
      </w:r>
      <w:r>
        <w:rPr>
          <w:b/>
          <w:sz w:val="20"/>
        </w:rPr>
        <w:t xml:space="preserve">of </w:t>
      </w:r>
      <w:r>
        <w:rPr>
          <w:b/>
          <w:spacing w:val="-2"/>
          <w:sz w:val="20"/>
        </w:rPr>
        <w:t>Subsidiary</w:t>
      </w:r>
      <w:r>
        <w:rPr>
          <w:b/>
          <w:sz w:val="20"/>
        </w:rPr>
        <w:tab/>
        <w:t>Place</w:t>
      </w:r>
      <w:r>
        <w:rPr>
          <w:b/>
          <w:spacing w:val="-5"/>
          <w:sz w:val="20"/>
        </w:rPr>
        <w:t xml:space="preserve"> </w:t>
      </w:r>
      <w:r>
        <w:rPr>
          <w:b/>
          <w:sz w:val="20"/>
        </w:rPr>
        <w:t>of</w:t>
      </w:r>
      <w:r>
        <w:rPr>
          <w:b/>
          <w:spacing w:val="-1"/>
          <w:sz w:val="20"/>
        </w:rPr>
        <w:t xml:space="preserve"> </w:t>
      </w:r>
      <w:r>
        <w:rPr>
          <w:b/>
          <w:spacing w:val="-2"/>
          <w:sz w:val="20"/>
        </w:rPr>
        <w:t>Formation</w:t>
      </w:r>
    </w:p>
    <w:p w14:paraId="4EFC03B9" w14:textId="77777777" w:rsidR="00AE2255" w:rsidRDefault="00000000">
      <w:pPr>
        <w:pStyle w:val="BodyText"/>
        <w:tabs>
          <w:tab w:val="left" w:pos="9077"/>
        </w:tabs>
        <w:spacing w:before="30"/>
        <w:ind w:left="662"/>
      </w:pPr>
      <w:proofErr w:type="spellStart"/>
      <w:r>
        <w:t>Astrolink</w:t>
      </w:r>
      <w:proofErr w:type="spellEnd"/>
      <w:r>
        <w:rPr>
          <w:spacing w:val="-6"/>
        </w:rPr>
        <w:t xml:space="preserve"> </w:t>
      </w:r>
      <w:r>
        <w:t>International</w:t>
      </w:r>
      <w:r>
        <w:rPr>
          <w:spacing w:val="-6"/>
        </w:rPr>
        <w:t xml:space="preserve"> </w:t>
      </w:r>
      <w:r>
        <w:rPr>
          <w:spacing w:val="-5"/>
        </w:rPr>
        <w:t>LLC</w:t>
      </w:r>
      <w:r>
        <w:tab/>
      </w:r>
      <w:r>
        <w:rPr>
          <w:spacing w:val="-2"/>
        </w:rPr>
        <w:t>Delaware</w:t>
      </w:r>
    </w:p>
    <w:p w14:paraId="35279D76" w14:textId="77777777" w:rsidR="00AE2255" w:rsidRDefault="00000000">
      <w:pPr>
        <w:pStyle w:val="BodyText"/>
        <w:tabs>
          <w:tab w:val="left" w:pos="9077"/>
        </w:tabs>
        <w:spacing w:before="70"/>
        <w:ind w:left="662"/>
      </w:pPr>
      <w:r>
        <w:t>Helicopter</w:t>
      </w:r>
      <w:r>
        <w:rPr>
          <w:spacing w:val="-7"/>
        </w:rPr>
        <w:t xml:space="preserve"> </w:t>
      </w:r>
      <w:r>
        <w:t>Support,</w:t>
      </w:r>
      <w:r>
        <w:rPr>
          <w:spacing w:val="-4"/>
        </w:rPr>
        <w:t xml:space="preserve"> Inc.</w:t>
      </w:r>
      <w:r>
        <w:tab/>
      </w:r>
      <w:r>
        <w:rPr>
          <w:spacing w:val="-2"/>
        </w:rPr>
        <w:t>Connecticut</w:t>
      </w:r>
    </w:p>
    <w:p w14:paraId="4BD075C2" w14:textId="77777777" w:rsidR="00AE2255" w:rsidRDefault="00000000">
      <w:pPr>
        <w:pStyle w:val="BodyText"/>
        <w:tabs>
          <w:tab w:val="left" w:pos="9077"/>
        </w:tabs>
        <w:spacing w:before="70"/>
        <w:ind w:left="662"/>
      </w:pPr>
      <w:r>
        <w:t>Lockheed</w:t>
      </w:r>
      <w:r>
        <w:rPr>
          <w:spacing w:val="-5"/>
        </w:rPr>
        <w:t xml:space="preserve"> </w:t>
      </w:r>
      <w:r>
        <w:t>Martin</w:t>
      </w:r>
      <w:r>
        <w:rPr>
          <w:spacing w:val="-4"/>
        </w:rPr>
        <w:t xml:space="preserve"> </w:t>
      </w:r>
      <w:r>
        <w:t>Australia</w:t>
      </w:r>
      <w:r>
        <w:rPr>
          <w:spacing w:val="-4"/>
        </w:rPr>
        <w:t xml:space="preserve"> </w:t>
      </w:r>
      <w:r>
        <w:t>Pty</w:t>
      </w:r>
      <w:r>
        <w:rPr>
          <w:spacing w:val="-4"/>
        </w:rPr>
        <w:t xml:space="preserve"> </w:t>
      </w:r>
      <w:r>
        <w:rPr>
          <w:spacing w:val="-2"/>
        </w:rPr>
        <w:t>Limited</w:t>
      </w:r>
      <w:r>
        <w:tab/>
      </w:r>
      <w:r>
        <w:rPr>
          <w:spacing w:val="-2"/>
        </w:rPr>
        <w:t>Australia</w:t>
      </w:r>
    </w:p>
    <w:p w14:paraId="17426EAB" w14:textId="77777777" w:rsidR="00AE2255" w:rsidRDefault="00000000">
      <w:pPr>
        <w:pStyle w:val="BodyText"/>
        <w:tabs>
          <w:tab w:val="left" w:pos="9077"/>
        </w:tabs>
        <w:spacing w:before="70"/>
        <w:ind w:left="662"/>
      </w:pPr>
      <w:r>
        <w:t>Lockheed</w:t>
      </w:r>
      <w:r>
        <w:rPr>
          <w:spacing w:val="-4"/>
        </w:rPr>
        <w:t xml:space="preserve"> </w:t>
      </w:r>
      <w:r>
        <w:t>Martin</w:t>
      </w:r>
      <w:r>
        <w:rPr>
          <w:spacing w:val="-4"/>
        </w:rPr>
        <w:t xml:space="preserve"> </w:t>
      </w:r>
      <w:r>
        <w:t>Canada</w:t>
      </w:r>
      <w:r>
        <w:rPr>
          <w:spacing w:val="-4"/>
        </w:rPr>
        <w:t xml:space="preserve"> Inc.</w:t>
      </w:r>
      <w:r>
        <w:tab/>
      </w:r>
      <w:r>
        <w:rPr>
          <w:spacing w:val="-2"/>
        </w:rPr>
        <w:t>Canada</w:t>
      </w:r>
    </w:p>
    <w:p w14:paraId="6A9C4BC4" w14:textId="77777777" w:rsidR="00AE2255" w:rsidRDefault="00000000">
      <w:pPr>
        <w:pStyle w:val="BodyText"/>
        <w:tabs>
          <w:tab w:val="left" w:pos="9077"/>
        </w:tabs>
        <w:spacing w:before="70"/>
        <w:ind w:left="662"/>
      </w:pPr>
      <w:r>
        <w:t>Lockheed</w:t>
      </w:r>
      <w:r>
        <w:rPr>
          <w:spacing w:val="-4"/>
        </w:rPr>
        <w:t xml:space="preserve"> </w:t>
      </w:r>
      <w:r>
        <w:t>Martin</w:t>
      </w:r>
      <w:r>
        <w:rPr>
          <w:spacing w:val="-4"/>
        </w:rPr>
        <w:t xml:space="preserve"> </w:t>
      </w:r>
      <w:r>
        <w:t>Global,</w:t>
      </w:r>
      <w:r>
        <w:rPr>
          <w:spacing w:val="-4"/>
        </w:rPr>
        <w:t xml:space="preserve"> Inc.</w:t>
      </w:r>
      <w:r>
        <w:tab/>
      </w:r>
      <w:r>
        <w:rPr>
          <w:spacing w:val="-2"/>
        </w:rPr>
        <w:t>Delaware</w:t>
      </w:r>
    </w:p>
    <w:p w14:paraId="0913A082" w14:textId="77777777" w:rsidR="00AE2255" w:rsidRDefault="00000000">
      <w:pPr>
        <w:pStyle w:val="BodyText"/>
        <w:tabs>
          <w:tab w:val="left" w:pos="9077"/>
        </w:tabs>
        <w:spacing w:before="55"/>
        <w:ind w:left="662"/>
      </w:pPr>
      <w:r>
        <w:t>Lockheed</w:t>
      </w:r>
      <w:r>
        <w:rPr>
          <w:spacing w:val="-5"/>
        </w:rPr>
        <w:t xml:space="preserve"> </w:t>
      </w:r>
      <w:r>
        <w:t>Martin</w:t>
      </w:r>
      <w:r>
        <w:rPr>
          <w:spacing w:val="-5"/>
        </w:rPr>
        <w:t xml:space="preserve"> </w:t>
      </w:r>
      <w:r>
        <w:t>Investments</w:t>
      </w:r>
      <w:r>
        <w:rPr>
          <w:spacing w:val="-5"/>
        </w:rPr>
        <w:t xml:space="preserve"> </w:t>
      </w:r>
      <w:r>
        <w:rPr>
          <w:spacing w:val="-4"/>
        </w:rPr>
        <w:t>Inc.</w:t>
      </w:r>
      <w:r>
        <w:tab/>
      </w:r>
      <w:r>
        <w:rPr>
          <w:spacing w:val="-2"/>
        </w:rPr>
        <w:t>Delaware</w:t>
      </w:r>
    </w:p>
    <w:p w14:paraId="510149D5" w14:textId="77777777" w:rsidR="00AE2255" w:rsidRDefault="00000000">
      <w:pPr>
        <w:pStyle w:val="BodyText"/>
        <w:tabs>
          <w:tab w:val="left" w:pos="9077"/>
        </w:tabs>
        <w:spacing w:before="70"/>
        <w:ind w:left="662"/>
      </w:pPr>
      <w:r>
        <w:t>Lockheed</w:t>
      </w:r>
      <w:r>
        <w:rPr>
          <w:spacing w:val="-5"/>
        </w:rPr>
        <w:t xml:space="preserve"> </w:t>
      </w:r>
      <w:r>
        <w:t>Martin</w:t>
      </w:r>
      <w:r>
        <w:rPr>
          <w:spacing w:val="-4"/>
        </w:rPr>
        <w:t xml:space="preserve"> </w:t>
      </w:r>
      <w:r>
        <w:t>Overseas</w:t>
      </w:r>
      <w:r>
        <w:rPr>
          <w:spacing w:val="-5"/>
        </w:rPr>
        <w:t xml:space="preserve"> </w:t>
      </w:r>
      <w:r>
        <w:rPr>
          <w:spacing w:val="-2"/>
        </w:rPr>
        <w:t>Corporation</w:t>
      </w:r>
      <w:r>
        <w:tab/>
      </w:r>
      <w:r>
        <w:rPr>
          <w:spacing w:val="-2"/>
        </w:rPr>
        <w:t>Delaware</w:t>
      </w:r>
    </w:p>
    <w:p w14:paraId="397A4978" w14:textId="77777777" w:rsidR="00AE2255" w:rsidRDefault="00000000">
      <w:pPr>
        <w:pStyle w:val="BodyText"/>
        <w:tabs>
          <w:tab w:val="left" w:pos="9077"/>
        </w:tabs>
        <w:spacing w:before="70"/>
        <w:ind w:left="662"/>
      </w:pPr>
      <w:r>
        <w:t>Lockheed</w:t>
      </w:r>
      <w:r>
        <w:rPr>
          <w:spacing w:val="-4"/>
        </w:rPr>
        <w:t xml:space="preserve"> </w:t>
      </w:r>
      <w:r>
        <w:t>Martin</w:t>
      </w:r>
      <w:r>
        <w:rPr>
          <w:spacing w:val="-4"/>
        </w:rPr>
        <w:t xml:space="preserve"> </w:t>
      </w:r>
      <w:r>
        <w:t>UK</w:t>
      </w:r>
      <w:r>
        <w:rPr>
          <w:spacing w:val="-4"/>
        </w:rPr>
        <w:t xml:space="preserve"> </w:t>
      </w:r>
      <w:r>
        <w:t>Ampthill</w:t>
      </w:r>
      <w:r>
        <w:rPr>
          <w:spacing w:val="-4"/>
        </w:rPr>
        <w:t xml:space="preserve"> </w:t>
      </w:r>
      <w:r>
        <w:rPr>
          <w:spacing w:val="-2"/>
        </w:rPr>
        <w:t>Limited</w:t>
      </w:r>
      <w:r>
        <w:tab/>
        <w:t>United</w:t>
      </w:r>
      <w:r>
        <w:rPr>
          <w:spacing w:val="-4"/>
        </w:rPr>
        <w:t xml:space="preserve"> </w:t>
      </w:r>
      <w:r>
        <w:rPr>
          <w:spacing w:val="-2"/>
        </w:rPr>
        <w:t>Kingdom</w:t>
      </w:r>
    </w:p>
    <w:p w14:paraId="23615950" w14:textId="77777777" w:rsidR="00AE2255" w:rsidRDefault="00000000">
      <w:pPr>
        <w:pStyle w:val="BodyText"/>
        <w:tabs>
          <w:tab w:val="left" w:pos="9077"/>
        </w:tabs>
        <w:spacing w:before="70"/>
        <w:ind w:left="662"/>
      </w:pPr>
      <w:r>
        <w:t>Lockheed</w:t>
      </w:r>
      <w:r>
        <w:rPr>
          <w:spacing w:val="-4"/>
        </w:rPr>
        <w:t xml:space="preserve"> </w:t>
      </w:r>
      <w:r>
        <w:t>Martin</w:t>
      </w:r>
      <w:r>
        <w:rPr>
          <w:spacing w:val="-3"/>
        </w:rPr>
        <w:t xml:space="preserve"> </w:t>
      </w:r>
      <w:r>
        <w:t>UK</w:t>
      </w:r>
      <w:r>
        <w:rPr>
          <w:spacing w:val="-3"/>
        </w:rPr>
        <w:t xml:space="preserve"> </w:t>
      </w:r>
      <w:r>
        <w:rPr>
          <w:spacing w:val="-2"/>
        </w:rPr>
        <w:t>Limited</w:t>
      </w:r>
      <w:r>
        <w:tab/>
        <w:t>United</w:t>
      </w:r>
      <w:r>
        <w:rPr>
          <w:spacing w:val="-4"/>
        </w:rPr>
        <w:t xml:space="preserve"> </w:t>
      </w:r>
      <w:r>
        <w:rPr>
          <w:spacing w:val="-2"/>
        </w:rPr>
        <w:t>Kingdom</w:t>
      </w:r>
    </w:p>
    <w:p w14:paraId="68AC07EF" w14:textId="77777777" w:rsidR="00AE2255" w:rsidRDefault="00000000">
      <w:pPr>
        <w:pStyle w:val="BodyText"/>
        <w:tabs>
          <w:tab w:val="left" w:pos="9077"/>
        </w:tabs>
        <w:spacing w:before="70"/>
        <w:ind w:left="662"/>
      </w:pPr>
      <w:proofErr w:type="spellStart"/>
      <w:r>
        <w:t>Polskie</w:t>
      </w:r>
      <w:proofErr w:type="spellEnd"/>
      <w:r>
        <w:rPr>
          <w:spacing w:val="-5"/>
        </w:rPr>
        <w:t xml:space="preserve"> </w:t>
      </w:r>
      <w:proofErr w:type="spellStart"/>
      <w:r>
        <w:t>Zaklady</w:t>
      </w:r>
      <w:proofErr w:type="spellEnd"/>
      <w:r>
        <w:rPr>
          <w:spacing w:val="-3"/>
        </w:rPr>
        <w:t xml:space="preserve"> </w:t>
      </w:r>
      <w:proofErr w:type="spellStart"/>
      <w:r>
        <w:t>Lotnicze</w:t>
      </w:r>
      <w:proofErr w:type="spellEnd"/>
      <w:r>
        <w:rPr>
          <w:spacing w:val="-5"/>
        </w:rPr>
        <w:t xml:space="preserve"> </w:t>
      </w:r>
      <w:r>
        <w:t>Sp.</w:t>
      </w:r>
      <w:r>
        <w:rPr>
          <w:spacing w:val="-3"/>
        </w:rPr>
        <w:t xml:space="preserve"> </w:t>
      </w:r>
      <w:proofErr w:type="spellStart"/>
      <w:proofErr w:type="gramStart"/>
      <w:r>
        <w:rPr>
          <w:spacing w:val="-4"/>
        </w:rPr>
        <w:t>Zo.o</w:t>
      </w:r>
      <w:proofErr w:type="spellEnd"/>
      <w:proofErr w:type="gramEnd"/>
      <w:r>
        <w:tab/>
      </w:r>
      <w:r>
        <w:rPr>
          <w:spacing w:val="-2"/>
        </w:rPr>
        <w:t>Poland</w:t>
      </w:r>
    </w:p>
    <w:p w14:paraId="2AB94CAB" w14:textId="77777777" w:rsidR="00AE2255" w:rsidRDefault="00000000">
      <w:pPr>
        <w:pStyle w:val="BodyText"/>
        <w:tabs>
          <w:tab w:val="left" w:pos="9077"/>
        </w:tabs>
        <w:spacing w:before="70"/>
        <w:ind w:left="662"/>
      </w:pPr>
      <w:r>
        <w:t>Sikorsky</w:t>
      </w:r>
      <w:r>
        <w:rPr>
          <w:spacing w:val="-4"/>
        </w:rPr>
        <w:t xml:space="preserve"> </w:t>
      </w:r>
      <w:r>
        <w:t>Aircraft</w:t>
      </w:r>
      <w:r>
        <w:rPr>
          <w:spacing w:val="-4"/>
        </w:rPr>
        <w:t xml:space="preserve"> </w:t>
      </w:r>
      <w:r>
        <w:rPr>
          <w:spacing w:val="-2"/>
        </w:rPr>
        <w:t>Corporation</w:t>
      </w:r>
      <w:r>
        <w:tab/>
      </w:r>
      <w:r>
        <w:rPr>
          <w:spacing w:val="-2"/>
        </w:rPr>
        <w:t>Delaware</w:t>
      </w:r>
    </w:p>
    <w:p w14:paraId="21BF04BB" w14:textId="77777777" w:rsidR="00AE2255" w:rsidRDefault="00000000">
      <w:pPr>
        <w:pStyle w:val="BodyText"/>
        <w:tabs>
          <w:tab w:val="left" w:pos="9077"/>
        </w:tabs>
        <w:spacing w:before="70"/>
        <w:ind w:left="662"/>
      </w:pPr>
      <w:r>
        <w:t>Sikorsky</w:t>
      </w:r>
      <w:r>
        <w:rPr>
          <w:spacing w:val="-6"/>
        </w:rPr>
        <w:t xml:space="preserve"> </w:t>
      </w:r>
      <w:r>
        <w:t>International</w:t>
      </w:r>
      <w:r>
        <w:rPr>
          <w:spacing w:val="-5"/>
        </w:rPr>
        <w:t xml:space="preserve"> </w:t>
      </w:r>
      <w:r>
        <w:t>Operations,</w:t>
      </w:r>
      <w:r>
        <w:rPr>
          <w:spacing w:val="-5"/>
        </w:rPr>
        <w:t xml:space="preserve"> </w:t>
      </w:r>
      <w:r>
        <w:rPr>
          <w:spacing w:val="-4"/>
        </w:rPr>
        <w:t>Inc.</w:t>
      </w:r>
      <w:r>
        <w:tab/>
      </w:r>
      <w:r>
        <w:rPr>
          <w:spacing w:val="-2"/>
        </w:rPr>
        <w:t>Delaware</w:t>
      </w:r>
    </w:p>
    <w:p w14:paraId="38252DC9" w14:textId="77777777" w:rsidR="00AE2255" w:rsidRDefault="00000000">
      <w:pPr>
        <w:pStyle w:val="BodyText"/>
        <w:tabs>
          <w:tab w:val="left" w:pos="9077"/>
        </w:tabs>
        <w:spacing w:before="70"/>
        <w:ind w:left="662"/>
      </w:pPr>
      <w:r>
        <w:t>Zeta</w:t>
      </w:r>
      <w:r>
        <w:rPr>
          <w:spacing w:val="-9"/>
        </w:rPr>
        <w:t xml:space="preserve"> </w:t>
      </w:r>
      <w:r>
        <w:t>Associates,</w:t>
      </w:r>
      <w:r>
        <w:rPr>
          <w:spacing w:val="-6"/>
        </w:rPr>
        <w:t xml:space="preserve"> </w:t>
      </w:r>
      <w:r>
        <w:rPr>
          <w:spacing w:val="-4"/>
        </w:rPr>
        <w:t>Inc.</w:t>
      </w:r>
      <w:r>
        <w:tab/>
      </w:r>
      <w:r>
        <w:rPr>
          <w:spacing w:val="-2"/>
        </w:rPr>
        <w:t>Virginia</w:t>
      </w:r>
    </w:p>
    <w:p w14:paraId="055A462C" w14:textId="77777777" w:rsidR="00AE2255" w:rsidRDefault="00AE2255">
      <w:pPr>
        <w:pStyle w:val="BodyText"/>
      </w:pPr>
    </w:p>
    <w:p w14:paraId="7342CAC4" w14:textId="77777777" w:rsidR="00AE2255" w:rsidRDefault="00000000">
      <w:pPr>
        <w:pStyle w:val="BodyText"/>
        <w:spacing w:before="92" w:line="249" w:lineRule="auto"/>
        <w:ind w:left="610" w:right="430" w:firstLine="540"/>
      </w:pPr>
      <w:r>
        <w:t>In accordance with Item 601(b)(21) of Regulation S-K, the company has omitted from this Exhibit the names of additional</w:t>
      </w:r>
      <w:r>
        <w:rPr>
          <w:spacing w:val="-3"/>
        </w:rPr>
        <w:t xml:space="preserve"> </w:t>
      </w:r>
      <w:r>
        <w:t>subsidiaries</w:t>
      </w:r>
      <w:r>
        <w:rPr>
          <w:spacing w:val="-3"/>
        </w:rPr>
        <w:t xml:space="preserve"> </w:t>
      </w:r>
      <w:r>
        <w:t>which,</w:t>
      </w:r>
      <w:r>
        <w:rPr>
          <w:spacing w:val="-2"/>
        </w:rPr>
        <w:t xml:space="preserve"> </w:t>
      </w:r>
      <w:r>
        <w:t>considered</w:t>
      </w:r>
      <w:r>
        <w:rPr>
          <w:spacing w:val="-2"/>
        </w:rPr>
        <w:t xml:space="preserve"> </w:t>
      </w:r>
      <w:r>
        <w:t>in</w:t>
      </w:r>
      <w:r>
        <w:rPr>
          <w:spacing w:val="-2"/>
        </w:rPr>
        <w:t xml:space="preserve"> </w:t>
      </w:r>
      <w:r>
        <w:t>the</w:t>
      </w:r>
      <w:r>
        <w:rPr>
          <w:spacing w:val="-3"/>
        </w:rPr>
        <w:t xml:space="preserve"> </w:t>
      </w:r>
      <w:r>
        <w:t>aggregate</w:t>
      </w:r>
      <w:r>
        <w:rPr>
          <w:spacing w:val="-3"/>
        </w:rPr>
        <w:t xml:space="preserve"> </w:t>
      </w:r>
      <w:r>
        <w:t>or</w:t>
      </w:r>
      <w:r>
        <w:rPr>
          <w:spacing w:val="-2"/>
        </w:rPr>
        <w:t xml:space="preserve"> </w:t>
      </w:r>
      <w:r>
        <w:t>as</w:t>
      </w:r>
      <w:r>
        <w:rPr>
          <w:spacing w:val="-3"/>
        </w:rPr>
        <w:t xml:space="preserve"> </w:t>
      </w:r>
      <w:r>
        <w:t>a</w:t>
      </w:r>
      <w:r>
        <w:rPr>
          <w:spacing w:val="-3"/>
        </w:rPr>
        <w:t xml:space="preserve"> </w:t>
      </w:r>
      <w:r>
        <w:t>single</w:t>
      </w:r>
      <w:r>
        <w:rPr>
          <w:spacing w:val="-3"/>
        </w:rPr>
        <w:t xml:space="preserve"> </w:t>
      </w:r>
      <w:r>
        <w:t>subsidiary,</w:t>
      </w:r>
      <w:r>
        <w:rPr>
          <w:spacing w:val="-2"/>
        </w:rPr>
        <w:t xml:space="preserve"> </w:t>
      </w:r>
      <w:r>
        <w:t>do</w:t>
      </w:r>
      <w:r>
        <w:rPr>
          <w:spacing w:val="-2"/>
        </w:rPr>
        <w:t xml:space="preserve"> </w:t>
      </w:r>
      <w:r>
        <w:t>not</w:t>
      </w:r>
      <w:r>
        <w:rPr>
          <w:spacing w:val="-3"/>
        </w:rPr>
        <w:t xml:space="preserve"> </w:t>
      </w:r>
      <w:r>
        <w:t>constitute</w:t>
      </w:r>
      <w:r>
        <w:rPr>
          <w:spacing w:val="-3"/>
        </w:rPr>
        <w:t xml:space="preserve"> </w:t>
      </w:r>
      <w:r>
        <w:t>a</w:t>
      </w:r>
      <w:r>
        <w:rPr>
          <w:spacing w:val="-3"/>
        </w:rPr>
        <w:t xml:space="preserve"> </w:t>
      </w:r>
      <w:r>
        <w:t>significant</w:t>
      </w:r>
      <w:r>
        <w:rPr>
          <w:spacing w:val="-3"/>
        </w:rPr>
        <w:t xml:space="preserve"> </w:t>
      </w:r>
      <w:r>
        <w:t>subsidiary</w:t>
      </w:r>
      <w:r>
        <w:rPr>
          <w:spacing w:val="-2"/>
        </w:rPr>
        <w:t xml:space="preserve"> </w:t>
      </w:r>
      <w:r>
        <w:t>as defined in Rule 1-02(w) of Regulation S-X.</w:t>
      </w:r>
    </w:p>
    <w:p w14:paraId="6469B7AA" w14:textId="77777777" w:rsidR="00AE2255" w:rsidRDefault="00AE2255">
      <w:pPr>
        <w:pStyle w:val="BodyText"/>
        <w:spacing w:before="1"/>
        <w:rPr>
          <w:sz w:val="21"/>
        </w:rPr>
      </w:pPr>
    </w:p>
    <w:p w14:paraId="46B7D557" w14:textId="77777777" w:rsidR="00AE2255" w:rsidRDefault="00000000">
      <w:pPr>
        <w:pStyle w:val="BodyText"/>
        <w:ind w:left="1150"/>
      </w:pPr>
      <w:proofErr w:type="gramStart"/>
      <w:r>
        <w:t>All</w:t>
      </w:r>
      <w:r>
        <w:rPr>
          <w:spacing w:val="-6"/>
        </w:rPr>
        <w:t xml:space="preserve"> </w:t>
      </w:r>
      <w:r>
        <w:t>of</w:t>
      </w:r>
      <w:proofErr w:type="gramEnd"/>
      <w:r>
        <w:rPr>
          <w:spacing w:val="-3"/>
        </w:rPr>
        <w:t xml:space="preserve"> </w:t>
      </w:r>
      <w:r>
        <w:t>the</w:t>
      </w:r>
      <w:r>
        <w:rPr>
          <w:spacing w:val="-4"/>
        </w:rPr>
        <w:t xml:space="preserve"> </w:t>
      </w:r>
      <w:r>
        <w:t>above</w:t>
      </w:r>
      <w:r>
        <w:rPr>
          <w:spacing w:val="-4"/>
        </w:rPr>
        <w:t xml:space="preserve"> </w:t>
      </w:r>
      <w:r>
        <w:t>listed</w:t>
      </w:r>
      <w:r>
        <w:rPr>
          <w:spacing w:val="-3"/>
        </w:rPr>
        <w:t xml:space="preserve"> </w:t>
      </w:r>
      <w:r>
        <w:t>subsidiaries</w:t>
      </w:r>
      <w:r>
        <w:rPr>
          <w:spacing w:val="-4"/>
        </w:rPr>
        <w:t xml:space="preserve"> </w:t>
      </w:r>
      <w:r>
        <w:t>have</w:t>
      </w:r>
      <w:r>
        <w:rPr>
          <w:spacing w:val="-4"/>
        </w:rPr>
        <w:t xml:space="preserve"> </w:t>
      </w:r>
      <w:r>
        <w:t>been</w:t>
      </w:r>
      <w:r>
        <w:rPr>
          <w:spacing w:val="-3"/>
        </w:rPr>
        <w:t xml:space="preserve"> </w:t>
      </w:r>
      <w:r>
        <w:t>consolidated</w:t>
      </w:r>
      <w:r>
        <w:rPr>
          <w:spacing w:val="-3"/>
        </w:rPr>
        <w:t xml:space="preserve"> </w:t>
      </w:r>
      <w:r>
        <w:t>in</w:t>
      </w:r>
      <w:r>
        <w:rPr>
          <w:spacing w:val="-3"/>
        </w:rPr>
        <w:t xml:space="preserve"> </w:t>
      </w:r>
      <w:r>
        <w:t>our</w:t>
      </w:r>
      <w:r>
        <w:rPr>
          <w:spacing w:val="-3"/>
        </w:rPr>
        <w:t xml:space="preserve"> </w:t>
      </w:r>
      <w:r>
        <w:t>consolidated</w:t>
      </w:r>
      <w:r>
        <w:rPr>
          <w:spacing w:val="-4"/>
        </w:rPr>
        <w:t xml:space="preserve"> </w:t>
      </w:r>
      <w:r>
        <w:t>financial</w:t>
      </w:r>
      <w:r>
        <w:rPr>
          <w:spacing w:val="-3"/>
        </w:rPr>
        <w:t xml:space="preserve"> </w:t>
      </w:r>
      <w:r>
        <w:rPr>
          <w:spacing w:val="-2"/>
        </w:rPr>
        <w:t>statements.</w:t>
      </w:r>
    </w:p>
    <w:p w14:paraId="1580499E" w14:textId="77777777" w:rsidR="00AE2255" w:rsidRDefault="00AE2255">
      <w:pPr>
        <w:sectPr w:rsidR="00AE2255">
          <w:headerReference w:type="default" r:id="rId161"/>
          <w:footerReference w:type="default" r:id="rId162"/>
          <w:pgSz w:w="12240" w:h="15840"/>
          <w:pgMar w:top="1020" w:right="560" w:bottom="280" w:left="380" w:header="812" w:footer="0" w:gutter="0"/>
          <w:cols w:space="720"/>
        </w:sectPr>
      </w:pPr>
    </w:p>
    <w:p w14:paraId="7594F229" w14:textId="77777777" w:rsidR="00AE2255" w:rsidRDefault="00AE2255">
      <w:pPr>
        <w:pStyle w:val="BodyText"/>
        <w:spacing w:before="9"/>
        <w:rPr>
          <w:sz w:val="13"/>
        </w:rPr>
      </w:pPr>
    </w:p>
    <w:p w14:paraId="6E1AFED6" w14:textId="77777777" w:rsidR="00AE2255" w:rsidRDefault="00000000">
      <w:pPr>
        <w:pStyle w:val="Heading2"/>
        <w:spacing w:before="91"/>
        <w:ind w:left="517" w:right="337"/>
        <w:jc w:val="center"/>
      </w:pPr>
      <w:bookmarkStart w:id="96" w:name="Exhibit_23"/>
      <w:bookmarkEnd w:id="96"/>
      <w:r>
        <w:t>Consent</w:t>
      </w:r>
      <w:r>
        <w:rPr>
          <w:spacing w:val="-6"/>
        </w:rPr>
        <w:t xml:space="preserve"> </w:t>
      </w:r>
      <w:r>
        <w:t>of</w:t>
      </w:r>
      <w:r>
        <w:rPr>
          <w:spacing w:val="-6"/>
        </w:rPr>
        <w:t xml:space="preserve"> </w:t>
      </w:r>
      <w:r>
        <w:t>Independent</w:t>
      </w:r>
      <w:r>
        <w:rPr>
          <w:spacing w:val="-6"/>
        </w:rPr>
        <w:t xml:space="preserve"> </w:t>
      </w:r>
      <w:r>
        <w:t>Registered</w:t>
      </w:r>
      <w:r>
        <w:rPr>
          <w:spacing w:val="-6"/>
        </w:rPr>
        <w:t xml:space="preserve"> </w:t>
      </w:r>
      <w:r>
        <w:t>Public</w:t>
      </w:r>
      <w:r>
        <w:rPr>
          <w:spacing w:val="-7"/>
        </w:rPr>
        <w:t xml:space="preserve"> </w:t>
      </w:r>
      <w:r>
        <w:t>Accounting</w:t>
      </w:r>
      <w:r>
        <w:rPr>
          <w:spacing w:val="-5"/>
        </w:rPr>
        <w:t xml:space="preserve"> </w:t>
      </w:r>
      <w:r>
        <w:rPr>
          <w:spacing w:val="-4"/>
        </w:rPr>
        <w:t>Firm</w:t>
      </w:r>
    </w:p>
    <w:p w14:paraId="1CAF3FF8" w14:textId="77777777" w:rsidR="00AE2255" w:rsidRDefault="00AE2255">
      <w:pPr>
        <w:pStyle w:val="BodyText"/>
        <w:rPr>
          <w:b/>
          <w:sz w:val="22"/>
        </w:rPr>
      </w:pPr>
    </w:p>
    <w:p w14:paraId="0A35DA0C" w14:textId="77777777" w:rsidR="00AE2255" w:rsidRDefault="00000000">
      <w:pPr>
        <w:pStyle w:val="BodyText"/>
        <w:spacing w:line="249" w:lineRule="auto"/>
        <w:ind w:left="610" w:right="428" w:firstLine="540"/>
        <w:jc w:val="both"/>
      </w:pPr>
      <w:r>
        <w:t>We consent to the incorporation by reference of our reports dated January 26, 2023, with respect to the consolidated financial statements and the effectiveness of internal control over financial reporting of Lockheed Martin Corporation, included in this Annual Report (Form 10-K) for the year ended December 31, 2022, filed with the U.S. Securities and Exchange Commission, in the following Registration Statements of Lockheed Martin Corporation:</w:t>
      </w:r>
    </w:p>
    <w:p w14:paraId="4EFAC6BD" w14:textId="77777777" w:rsidR="00AE2255" w:rsidRDefault="00000000">
      <w:pPr>
        <w:pStyle w:val="ListParagraph"/>
        <w:numPr>
          <w:ilvl w:val="0"/>
          <w:numId w:val="4"/>
        </w:numPr>
        <w:tabs>
          <w:tab w:val="left" w:pos="1329"/>
          <w:tab w:val="left" w:pos="1330"/>
        </w:tabs>
        <w:spacing w:before="148"/>
        <w:rPr>
          <w:sz w:val="20"/>
        </w:rPr>
      </w:pPr>
      <w:r>
        <w:rPr>
          <w:sz w:val="20"/>
        </w:rPr>
        <w:t>333-92363</w:t>
      </w:r>
      <w:r>
        <w:rPr>
          <w:spacing w:val="-4"/>
          <w:sz w:val="20"/>
        </w:rPr>
        <w:t xml:space="preserve"> </w:t>
      </w:r>
      <w:r>
        <w:rPr>
          <w:sz w:val="20"/>
        </w:rPr>
        <w:t>on</w:t>
      </w:r>
      <w:r>
        <w:rPr>
          <w:spacing w:val="-2"/>
          <w:sz w:val="20"/>
        </w:rPr>
        <w:t xml:space="preserve"> </w:t>
      </w:r>
      <w:r>
        <w:rPr>
          <w:sz w:val="20"/>
        </w:rPr>
        <w:t>Form</w:t>
      </w:r>
      <w:r>
        <w:rPr>
          <w:spacing w:val="-2"/>
          <w:sz w:val="20"/>
        </w:rPr>
        <w:t xml:space="preserve"> </w:t>
      </w:r>
      <w:r>
        <w:rPr>
          <w:sz w:val="20"/>
        </w:rPr>
        <w:t>S-8,</w:t>
      </w:r>
      <w:r>
        <w:rPr>
          <w:spacing w:val="-2"/>
          <w:sz w:val="20"/>
        </w:rPr>
        <w:t xml:space="preserve"> </w:t>
      </w:r>
      <w:r>
        <w:rPr>
          <w:sz w:val="20"/>
        </w:rPr>
        <w:t>dated</w:t>
      </w:r>
      <w:r>
        <w:rPr>
          <w:spacing w:val="-1"/>
          <w:sz w:val="20"/>
        </w:rPr>
        <w:t xml:space="preserve"> </w:t>
      </w:r>
      <w:r>
        <w:rPr>
          <w:sz w:val="20"/>
        </w:rPr>
        <w:t>December</w:t>
      </w:r>
      <w:r>
        <w:rPr>
          <w:spacing w:val="-2"/>
          <w:sz w:val="20"/>
        </w:rPr>
        <w:t xml:space="preserve"> </w:t>
      </w:r>
      <w:r>
        <w:rPr>
          <w:sz w:val="20"/>
        </w:rPr>
        <w:t>8,</w:t>
      </w:r>
      <w:r>
        <w:rPr>
          <w:spacing w:val="-1"/>
          <w:sz w:val="20"/>
        </w:rPr>
        <w:t xml:space="preserve"> </w:t>
      </w:r>
      <w:proofErr w:type="gramStart"/>
      <w:r>
        <w:rPr>
          <w:spacing w:val="-2"/>
          <w:sz w:val="20"/>
        </w:rPr>
        <w:t>1999;</w:t>
      </w:r>
      <w:proofErr w:type="gramEnd"/>
    </w:p>
    <w:p w14:paraId="05A72C56" w14:textId="77777777" w:rsidR="00AE2255" w:rsidRDefault="00000000">
      <w:pPr>
        <w:pStyle w:val="ListParagraph"/>
        <w:numPr>
          <w:ilvl w:val="0"/>
          <w:numId w:val="4"/>
        </w:numPr>
        <w:tabs>
          <w:tab w:val="left" w:pos="1329"/>
          <w:tab w:val="left" w:pos="1330"/>
        </w:tabs>
        <w:spacing w:before="10"/>
        <w:rPr>
          <w:sz w:val="20"/>
        </w:rPr>
      </w:pPr>
      <w:r>
        <w:rPr>
          <w:sz w:val="20"/>
        </w:rPr>
        <w:t>333-115357</w:t>
      </w:r>
      <w:r>
        <w:rPr>
          <w:spacing w:val="-1"/>
          <w:sz w:val="20"/>
        </w:rPr>
        <w:t xml:space="preserve"> </w:t>
      </w:r>
      <w:r>
        <w:rPr>
          <w:sz w:val="20"/>
        </w:rPr>
        <w:t>on</w:t>
      </w:r>
      <w:r>
        <w:rPr>
          <w:spacing w:val="-1"/>
          <w:sz w:val="20"/>
        </w:rPr>
        <w:t xml:space="preserve"> </w:t>
      </w:r>
      <w:r>
        <w:rPr>
          <w:sz w:val="20"/>
        </w:rPr>
        <w:t>Form</w:t>
      </w:r>
      <w:r>
        <w:rPr>
          <w:spacing w:val="-2"/>
          <w:sz w:val="20"/>
        </w:rPr>
        <w:t xml:space="preserve"> </w:t>
      </w:r>
      <w:r>
        <w:rPr>
          <w:sz w:val="20"/>
        </w:rPr>
        <w:t>S-8,</w:t>
      </w:r>
      <w:r>
        <w:rPr>
          <w:spacing w:val="-1"/>
          <w:sz w:val="20"/>
        </w:rPr>
        <w:t xml:space="preserve"> </w:t>
      </w:r>
      <w:r>
        <w:rPr>
          <w:sz w:val="20"/>
        </w:rPr>
        <w:t>dated</w:t>
      </w:r>
      <w:r>
        <w:rPr>
          <w:spacing w:val="-1"/>
          <w:sz w:val="20"/>
        </w:rPr>
        <w:t xml:space="preserve"> </w:t>
      </w:r>
      <w:r>
        <w:rPr>
          <w:sz w:val="20"/>
        </w:rPr>
        <w:t>May</w:t>
      </w:r>
      <w:r>
        <w:rPr>
          <w:spacing w:val="-1"/>
          <w:sz w:val="20"/>
        </w:rPr>
        <w:t xml:space="preserve"> </w:t>
      </w:r>
      <w:r>
        <w:rPr>
          <w:sz w:val="20"/>
        </w:rPr>
        <w:t>10,</w:t>
      </w:r>
      <w:r>
        <w:rPr>
          <w:spacing w:val="-1"/>
          <w:sz w:val="20"/>
        </w:rPr>
        <w:t xml:space="preserve"> </w:t>
      </w:r>
      <w:proofErr w:type="gramStart"/>
      <w:r>
        <w:rPr>
          <w:spacing w:val="-2"/>
          <w:sz w:val="20"/>
        </w:rPr>
        <w:t>2004;</w:t>
      </w:r>
      <w:proofErr w:type="gramEnd"/>
    </w:p>
    <w:p w14:paraId="795C9364" w14:textId="77777777" w:rsidR="00AE2255" w:rsidRDefault="00000000">
      <w:pPr>
        <w:pStyle w:val="ListParagraph"/>
        <w:numPr>
          <w:ilvl w:val="0"/>
          <w:numId w:val="4"/>
        </w:numPr>
        <w:tabs>
          <w:tab w:val="left" w:pos="1329"/>
          <w:tab w:val="left" w:pos="1330"/>
        </w:tabs>
        <w:rPr>
          <w:sz w:val="20"/>
        </w:rPr>
      </w:pPr>
      <w:r>
        <w:rPr>
          <w:sz w:val="20"/>
        </w:rPr>
        <w:t>333-155687</w:t>
      </w:r>
      <w:r>
        <w:rPr>
          <w:spacing w:val="-2"/>
          <w:sz w:val="20"/>
        </w:rPr>
        <w:t xml:space="preserve"> </w:t>
      </w:r>
      <w:r>
        <w:rPr>
          <w:sz w:val="20"/>
        </w:rPr>
        <w:t>on</w:t>
      </w:r>
      <w:r>
        <w:rPr>
          <w:spacing w:val="-1"/>
          <w:sz w:val="20"/>
        </w:rPr>
        <w:t xml:space="preserve"> </w:t>
      </w:r>
      <w:r>
        <w:rPr>
          <w:sz w:val="20"/>
        </w:rPr>
        <w:t>Form</w:t>
      </w:r>
      <w:r>
        <w:rPr>
          <w:spacing w:val="-2"/>
          <w:sz w:val="20"/>
        </w:rPr>
        <w:t xml:space="preserve"> </w:t>
      </w:r>
      <w:r>
        <w:rPr>
          <w:sz w:val="20"/>
        </w:rPr>
        <w:t>S-8,</w:t>
      </w:r>
      <w:r>
        <w:rPr>
          <w:spacing w:val="-2"/>
          <w:sz w:val="20"/>
        </w:rPr>
        <w:t xml:space="preserve"> </w:t>
      </w:r>
      <w:r>
        <w:rPr>
          <w:sz w:val="20"/>
        </w:rPr>
        <w:t>dated</w:t>
      </w:r>
      <w:r>
        <w:rPr>
          <w:spacing w:val="-1"/>
          <w:sz w:val="20"/>
        </w:rPr>
        <w:t xml:space="preserve"> </w:t>
      </w:r>
      <w:r>
        <w:rPr>
          <w:sz w:val="20"/>
        </w:rPr>
        <w:t>November</w:t>
      </w:r>
      <w:r>
        <w:rPr>
          <w:spacing w:val="-1"/>
          <w:sz w:val="20"/>
        </w:rPr>
        <w:t xml:space="preserve"> </w:t>
      </w:r>
      <w:r>
        <w:rPr>
          <w:sz w:val="20"/>
        </w:rPr>
        <w:t>25,</w:t>
      </w:r>
      <w:r>
        <w:rPr>
          <w:spacing w:val="-1"/>
          <w:sz w:val="20"/>
        </w:rPr>
        <w:t xml:space="preserve"> </w:t>
      </w:r>
      <w:proofErr w:type="gramStart"/>
      <w:r>
        <w:rPr>
          <w:spacing w:val="-2"/>
          <w:sz w:val="20"/>
        </w:rPr>
        <w:t>2008;</w:t>
      </w:r>
      <w:proofErr w:type="gramEnd"/>
    </w:p>
    <w:p w14:paraId="6F8F4D59" w14:textId="77777777" w:rsidR="00AE2255" w:rsidRDefault="00000000">
      <w:pPr>
        <w:pStyle w:val="ListParagraph"/>
        <w:numPr>
          <w:ilvl w:val="0"/>
          <w:numId w:val="4"/>
        </w:numPr>
        <w:tabs>
          <w:tab w:val="left" w:pos="1329"/>
          <w:tab w:val="left" w:pos="1330"/>
        </w:tabs>
        <w:rPr>
          <w:sz w:val="20"/>
        </w:rPr>
      </w:pPr>
      <w:r>
        <w:rPr>
          <w:sz w:val="20"/>
        </w:rPr>
        <w:t>333-176440</w:t>
      </w:r>
      <w:r>
        <w:rPr>
          <w:spacing w:val="-4"/>
          <w:sz w:val="20"/>
        </w:rPr>
        <w:t xml:space="preserve"> </w:t>
      </w:r>
      <w:r>
        <w:rPr>
          <w:sz w:val="20"/>
        </w:rPr>
        <w:t>on</w:t>
      </w:r>
      <w:r>
        <w:rPr>
          <w:spacing w:val="-2"/>
          <w:sz w:val="20"/>
        </w:rPr>
        <w:t xml:space="preserve"> </w:t>
      </w:r>
      <w:r>
        <w:rPr>
          <w:sz w:val="20"/>
        </w:rPr>
        <w:t>Form</w:t>
      </w:r>
      <w:r>
        <w:rPr>
          <w:spacing w:val="-2"/>
          <w:sz w:val="20"/>
        </w:rPr>
        <w:t xml:space="preserve"> </w:t>
      </w:r>
      <w:r>
        <w:rPr>
          <w:sz w:val="20"/>
        </w:rPr>
        <w:t>S-8,</w:t>
      </w:r>
      <w:r>
        <w:rPr>
          <w:spacing w:val="-2"/>
          <w:sz w:val="20"/>
        </w:rPr>
        <w:t xml:space="preserve"> </w:t>
      </w:r>
      <w:r>
        <w:rPr>
          <w:sz w:val="20"/>
        </w:rPr>
        <w:t>dated</w:t>
      </w:r>
      <w:r>
        <w:rPr>
          <w:spacing w:val="-2"/>
          <w:sz w:val="20"/>
        </w:rPr>
        <w:t xml:space="preserve"> </w:t>
      </w:r>
      <w:r>
        <w:rPr>
          <w:sz w:val="20"/>
        </w:rPr>
        <w:t>August</w:t>
      </w:r>
      <w:r>
        <w:rPr>
          <w:spacing w:val="-2"/>
          <w:sz w:val="20"/>
        </w:rPr>
        <w:t xml:space="preserve"> </w:t>
      </w:r>
      <w:r>
        <w:rPr>
          <w:sz w:val="20"/>
        </w:rPr>
        <w:t>23,</w:t>
      </w:r>
      <w:r>
        <w:rPr>
          <w:spacing w:val="-2"/>
          <w:sz w:val="20"/>
        </w:rPr>
        <w:t xml:space="preserve"> </w:t>
      </w:r>
      <w:proofErr w:type="gramStart"/>
      <w:r>
        <w:rPr>
          <w:sz w:val="20"/>
        </w:rPr>
        <w:t>2011</w:t>
      </w:r>
      <w:proofErr w:type="gramEnd"/>
      <w:r>
        <w:rPr>
          <w:spacing w:val="-1"/>
          <w:sz w:val="20"/>
        </w:rPr>
        <w:t xml:space="preserve"> </w:t>
      </w:r>
      <w:r>
        <w:rPr>
          <w:sz w:val="20"/>
        </w:rPr>
        <w:t>and</w:t>
      </w:r>
      <w:r>
        <w:rPr>
          <w:spacing w:val="-2"/>
          <w:sz w:val="20"/>
        </w:rPr>
        <w:t xml:space="preserve"> </w:t>
      </w:r>
      <w:r>
        <w:rPr>
          <w:sz w:val="20"/>
        </w:rPr>
        <w:t>April</w:t>
      </w:r>
      <w:r>
        <w:rPr>
          <w:spacing w:val="-3"/>
          <w:sz w:val="20"/>
        </w:rPr>
        <w:t xml:space="preserve"> </w:t>
      </w:r>
      <w:r>
        <w:rPr>
          <w:sz w:val="20"/>
        </w:rPr>
        <w:t>24,</w:t>
      </w:r>
      <w:r>
        <w:rPr>
          <w:spacing w:val="-1"/>
          <w:sz w:val="20"/>
        </w:rPr>
        <w:t xml:space="preserve"> </w:t>
      </w:r>
      <w:r>
        <w:rPr>
          <w:sz w:val="20"/>
        </w:rPr>
        <w:t>2020</w:t>
      </w:r>
      <w:r>
        <w:rPr>
          <w:spacing w:val="-2"/>
          <w:sz w:val="20"/>
        </w:rPr>
        <w:t xml:space="preserve"> </w:t>
      </w:r>
      <w:r>
        <w:rPr>
          <w:sz w:val="20"/>
        </w:rPr>
        <w:t>(Post-Effective</w:t>
      </w:r>
      <w:r>
        <w:rPr>
          <w:spacing w:val="-2"/>
          <w:sz w:val="20"/>
        </w:rPr>
        <w:t xml:space="preserve"> </w:t>
      </w:r>
      <w:r>
        <w:rPr>
          <w:sz w:val="20"/>
        </w:rPr>
        <w:t>Amendment</w:t>
      </w:r>
      <w:r>
        <w:rPr>
          <w:spacing w:val="-3"/>
          <w:sz w:val="20"/>
        </w:rPr>
        <w:t xml:space="preserve"> </w:t>
      </w:r>
      <w:r>
        <w:rPr>
          <w:sz w:val="20"/>
        </w:rPr>
        <w:t>No.</w:t>
      </w:r>
      <w:r>
        <w:rPr>
          <w:spacing w:val="-1"/>
          <w:sz w:val="20"/>
        </w:rPr>
        <w:t xml:space="preserve"> </w:t>
      </w:r>
      <w:r>
        <w:rPr>
          <w:spacing w:val="-5"/>
          <w:sz w:val="20"/>
        </w:rPr>
        <w:t>1);</w:t>
      </w:r>
    </w:p>
    <w:p w14:paraId="6797506E" w14:textId="77777777" w:rsidR="00AE2255" w:rsidRDefault="00000000">
      <w:pPr>
        <w:pStyle w:val="ListParagraph"/>
        <w:numPr>
          <w:ilvl w:val="0"/>
          <w:numId w:val="4"/>
        </w:numPr>
        <w:tabs>
          <w:tab w:val="left" w:pos="1329"/>
          <w:tab w:val="left" w:pos="1330"/>
        </w:tabs>
        <w:rPr>
          <w:sz w:val="20"/>
        </w:rPr>
      </w:pPr>
      <w:r>
        <w:rPr>
          <w:sz w:val="20"/>
        </w:rPr>
        <w:t>333-188118</w:t>
      </w:r>
      <w:r>
        <w:rPr>
          <w:spacing w:val="-1"/>
          <w:sz w:val="20"/>
        </w:rPr>
        <w:t xml:space="preserve"> </w:t>
      </w:r>
      <w:r>
        <w:rPr>
          <w:sz w:val="20"/>
        </w:rPr>
        <w:t>on</w:t>
      </w:r>
      <w:r>
        <w:rPr>
          <w:spacing w:val="-2"/>
          <w:sz w:val="20"/>
        </w:rPr>
        <w:t xml:space="preserve"> </w:t>
      </w:r>
      <w:r>
        <w:rPr>
          <w:sz w:val="20"/>
        </w:rPr>
        <w:t>Form</w:t>
      </w:r>
      <w:r>
        <w:rPr>
          <w:spacing w:val="-1"/>
          <w:sz w:val="20"/>
        </w:rPr>
        <w:t xml:space="preserve"> </w:t>
      </w:r>
      <w:r>
        <w:rPr>
          <w:sz w:val="20"/>
        </w:rPr>
        <w:t>S-8,</w:t>
      </w:r>
      <w:r>
        <w:rPr>
          <w:spacing w:val="-1"/>
          <w:sz w:val="20"/>
        </w:rPr>
        <w:t xml:space="preserve"> </w:t>
      </w:r>
      <w:r>
        <w:rPr>
          <w:sz w:val="20"/>
        </w:rPr>
        <w:t>dated</w:t>
      </w:r>
      <w:r>
        <w:rPr>
          <w:spacing w:val="-1"/>
          <w:sz w:val="20"/>
        </w:rPr>
        <w:t xml:space="preserve"> </w:t>
      </w:r>
      <w:r>
        <w:rPr>
          <w:sz w:val="20"/>
        </w:rPr>
        <w:t>April</w:t>
      </w:r>
      <w:r>
        <w:rPr>
          <w:spacing w:val="-2"/>
          <w:sz w:val="20"/>
        </w:rPr>
        <w:t xml:space="preserve"> </w:t>
      </w:r>
      <w:r>
        <w:rPr>
          <w:sz w:val="20"/>
        </w:rPr>
        <w:t>25,</w:t>
      </w:r>
      <w:r>
        <w:rPr>
          <w:spacing w:val="-1"/>
          <w:sz w:val="20"/>
        </w:rPr>
        <w:t xml:space="preserve"> </w:t>
      </w:r>
      <w:proofErr w:type="gramStart"/>
      <w:r>
        <w:rPr>
          <w:spacing w:val="-2"/>
          <w:sz w:val="20"/>
        </w:rPr>
        <w:t>2013;</w:t>
      </w:r>
      <w:proofErr w:type="gramEnd"/>
    </w:p>
    <w:p w14:paraId="32F58AF7" w14:textId="77777777" w:rsidR="00AE2255" w:rsidRDefault="00000000">
      <w:pPr>
        <w:pStyle w:val="ListParagraph"/>
        <w:numPr>
          <w:ilvl w:val="0"/>
          <w:numId w:val="4"/>
        </w:numPr>
        <w:tabs>
          <w:tab w:val="left" w:pos="1329"/>
          <w:tab w:val="left" w:pos="1330"/>
        </w:tabs>
        <w:ind w:right="634"/>
        <w:rPr>
          <w:sz w:val="20"/>
        </w:rPr>
      </w:pPr>
      <w:r>
        <w:rPr>
          <w:sz w:val="20"/>
        </w:rPr>
        <w:t>333-195466</w:t>
      </w:r>
      <w:r>
        <w:rPr>
          <w:spacing w:val="-3"/>
          <w:sz w:val="20"/>
        </w:rPr>
        <w:t xml:space="preserve"> </w:t>
      </w:r>
      <w:r>
        <w:rPr>
          <w:sz w:val="20"/>
        </w:rPr>
        <w:t>on</w:t>
      </w:r>
      <w:r>
        <w:rPr>
          <w:spacing w:val="-3"/>
          <w:sz w:val="20"/>
        </w:rPr>
        <w:t xml:space="preserve"> </w:t>
      </w:r>
      <w:r>
        <w:rPr>
          <w:sz w:val="20"/>
        </w:rPr>
        <w:t>Form</w:t>
      </w:r>
      <w:r>
        <w:rPr>
          <w:spacing w:val="-4"/>
          <w:sz w:val="20"/>
        </w:rPr>
        <w:t xml:space="preserve"> </w:t>
      </w:r>
      <w:r>
        <w:rPr>
          <w:sz w:val="20"/>
        </w:rPr>
        <w:t>S-8,</w:t>
      </w:r>
      <w:r>
        <w:rPr>
          <w:spacing w:val="-3"/>
          <w:sz w:val="20"/>
        </w:rPr>
        <w:t xml:space="preserve"> </w:t>
      </w:r>
      <w:r>
        <w:rPr>
          <w:sz w:val="20"/>
        </w:rPr>
        <w:t>dated</w:t>
      </w:r>
      <w:r>
        <w:rPr>
          <w:spacing w:val="-3"/>
          <w:sz w:val="20"/>
        </w:rPr>
        <w:t xml:space="preserve"> </w:t>
      </w:r>
      <w:r>
        <w:rPr>
          <w:sz w:val="20"/>
        </w:rPr>
        <w:t>April</w:t>
      </w:r>
      <w:r>
        <w:rPr>
          <w:spacing w:val="-4"/>
          <w:sz w:val="20"/>
        </w:rPr>
        <w:t xml:space="preserve"> </w:t>
      </w:r>
      <w:r>
        <w:rPr>
          <w:sz w:val="20"/>
        </w:rPr>
        <w:t>24,</w:t>
      </w:r>
      <w:r>
        <w:rPr>
          <w:spacing w:val="-3"/>
          <w:sz w:val="20"/>
        </w:rPr>
        <w:t xml:space="preserve"> </w:t>
      </w:r>
      <w:r>
        <w:rPr>
          <w:sz w:val="20"/>
        </w:rPr>
        <w:t>2014,</w:t>
      </w:r>
      <w:r>
        <w:rPr>
          <w:spacing w:val="-3"/>
          <w:sz w:val="20"/>
        </w:rPr>
        <w:t xml:space="preserve"> </w:t>
      </w:r>
      <w:r>
        <w:rPr>
          <w:sz w:val="20"/>
        </w:rPr>
        <w:t>July</w:t>
      </w:r>
      <w:r>
        <w:rPr>
          <w:spacing w:val="-3"/>
          <w:sz w:val="20"/>
        </w:rPr>
        <w:t xml:space="preserve"> </w:t>
      </w:r>
      <w:r>
        <w:rPr>
          <w:sz w:val="20"/>
        </w:rPr>
        <w:t>23,</w:t>
      </w:r>
      <w:r>
        <w:rPr>
          <w:spacing w:val="-3"/>
          <w:sz w:val="20"/>
        </w:rPr>
        <w:t xml:space="preserve"> </w:t>
      </w:r>
      <w:r>
        <w:rPr>
          <w:sz w:val="20"/>
        </w:rPr>
        <w:t>2014</w:t>
      </w:r>
      <w:r>
        <w:rPr>
          <w:spacing w:val="-3"/>
          <w:sz w:val="20"/>
        </w:rPr>
        <w:t xml:space="preserve"> </w:t>
      </w:r>
      <w:r>
        <w:rPr>
          <w:sz w:val="20"/>
        </w:rPr>
        <w:t>(Post-Effective</w:t>
      </w:r>
      <w:r>
        <w:rPr>
          <w:spacing w:val="-4"/>
          <w:sz w:val="20"/>
        </w:rPr>
        <w:t xml:space="preserve"> </w:t>
      </w:r>
      <w:r>
        <w:rPr>
          <w:sz w:val="20"/>
        </w:rPr>
        <w:t>Amendment</w:t>
      </w:r>
      <w:r>
        <w:rPr>
          <w:spacing w:val="-4"/>
          <w:sz w:val="20"/>
        </w:rPr>
        <w:t xml:space="preserve"> </w:t>
      </w:r>
      <w:r>
        <w:rPr>
          <w:sz w:val="20"/>
        </w:rPr>
        <w:t>No.1)</w:t>
      </w:r>
      <w:r>
        <w:rPr>
          <w:spacing w:val="-3"/>
          <w:sz w:val="20"/>
        </w:rPr>
        <w:t xml:space="preserve"> </w:t>
      </w:r>
      <w:r>
        <w:rPr>
          <w:sz w:val="20"/>
        </w:rPr>
        <w:t>and</w:t>
      </w:r>
      <w:r>
        <w:rPr>
          <w:spacing w:val="-3"/>
          <w:sz w:val="20"/>
        </w:rPr>
        <w:t xml:space="preserve"> </w:t>
      </w:r>
      <w:r>
        <w:rPr>
          <w:sz w:val="20"/>
        </w:rPr>
        <w:t>April</w:t>
      </w:r>
      <w:r>
        <w:rPr>
          <w:spacing w:val="-4"/>
          <w:sz w:val="20"/>
        </w:rPr>
        <w:t xml:space="preserve"> </w:t>
      </w:r>
      <w:r>
        <w:rPr>
          <w:sz w:val="20"/>
        </w:rPr>
        <w:t>24,</w:t>
      </w:r>
      <w:r>
        <w:rPr>
          <w:spacing w:val="-3"/>
          <w:sz w:val="20"/>
        </w:rPr>
        <w:t xml:space="preserve"> </w:t>
      </w:r>
      <w:r>
        <w:rPr>
          <w:sz w:val="20"/>
        </w:rPr>
        <w:t>2020 (Post-Effective Amendment No. 2</w:t>
      </w:r>
      <w:proofErr w:type="gramStart"/>
      <w:r>
        <w:rPr>
          <w:sz w:val="20"/>
        </w:rPr>
        <w:t>);</w:t>
      </w:r>
      <w:proofErr w:type="gramEnd"/>
    </w:p>
    <w:p w14:paraId="10E0FB01" w14:textId="77777777" w:rsidR="00AE2255" w:rsidRDefault="00000000">
      <w:pPr>
        <w:pStyle w:val="ListParagraph"/>
        <w:numPr>
          <w:ilvl w:val="0"/>
          <w:numId w:val="4"/>
        </w:numPr>
        <w:tabs>
          <w:tab w:val="left" w:pos="1329"/>
          <w:tab w:val="left" w:pos="1330"/>
        </w:tabs>
        <w:rPr>
          <w:sz w:val="20"/>
        </w:rPr>
      </w:pPr>
      <w:r>
        <w:rPr>
          <w:sz w:val="20"/>
        </w:rPr>
        <w:t>333-237829,</w:t>
      </w:r>
      <w:r>
        <w:rPr>
          <w:spacing w:val="-3"/>
          <w:sz w:val="20"/>
        </w:rPr>
        <w:t xml:space="preserve"> </w:t>
      </w:r>
      <w:r>
        <w:rPr>
          <w:sz w:val="20"/>
        </w:rPr>
        <w:t>333-237831,</w:t>
      </w:r>
      <w:r>
        <w:rPr>
          <w:spacing w:val="-1"/>
          <w:sz w:val="20"/>
        </w:rPr>
        <w:t xml:space="preserve"> </w:t>
      </w:r>
      <w:r>
        <w:rPr>
          <w:sz w:val="20"/>
        </w:rPr>
        <w:t>and</w:t>
      </w:r>
      <w:r>
        <w:rPr>
          <w:spacing w:val="-1"/>
          <w:sz w:val="20"/>
        </w:rPr>
        <w:t xml:space="preserve"> </w:t>
      </w:r>
      <w:r>
        <w:rPr>
          <w:sz w:val="20"/>
        </w:rPr>
        <w:t>333-237832</w:t>
      </w:r>
      <w:r>
        <w:rPr>
          <w:spacing w:val="-1"/>
          <w:sz w:val="20"/>
        </w:rPr>
        <w:t xml:space="preserve"> </w:t>
      </w:r>
      <w:r>
        <w:rPr>
          <w:sz w:val="20"/>
        </w:rPr>
        <w:t>on</w:t>
      </w:r>
      <w:r>
        <w:rPr>
          <w:spacing w:val="-1"/>
          <w:sz w:val="20"/>
        </w:rPr>
        <w:t xml:space="preserve"> </w:t>
      </w:r>
      <w:r>
        <w:rPr>
          <w:sz w:val="20"/>
        </w:rPr>
        <w:t>Form</w:t>
      </w:r>
      <w:r>
        <w:rPr>
          <w:spacing w:val="-2"/>
          <w:sz w:val="20"/>
        </w:rPr>
        <w:t xml:space="preserve"> </w:t>
      </w:r>
      <w:r>
        <w:rPr>
          <w:sz w:val="20"/>
        </w:rPr>
        <w:t>S-8,</w:t>
      </w:r>
      <w:r>
        <w:rPr>
          <w:spacing w:val="-1"/>
          <w:sz w:val="20"/>
        </w:rPr>
        <w:t xml:space="preserve"> </w:t>
      </w:r>
      <w:r>
        <w:rPr>
          <w:sz w:val="20"/>
        </w:rPr>
        <w:t>each</w:t>
      </w:r>
      <w:r>
        <w:rPr>
          <w:spacing w:val="-1"/>
          <w:sz w:val="20"/>
        </w:rPr>
        <w:t xml:space="preserve"> </w:t>
      </w:r>
      <w:r>
        <w:rPr>
          <w:sz w:val="20"/>
        </w:rPr>
        <w:t>dated</w:t>
      </w:r>
      <w:r>
        <w:rPr>
          <w:spacing w:val="-1"/>
          <w:sz w:val="20"/>
        </w:rPr>
        <w:t xml:space="preserve"> </w:t>
      </w:r>
      <w:r>
        <w:rPr>
          <w:sz w:val="20"/>
        </w:rPr>
        <w:t>April</w:t>
      </w:r>
      <w:r>
        <w:rPr>
          <w:spacing w:val="-2"/>
          <w:sz w:val="20"/>
        </w:rPr>
        <w:t xml:space="preserve"> </w:t>
      </w:r>
      <w:r>
        <w:rPr>
          <w:sz w:val="20"/>
        </w:rPr>
        <w:t>24,</w:t>
      </w:r>
      <w:r>
        <w:rPr>
          <w:spacing w:val="-1"/>
          <w:sz w:val="20"/>
        </w:rPr>
        <w:t xml:space="preserve"> </w:t>
      </w:r>
      <w:r>
        <w:rPr>
          <w:sz w:val="20"/>
        </w:rPr>
        <w:t>2020;</w:t>
      </w:r>
      <w:r>
        <w:rPr>
          <w:spacing w:val="-1"/>
          <w:sz w:val="20"/>
        </w:rPr>
        <w:t xml:space="preserve"> </w:t>
      </w:r>
      <w:r>
        <w:rPr>
          <w:spacing w:val="-5"/>
          <w:sz w:val="20"/>
        </w:rPr>
        <w:t>and</w:t>
      </w:r>
    </w:p>
    <w:p w14:paraId="2209FD9A" w14:textId="77777777" w:rsidR="00AE2255" w:rsidRDefault="00000000">
      <w:pPr>
        <w:pStyle w:val="ListParagraph"/>
        <w:numPr>
          <w:ilvl w:val="0"/>
          <w:numId w:val="4"/>
        </w:numPr>
        <w:tabs>
          <w:tab w:val="left" w:pos="1329"/>
          <w:tab w:val="left" w:pos="1330"/>
        </w:tabs>
        <w:rPr>
          <w:sz w:val="20"/>
        </w:rPr>
      </w:pPr>
      <w:r>
        <w:rPr>
          <w:sz w:val="20"/>
        </w:rPr>
        <w:t>333-237836</w:t>
      </w:r>
      <w:r>
        <w:rPr>
          <w:spacing w:val="-1"/>
          <w:sz w:val="20"/>
        </w:rPr>
        <w:t xml:space="preserve"> </w:t>
      </w:r>
      <w:r>
        <w:rPr>
          <w:sz w:val="20"/>
        </w:rPr>
        <w:t>on</w:t>
      </w:r>
      <w:r>
        <w:rPr>
          <w:spacing w:val="-2"/>
          <w:sz w:val="20"/>
        </w:rPr>
        <w:t xml:space="preserve"> </w:t>
      </w:r>
      <w:r>
        <w:rPr>
          <w:sz w:val="20"/>
        </w:rPr>
        <w:t>Form</w:t>
      </w:r>
      <w:r>
        <w:rPr>
          <w:spacing w:val="-1"/>
          <w:sz w:val="20"/>
        </w:rPr>
        <w:t xml:space="preserve"> </w:t>
      </w:r>
      <w:r>
        <w:rPr>
          <w:sz w:val="20"/>
        </w:rPr>
        <w:t>S-3,</w:t>
      </w:r>
      <w:r>
        <w:rPr>
          <w:spacing w:val="-1"/>
          <w:sz w:val="20"/>
        </w:rPr>
        <w:t xml:space="preserve"> </w:t>
      </w:r>
      <w:r>
        <w:rPr>
          <w:sz w:val="20"/>
        </w:rPr>
        <w:t>dated</w:t>
      </w:r>
      <w:r>
        <w:rPr>
          <w:spacing w:val="-1"/>
          <w:sz w:val="20"/>
        </w:rPr>
        <w:t xml:space="preserve"> </w:t>
      </w:r>
      <w:r>
        <w:rPr>
          <w:sz w:val="20"/>
        </w:rPr>
        <w:t>April</w:t>
      </w:r>
      <w:r>
        <w:rPr>
          <w:spacing w:val="-2"/>
          <w:sz w:val="20"/>
        </w:rPr>
        <w:t xml:space="preserve"> </w:t>
      </w:r>
      <w:r>
        <w:rPr>
          <w:sz w:val="20"/>
        </w:rPr>
        <w:t>24,</w:t>
      </w:r>
      <w:r>
        <w:rPr>
          <w:spacing w:val="-1"/>
          <w:sz w:val="20"/>
        </w:rPr>
        <w:t xml:space="preserve"> </w:t>
      </w:r>
      <w:r>
        <w:rPr>
          <w:spacing w:val="-2"/>
          <w:sz w:val="20"/>
        </w:rPr>
        <w:t>2020.</w:t>
      </w:r>
    </w:p>
    <w:p w14:paraId="7452C52C" w14:textId="77777777" w:rsidR="00AE2255" w:rsidRDefault="00AE2255">
      <w:pPr>
        <w:pStyle w:val="BodyText"/>
        <w:rPr>
          <w:sz w:val="22"/>
        </w:rPr>
      </w:pPr>
    </w:p>
    <w:p w14:paraId="26632D16" w14:textId="77777777" w:rsidR="00AE2255" w:rsidRDefault="00AE2255">
      <w:pPr>
        <w:pStyle w:val="BodyText"/>
        <w:spacing w:before="8"/>
        <w:rPr>
          <w:sz w:val="19"/>
        </w:rPr>
      </w:pPr>
    </w:p>
    <w:p w14:paraId="45C56176" w14:textId="77777777" w:rsidR="00AE2255" w:rsidRDefault="00000000">
      <w:pPr>
        <w:pStyle w:val="BodyText"/>
        <w:ind w:left="610"/>
      </w:pPr>
      <w:r>
        <w:t>/s/</w:t>
      </w:r>
      <w:r>
        <w:rPr>
          <w:spacing w:val="-3"/>
        </w:rPr>
        <w:t xml:space="preserve"> </w:t>
      </w:r>
      <w:r>
        <w:t>Ernst</w:t>
      </w:r>
      <w:r>
        <w:rPr>
          <w:spacing w:val="-2"/>
        </w:rPr>
        <w:t xml:space="preserve"> </w:t>
      </w:r>
      <w:r>
        <w:t>&amp;</w:t>
      </w:r>
      <w:r>
        <w:rPr>
          <w:spacing w:val="-2"/>
        </w:rPr>
        <w:t xml:space="preserve"> </w:t>
      </w:r>
      <w:r>
        <w:t>Young</w:t>
      </w:r>
      <w:r>
        <w:rPr>
          <w:spacing w:val="-1"/>
        </w:rPr>
        <w:t xml:space="preserve"> </w:t>
      </w:r>
      <w:r>
        <w:rPr>
          <w:spacing w:val="-5"/>
        </w:rPr>
        <w:t>LLP</w:t>
      </w:r>
    </w:p>
    <w:p w14:paraId="4038B5BF" w14:textId="77777777" w:rsidR="00AE2255" w:rsidRDefault="00000000">
      <w:pPr>
        <w:pStyle w:val="BodyText"/>
        <w:spacing w:before="190" w:line="249" w:lineRule="auto"/>
        <w:ind w:left="610" w:right="8778"/>
      </w:pPr>
      <w:r>
        <w:t>Tysons,</w:t>
      </w:r>
      <w:r>
        <w:rPr>
          <w:spacing w:val="-11"/>
        </w:rPr>
        <w:t xml:space="preserve"> </w:t>
      </w:r>
      <w:r>
        <w:t>Virginia January</w:t>
      </w:r>
      <w:r>
        <w:rPr>
          <w:spacing w:val="-2"/>
        </w:rPr>
        <w:t xml:space="preserve"> </w:t>
      </w:r>
      <w:r>
        <w:t>26,</w:t>
      </w:r>
      <w:r>
        <w:rPr>
          <w:spacing w:val="-1"/>
        </w:rPr>
        <w:t xml:space="preserve"> </w:t>
      </w:r>
      <w:r>
        <w:rPr>
          <w:spacing w:val="-4"/>
        </w:rPr>
        <w:t>2023</w:t>
      </w:r>
    </w:p>
    <w:p w14:paraId="5AA13DF9" w14:textId="77777777" w:rsidR="00AE2255" w:rsidRDefault="00AE2255">
      <w:pPr>
        <w:spacing w:line="249" w:lineRule="auto"/>
        <w:sectPr w:rsidR="00AE2255">
          <w:headerReference w:type="default" r:id="rId163"/>
          <w:footerReference w:type="default" r:id="rId164"/>
          <w:pgSz w:w="12240" w:h="15840"/>
          <w:pgMar w:top="1020" w:right="560" w:bottom="280" w:left="380" w:header="812" w:footer="0" w:gutter="0"/>
          <w:pgNumType w:start="23"/>
          <w:cols w:space="720"/>
        </w:sectPr>
      </w:pPr>
    </w:p>
    <w:p w14:paraId="76D34E46" w14:textId="77777777" w:rsidR="00AE2255" w:rsidRDefault="00AE2255">
      <w:pPr>
        <w:pStyle w:val="BodyText"/>
        <w:spacing w:before="9"/>
        <w:rPr>
          <w:sz w:val="13"/>
        </w:rPr>
      </w:pPr>
    </w:p>
    <w:p w14:paraId="236EC4F3" w14:textId="77777777" w:rsidR="00AE2255" w:rsidRDefault="00000000">
      <w:pPr>
        <w:pStyle w:val="Heading1"/>
        <w:spacing w:before="91" w:line="501" w:lineRule="auto"/>
        <w:ind w:left="3935" w:right="3291" w:firstLine="671"/>
      </w:pPr>
      <w:bookmarkStart w:id="97" w:name="Exhibit_24"/>
      <w:bookmarkEnd w:id="97"/>
      <w:r>
        <w:t>POWER OF ATTORNEY LOCKHEED</w:t>
      </w:r>
      <w:r>
        <w:rPr>
          <w:spacing w:val="-13"/>
        </w:rPr>
        <w:t xml:space="preserve"> </w:t>
      </w:r>
      <w:r>
        <w:t>MARTIN</w:t>
      </w:r>
      <w:r>
        <w:rPr>
          <w:spacing w:val="-12"/>
        </w:rPr>
        <w:t xml:space="preserve"> </w:t>
      </w:r>
      <w:r>
        <w:t>CORPORATION</w:t>
      </w:r>
    </w:p>
    <w:p w14:paraId="6B8658F2" w14:textId="77777777" w:rsidR="00AE2255" w:rsidRDefault="00000000">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1C0F1E5F" w14:textId="77777777" w:rsidR="00AE2255" w:rsidRDefault="00AE2255">
      <w:pPr>
        <w:pStyle w:val="BodyText"/>
        <w:spacing w:before="4"/>
        <w:rPr>
          <w:sz w:val="21"/>
        </w:rPr>
      </w:pPr>
    </w:p>
    <w:p w14:paraId="0B0CF011" w14:textId="77777777" w:rsidR="00AE2255" w:rsidRDefault="00000000">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0A626F95" w14:textId="77777777" w:rsidR="00AE2255" w:rsidRDefault="00AE2255">
      <w:pPr>
        <w:pStyle w:val="BodyText"/>
        <w:rPr>
          <w:sz w:val="22"/>
        </w:rPr>
      </w:pPr>
    </w:p>
    <w:p w14:paraId="7D5F4B77" w14:textId="77777777" w:rsidR="00AE2255" w:rsidRDefault="00AE2255">
      <w:pPr>
        <w:pStyle w:val="BodyText"/>
        <w:spacing w:before="2"/>
        <w:rPr>
          <w:sz w:val="22"/>
        </w:rPr>
      </w:pPr>
    </w:p>
    <w:p w14:paraId="4BDF181B" w14:textId="77777777" w:rsidR="00AE2255" w:rsidRDefault="00000000">
      <w:pPr>
        <w:pStyle w:val="BodyText"/>
        <w:spacing w:before="1" w:line="280" w:lineRule="atLeast"/>
        <w:ind w:left="752" w:right="8268"/>
      </w:pPr>
      <w:r>
        <w:pict w14:anchorId="5D1A27AC">
          <v:group id="docshapegroup103" o:spid="_x0000_s2095" style="position:absolute;left:0;text-align:left;margin-left:54pt;margin-top:14.95pt;width:249.75pt;height:1pt;z-index:15760384;mso-position-horizontal-relative:page" coordorigin="1080,299" coordsize="4995,20">
            <v:shape id="docshape104" o:spid="_x0000_s2097" style="position:absolute;left:1080;top:309;width:4995;height:2" coordorigin="1080,309" coordsize="4995,0" path="m6075,309r-4995,e" fillcolor="black" stroked="f">
              <v:fill opacity="0"/>
              <v:path arrowok="t"/>
            </v:shape>
            <v:line id="_x0000_s2096" style="position:absolute" from="1080,309" to="6075,309" strokeweight="1pt"/>
            <w10:wrap anchorx="page"/>
          </v:group>
        </w:pict>
      </w:r>
      <w:r>
        <w:t xml:space="preserve">/s/ Daniel F. </w:t>
      </w:r>
      <w:proofErr w:type="spellStart"/>
      <w:r>
        <w:t>Akerson</w:t>
      </w:r>
      <w:proofErr w:type="spellEnd"/>
      <w:r>
        <w:t xml:space="preserve"> DANIEL</w:t>
      </w:r>
      <w:r>
        <w:rPr>
          <w:spacing w:val="-13"/>
        </w:rPr>
        <w:t xml:space="preserve"> </w:t>
      </w:r>
      <w:r>
        <w:t>F.</w:t>
      </w:r>
      <w:r>
        <w:rPr>
          <w:spacing w:val="-12"/>
        </w:rPr>
        <w:t xml:space="preserve"> </w:t>
      </w:r>
      <w:r>
        <w:t>AKERSON</w:t>
      </w:r>
    </w:p>
    <w:p w14:paraId="48AC91A9" w14:textId="77777777" w:rsidR="00AE2255" w:rsidRDefault="00000000">
      <w:pPr>
        <w:pStyle w:val="BodyText"/>
        <w:spacing w:line="198" w:lineRule="exact"/>
        <w:ind w:left="752"/>
      </w:pPr>
      <w:r>
        <w:rPr>
          <w:spacing w:val="-2"/>
        </w:rPr>
        <w:t>Director</w:t>
      </w:r>
    </w:p>
    <w:p w14:paraId="1F5CCFAC" w14:textId="77777777" w:rsidR="00AE2255" w:rsidRDefault="00AE2255">
      <w:pPr>
        <w:pStyle w:val="BodyText"/>
        <w:spacing w:before="2"/>
        <w:rPr>
          <w:sz w:val="27"/>
        </w:rPr>
      </w:pPr>
    </w:p>
    <w:p w14:paraId="44D5DF66" w14:textId="080ECD2C" w:rsidR="003A13A0" w:rsidRPr="003A13A0" w:rsidRDefault="00000000" w:rsidP="003A13A0">
      <w:pPr>
        <w:pStyle w:val="BodyText"/>
        <w:spacing w:before="91"/>
        <w:ind w:left="610"/>
        <w:rPr>
          <w:spacing w:val="-4"/>
        </w:rPr>
        <w:sectPr w:rsidR="003A13A0" w:rsidRPr="003A13A0">
          <w:headerReference w:type="default" r:id="rId165"/>
          <w:footerReference w:type="default" r:id="rId166"/>
          <w:pgSz w:w="12240" w:h="15840"/>
          <w:pgMar w:top="1020" w:right="560" w:bottom="280" w:left="380" w:header="812" w:footer="0" w:gutter="0"/>
          <w:cols w:space="720"/>
        </w:sectPr>
      </w:pPr>
      <w:r>
        <w:t>January</w:t>
      </w:r>
      <w:r>
        <w:rPr>
          <w:spacing w:val="-2"/>
        </w:rPr>
        <w:t xml:space="preserve"> </w:t>
      </w:r>
      <w:r>
        <w:t>23,</w:t>
      </w:r>
      <w:r>
        <w:rPr>
          <w:spacing w:val="-1"/>
        </w:rPr>
        <w:t xml:space="preserve"> </w:t>
      </w:r>
      <w:r>
        <w:rPr>
          <w:spacing w:val="-4"/>
        </w:rPr>
        <w:t>2023</w:t>
      </w:r>
    </w:p>
    <w:p w14:paraId="5CDE961B" w14:textId="12943C44" w:rsidR="00CA717B" w:rsidRDefault="00CA717B">
      <w:pPr>
        <w:pStyle w:val="BodyText"/>
        <w:spacing w:before="2"/>
        <w:rPr>
          <w:sz w:val="21"/>
        </w:rPr>
      </w:pPr>
    </w:p>
    <w:p w14:paraId="47477320" w14:textId="77777777" w:rsidR="003A13A0" w:rsidRDefault="003A13A0" w:rsidP="003A13A0">
      <w:pPr>
        <w:pStyle w:val="Heading1"/>
        <w:spacing w:before="91" w:line="501" w:lineRule="auto"/>
        <w:ind w:left="3935" w:right="3291"/>
      </w:pPr>
      <w:r>
        <w:t xml:space="preserve">POWER OF ATTORNEY </w:t>
      </w:r>
    </w:p>
    <w:p w14:paraId="5BF8BA3D" w14:textId="7F785AFC" w:rsidR="003A13A0" w:rsidRDefault="003A13A0" w:rsidP="003A13A0">
      <w:pPr>
        <w:pStyle w:val="Heading1"/>
        <w:spacing w:before="91" w:line="501" w:lineRule="auto"/>
        <w:ind w:left="3600" w:right="3291"/>
      </w:pPr>
      <w:r>
        <w:t>LOCKHEED</w:t>
      </w:r>
      <w:r>
        <w:rPr>
          <w:spacing w:val="-13"/>
        </w:rPr>
        <w:t xml:space="preserve"> </w:t>
      </w:r>
      <w:r>
        <w:t>MARTIN</w:t>
      </w:r>
      <w:r>
        <w:rPr>
          <w:spacing w:val="-12"/>
        </w:rPr>
        <w:t xml:space="preserve"> </w:t>
      </w:r>
      <w:r>
        <w:t>CORPORATION</w:t>
      </w:r>
    </w:p>
    <w:p w14:paraId="700DA786" w14:textId="77777777" w:rsidR="003A13A0" w:rsidRDefault="003A13A0" w:rsidP="003A13A0">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56E0B910" w14:textId="77777777" w:rsidR="003A13A0" w:rsidRDefault="003A13A0" w:rsidP="003A13A0">
      <w:pPr>
        <w:pStyle w:val="BodyText"/>
        <w:spacing w:before="4"/>
        <w:rPr>
          <w:sz w:val="21"/>
        </w:rPr>
      </w:pPr>
    </w:p>
    <w:p w14:paraId="06287E8C" w14:textId="77777777" w:rsidR="003A13A0" w:rsidRDefault="003A13A0" w:rsidP="003A13A0">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2B8304A4" w14:textId="5C55C924" w:rsidR="00840A2D" w:rsidRDefault="00840A2D">
      <w:pPr>
        <w:pStyle w:val="BodyText"/>
        <w:spacing w:before="2"/>
        <w:rPr>
          <w:sz w:val="21"/>
        </w:rPr>
      </w:pPr>
    </w:p>
    <w:p w14:paraId="62124171" w14:textId="42729F9C" w:rsidR="00840A2D" w:rsidRDefault="00840A2D">
      <w:pPr>
        <w:pStyle w:val="BodyText"/>
        <w:spacing w:before="2"/>
        <w:rPr>
          <w:sz w:val="21"/>
        </w:rPr>
      </w:pPr>
    </w:p>
    <w:p w14:paraId="5E91B8FE" w14:textId="1772D080" w:rsidR="00840A2D" w:rsidRDefault="00840A2D">
      <w:pPr>
        <w:pStyle w:val="BodyText"/>
        <w:spacing w:before="2"/>
        <w:rPr>
          <w:sz w:val="21"/>
        </w:rPr>
      </w:pPr>
    </w:p>
    <w:p w14:paraId="2AB58B61" w14:textId="11B0C9A7" w:rsidR="00840A2D" w:rsidRDefault="00840A2D">
      <w:pPr>
        <w:pStyle w:val="BodyText"/>
        <w:spacing w:before="2"/>
        <w:rPr>
          <w:sz w:val="21"/>
        </w:rPr>
      </w:pPr>
    </w:p>
    <w:p w14:paraId="4634D519" w14:textId="77777777" w:rsidR="00840A2D" w:rsidRDefault="00840A2D">
      <w:pPr>
        <w:pStyle w:val="BodyText"/>
        <w:spacing w:before="2"/>
        <w:rPr>
          <w:sz w:val="21"/>
        </w:rPr>
      </w:pPr>
    </w:p>
    <w:p w14:paraId="470B34BE" w14:textId="77777777" w:rsidR="00AE2255" w:rsidRDefault="00000000">
      <w:pPr>
        <w:pStyle w:val="BodyText"/>
        <w:spacing w:before="41" w:line="280" w:lineRule="atLeast"/>
        <w:ind w:left="752" w:right="8694"/>
      </w:pPr>
      <w:r>
        <w:pict w14:anchorId="4F70DB5C">
          <v:group id="docshapegroup109" o:spid="_x0000_s2092" style="position:absolute;left:0;text-align:left;margin-left:54pt;margin-top:16.95pt;width:249.75pt;height:1pt;z-index:15760896;mso-position-horizontal-relative:page" coordorigin="1080,339" coordsize="4995,20">
            <v:shape id="docshape110" o:spid="_x0000_s2094" style="position:absolute;left:1080;top:349;width:4995;height:2" coordorigin="1080,349" coordsize="4995,0" path="m6075,349r-4995,e" fillcolor="black" stroked="f">
              <v:fill opacity="0"/>
              <v:path arrowok="t"/>
            </v:shape>
            <v:line id="_x0000_s2093" style="position:absolute" from="1080,349" to="6075,349" strokeweight="1pt"/>
            <w10:wrap anchorx="page"/>
          </v:group>
        </w:pict>
      </w:r>
      <w:r>
        <w:t>/s/ David B. Burritt DAVID</w:t>
      </w:r>
      <w:r>
        <w:rPr>
          <w:spacing w:val="-13"/>
        </w:rPr>
        <w:t xml:space="preserve"> </w:t>
      </w:r>
      <w:r>
        <w:t>B.</w:t>
      </w:r>
      <w:r>
        <w:rPr>
          <w:spacing w:val="-12"/>
        </w:rPr>
        <w:t xml:space="preserve"> </w:t>
      </w:r>
      <w:r>
        <w:t>BURRITT</w:t>
      </w:r>
    </w:p>
    <w:p w14:paraId="13F34268" w14:textId="77777777" w:rsidR="00AE2255" w:rsidRDefault="00000000">
      <w:pPr>
        <w:pStyle w:val="BodyText"/>
        <w:spacing w:line="198" w:lineRule="exact"/>
        <w:ind w:left="752"/>
      </w:pPr>
      <w:r>
        <w:rPr>
          <w:spacing w:val="-2"/>
        </w:rPr>
        <w:t>Director</w:t>
      </w:r>
    </w:p>
    <w:p w14:paraId="76473A0A" w14:textId="77777777" w:rsidR="00AE2255" w:rsidRDefault="00AE2255">
      <w:pPr>
        <w:pStyle w:val="BodyText"/>
        <w:spacing w:before="2"/>
        <w:rPr>
          <w:sz w:val="27"/>
        </w:rPr>
      </w:pPr>
    </w:p>
    <w:p w14:paraId="258A7C8F" w14:textId="77777777" w:rsidR="00AE2255" w:rsidRDefault="00000000">
      <w:pPr>
        <w:pStyle w:val="BodyText"/>
        <w:spacing w:before="92"/>
        <w:ind w:left="610"/>
      </w:pPr>
      <w:r>
        <w:t>January</w:t>
      </w:r>
      <w:r>
        <w:rPr>
          <w:spacing w:val="-2"/>
        </w:rPr>
        <w:t xml:space="preserve"> </w:t>
      </w:r>
      <w:r>
        <w:t>18,</w:t>
      </w:r>
      <w:r>
        <w:rPr>
          <w:spacing w:val="-1"/>
        </w:rPr>
        <w:t xml:space="preserve"> </w:t>
      </w:r>
      <w:r>
        <w:rPr>
          <w:spacing w:val="-4"/>
        </w:rPr>
        <w:t>2023</w:t>
      </w:r>
    </w:p>
    <w:p w14:paraId="4CD93538" w14:textId="77777777" w:rsidR="00AE2255" w:rsidRDefault="00AE2255">
      <w:pPr>
        <w:sectPr w:rsidR="00AE2255" w:rsidSect="00257030">
          <w:headerReference w:type="default" r:id="rId167"/>
          <w:footerReference w:type="default" r:id="rId168"/>
          <w:pgSz w:w="12240" w:h="15840"/>
          <w:pgMar w:top="1440" w:right="562" w:bottom="274" w:left="374" w:header="0" w:footer="0" w:gutter="0"/>
          <w:cols w:space="720"/>
          <w:docGrid w:linePitch="299"/>
        </w:sectPr>
      </w:pPr>
    </w:p>
    <w:p w14:paraId="0E37A1C3" w14:textId="77777777" w:rsidR="00F42115" w:rsidRDefault="00F42115" w:rsidP="00F42115">
      <w:pPr>
        <w:pStyle w:val="Heading1"/>
        <w:spacing w:before="91" w:line="501" w:lineRule="auto"/>
        <w:ind w:left="3935" w:right="3291"/>
      </w:pPr>
      <w:r>
        <w:lastRenderedPageBreak/>
        <w:t xml:space="preserve">POWER OF ATTORNEY </w:t>
      </w:r>
    </w:p>
    <w:p w14:paraId="07458139" w14:textId="77777777" w:rsidR="00F42115" w:rsidRDefault="00F42115" w:rsidP="00F42115">
      <w:pPr>
        <w:pStyle w:val="Heading1"/>
        <w:spacing w:before="91" w:line="501" w:lineRule="auto"/>
        <w:ind w:left="3600" w:right="3291"/>
      </w:pPr>
      <w:r>
        <w:t>LOCKHEED</w:t>
      </w:r>
      <w:r>
        <w:rPr>
          <w:spacing w:val="-13"/>
        </w:rPr>
        <w:t xml:space="preserve"> </w:t>
      </w:r>
      <w:r>
        <w:t>MARTIN</w:t>
      </w:r>
      <w:r>
        <w:rPr>
          <w:spacing w:val="-12"/>
        </w:rPr>
        <w:t xml:space="preserve"> </w:t>
      </w:r>
      <w:r>
        <w:t>CORPORATION</w:t>
      </w:r>
    </w:p>
    <w:p w14:paraId="107B10D9"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5C41FD97" w14:textId="77777777" w:rsidR="00F42115" w:rsidRDefault="00F42115" w:rsidP="00F42115">
      <w:pPr>
        <w:pStyle w:val="BodyText"/>
        <w:spacing w:before="4"/>
        <w:rPr>
          <w:sz w:val="21"/>
        </w:rPr>
      </w:pPr>
    </w:p>
    <w:p w14:paraId="6AAA82DD"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2A6B3F8A" w14:textId="77777777" w:rsidR="00F42115" w:rsidRDefault="00F42115" w:rsidP="00F42115">
      <w:pPr>
        <w:pStyle w:val="BodyText"/>
        <w:spacing w:before="2"/>
        <w:rPr>
          <w:sz w:val="21"/>
        </w:rPr>
      </w:pPr>
    </w:p>
    <w:p w14:paraId="43DB72D2" w14:textId="77777777" w:rsidR="00AE2255" w:rsidRDefault="00AE2255">
      <w:pPr>
        <w:pStyle w:val="BodyText"/>
      </w:pPr>
    </w:p>
    <w:p w14:paraId="54D0B515" w14:textId="77777777" w:rsidR="00AE2255" w:rsidRDefault="00AE2255">
      <w:pPr>
        <w:pStyle w:val="BodyText"/>
        <w:spacing w:before="2"/>
        <w:rPr>
          <w:sz w:val="21"/>
        </w:rPr>
      </w:pPr>
    </w:p>
    <w:p w14:paraId="65BFDBD1" w14:textId="77777777" w:rsidR="00AE2255" w:rsidRDefault="00000000">
      <w:pPr>
        <w:pStyle w:val="BodyText"/>
        <w:spacing w:before="41" w:line="280" w:lineRule="atLeast"/>
        <w:ind w:left="752" w:right="8268"/>
      </w:pPr>
      <w:r>
        <w:pict w14:anchorId="379C2526">
          <v:group id="docshapegroup115" o:spid="_x0000_s2089" style="position:absolute;left:0;text-align:left;margin-left:54pt;margin-top:16.95pt;width:249.75pt;height:1pt;z-index:15761408;mso-position-horizontal-relative:page" coordorigin="1080,339" coordsize="4995,20">
            <v:shape id="docshape116" o:spid="_x0000_s2091" style="position:absolute;left:1080;top:349;width:4995;height:2" coordorigin="1080,349" coordsize="4995,0" path="m6075,349r-4995,e" fillcolor="black" stroked="f">
              <v:fill opacity="0"/>
              <v:path arrowok="t"/>
            </v:shape>
            <v:line id="_x0000_s2090" style="position:absolute" from="1080,349" to="6075,349" strokeweight="1pt"/>
            <w10:wrap anchorx="page"/>
          </v:group>
        </w:pict>
      </w:r>
      <w:r>
        <w:t>/s/ Bruce A. Carlson BRUCE</w:t>
      </w:r>
      <w:r>
        <w:rPr>
          <w:spacing w:val="-13"/>
        </w:rPr>
        <w:t xml:space="preserve"> </w:t>
      </w:r>
      <w:r>
        <w:t>A.</w:t>
      </w:r>
      <w:r>
        <w:rPr>
          <w:spacing w:val="-12"/>
        </w:rPr>
        <w:t xml:space="preserve"> </w:t>
      </w:r>
      <w:r>
        <w:t>CARLSON</w:t>
      </w:r>
    </w:p>
    <w:p w14:paraId="0C60BE11" w14:textId="77777777" w:rsidR="00AE2255" w:rsidRDefault="00000000">
      <w:pPr>
        <w:pStyle w:val="BodyText"/>
        <w:spacing w:line="198" w:lineRule="exact"/>
        <w:ind w:left="752"/>
      </w:pPr>
      <w:r>
        <w:rPr>
          <w:spacing w:val="-2"/>
        </w:rPr>
        <w:t>Director</w:t>
      </w:r>
    </w:p>
    <w:p w14:paraId="76683D2E" w14:textId="77777777" w:rsidR="00AE2255" w:rsidRDefault="00AE2255">
      <w:pPr>
        <w:pStyle w:val="BodyText"/>
        <w:spacing w:before="2"/>
        <w:rPr>
          <w:sz w:val="27"/>
        </w:rPr>
      </w:pPr>
    </w:p>
    <w:p w14:paraId="180017F5" w14:textId="77777777" w:rsidR="00AE2255" w:rsidRDefault="00000000">
      <w:pPr>
        <w:pStyle w:val="BodyText"/>
        <w:spacing w:before="92"/>
        <w:ind w:left="610"/>
      </w:pPr>
      <w:r>
        <w:t>January</w:t>
      </w:r>
      <w:r>
        <w:rPr>
          <w:spacing w:val="-2"/>
        </w:rPr>
        <w:t xml:space="preserve"> </w:t>
      </w:r>
      <w:r>
        <w:t>18,</w:t>
      </w:r>
      <w:r>
        <w:rPr>
          <w:spacing w:val="-1"/>
        </w:rPr>
        <w:t xml:space="preserve"> </w:t>
      </w:r>
      <w:r>
        <w:rPr>
          <w:spacing w:val="-4"/>
        </w:rPr>
        <w:t>2023</w:t>
      </w:r>
    </w:p>
    <w:p w14:paraId="56A3CA6D" w14:textId="77777777" w:rsidR="00AE2255" w:rsidRDefault="00AE2255">
      <w:pPr>
        <w:sectPr w:rsidR="00AE2255" w:rsidSect="00257030">
          <w:headerReference w:type="default" r:id="rId169"/>
          <w:footerReference w:type="default" r:id="rId170"/>
          <w:pgSz w:w="12240" w:h="15840"/>
          <w:pgMar w:top="1440" w:right="562" w:bottom="274" w:left="374" w:header="806" w:footer="0" w:gutter="0"/>
          <w:cols w:space="720"/>
        </w:sectPr>
      </w:pPr>
    </w:p>
    <w:p w14:paraId="649988D1" w14:textId="77777777" w:rsidR="00AE2255" w:rsidRDefault="00AE2255">
      <w:pPr>
        <w:pStyle w:val="BodyText"/>
      </w:pPr>
    </w:p>
    <w:p w14:paraId="7122B63B" w14:textId="2A2D0A47" w:rsidR="00AE2255" w:rsidRDefault="00AE2255">
      <w:pPr>
        <w:pStyle w:val="BodyText"/>
        <w:spacing w:before="2"/>
        <w:rPr>
          <w:sz w:val="21"/>
        </w:rPr>
      </w:pPr>
    </w:p>
    <w:p w14:paraId="1887A19A" w14:textId="77777777" w:rsidR="00F42115" w:rsidRDefault="00F42115" w:rsidP="00F42115">
      <w:pPr>
        <w:pStyle w:val="Heading1"/>
        <w:spacing w:before="91" w:line="501" w:lineRule="auto"/>
        <w:ind w:left="3935" w:right="3291"/>
      </w:pPr>
      <w:r>
        <w:t xml:space="preserve">POWER OF ATTORNEY </w:t>
      </w:r>
    </w:p>
    <w:p w14:paraId="264F46BF" w14:textId="77777777" w:rsidR="00F42115" w:rsidRDefault="00F42115" w:rsidP="00F42115">
      <w:pPr>
        <w:pStyle w:val="Heading1"/>
        <w:spacing w:before="91" w:line="501" w:lineRule="auto"/>
        <w:ind w:left="3600" w:right="3291"/>
      </w:pPr>
      <w:r>
        <w:t>LOCKHEED</w:t>
      </w:r>
      <w:r>
        <w:rPr>
          <w:spacing w:val="-13"/>
        </w:rPr>
        <w:t xml:space="preserve"> </w:t>
      </w:r>
      <w:r>
        <w:t>MARTIN</w:t>
      </w:r>
      <w:r>
        <w:rPr>
          <w:spacing w:val="-12"/>
        </w:rPr>
        <w:t xml:space="preserve"> </w:t>
      </w:r>
      <w:r>
        <w:t>CORPORATION</w:t>
      </w:r>
    </w:p>
    <w:p w14:paraId="4A59D0E6"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72AFD447" w14:textId="77777777" w:rsidR="00F42115" w:rsidRDefault="00F42115" w:rsidP="00F42115">
      <w:pPr>
        <w:pStyle w:val="BodyText"/>
        <w:spacing w:before="4"/>
        <w:rPr>
          <w:sz w:val="21"/>
        </w:rPr>
      </w:pPr>
    </w:p>
    <w:p w14:paraId="5E6FA7FE"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7C8CB361" w14:textId="77777777" w:rsidR="00F42115" w:rsidRDefault="00F42115" w:rsidP="00F42115">
      <w:pPr>
        <w:pStyle w:val="BodyText"/>
        <w:spacing w:before="2"/>
        <w:rPr>
          <w:sz w:val="21"/>
        </w:rPr>
      </w:pPr>
    </w:p>
    <w:p w14:paraId="1CF00AE1" w14:textId="3FDE1F59" w:rsidR="00F42115" w:rsidRDefault="00F42115">
      <w:pPr>
        <w:pStyle w:val="BodyText"/>
        <w:spacing w:before="2"/>
        <w:rPr>
          <w:sz w:val="21"/>
        </w:rPr>
      </w:pPr>
    </w:p>
    <w:p w14:paraId="4765695B" w14:textId="77777777" w:rsidR="00F42115" w:rsidRDefault="00F42115">
      <w:pPr>
        <w:pStyle w:val="BodyText"/>
        <w:spacing w:before="2"/>
        <w:rPr>
          <w:sz w:val="21"/>
        </w:rPr>
      </w:pPr>
    </w:p>
    <w:p w14:paraId="5BB5DC62" w14:textId="77777777" w:rsidR="00AE2255" w:rsidRDefault="00000000">
      <w:pPr>
        <w:pStyle w:val="BodyText"/>
        <w:spacing w:before="41" w:line="280" w:lineRule="atLeast"/>
        <w:ind w:left="752" w:right="8694"/>
      </w:pPr>
      <w:r>
        <w:pict w14:anchorId="7C49FCA4">
          <v:group id="docshapegroup121" o:spid="_x0000_s2086" style="position:absolute;left:0;text-align:left;margin-left:54pt;margin-top:16.95pt;width:249.75pt;height:1pt;z-index:15761920;mso-position-horizontal-relative:page" coordorigin="1080,339" coordsize="4995,20">
            <v:shape id="docshape122" o:spid="_x0000_s2088" style="position:absolute;left:1080;top:349;width:4995;height:2" coordorigin="1080,349" coordsize="4995,0" path="m6075,349r-4995,e" fillcolor="black" stroked="f">
              <v:fill opacity="0"/>
              <v:path arrowok="t"/>
            </v:shape>
            <v:line id="_x0000_s2087" style="position:absolute" from="1080,349" to="6075,349" strokeweight="1pt"/>
            <w10:wrap anchorx="page"/>
          </v:group>
        </w:pict>
      </w:r>
      <w:r>
        <w:t>/s/ John M. Donovan JOHN</w:t>
      </w:r>
      <w:r>
        <w:rPr>
          <w:spacing w:val="-13"/>
        </w:rPr>
        <w:t xml:space="preserve"> </w:t>
      </w:r>
      <w:r>
        <w:t>M.</w:t>
      </w:r>
      <w:r>
        <w:rPr>
          <w:spacing w:val="-12"/>
        </w:rPr>
        <w:t xml:space="preserve"> </w:t>
      </w:r>
      <w:r>
        <w:t>DONOVAN</w:t>
      </w:r>
    </w:p>
    <w:p w14:paraId="6AD48B9E" w14:textId="77777777" w:rsidR="00AE2255" w:rsidRDefault="00000000">
      <w:pPr>
        <w:pStyle w:val="BodyText"/>
        <w:spacing w:line="198" w:lineRule="exact"/>
        <w:ind w:left="752"/>
      </w:pPr>
      <w:r>
        <w:rPr>
          <w:spacing w:val="-2"/>
        </w:rPr>
        <w:t>Director</w:t>
      </w:r>
    </w:p>
    <w:p w14:paraId="76FD1B70" w14:textId="77777777" w:rsidR="00AE2255" w:rsidRDefault="00AE2255">
      <w:pPr>
        <w:pStyle w:val="BodyText"/>
        <w:spacing w:before="2"/>
        <w:rPr>
          <w:sz w:val="27"/>
        </w:rPr>
      </w:pPr>
    </w:p>
    <w:p w14:paraId="67129F61" w14:textId="77777777" w:rsidR="00AE2255" w:rsidRDefault="00000000">
      <w:pPr>
        <w:pStyle w:val="BodyText"/>
        <w:spacing w:before="92"/>
        <w:ind w:left="610"/>
      </w:pPr>
      <w:r>
        <w:t>January</w:t>
      </w:r>
      <w:r>
        <w:rPr>
          <w:spacing w:val="-2"/>
        </w:rPr>
        <w:t xml:space="preserve"> </w:t>
      </w:r>
      <w:r>
        <w:t>18,</w:t>
      </w:r>
      <w:r>
        <w:rPr>
          <w:spacing w:val="-1"/>
        </w:rPr>
        <w:t xml:space="preserve"> </w:t>
      </w:r>
      <w:r>
        <w:rPr>
          <w:spacing w:val="-4"/>
        </w:rPr>
        <w:t>2023</w:t>
      </w:r>
    </w:p>
    <w:p w14:paraId="50794AA4" w14:textId="77777777" w:rsidR="00AE2255" w:rsidRDefault="00AE2255">
      <w:pPr>
        <w:sectPr w:rsidR="00AE2255" w:rsidSect="00257030">
          <w:headerReference w:type="default" r:id="rId171"/>
          <w:footerReference w:type="default" r:id="rId172"/>
          <w:pgSz w:w="12240" w:h="15840"/>
          <w:pgMar w:top="1440" w:right="562" w:bottom="274" w:left="374" w:header="806" w:footer="0" w:gutter="0"/>
          <w:cols w:space="720"/>
        </w:sectPr>
      </w:pPr>
    </w:p>
    <w:p w14:paraId="49BE7E95"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58315FD3" w14:textId="77777777" w:rsidR="00AE2255" w:rsidRDefault="00AE2255">
      <w:pPr>
        <w:pStyle w:val="BodyText"/>
      </w:pPr>
    </w:p>
    <w:p w14:paraId="719B782C"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745E1D27" w14:textId="77777777" w:rsidR="00F42115" w:rsidRDefault="00F42115" w:rsidP="00F42115">
      <w:pPr>
        <w:pStyle w:val="BodyText"/>
        <w:spacing w:before="4"/>
        <w:rPr>
          <w:sz w:val="21"/>
        </w:rPr>
      </w:pPr>
    </w:p>
    <w:p w14:paraId="59915408"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79361138" w14:textId="087678F1" w:rsidR="00AE2255" w:rsidRDefault="00AE2255">
      <w:pPr>
        <w:pStyle w:val="BodyText"/>
        <w:spacing w:before="2"/>
        <w:rPr>
          <w:sz w:val="21"/>
        </w:rPr>
      </w:pPr>
    </w:p>
    <w:p w14:paraId="440A7757" w14:textId="77777777" w:rsidR="00F42115" w:rsidRDefault="00F42115">
      <w:pPr>
        <w:pStyle w:val="BodyText"/>
        <w:spacing w:before="2"/>
        <w:rPr>
          <w:sz w:val="21"/>
        </w:rPr>
      </w:pPr>
    </w:p>
    <w:p w14:paraId="1540277C" w14:textId="77777777" w:rsidR="00F42115" w:rsidRDefault="00F42115">
      <w:pPr>
        <w:pStyle w:val="BodyText"/>
        <w:spacing w:before="2"/>
        <w:rPr>
          <w:sz w:val="21"/>
        </w:rPr>
      </w:pPr>
    </w:p>
    <w:p w14:paraId="2A3F7CF1" w14:textId="77777777" w:rsidR="00AE2255" w:rsidRDefault="00000000">
      <w:pPr>
        <w:pStyle w:val="BodyText"/>
        <w:spacing w:before="41" w:line="280" w:lineRule="atLeast"/>
        <w:ind w:left="752" w:right="7857"/>
      </w:pPr>
      <w:r>
        <w:pict w14:anchorId="3D6E179D">
          <v:group id="docshapegroup127" o:spid="_x0000_s2083" style="position:absolute;left:0;text-align:left;margin-left:54pt;margin-top:16.95pt;width:249.75pt;height:1pt;z-index:15762432;mso-position-horizontal-relative:page" coordorigin="1080,339" coordsize="4995,20">
            <v:shape id="docshape128" o:spid="_x0000_s2085" style="position:absolute;left:1080;top:349;width:4995;height:2" coordorigin="1080,349" coordsize="4995,0" path="m6075,349r-4995,e" fillcolor="black" stroked="f">
              <v:fill opacity="0"/>
              <v:path arrowok="t"/>
            </v:shape>
            <v:line id="_x0000_s2084" style="position:absolute" from="1080,349" to="6075,349" strokeweight="1pt"/>
            <w10:wrap anchorx="page"/>
          </v:group>
        </w:pict>
      </w:r>
      <w:r>
        <w:t>/s/ Joseph F. Dunford, Jr. JOSEPH</w:t>
      </w:r>
      <w:r>
        <w:rPr>
          <w:spacing w:val="-13"/>
        </w:rPr>
        <w:t xml:space="preserve"> </w:t>
      </w:r>
      <w:r>
        <w:t>F.</w:t>
      </w:r>
      <w:r>
        <w:rPr>
          <w:spacing w:val="-12"/>
        </w:rPr>
        <w:t xml:space="preserve"> </w:t>
      </w:r>
      <w:r>
        <w:t>DUNFORD,</w:t>
      </w:r>
      <w:r>
        <w:rPr>
          <w:spacing w:val="-13"/>
        </w:rPr>
        <w:t xml:space="preserve"> </w:t>
      </w:r>
      <w:r>
        <w:t>JR.</w:t>
      </w:r>
    </w:p>
    <w:p w14:paraId="60A8FD18" w14:textId="77777777" w:rsidR="00AE2255" w:rsidRDefault="00000000">
      <w:pPr>
        <w:pStyle w:val="BodyText"/>
        <w:spacing w:line="198" w:lineRule="exact"/>
        <w:ind w:left="752"/>
      </w:pPr>
      <w:r>
        <w:rPr>
          <w:spacing w:val="-2"/>
        </w:rPr>
        <w:t>Director</w:t>
      </w:r>
    </w:p>
    <w:p w14:paraId="4E026FDD" w14:textId="77777777" w:rsidR="00AE2255" w:rsidRDefault="00AE2255">
      <w:pPr>
        <w:pStyle w:val="BodyText"/>
        <w:spacing w:before="2"/>
        <w:rPr>
          <w:sz w:val="27"/>
        </w:rPr>
      </w:pPr>
    </w:p>
    <w:p w14:paraId="4E8A4B93" w14:textId="77777777" w:rsidR="00AE2255" w:rsidRDefault="00000000">
      <w:pPr>
        <w:pStyle w:val="BodyText"/>
        <w:spacing w:before="92"/>
        <w:ind w:left="610"/>
      </w:pPr>
      <w:r>
        <w:t>January</w:t>
      </w:r>
      <w:r>
        <w:rPr>
          <w:spacing w:val="-2"/>
        </w:rPr>
        <w:t xml:space="preserve"> </w:t>
      </w:r>
      <w:r>
        <w:t>20,</w:t>
      </w:r>
      <w:r>
        <w:rPr>
          <w:spacing w:val="-1"/>
        </w:rPr>
        <w:t xml:space="preserve"> </w:t>
      </w:r>
      <w:r>
        <w:rPr>
          <w:spacing w:val="-4"/>
        </w:rPr>
        <w:t>2023</w:t>
      </w:r>
    </w:p>
    <w:p w14:paraId="2A821B86" w14:textId="77777777" w:rsidR="00AE2255" w:rsidRDefault="00AE2255">
      <w:pPr>
        <w:sectPr w:rsidR="00AE2255" w:rsidSect="00257030">
          <w:headerReference w:type="default" r:id="rId173"/>
          <w:footerReference w:type="default" r:id="rId174"/>
          <w:pgSz w:w="12240" w:h="15840"/>
          <w:pgMar w:top="1440" w:right="562" w:bottom="274" w:left="374" w:header="806" w:footer="0" w:gutter="0"/>
          <w:cols w:space="720"/>
        </w:sectPr>
      </w:pPr>
    </w:p>
    <w:p w14:paraId="2CA4FF8F"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5C66A457" w14:textId="77777777" w:rsidR="00AE2255" w:rsidRDefault="00AE2255">
      <w:pPr>
        <w:pStyle w:val="BodyText"/>
      </w:pPr>
    </w:p>
    <w:p w14:paraId="3751A248"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51CB62CC" w14:textId="77777777" w:rsidR="00F42115" w:rsidRDefault="00F42115" w:rsidP="00F42115">
      <w:pPr>
        <w:pStyle w:val="BodyText"/>
        <w:spacing w:before="4"/>
        <w:rPr>
          <w:sz w:val="21"/>
        </w:rPr>
      </w:pPr>
    </w:p>
    <w:p w14:paraId="029A0042"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68BB9471" w14:textId="690896C7" w:rsidR="00AE2255" w:rsidRDefault="00AE2255">
      <w:pPr>
        <w:pStyle w:val="BodyText"/>
        <w:spacing w:before="2"/>
        <w:rPr>
          <w:sz w:val="21"/>
        </w:rPr>
      </w:pPr>
    </w:p>
    <w:p w14:paraId="098D2FFB" w14:textId="77777777" w:rsidR="00F42115" w:rsidRDefault="00F42115">
      <w:pPr>
        <w:pStyle w:val="BodyText"/>
        <w:spacing w:before="2"/>
        <w:rPr>
          <w:sz w:val="21"/>
        </w:rPr>
      </w:pPr>
    </w:p>
    <w:p w14:paraId="7F3A9009" w14:textId="77777777" w:rsidR="00AE2255" w:rsidRDefault="00000000">
      <w:pPr>
        <w:pStyle w:val="BodyText"/>
        <w:spacing w:before="41" w:line="280" w:lineRule="atLeast"/>
        <w:ind w:left="752" w:right="8694"/>
      </w:pPr>
      <w:r>
        <w:pict w14:anchorId="438CBB93">
          <v:group id="docshapegroup133" o:spid="_x0000_s2080" style="position:absolute;left:0;text-align:left;margin-left:54pt;margin-top:16.95pt;width:249.75pt;height:1pt;z-index:15762944;mso-position-horizontal-relative:page" coordorigin="1080,339" coordsize="4995,20">
            <v:shape id="docshape134" o:spid="_x0000_s2082" style="position:absolute;left:1080;top:349;width:4995;height:2" coordorigin="1080,349" coordsize="4995,0" path="m6075,349r-4995,e" fillcolor="black" stroked="f">
              <v:fill opacity="0"/>
              <v:path arrowok="t"/>
            </v:shape>
            <v:line id="_x0000_s2081" style="position:absolute" from="1080,349" to="6075,349" strokeweight="1pt"/>
            <w10:wrap anchorx="page"/>
          </v:group>
        </w:pict>
      </w:r>
      <w:r>
        <w:t>/s/ James O. Ellis, Jr. JAMES</w:t>
      </w:r>
      <w:r>
        <w:rPr>
          <w:spacing w:val="-13"/>
        </w:rPr>
        <w:t xml:space="preserve"> </w:t>
      </w:r>
      <w:r>
        <w:t>O.</w:t>
      </w:r>
      <w:r>
        <w:rPr>
          <w:spacing w:val="-12"/>
        </w:rPr>
        <w:t xml:space="preserve"> </w:t>
      </w:r>
      <w:r>
        <w:t>ELLIS,</w:t>
      </w:r>
      <w:r>
        <w:rPr>
          <w:spacing w:val="-13"/>
        </w:rPr>
        <w:t xml:space="preserve"> </w:t>
      </w:r>
      <w:r>
        <w:t>JR.</w:t>
      </w:r>
    </w:p>
    <w:p w14:paraId="04B49312" w14:textId="77777777" w:rsidR="00AE2255" w:rsidRDefault="00000000">
      <w:pPr>
        <w:pStyle w:val="BodyText"/>
        <w:spacing w:line="198" w:lineRule="exact"/>
        <w:ind w:left="752"/>
      </w:pPr>
      <w:r>
        <w:rPr>
          <w:spacing w:val="-2"/>
        </w:rPr>
        <w:t>Director</w:t>
      </w:r>
    </w:p>
    <w:p w14:paraId="1E7ADF4D" w14:textId="77777777" w:rsidR="00AE2255" w:rsidRDefault="00AE2255">
      <w:pPr>
        <w:pStyle w:val="BodyText"/>
        <w:spacing w:before="2"/>
        <w:rPr>
          <w:sz w:val="27"/>
        </w:rPr>
      </w:pPr>
    </w:p>
    <w:p w14:paraId="6AD54491" w14:textId="77777777" w:rsidR="00AE2255" w:rsidRDefault="00000000">
      <w:pPr>
        <w:pStyle w:val="BodyText"/>
        <w:spacing w:before="92"/>
        <w:ind w:left="610"/>
      </w:pPr>
      <w:r>
        <w:t>January</w:t>
      </w:r>
      <w:r>
        <w:rPr>
          <w:spacing w:val="-2"/>
        </w:rPr>
        <w:t xml:space="preserve"> </w:t>
      </w:r>
      <w:r>
        <w:t>19,</w:t>
      </w:r>
      <w:r>
        <w:rPr>
          <w:spacing w:val="-1"/>
        </w:rPr>
        <w:t xml:space="preserve"> </w:t>
      </w:r>
      <w:r>
        <w:rPr>
          <w:spacing w:val="-4"/>
        </w:rPr>
        <w:t>2023</w:t>
      </w:r>
    </w:p>
    <w:p w14:paraId="12B46657" w14:textId="77777777" w:rsidR="00AE2255" w:rsidRDefault="00AE2255">
      <w:pPr>
        <w:sectPr w:rsidR="00AE2255" w:rsidSect="00257030">
          <w:headerReference w:type="default" r:id="rId175"/>
          <w:footerReference w:type="default" r:id="rId176"/>
          <w:pgSz w:w="12240" w:h="15840"/>
          <w:pgMar w:top="1440" w:right="562" w:bottom="274" w:left="374" w:header="806" w:footer="0" w:gutter="0"/>
          <w:cols w:space="720"/>
        </w:sectPr>
      </w:pPr>
    </w:p>
    <w:p w14:paraId="50ECC8D8"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2DC6CE3B" w14:textId="77777777" w:rsidR="00AE2255" w:rsidRDefault="00AE2255">
      <w:pPr>
        <w:pStyle w:val="BodyText"/>
      </w:pPr>
    </w:p>
    <w:p w14:paraId="27239778"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1B768DE5" w14:textId="77777777" w:rsidR="00F42115" w:rsidRDefault="00F42115" w:rsidP="00F42115">
      <w:pPr>
        <w:pStyle w:val="BodyText"/>
        <w:spacing w:before="4"/>
        <w:rPr>
          <w:sz w:val="21"/>
        </w:rPr>
      </w:pPr>
    </w:p>
    <w:p w14:paraId="2E2E3F9E"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3EE270DF" w14:textId="60910A83" w:rsidR="00AE2255" w:rsidRDefault="00AE2255">
      <w:pPr>
        <w:pStyle w:val="BodyText"/>
        <w:spacing w:before="2"/>
        <w:rPr>
          <w:sz w:val="21"/>
        </w:rPr>
      </w:pPr>
    </w:p>
    <w:p w14:paraId="374D2F7D" w14:textId="77777777" w:rsidR="00F42115" w:rsidRDefault="00F42115">
      <w:pPr>
        <w:pStyle w:val="BodyText"/>
        <w:spacing w:before="2"/>
        <w:rPr>
          <w:sz w:val="21"/>
        </w:rPr>
      </w:pPr>
    </w:p>
    <w:p w14:paraId="1010E0C6" w14:textId="77777777" w:rsidR="00AE2255" w:rsidRDefault="00000000">
      <w:pPr>
        <w:pStyle w:val="BodyText"/>
        <w:spacing w:before="41" w:line="280" w:lineRule="atLeast"/>
        <w:ind w:left="752" w:right="8694"/>
      </w:pPr>
      <w:r>
        <w:pict w14:anchorId="0904D291">
          <v:group id="docshapegroup139" o:spid="_x0000_s2077" style="position:absolute;left:0;text-align:left;margin-left:54pt;margin-top:16.95pt;width:249.75pt;height:1pt;z-index:15763456;mso-position-horizontal-relative:page" coordorigin="1080,339" coordsize="4995,20">
            <v:shape id="docshape140" o:spid="_x0000_s2079" style="position:absolute;left:1080;top:349;width:4995;height:2" coordorigin="1080,349" coordsize="4995,0" path="m6075,349r-4995,e" fillcolor="black" stroked="f">
              <v:fill opacity="0"/>
              <v:path arrowok="t"/>
            </v:shape>
            <v:line id="_x0000_s2078" style="position:absolute" from="1080,349" to="6075,349" strokeweight="1pt"/>
            <w10:wrap anchorx="page"/>
          </v:group>
        </w:pict>
      </w:r>
      <w:r>
        <w:t>/s/ Thomas J. Falk THOMAS</w:t>
      </w:r>
      <w:r>
        <w:rPr>
          <w:spacing w:val="-13"/>
        </w:rPr>
        <w:t xml:space="preserve"> </w:t>
      </w:r>
      <w:r>
        <w:t>J.</w:t>
      </w:r>
      <w:r>
        <w:rPr>
          <w:spacing w:val="-12"/>
        </w:rPr>
        <w:t xml:space="preserve"> </w:t>
      </w:r>
      <w:r>
        <w:t>FALK</w:t>
      </w:r>
    </w:p>
    <w:p w14:paraId="728BC386" w14:textId="77777777" w:rsidR="00AE2255" w:rsidRDefault="00000000">
      <w:pPr>
        <w:pStyle w:val="BodyText"/>
        <w:spacing w:line="198" w:lineRule="exact"/>
        <w:ind w:left="752"/>
      </w:pPr>
      <w:r>
        <w:rPr>
          <w:spacing w:val="-2"/>
        </w:rPr>
        <w:t>Director</w:t>
      </w:r>
    </w:p>
    <w:p w14:paraId="76D8E356" w14:textId="77777777" w:rsidR="00AE2255" w:rsidRDefault="00AE2255">
      <w:pPr>
        <w:pStyle w:val="BodyText"/>
        <w:spacing w:before="2"/>
        <w:rPr>
          <w:sz w:val="27"/>
        </w:rPr>
      </w:pPr>
    </w:p>
    <w:p w14:paraId="79965D97" w14:textId="77777777" w:rsidR="00AE2255" w:rsidRDefault="00000000">
      <w:pPr>
        <w:pStyle w:val="BodyText"/>
        <w:spacing w:before="92"/>
        <w:ind w:left="610"/>
      </w:pPr>
      <w:r>
        <w:t>January</w:t>
      </w:r>
      <w:r>
        <w:rPr>
          <w:spacing w:val="-2"/>
        </w:rPr>
        <w:t xml:space="preserve"> </w:t>
      </w:r>
      <w:r>
        <w:t>18,</w:t>
      </w:r>
      <w:r>
        <w:rPr>
          <w:spacing w:val="-1"/>
        </w:rPr>
        <w:t xml:space="preserve"> </w:t>
      </w:r>
      <w:r>
        <w:rPr>
          <w:spacing w:val="-4"/>
        </w:rPr>
        <w:t>2023</w:t>
      </w:r>
    </w:p>
    <w:p w14:paraId="189153BB" w14:textId="77777777" w:rsidR="00AE2255" w:rsidRDefault="00AE2255">
      <w:pPr>
        <w:sectPr w:rsidR="00AE2255" w:rsidSect="00257030">
          <w:headerReference w:type="default" r:id="rId177"/>
          <w:footerReference w:type="default" r:id="rId178"/>
          <w:pgSz w:w="12240" w:h="15840"/>
          <w:pgMar w:top="1440" w:right="562" w:bottom="274" w:left="374" w:header="806" w:footer="0" w:gutter="0"/>
          <w:cols w:space="720"/>
        </w:sectPr>
      </w:pPr>
    </w:p>
    <w:p w14:paraId="26E1F3A4"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1A45F9BD" w14:textId="3F4B576E" w:rsidR="00AE2255" w:rsidRDefault="00AE2255">
      <w:pPr>
        <w:pStyle w:val="BodyText"/>
      </w:pPr>
    </w:p>
    <w:p w14:paraId="0AF32D37" w14:textId="7AE878F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w:t>
      </w:r>
      <w:r w:rsidR="00E759F8">
        <w:t>er</w:t>
      </w:r>
      <w:r>
        <w:t xml:space="preserve"> and in h</w:t>
      </w:r>
      <w:r w:rsidR="00E759F8">
        <w:t>er</w:t>
      </w:r>
      <w:r>
        <w:t xml:space="preserve">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2E1A53E6" w14:textId="77777777" w:rsidR="00F42115" w:rsidRDefault="00F42115" w:rsidP="00F42115">
      <w:pPr>
        <w:pStyle w:val="BodyText"/>
        <w:spacing w:before="4"/>
        <w:rPr>
          <w:sz w:val="21"/>
        </w:rPr>
      </w:pPr>
    </w:p>
    <w:p w14:paraId="43116BE1"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4865F84B" w14:textId="77777777" w:rsidR="00F42115" w:rsidRDefault="00F42115">
      <w:pPr>
        <w:pStyle w:val="BodyText"/>
      </w:pPr>
    </w:p>
    <w:p w14:paraId="098A821C" w14:textId="77777777" w:rsidR="00AE2255" w:rsidRDefault="00AE2255">
      <w:pPr>
        <w:pStyle w:val="BodyText"/>
        <w:spacing w:before="2"/>
        <w:rPr>
          <w:sz w:val="21"/>
        </w:rPr>
      </w:pPr>
    </w:p>
    <w:p w14:paraId="21AE135D" w14:textId="77777777" w:rsidR="00AE2255" w:rsidRDefault="00000000">
      <w:pPr>
        <w:pStyle w:val="BodyText"/>
        <w:spacing w:before="41" w:line="280" w:lineRule="atLeast"/>
        <w:ind w:left="752" w:right="8694"/>
      </w:pPr>
      <w:r>
        <w:pict w14:anchorId="190EC830">
          <v:group id="docshapegroup145" o:spid="_x0000_s2074" style="position:absolute;left:0;text-align:left;margin-left:54pt;margin-top:16.95pt;width:249.75pt;height:1pt;z-index:15763968;mso-position-horizontal-relative:page" coordorigin="1080,339" coordsize="4995,20">
            <v:shape id="docshape146" o:spid="_x0000_s2076" style="position:absolute;left:1080;top:349;width:4995;height:2" coordorigin="1080,349" coordsize="4995,0" path="m6075,349r-4995,e" fillcolor="black" stroked="f">
              <v:fill opacity="0"/>
              <v:path arrowok="t"/>
            </v:shape>
            <v:line id="_x0000_s2075" style="position:absolute" from="1080,349" to="6075,349" strokeweight="1pt"/>
            <w10:wrap anchorx="page"/>
          </v:group>
        </w:pict>
      </w:r>
      <w:r>
        <w:t>/s/ Ilene S. Gordon ILENE</w:t>
      </w:r>
      <w:r>
        <w:rPr>
          <w:spacing w:val="-13"/>
        </w:rPr>
        <w:t xml:space="preserve"> </w:t>
      </w:r>
      <w:r>
        <w:t>S.</w:t>
      </w:r>
      <w:r>
        <w:rPr>
          <w:spacing w:val="-12"/>
        </w:rPr>
        <w:t xml:space="preserve"> </w:t>
      </w:r>
      <w:r>
        <w:t>GORDON</w:t>
      </w:r>
    </w:p>
    <w:p w14:paraId="2E298A30" w14:textId="77777777" w:rsidR="00AE2255" w:rsidRDefault="00000000">
      <w:pPr>
        <w:pStyle w:val="BodyText"/>
        <w:spacing w:line="198" w:lineRule="exact"/>
        <w:ind w:left="752"/>
      </w:pPr>
      <w:r>
        <w:rPr>
          <w:spacing w:val="-2"/>
        </w:rPr>
        <w:t>Director</w:t>
      </w:r>
    </w:p>
    <w:p w14:paraId="0AA71E25" w14:textId="77777777" w:rsidR="00AE2255" w:rsidRDefault="00AE2255">
      <w:pPr>
        <w:pStyle w:val="BodyText"/>
        <w:spacing w:before="2"/>
        <w:rPr>
          <w:sz w:val="27"/>
        </w:rPr>
      </w:pPr>
    </w:p>
    <w:p w14:paraId="483C2897" w14:textId="77777777" w:rsidR="00AE2255" w:rsidRDefault="00000000">
      <w:pPr>
        <w:pStyle w:val="BodyText"/>
        <w:spacing w:before="92"/>
        <w:ind w:left="610"/>
      </w:pPr>
      <w:r>
        <w:t>January</w:t>
      </w:r>
      <w:r>
        <w:rPr>
          <w:spacing w:val="-2"/>
        </w:rPr>
        <w:t xml:space="preserve"> </w:t>
      </w:r>
      <w:r>
        <w:t>18,</w:t>
      </w:r>
      <w:r>
        <w:rPr>
          <w:spacing w:val="-1"/>
        </w:rPr>
        <w:t xml:space="preserve"> </w:t>
      </w:r>
      <w:r>
        <w:rPr>
          <w:spacing w:val="-4"/>
        </w:rPr>
        <w:t>2023</w:t>
      </w:r>
    </w:p>
    <w:p w14:paraId="46EDF6B5" w14:textId="77777777" w:rsidR="00AE2255" w:rsidRDefault="00AE2255">
      <w:pPr>
        <w:sectPr w:rsidR="00AE2255" w:rsidSect="00257030">
          <w:headerReference w:type="default" r:id="rId179"/>
          <w:footerReference w:type="default" r:id="rId180"/>
          <w:pgSz w:w="12240" w:h="15840"/>
          <w:pgMar w:top="1440" w:right="562" w:bottom="274" w:left="374" w:header="806" w:footer="0" w:gutter="0"/>
          <w:cols w:space="720"/>
        </w:sectPr>
      </w:pPr>
    </w:p>
    <w:p w14:paraId="454CA701"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321E4D07" w14:textId="77777777" w:rsidR="00AE2255" w:rsidRDefault="00AE2255">
      <w:pPr>
        <w:pStyle w:val="BodyText"/>
      </w:pPr>
    </w:p>
    <w:p w14:paraId="4F7DE620" w14:textId="0E6481F7" w:rsidR="00AE2255" w:rsidRDefault="00AE2255">
      <w:pPr>
        <w:pStyle w:val="BodyText"/>
        <w:spacing w:before="2"/>
        <w:rPr>
          <w:sz w:val="21"/>
        </w:rPr>
      </w:pPr>
    </w:p>
    <w:p w14:paraId="07E2F123" w14:textId="42491F8F"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w:t>
      </w:r>
      <w:r w:rsidR="00E759F8">
        <w:t>er</w:t>
      </w:r>
      <w:r>
        <w:t xml:space="preserve"> and in h</w:t>
      </w:r>
      <w:r w:rsidR="00E759F8">
        <w:t>er</w:t>
      </w:r>
      <w:r>
        <w:t xml:space="preserve">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28498051" w14:textId="77777777" w:rsidR="00F42115" w:rsidRDefault="00F42115" w:rsidP="00F42115">
      <w:pPr>
        <w:pStyle w:val="BodyText"/>
        <w:spacing w:before="4"/>
        <w:rPr>
          <w:sz w:val="21"/>
        </w:rPr>
      </w:pPr>
    </w:p>
    <w:p w14:paraId="26CC6A89"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40DA916F" w14:textId="1C0A2BB7" w:rsidR="00F42115" w:rsidRDefault="00F42115">
      <w:pPr>
        <w:pStyle w:val="BodyText"/>
        <w:spacing w:before="2"/>
        <w:rPr>
          <w:sz w:val="21"/>
        </w:rPr>
      </w:pPr>
    </w:p>
    <w:p w14:paraId="4D3BBD88" w14:textId="77777777" w:rsidR="00F42115" w:rsidRDefault="00F42115">
      <w:pPr>
        <w:pStyle w:val="BodyText"/>
        <w:spacing w:before="2"/>
        <w:rPr>
          <w:sz w:val="21"/>
        </w:rPr>
      </w:pPr>
    </w:p>
    <w:p w14:paraId="2BF238A3" w14:textId="77777777" w:rsidR="00AE2255" w:rsidRDefault="00000000">
      <w:pPr>
        <w:pStyle w:val="BodyText"/>
        <w:spacing w:before="41" w:line="280" w:lineRule="atLeast"/>
        <w:ind w:left="752" w:right="8694"/>
      </w:pPr>
      <w:r>
        <w:pict w14:anchorId="6722A629">
          <v:group id="docshapegroup151" o:spid="_x0000_s2071" style="position:absolute;left:0;text-align:left;margin-left:54pt;margin-top:16.95pt;width:249.75pt;height:1pt;z-index:15764480;mso-position-horizontal-relative:page" coordorigin="1080,339" coordsize="4995,20">
            <v:shape id="docshape152" o:spid="_x0000_s2073" style="position:absolute;left:1080;top:349;width:4995;height:2" coordorigin="1080,349" coordsize="4995,0" path="m6075,349r-4995,e" fillcolor="black" stroked="f">
              <v:fill opacity="0"/>
              <v:path arrowok="t"/>
            </v:shape>
            <v:line id="_x0000_s2072" style="position:absolute" from="1080,349" to="6075,349" strokeweight="1pt"/>
            <w10:wrap anchorx="page"/>
          </v:group>
        </w:pict>
      </w:r>
      <w:r>
        <w:t xml:space="preserve">/s/ Vicki A. </w:t>
      </w:r>
      <w:proofErr w:type="spellStart"/>
      <w:r>
        <w:t>Hollub</w:t>
      </w:r>
      <w:proofErr w:type="spellEnd"/>
      <w:r>
        <w:t xml:space="preserve"> VICKI</w:t>
      </w:r>
      <w:r>
        <w:rPr>
          <w:spacing w:val="-13"/>
        </w:rPr>
        <w:t xml:space="preserve"> </w:t>
      </w:r>
      <w:r>
        <w:t>A.</w:t>
      </w:r>
      <w:r>
        <w:rPr>
          <w:spacing w:val="-12"/>
        </w:rPr>
        <w:t xml:space="preserve"> </w:t>
      </w:r>
      <w:r>
        <w:t>HOLLUB</w:t>
      </w:r>
    </w:p>
    <w:p w14:paraId="067384FC" w14:textId="77777777" w:rsidR="00AE2255" w:rsidRDefault="00000000">
      <w:pPr>
        <w:pStyle w:val="BodyText"/>
        <w:spacing w:line="198" w:lineRule="exact"/>
        <w:ind w:left="752"/>
      </w:pPr>
      <w:r>
        <w:rPr>
          <w:spacing w:val="-2"/>
        </w:rPr>
        <w:t>Director</w:t>
      </w:r>
    </w:p>
    <w:p w14:paraId="18C15AC4" w14:textId="77777777" w:rsidR="00AE2255" w:rsidRDefault="00AE2255">
      <w:pPr>
        <w:pStyle w:val="BodyText"/>
        <w:spacing w:before="2"/>
        <w:rPr>
          <w:sz w:val="27"/>
        </w:rPr>
      </w:pPr>
    </w:p>
    <w:p w14:paraId="4CC3D2EA" w14:textId="77777777" w:rsidR="00AE2255" w:rsidRDefault="00000000">
      <w:pPr>
        <w:pStyle w:val="BodyText"/>
        <w:spacing w:before="92"/>
        <w:ind w:left="610"/>
      </w:pPr>
      <w:r>
        <w:t>January</w:t>
      </w:r>
      <w:r>
        <w:rPr>
          <w:spacing w:val="-2"/>
        </w:rPr>
        <w:t xml:space="preserve"> </w:t>
      </w:r>
      <w:r>
        <w:t>23,</w:t>
      </w:r>
      <w:r>
        <w:rPr>
          <w:spacing w:val="-1"/>
        </w:rPr>
        <w:t xml:space="preserve"> </w:t>
      </w:r>
      <w:r>
        <w:rPr>
          <w:spacing w:val="-4"/>
        </w:rPr>
        <w:t>2023</w:t>
      </w:r>
    </w:p>
    <w:p w14:paraId="0F7F4050" w14:textId="77777777" w:rsidR="00AE2255" w:rsidRDefault="00AE2255">
      <w:pPr>
        <w:sectPr w:rsidR="00AE2255" w:rsidSect="00257030">
          <w:headerReference w:type="default" r:id="rId181"/>
          <w:footerReference w:type="default" r:id="rId182"/>
          <w:pgSz w:w="12240" w:h="15840"/>
          <w:pgMar w:top="1440" w:right="562" w:bottom="274" w:left="374" w:header="806" w:footer="0" w:gutter="0"/>
          <w:cols w:space="720"/>
        </w:sectPr>
      </w:pPr>
    </w:p>
    <w:p w14:paraId="28AFB5B2"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1FD306B8" w14:textId="77777777" w:rsidR="00AE2255" w:rsidRDefault="00AE2255">
      <w:pPr>
        <w:pStyle w:val="BodyText"/>
      </w:pPr>
    </w:p>
    <w:p w14:paraId="29048659" w14:textId="77777777"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him and in his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2DA2DD46" w14:textId="77777777" w:rsidR="00F42115" w:rsidRDefault="00F42115" w:rsidP="00F42115">
      <w:pPr>
        <w:pStyle w:val="BodyText"/>
        <w:spacing w:before="4"/>
        <w:rPr>
          <w:sz w:val="21"/>
        </w:rPr>
      </w:pPr>
    </w:p>
    <w:p w14:paraId="5C0F9135"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7DB58985" w14:textId="0B1FCBB6" w:rsidR="00AE2255" w:rsidRDefault="00AE2255">
      <w:pPr>
        <w:pStyle w:val="BodyText"/>
        <w:spacing w:before="2"/>
        <w:rPr>
          <w:sz w:val="21"/>
        </w:rPr>
      </w:pPr>
    </w:p>
    <w:p w14:paraId="5DD6B299" w14:textId="108E7B3D" w:rsidR="00F42115" w:rsidRDefault="00F42115">
      <w:pPr>
        <w:pStyle w:val="BodyText"/>
        <w:spacing w:before="2"/>
        <w:rPr>
          <w:sz w:val="21"/>
        </w:rPr>
      </w:pPr>
    </w:p>
    <w:p w14:paraId="451A9CF7" w14:textId="77777777" w:rsidR="00F42115" w:rsidRDefault="00F42115">
      <w:pPr>
        <w:pStyle w:val="BodyText"/>
        <w:spacing w:before="2"/>
        <w:rPr>
          <w:sz w:val="21"/>
        </w:rPr>
      </w:pPr>
    </w:p>
    <w:p w14:paraId="3869BADD" w14:textId="77777777" w:rsidR="00AE2255" w:rsidRDefault="00000000">
      <w:pPr>
        <w:pStyle w:val="BodyText"/>
        <w:spacing w:before="41" w:line="280" w:lineRule="atLeast"/>
        <w:ind w:left="752" w:right="8778"/>
      </w:pPr>
      <w:r>
        <w:pict w14:anchorId="374D7319">
          <v:group id="docshapegroup157" o:spid="_x0000_s2068" style="position:absolute;left:0;text-align:left;margin-left:54pt;margin-top:16.95pt;width:249.75pt;height:1pt;z-index:15764992;mso-position-horizontal-relative:page" coordorigin="1080,339" coordsize="4995,20">
            <v:shape id="docshape158" o:spid="_x0000_s2070" style="position:absolute;left:1080;top:349;width:4995;height:2" coordorigin="1080,349" coordsize="4995,0" path="m6075,349r-4995,e" fillcolor="black" stroked="f">
              <v:fill opacity="0"/>
              <v:path arrowok="t"/>
            </v:shape>
            <v:line id="_x0000_s2069" style="position:absolute" from="1080,349" to="6075,349" strokeweight="1pt"/>
            <w10:wrap anchorx="page"/>
          </v:group>
        </w:pict>
      </w:r>
      <w:r>
        <w:t>/s/ Jeh C. Johnson JEH</w:t>
      </w:r>
      <w:r>
        <w:rPr>
          <w:spacing w:val="-13"/>
        </w:rPr>
        <w:t xml:space="preserve"> </w:t>
      </w:r>
      <w:r>
        <w:t>C.</w:t>
      </w:r>
      <w:r>
        <w:rPr>
          <w:spacing w:val="-12"/>
        </w:rPr>
        <w:t xml:space="preserve"> </w:t>
      </w:r>
      <w:r>
        <w:t>JOHNSON</w:t>
      </w:r>
    </w:p>
    <w:p w14:paraId="4B327A64" w14:textId="77777777" w:rsidR="00AE2255" w:rsidRDefault="00000000">
      <w:pPr>
        <w:pStyle w:val="BodyText"/>
        <w:spacing w:line="198" w:lineRule="exact"/>
        <w:ind w:left="752"/>
      </w:pPr>
      <w:r>
        <w:rPr>
          <w:spacing w:val="-2"/>
        </w:rPr>
        <w:t>Director</w:t>
      </w:r>
    </w:p>
    <w:p w14:paraId="6A8E1A74" w14:textId="77777777" w:rsidR="00AE2255" w:rsidRDefault="00AE2255">
      <w:pPr>
        <w:pStyle w:val="BodyText"/>
        <w:spacing w:before="2"/>
        <w:rPr>
          <w:sz w:val="27"/>
        </w:rPr>
      </w:pPr>
    </w:p>
    <w:p w14:paraId="6899C2F5" w14:textId="77777777" w:rsidR="00AE2255" w:rsidRDefault="00000000">
      <w:pPr>
        <w:pStyle w:val="BodyText"/>
        <w:spacing w:before="92"/>
        <w:ind w:left="610"/>
      </w:pPr>
      <w:r>
        <w:t>January</w:t>
      </w:r>
      <w:r>
        <w:rPr>
          <w:spacing w:val="-2"/>
        </w:rPr>
        <w:t xml:space="preserve"> </w:t>
      </w:r>
      <w:r>
        <w:t>19,</w:t>
      </w:r>
      <w:r>
        <w:rPr>
          <w:spacing w:val="-1"/>
        </w:rPr>
        <w:t xml:space="preserve"> </w:t>
      </w:r>
      <w:r>
        <w:rPr>
          <w:spacing w:val="-4"/>
        </w:rPr>
        <w:t>2023</w:t>
      </w:r>
    </w:p>
    <w:p w14:paraId="6DD923A4" w14:textId="77777777" w:rsidR="00AE2255" w:rsidRDefault="00AE2255">
      <w:pPr>
        <w:sectPr w:rsidR="00AE2255" w:rsidSect="00257030">
          <w:headerReference w:type="default" r:id="rId183"/>
          <w:footerReference w:type="default" r:id="rId184"/>
          <w:pgSz w:w="12240" w:h="15840"/>
          <w:pgMar w:top="1440" w:right="562" w:bottom="274" w:left="374" w:header="806" w:footer="0" w:gutter="0"/>
          <w:cols w:space="720"/>
        </w:sectPr>
      </w:pPr>
    </w:p>
    <w:p w14:paraId="77DA2974" w14:textId="77777777" w:rsidR="0012611D" w:rsidRDefault="0012611D" w:rsidP="0012611D">
      <w:pPr>
        <w:pStyle w:val="Heading1"/>
        <w:spacing w:before="91" w:line="501" w:lineRule="auto"/>
        <w:ind w:left="3935" w:right="3291" w:firstLine="671"/>
      </w:pPr>
      <w:r>
        <w:lastRenderedPageBreak/>
        <w:t>POWER OF ATTORNEY LOCKHEED</w:t>
      </w:r>
      <w:r>
        <w:rPr>
          <w:spacing w:val="-13"/>
        </w:rPr>
        <w:t xml:space="preserve"> </w:t>
      </w:r>
      <w:r>
        <w:t>MARTIN</w:t>
      </w:r>
      <w:r>
        <w:rPr>
          <w:spacing w:val="-12"/>
        </w:rPr>
        <w:t xml:space="preserve"> </w:t>
      </w:r>
      <w:r>
        <w:t>CORPORATION</w:t>
      </w:r>
    </w:p>
    <w:p w14:paraId="15A54C32" w14:textId="7D7F6DEF" w:rsidR="00F42115" w:rsidRDefault="00F42115">
      <w:pPr>
        <w:pStyle w:val="BodyText"/>
      </w:pPr>
    </w:p>
    <w:p w14:paraId="270E060E" w14:textId="730EA1DD"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w:t>
      </w:r>
      <w:r w:rsidR="00E759F8">
        <w:t>er</w:t>
      </w:r>
      <w:r>
        <w:t xml:space="preserve"> and in h</w:t>
      </w:r>
      <w:r w:rsidR="00E759F8">
        <w:t>er</w:t>
      </w:r>
      <w:r>
        <w:t xml:space="preserve">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600B0F2A" w14:textId="77777777" w:rsidR="00F42115" w:rsidRDefault="00F42115" w:rsidP="00F42115">
      <w:pPr>
        <w:pStyle w:val="BodyText"/>
        <w:spacing w:before="4"/>
        <w:rPr>
          <w:sz w:val="21"/>
        </w:rPr>
      </w:pPr>
    </w:p>
    <w:p w14:paraId="2351B46C"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1CA95426" w14:textId="77777777" w:rsidR="00F42115" w:rsidRDefault="00F42115">
      <w:pPr>
        <w:pStyle w:val="BodyText"/>
      </w:pPr>
    </w:p>
    <w:p w14:paraId="2D245890" w14:textId="77777777" w:rsidR="00F42115" w:rsidRDefault="00F42115">
      <w:pPr>
        <w:pStyle w:val="BodyText"/>
      </w:pPr>
    </w:p>
    <w:p w14:paraId="3672725A" w14:textId="77777777" w:rsidR="00AE2255" w:rsidRDefault="00AE2255">
      <w:pPr>
        <w:pStyle w:val="BodyText"/>
        <w:spacing w:before="2"/>
        <w:rPr>
          <w:sz w:val="21"/>
        </w:rPr>
      </w:pPr>
    </w:p>
    <w:p w14:paraId="5F99C4CE" w14:textId="77777777" w:rsidR="00AE2255" w:rsidRDefault="00000000">
      <w:pPr>
        <w:pStyle w:val="BodyText"/>
        <w:spacing w:before="41" w:line="280" w:lineRule="atLeast"/>
        <w:ind w:left="752" w:right="7857"/>
      </w:pPr>
      <w:r>
        <w:pict w14:anchorId="314557C1">
          <v:group id="docshapegroup163" o:spid="_x0000_s2065" style="position:absolute;left:0;text-align:left;margin-left:54pt;margin-top:16.95pt;width:249.75pt;height:1pt;z-index:15765504;mso-position-horizontal-relative:page" coordorigin="1080,339" coordsize="4995,20">
            <v:shape id="docshape164" o:spid="_x0000_s2067" style="position:absolute;left:1080;top:349;width:4995;height:2" coordorigin="1080,349" coordsize="4995,0" path="m6075,349r-4995,e" fillcolor="black" stroked="f">
              <v:fill opacity="0"/>
              <v:path arrowok="t"/>
            </v:shape>
            <v:line id="_x0000_s2066" style="position:absolute" from="1080,349" to="6075,349" strokeweight="1pt"/>
            <w10:wrap anchorx="page"/>
          </v:group>
        </w:pict>
      </w:r>
      <w:r>
        <w:t>/s/ Debra L. Reed-</w:t>
      </w:r>
      <w:proofErr w:type="spellStart"/>
      <w:r>
        <w:t>Klages</w:t>
      </w:r>
      <w:proofErr w:type="spellEnd"/>
      <w:r>
        <w:t xml:space="preserve"> DEBRA</w:t>
      </w:r>
      <w:r>
        <w:rPr>
          <w:spacing w:val="-13"/>
        </w:rPr>
        <w:t xml:space="preserve"> </w:t>
      </w:r>
      <w:r>
        <w:t>L.</w:t>
      </w:r>
      <w:r>
        <w:rPr>
          <w:spacing w:val="-12"/>
        </w:rPr>
        <w:t xml:space="preserve"> </w:t>
      </w:r>
      <w:r>
        <w:t>REED-KLAGES</w:t>
      </w:r>
    </w:p>
    <w:p w14:paraId="291FF212" w14:textId="77777777" w:rsidR="00AE2255" w:rsidRDefault="00000000">
      <w:pPr>
        <w:pStyle w:val="BodyText"/>
        <w:spacing w:line="198" w:lineRule="exact"/>
        <w:ind w:left="752"/>
      </w:pPr>
      <w:r>
        <w:rPr>
          <w:spacing w:val="-2"/>
        </w:rPr>
        <w:t>Director</w:t>
      </w:r>
    </w:p>
    <w:p w14:paraId="49967135" w14:textId="77777777" w:rsidR="00AE2255" w:rsidRDefault="00AE2255">
      <w:pPr>
        <w:pStyle w:val="BodyText"/>
        <w:spacing w:before="2"/>
        <w:rPr>
          <w:sz w:val="27"/>
        </w:rPr>
      </w:pPr>
    </w:p>
    <w:p w14:paraId="2B81E1D6" w14:textId="77777777" w:rsidR="00AE2255" w:rsidRDefault="00000000">
      <w:pPr>
        <w:pStyle w:val="BodyText"/>
        <w:spacing w:before="92"/>
        <w:ind w:left="610"/>
      </w:pPr>
      <w:r>
        <w:t>January</w:t>
      </w:r>
      <w:r>
        <w:rPr>
          <w:spacing w:val="-2"/>
        </w:rPr>
        <w:t xml:space="preserve"> </w:t>
      </w:r>
      <w:r>
        <w:t>24,</w:t>
      </w:r>
      <w:r>
        <w:rPr>
          <w:spacing w:val="-1"/>
        </w:rPr>
        <w:t xml:space="preserve"> </w:t>
      </w:r>
      <w:r>
        <w:rPr>
          <w:spacing w:val="-4"/>
        </w:rPr>
        <w:t>2023</w:t>
      </w:r>
    </w:p>
    <w:p w14:paraId="62B30B55" w14:textId="77777777" w:rsidR="00AE2255" w:rsidRDefault="00AE2255"/>
    <w:p w14:paraId="30C19194" w14:textId="77ADD436" w:rsidR="00840A2D" w:rsidRDefault="00840A2D">
      <w:pPr>
        <w:sectPr w:rsidR="00840A2D" w:rsidSect="00257030">
          <w:headerReference w:type="default" r:id="rId185"/>
          <w:footerReference w:type="default" r:id="rId186"/>
          <w:pgSz w:w="12240" w:h="15840"/>
          <w:pgMar w:top="1440" w:right="562" w:bottom="274" w:left="374" w:header="806" w:footer="0" w:gutter="0"/>
          <w:cols w:space="720"/>
        </w:sectPr>
      </w:pPr>
    </w:p>
    <w:p w14:paraId="0CFAB582" w14:textId="108357DF" w:rsidR="00AE2255" w:rsidRDefault="00AE2255">
      <w:pPr>
        <w:pStyle w:val="BodyText"/>
      </w:pPr>
    </w:p>
    <w:p w14:paraId="38F41014" w14:textId="77777777" w:rsidR="0012611D" w:rsidRDefault="0012611D" w:rsidP="0012611D">
      <w:pPr>
        <w:pStyle w:val="Heading1"/>
        <w:spacing w:before="91" w:line="501" w:lineRule="auto"/>
        <w:ind w:left="3935" w:right="3291" w:firstLine="671"/>
      </w:pPr>
      <w:r>
        <w:t>POWER OF ATTORNEY LOCKHEED</w:t>
      </w:r>
      <w:r>
        <w:rPr>
          <w:spacing w:val="-13"/>
        </w:rPr>
        <w:t xml:space="preserve"> </w:t>
      </w:r>
      <w:r>
        <w:t>MARTIN</w:t>
      </w:r>
      <w:r>
        <w:rPr>
          <w:spacing w:val="-12"/>
        </w:rPr>
        <w:t xml:space="preserve"> </w:t>
      </w:r>
      <w:r>
        <w:t>CORPORATION</w:t>
      </w:r>
    </w:p>
    <w:p w14:paraId="19CEC82D" w14:textId="2CE228BC" w:rsidR="00F42115" w:rsidRDefault="00F42115">
      <w:pPr>
        <w:pStyle w:val="BodyText"/>
      </w:pPr>
    </w:p>
    <w:p w14:paraId="1C94EAC9" w14:textId="0E09F30B" w:rsidR="00F42115" w:rsidRDefault="00F42115" w:rsidP="00F42115">
      <w:pPr>
        <w:pStyle w:val="BodyText"/>
        <w:spacing w:before="2" w:line="249" w:lineRule="auto"/>
        <w:ind w:left="610" w:right="428"/>
        <w:jc w:val="both"/>
      </w:pPr>
      <w:r>
        <w:t xml:space="preserve">The undersigned hereby constitutes Maryanne R. </w:t>
      </w:r>
      <w:proofErr w:type="spellStart"/>
      <w:r>
        <w:t>Lavan</w:t>
      </w:r>
      <w:proofErr w:type="spellEnd"/>
      <w:r>
        <w:t>, Kerri R. Morey and Peter L. Trentman, and each of them, jointly and severally, his lawful attorney-in-fact and agent, with full power of substitution, for h</w:t>
      </w:r>
      <w:r w:rsidR="00E759F8">
        <w:t>er</w:t>
      </w:r>
      <w:r>
        <w:t xml:space="preserve"> and in h</w:t>
      </w:r>
      <w:r w:rsidR="00E759F8">
        <w:t>er</w:t>
      </w:r>
      <w:r>
        <w:t xml:space="preserve"> name, place and stead, in any and all capacities, including, but not limited to, that listed below, to execute and file, or cause to be filed, with exhibits thereto and other documents in connection therewith, the Lockheed Martin Corporation Annual Report on Form 10-K for the fiscal</w:t>
      </w:r>
      <w:r>
        <w:rPr>
          <w:spacing w:val="40"/>
        </w:rPr>
        <w:t xml:space="preserve"> </w:t>
      </w:r>
      <w:r>
        <w:t>year ended December 31, 2022 (Form 10-K), with the Securities and Exchange Commission (the Commission) under the Securities Exchange Act of 1934, as amended, and amendments thereto, with exhibits and other documents in connection therewith, and all matters required by the Commission in connection with such Form 10-K.</w:t>
      </w:r>
    </w:p>
    <w:p w14:paraId="17FFED13" w14:textId="77777777" w:rsidR="00F42115" w:rsidRDefault="00F42115" w:rsidP="00F42115">
      <w:pPr>
        <w:pStyle w:val="BodyText"/>
        <w:spacing w:before="4"/>
        <w:rPr>
          <w:sz w:val="21"/>
        </w:rPr>
      </w:pPr>
    </w:p>
    <w:p w14:paraId="5036B364" w14:textId="77777777" w:rsidR="00F42115" w:rsidRDefault="00F42115" w:rsidP="00F42115">
      <w:pPr>
        <w:pStyle w:val="BodyText"/>
        <w:spacing w:line="249" w:lineRule="auto"/>
        <w:ind w:left="610" w:right="428"/>
        <w:jc w:val="both"/>
      </w:pPr>
      <w:r>
        <w:t>Further, the undersigned grants unto said attorneys-in-fact and agents, and each of them, full power and authority to do and perform each and every act and thing requisite or necessary to be done as fully to all intents and purposes as he might or could do in person, hereby ratifying and confirming all that said attorneys-in-fact and agents, and each of them, or any substitute or substitutes, may lawfully do or cause to be done by virtue hereof.</w:t>
      </w:r>
    </w:p>
    <w:p w14:paraId="7B418B96" w14:textId="77777777" w:rsidR="00F42115" w:rsidRDefault="00F42115">
      <w:pPr>
        <w:pStyle w:val="BodyText"/>
      </w:pPr>
    </w:p>
    <w:p w14:paraId="0911EE6F" w14:textId="77777777" w:rsidR="00AE2255" w:rsidRDefault="00AE2255">
      <w:pPr>
        <w:pStyle w:val="BodyText"/>
        <w:spacing w:before="2"/>
        <w:rPr>
          <w:sz w:val="21"/>
        </w:rPr>
      </w:pPr>
    </w:p>
    <w:p w14:paraId="0FF4C044" w14:textId="77777777" w:rsidR="00AE2255" w:rsidRDefault="00000000">
      <w:pPr>
        <w:pStyle w:val="BodyText"/>
        <w:spacing w:before="41" w:line="280" w:lineRule="atLeast"/>
        <w:ind w:left="752" w:right="7857"/>
      </w:pPr>
      <w:r>
        <w:pict w14:anchorId="4C446081">
          <v:group id="docshapegroup169" o:spid="_x0000_s2062" style="position:absolute;left:0;text-align:left;margin-left:54pt;margin-top:16.95pt;width:249.75pt;height:1pt;z-index:15766016;mso-position-horizontal-relative:page" coordorigin="1080,339" coordsize="4995,20">
            <v:shape id="docshape170" o:spid="_x0000_s2064" style="position:absolute;left:1080;top:349;width:4995;height:2" coordorigin="1080,349" coordsize="4995,0" path="m6075,349r-4995,e" fillcolor="black" stroked="f">
              <v:fill opacity="0"/>
              <v:path arrowok="t"/>
            </v:shape>
            <v:line id="_x0000_s2063" style="position:absolute" from="1080,349" to="6075,349" strokeweight="1pt"/>
            <w10:wrap anchorx="page"/>
          </v:group>
        </w:pict>
      </w:r>
      <w:r>
        <w:t xml:space="preserve">/s/ Patricia E. </w:t>
      </w:r>
      <w:proofErr w:type="spellStart"/>
      <w:r>
        <w:t>Yarrington</w:t>
      </w:r>
      <w:proofErr w:type="spellEnd"/>
      <w:r>
        <w:t xml:space="preserve"> PATRICIA</w:t>
      </w:r>
      <w:r>
        <w:rPr>
          <w:spacing w:val="-13"/>
        </w:rPr>
        <w:t xml:space="preserve"> </w:t>
      </w:r>
      <w:r>
        <w:t>E.</w:t>
      </w:r>
      <w:r>
        <w:rPr>
          <w:spacing w:val="-12"/>
        </w:rPr>
        <w:t xml:space="preserve"> </w:t>
      </w:r>
      <w:r>
        <w:t>YARRINGTON</w:t>
      </w:r>
    </w:p>
    <w:p w14:paraId="3B809D10" w14:textId="77777777" w:rsidR="00AE2255" w:rsidRDefault="00000000">
      <w:pPr>
        <w:pStyle w:val="BodyText"/>
        <w:spacing w:line="198" w:lineRule="exact"/>
        <w:ind w:left="752"/>
      </w:pPr>
      <w:r>
        <w:rPr>
          <w:spacing w:val="-2"/>
        </w:rPr>
        <w:t>Director</w:t>
      </w:r>
    </w:p>
    <w:p w14:paraId="501636AB" w14:textId="77777777" w:rsidR="00AE2255" w:rsidRDefault="00AE2255">
      <w:pPr>
        <w:pStyle w:val="BodyText"/>
        <w:spacing w:before="2"/>
        <w:rPr>
          <w:sz w:val="27"/>
        </w:rPr>
      </w:pPr>
    </w:p>
    <w:p w14:paraId="7F3C1F60" w14:textId="77777777" w:rsidR="00AE2255" w:rsidRDefault="00000000">
      <w:pPr>
        <w:pStyle w:val="BodyText"/>
        <w:spacing w:before="92"/>
        <w:ind w:left="610"/>
      </w:pPr>
      <w:r>
        <w:t>January</w:t>
      </w:r>
      <w:r>
        <w:rPr>
          <w:spacing w:val="-2"/>
        </w:rPr>
        <w:t xml:space="preserve"> </w:t>
      </w:r>
      <w:r>
        <w:t>19,</w:t>
      </w:r>
      <w:r>
        <w:rPr>
          <w:spacing w:val="-1"/>
        </w:rPr>
        <w:t xml:space="preserve"> </w:t>
      </w:r>
      <w:r>
        <w:rPr>
          <w:spacing w:val="-4"/>
        </w:rPr>
        <w:t>2023</w:t>
      </w:r>
    </w:p>
    <w:p w14:paraId="408C9D3C" w14:textId="77777777" w:rsidR="00AE2255" w:rsidRDefault="00AE2255">
      <w:pPr>
        <w:sectPr w:rsidR="00AE2255" w:rsidSect="00257030">
          <w:headerReference w:type="default" r:id="rId187"/>
          <w:footerReference w:type="default" r:id="rId188"/>
          <w:pgSz w:w="12240" w:h="15840"/>
          <w:pgMar w:top="1440" w:right="562" w:bottom="274" w:left="374" w:header="806" w:footer="0" w:gutter="0"/>
          <w:cols w:space="720"/>
        </w:sectPr>
      </w:pPr>
    </w:p>
    <w:p w14:paraId="6D78EE45" w14:textId="77777777" w:rsidR="00AE2255" w:rsidRDefault="00000000">
      <w:pPr>
        <w:pStyle w:val="Heading1"/>
        <w:spacing w:before="50" w:line="249" w:lineRule="auto"/>
        <w:ind w:left="3097" w:right="2819" w:firstLine="6"/>
        <w:rPr>
          <w:rFonts w:ascii="Arial"/>
        </w:rPr>
      </w:pPr>
      <w:bookmarkStart w:id="98" w:name="EX_31.1"/>
      <w:bookmarkEnd w:id="98"/>
      <w:r>
        <w:rPr>
          <w:rFonts w:ascii="Arial"/>
        </w:rPr>
        <w:lastRenderedPageBreak/>
        <w:t>CERTIFICATION</w:t>
      </w:r>
      <w:r>
        <w:rPr>
          <w:rFonts w:ascii="Arial"/>
          <w:spacing w:val="-6"/>
        </w:rPr>
        <w:t xml:space="preserve"> </w:t>
      </w:r>
      <w:r>
        <w:rPr>
          <w:rFonts w:ascii="Arial"/>
        </w:rPr>
        <w:t>OF</w:t>
      </w:r>
      <w:r>
        <w:rPr>
          <w:rFonts w:ascii="Arial"/>
          <w:spacing w:val="-6"/>
        </w:rPr>
        <w:t xml:space="preserve"> </w:t>
      </w:r>
      <w:r>
        <w:rPr>
          <w:rFonts w:ascii="Arial"/>
        </w:rPr>
        <w:t>JAMES</w:t>
      </w:r>
      <w:r>
        <w:rPr>
          <w:rFonts w:ascii="Arial"/>
          <w:spacing w:val="-6"/>
        </w:rPr>
        <w:t xml:space="preserve"> </w:t>
      </w:r>
      <w:r>
        <w:rPr>
          <w:rFonts w:ascii="Arial"/>
        </w:rPr>
        <w:t>D.</w:t>
      </w:r>
      <w:r>
        <w:rPr>
          <w:rFonts w:ascii="Arial"/>
          <w:spacing w:val="-6"/>
        </w:rPr>
        <w:t xml:space="preserve"> </w:t>
      </w:r>
      <w:r>
        <w:rPr>
          <w:rFonts w:ascii="Arial"/>
        </w:rPr>
        <w:t>TAICLET</w:t>
      </w:r>
      <w:r>
        <w:rPr>
          <w:rFonts w:ascii="Arial"/>
          <w:spacing w:val="-6"/>
        </w:rPr>
        <w:t xml:space="preserve"> </w:t>
      </w:r>
      <w:r>
        <w:rPr>
          <w:rFonts w:ascii="Arial"/>
        </w:rPr>
        <w:t>PURSUANT</w:t>
      </w:r>
      <w:r>
        <w:rPr>
          <w:rFonts w:ascii="Arial"/>
          <w:spacing w:val="-6"/>
        </w:rPr>
        <w:t xml:space="preserve"> </w:t>
      </w:r>
      <w:r>
        <w:rPr>
          <w:rFonts w:ascii="Arial"/>
        </w:rPr>
        <w:t>TO SECTION</w:t>
      </w:r>
      <w:r>
        <w:rPr>
          <w:rFonts w:ascii="Arial"/>
          <w:spacing w:val="-7"/>
        </w:rPr>
        <w:t xml:space="preserve"> </w:t>
      </w:r>
      <w:r>
        <w:rPr>
          <w:rFonts w:ascii="Arial"/>
        </w:rPr>
        <w:t>302</w:t>
      </w:r>
      <w:r>
        <w:rPr>
          <w:rFonts w:ascii="Arial"/>
          <w:spacing w:val="-5"/>
        </w:rPr>
        <w:t xml:space="preserve"> </w:t>
      </w:r>
      <w:r>
        <w:rPr>
          <w:rFonts w:ascii="Arial"/>
        </w:rPr>
        <w:t>OF</w:t>
      </w:r>
      <w:r>
        <w:rPr>
          <w:rFonts w:ascii="Arial"/>
          <w:spacing w:val="-5"/>
        </w:rPr>
        <w:t xml:space="preserve"> </w:t>
      </w:r>
      <w:r>
        <w:rPr>
          <w:rFonts w:ascii="Arial"/>
        </w:rPr>
        <w:t>THE</w:t>
      </w:r>
      <w:r>
        <w:rPr>
          <w:rFonts w:ascii="Arial"/>
          <w:spacing w:val="-4"/>
        </w:rPr>
        <w:t xml:space="preserve"> </w:t>
      </w:r>
      <w:r>
        <w:rPr>
          <w:rFonts w:ascii="Arial"/>
        </w:rPr>
        <w:t>SARBANES-OXLEY</w:t>
      </w:r>
      <w:r>
        <w:rPr>
          <w:rFonts w:ascii="Arial"/>
          <w:spacing w:val="-5"/>
        </w:rPr>
        <w:t xml:space="preserve"> </w:t>
      </w:r>
      <w:r>
        <w:rPr>
          <w:rFonts w:ascii="Arial"/>
        </w:rPr>
        <w:t>ACT</w:t>
      </w:r>
      <w:r>
        <w:rPr>
          <w:rFonts w:ascii="Arial"/>
          <w:spacing w:val="-5"/>
        </w:rPr>
        <w:t xml:space="preserve"> </w:t>
      </w:r>
      <w:r>
        <w:rPr>
          <w:rFonts w:ascii="Arial"/>
        </w:rPr>
        <w:t>OF</w:t>
      </w:r>
      <w:r>
        <w:rPr>
          <w:rFonts w:ascii="Arial"/>
          <w:spacing w:val="-4"/>
        </w:rPr>
        <w:t xml:space="preserve"> 2002</w:t>
      </w:r>
    </w:p>
    <w:p w14:paraId="5359C759" w14:textId="77777777" w:rsidR="00AE2255" w:rsidRDefault="00AE2255">
      <w:pPr>
        <w:pStyle w:val="BodyText"/>
        <w:rPr>
          <w:rFonts w:ascii="Arial"/>
          <w:b/>
          <w:sz w:val="21"/>
        </w:rPr>
      </w:pPr>
    </w:p>
    <w:p w14:paraId="36418BF5" w14:textId="77777777" w:rsidR="00AE2255" w:rsidRDefault="00000000">
      <w:pPr>
        <w:pStyle w:val="BodyText"/>
        <w:ind w:left="880"/>
        <w:rPr>
          <w:rFonts w:ascii="Arial"/>
        </w:rPr>
      </w:pPr>
      <w:r>
        <w:rPr>
          <w:rFonts w:ascii="Arial"/>
        </w:rPr>
        <w:t>I,</w:t>
      </w:r>
      <w:r>
        <w:rPr>
          <w:rFonts w:ascii="Arial"/>
          <w:spacing w:val="-9"/>
        </w:rPr>
        <w:t xml:space="preserve"> </w:t>
      </w:r>
      <w:r>
        <w:rPr>
          <w:rFonts w:ascii="Arial"/>
        </w:rPr>
        <w:t>James</w:t>
      </w:r>
      <w:r>
        <w:rPr>
          <w:rFonts w:ascii="Arial"/>
          <w:spacing w:val="-8"/>
        </w:rPr>
        <w:t xml:space="preserve"> </w:t>
      </w:r>
      <w:r>
        <w:rPr>
          <w:rFonts w:ascii="Arial"/>
        </w:rPr>
        <w:t>D.</w:t>
      </w:r>
      <w:r>
        <w:rPr>
          <w:rFonts w:ascii="Arial"/>
          <w:spacing w:val="-11"/>
        </w:rPr>
        <w:t xml:space="preserve"> </w:t>
      </w:r>
      <w:proofErr w:type="spellStart"/>
      <w:r>
        <w:rPr>
          <w:rFonts w:ascii="Arial"/>
        </w:rPr>
        <w:t>Taiclet</w:t>
      </w:r>
      <w:proofErr w:type="spellEnd"/>
      <w:r>
        <w:rPr>
          <w:rFonts w:ascii="Arial"/>
        </w:rPr>
        <w:t>,</w:t>
      </w:r>
      <w:r>
        <w:rPr>
          <w:rFonts w:ascii="Arial"/>
          <w:spacing w:val="-8"/>
        </w:rPr>
        <w:t xml:space="preserve"> </w:t>
      </w:r>
      <w:r>
        <w:rPr>
          <w:rFonts w:ascii="Arial"/>
        </w:rPr>
        <w:t>certify</w:t>
      </w:r>
      <w:r>
        <w:rPr>
          <w:rFonts w:ascii="Arial"/>
          <w:spacing w:val="-8"/>
        </w:rPr>
        <w:t xml:space="preserve"> </w:t>
      </w:r>
      <w:r>
        <w:rPr>
          <w:rFonts w:ascii="Arial"/>
          <w:spacing w:val="-2"/>
        </w:rPr>
        <w:t>that:</w:t>
      </w:r>
    </w:p>
    <w:p w14:paraId="0BA2FBB1" w14:textId="77777777" w:rsidR="00AE2255" w:rsidRDefault="00AE2255">
      <w:pPr>
        <w:pStyle w:val="BodyText"/>
        <w:spacing w:before="8"/>
        <w:rPr>
          <w:rFonts w:ascii="Arial"/>
          <w:sz w:val="21"/>
        </w:rPr>
      </w:pPr>
    </w:p>
    <w:p w14:paraId="069E65EF" w14:textId="77777777" w:rsidR="00AE2255" w:rsidRDefault="00000000">
      <w:pPr>
        <w:pStyle w:val="ListParagraph"/>
        <w:numPr>
          <w:ilvl w:val="0"/>
          <w:numId w:val="3"/>
        </w:numPr>
        <w:tabs>
          <w:tab w:val="left" w:pos="880"/>
        </w:tabs>
        <w:rPr>
          <w:rFonts w:ascii="Arial"/>
          <w:sz w:val="20"/>
        </w:rPr>
      </w:pPr>
      <w:r>
        <w:rPr>
          <w:rFonts w:ascii="Arial"/>
          <w:sz w:val="20"/>
        </w:rPr>
        <w:t>I</w:t>
      </w:r>
      <w:r>
        <w:rPr>
          <w:rFonts w:ascii="Arial"/>
          <w:spacing w:val="-7"/>
          <w:sz w:val="20"/>
        </w:rPr>
        <w:t xml:space="preserve"> </w:t>
      </w:r>
      <w:r>
        <w:rPr>
          <w:rFonts w:ascii="Arial"/>
          <w:sz w:val="20"/>
        </w:rPr>
        <w:t>have</w:t>
      </w:r>
      <w:r>
        <w:rPr>
          <w:rFonts w:ascii="Arial"/>
          <w:spacing w:val="-3"/>
          <w:sz w:val="20"/>
        </w:rPr>
        <w:t xml:space="preserve"> </w:t>
      </w:r>
      <w:r>
        <w:rPr>
          <w:rFonts w:ascii="Arial"/>
          <w:sz w:val="20"/>
        </w:rPr>
        <w:t>reviewed</w:t>
      </w:r>
      <w:r>
        <w:rPr>
          <w:rFonts w:ascii="Arial"/>
          <w:spacing w:val="-4"/>
          <w:sz w:val="20"/>
        </w:rPr>
        <w:t xml:space="preserve"> </w:t>
      </w:r>
      <w:r>
        <w:rPr>
          <w:rFonts w:ascii="Arial"/>
          <w:sz w:val="20"/>
        </w:rPr>
        <w:t>this</w:t>
      </w:r>
      <w:r>
        <w:rPr>
          <w:rFonts w:ascii="Arial"/>
          <w:spacing w:val="-14"/>
          <w:sz w:val="20"/>
        </w:rPr>
        <w:t xml:space="preserve"> </w:t>
      </w:r>
      <w:r>
        <w:rPr>
          <w:rFonts w:ascii="Arial"/>
          <w:sz w:val="20"/>
        </w:rPr>
        <w:t>Annual</w:t>
      </w:r>
      <w:r>
        <w:rPr>
          <w:rFonts w:ascii="Arial"/>
          <w:spacing w:val="-4"/>
          <w:sz w:val="20"/>
        </w:rPr>
        <w:t xml:space="preserve"> </w:t>
      </w:r>
      <w:r>
        <w:rPr>
          <w:rFonts w:ascii="Arial"/>
          <w:sz w:val="20"/>
        </w:rPr>
        <w:t>Report</w:t>
      </w:r>
      <w:r>
        <w:rPr>
          <w:rFonts w:ascii="Arial"/>
          <w:spacing w:val="-4"/>
          <w:sz w:val="20"/>
        </w:rPr>
        <w:t xml:space="preserve"> </w:t>
      </w:r>
      <w:r>
        <w:rPr>
          <w:rFonts w:ascii="Arial"/>
          <w:sz w:val="20"/>
        </w:rPr>
        <w:t>on</w:t>
      </w:r>
      <w:r>
        <w:rPr>
          <w:rFonts w:ascii="Arial"/>
          <w:spacing w:val="-4"/>
          <w:sz w:val="20"/>
        </w:rPr>
        <w:t xml:space="preserve"> </w:t>
      </w:r>
      <w:r>
        <w:rPr>
          <w:rFonts w:ascii="Arial"/>
          <w:sz w:val="20"/>
        </w:rPr>
        <w:t>Form</w:t>
      </w:r>
      <w:r>
        <w:rPr>
          <w:rFonts w:ascii="Arial"/>
          <w:spacing w:val="-3"/>
          <w:sz w:val="20"/>
        </w:rPr>
        <w:t xml:space="preserve"> </w:t>
      </w:r>
      <w:r>
        <w:rPr>
          <w:rFonts w:ascii="Arial"/>
          <w:sz w:val="20"/>
        </w:rPr>
        <w:t>10-K</w:t>
      </w:r>
      <w:r>
        <w:rPr>
          <w:rFonts w:ascii="Arial"/>
          <w:spacing w:val="-4"/>
          <w:sz w:val="20"/>
        </w:rPr>
        <w:t xml:space="preserve"> </w:t>
      </w:r>
      <w:r>
        <w:rPr>
          <w:rFonts w:ascii="Arial"/>
          <w:sz w:val="20"/>
        </w:rPr>
        <w:t>of</w:t>
      </w:r>
      <w:r>
        <w:rPr>
          <w:rFonts w:ascii="Arial"/>
          <w:spacing w:val="-4"/>
          <w:sz w:val="20"/>
        </w:rPr>
        <w:t xml:space="preserve"> </w:t>
      </w:r>
      <w:r>
        <w:rPr>
          <w:rFonts w:ascii="Arial"/>
          <w:sz w:val="20"/>
        </w:rPr>
        <w:t>Lockheed</w:t>
      </w:r>
      <w:r>
        <w:rPr>
          <w:rFonts w:ascii="Arial"/>
          <w:spacing w:val="-4"/>
          <w:sz w:val="20"/>
        </w:rPr>
        <w:t xml:space="preserve"> </w:t>
      </w:r>
      <w:r>
        <w:rPr>
          <w:rFonts w:ascii="Arial"/>
          <w:sz w:val="20"/>
        </w:rPr>
        <w:t>Martin</w:t>
      </w:r>
      <w:r>
        <w:rPr>
          <w:rFonts w:ascii="Arial"/>
          <w:spacing w:val="-3"/>
          <w:sz w:val="20"/>
        </w:rPr>
        <w:t xml:space="preserve"> </w:t>
      </w:r>
      <w:proofErr w:type="gramStart"/>
      <w:r>
        <w:rPr>
          <w:rFonts w:ascii="Arial"/>
          <w:spacing w:val="-2"/>
          <w:sz w:val="20"/>
        </w:rPr>
        <w:t>Corporation;</w:t>
      </w:r>
      <w:proofErr w:type="gramEnd"/>
    </w:p>
    <w:p w14:paraId="05B930E2" w14:textId="77777777" w:rsidR="00AE2255" w:rsidRDefault="00AE2255">
      <w:pPr>
        <w:pStyle w:val="BodyText"/>
        <w:spacing w:before="9"/>
        <w:rPr>
          <w:rFonts w:ascii="Arial"/>
          <w:sz w:val="21"/>
        </w:rPr>
      </w:pPr>
    </w:p>
    <w:p w14:paraId="2C950447" w14:textId="77777777" w:rsidR="00AE2255" w:rsidRDefault="00000000">
      <w:pPr>
        <w:pStyle w:val="ListParagraph"/>
        <w:numPr>
          <w:ilvl w:val="0"/>
          <w:numId w:val="3"/>
        </w:numPr>
        <w:tabs>
          <w:tab w:val="left" w:pos="880"/>
        </w:tabs>
        <w:spacing w:line="249" w:lineRule="auto"/>
        <w:ind w:right="453"/>
        <w:rPr>
          <w:rFonts w:ascii="Arial"/>
          <w:sz w:val="20"/>
        </w:rPr>
      </w:pPr>
      <w:r>
        <w:rPr>
          <w:rFonts w:ascii="Arial"/>
          <w:sz w:val="20"/>
        </w:rPr>
        <w:t>Based on my knowledge, this report does not contain any untrue statement of a material fact or omit to state a material</w:t>
      </w:r>
      <w:r>
        <w:rPr>
          <w:rFonts w:ascii="Arial"/>
          <w:spacing w:val="-3"/>
          <w:sz w:val="20"/>
        </w:rPr>
        <w:t xml:space="preserve"> </w:t>
      </w:r>
      <w:r>
        <w:rPr>
          <w:rFonts w:ascii="Arial"/>
          <w:sz w:val="20"/>
        </w:rPr>
        <w:t>fact</w:t>
      </w:r>
      <w:r>
        <w:rPr>
          <w:rFonts w:ascii="Arial"/>
          <w:spacing w:val="-3"/>
          <w:sz w:val="20"/>
        </w:rPr>
        <w:t xml:space="preserve"> </w:t>
      </w:r>
      <w:r>
        <w:rPr>
          <w:rFonts w:ascii="Arial"/>
          <w:sz w:val="20"/>
        </w:rPr>
        <w:t>necessary</w:t>
      </w:r>
      <w:r>
        <w:rPr>
          <w:rFonts w:ascii="Arial"/>
          <w:spacing w:val="-3"/>
          <w:sz w:val="20"/>
        </w:rPr>
        <w:t xml:space="preserve"> </w:t>
      </w:r>
      <w:r>
        <w:rPr>
          <w:rFonts w:ascii="Arial"/>
          <w:sz w:val="20"/>
        </w:rPr>
        <w:t>to</w:t>
      </w:r>
      <w:r>
        <w:rPr>
          <w:rFonts w:ascii="Arial"/>
          <w:spacing w:val="-3"/>
          <w:sz w:val="20"/>
        </w:rPr>
        <w:t xml:space="preserve"> </w:t>
      </w:r>
      <w:r>
        <w:rPr>
          <w:rFonts w:ascii="Arial"/>
          <w:sz w:val="20"/>
        </w:rPr>
        <w:t>make</w:t>
      </w:r>
      <w:r>
        <w:rPr>
          <w:rFonts w:ascii="Arial"/>
          <w:spacing w:val="-3"/>
          <w:sz w:val="20"/>
        </w:rPr>
        <w:t xml:space="preserve"> </w:t>
      </w:r>
      <w:r>
        <w:rPr>
          <w:rFonts w:ascii="Arial"/>
          <w:sz w:val="20"/>
        </w:rPr>
        <w:t>the</w:t>
      </w:r>
      <w:r>
        <w:rPr>
          <w:rFonts w:ascii="Arial"/>
          <w:spacing w:val="-3"/>
          <w:sz w:val="20"/>
        </w:rPr>
        <w:t xml:space="preserve"> </w:t>
      </w:r>
      <w:r>
        <w:rPr>
          <w:rFonts w:ascii="Arial"/>
          <w:sz w:val="20"/>
        </w:rPr>
        <w:t>statements</w:t>
      </w:r>
      <w:r>
        <w:rPr>
          <w:rFonts w:ascii="Arial"/>
          <w:spacing w:val="-3"/>
          <w:sz w:val="20"/>
        </w:rPr>
        <w:t xml:space="preserve"> </w:t>
      </w:r>
      <w:r>
        <w:rPr>
          <w:rFonts w:ascii="Arial"/>
          <w:sz w:val="20"/>
        </w:rPr>
        <w:t>made,</w:t>
      </w:r>
      <w:r>
        <w:rPr>
          <w:rFonts w:ascii="Arial"/>
          <w:spacing w:val="-3"/>
          <w:sz w:val="20"/>
        </w:rPr>
        <w:t xml:space="preserve"> </w:t>
      </w:r>
      <w:r>
        <w:rPr>
          <w:rFonts w:ascii="Arial"/>
          <w:sz w:val="20"/>
        </w:rPr>
        <w:t>in</w:t>
      </w:r>
      <w:r>
        <w:rPr>
          <w:rFonts w:ascii="Arial"/>
          <w:spacing w:val="-3"/>
          <w:sz w:val="20"/>
        </w:rPr>
        <w:t xml:space="preserve"> </w:t>
      </w:r>
      <w:r>
        <w:rPr>
          <w:rFonts w:ascii="Arial"/>
          <w:sz w:val="20"/>
        </w:rPr>
        <w:t>light</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circumstances</w:t>
      </w:r>
      <w:r>
        <w:rPr>
          <w:rFonts w:ascii="Arial"/>
          <w:spacing w:val="-3"/>
          <w:sz w:val="20"/>
        </w:rPr>
        <w:t xml:space="preserve"> </w:t>
      </w:r>
      <w:r>
        <w:rPr>
          <w:rFonts w:ascii="Arial"/>
          <w:sz w:val="20"/>
        </w:rPr>
        <w:t>under</w:t>
      </w:r>
      <w:r>
        <w:rPr>
          <w:rFonts w:ascii="Arial"/>
          <w:spacing w:val="-3"/>
          <w:sz w:val="20"/>
        </w:rPr>
        <w:t xml:space="preserve"> </w:t>
      </w:r>
      <w:r>
        <w:rPr>
          <w:rFonts w:ascii="Arial"/>
          <w:sz w:val="20"/>
        </w:rPr>
        <w:t>which</w:t>
      </w:r>
      <w:r>
        <w:rPr>
          <w:rFonts w:ascii="Arial"/>
          <w:spacing w:val="-3"/>
          <w:sz w:val="20"/>
        </w:rPr>
        <w:t xml:space="preserve"> </w:t>
      </w:r>
      <w:r>
        <w:rPr>
          <w:rFonts w:ascii="Arial"/>
          <w:sz w:val="20"/>
        </w:rPr>
        <w:t>such</w:t>
      </w:r>
      <w:r>
        <w:rPr>
          <w:rFonts w:ascii="Arial"/>
          <w:spacing w:val="-3"/>
          <w:sz w:val="20"/>
        </w:rPr>
        <w:t xml:space="preserve"> </w:t>
      </w:r>
      <w:r>
        <w:rPr>
          <w:rFonts w:ascii="Arial"/>
          <w:sz w:val="20"/>
        </w:rPr>
        <w:t xml:space="preserve">statements were made, not misleading with respect to the period covered by this </w:t>
      </w:r>
      <w:proofErr w:type="gramStart"/>
      <w:r>
        <w:rPr>
          <w:rFonts w:ascii="Arial"/>
          <w:sz w:val="20"/>
        </w:rPr>
        <w:t>report;</w:t>
      </w:r>
      <w:proofErr w:type="gramEnd"/>
    </w:p>
    <w:p w14:paraId="6BD1D7C8" w14:textId="77777777" w:rsidR="00AE2255" w:rsidRDefault="00AE2255">
      <w:pPr>
        <w:pStyle w:val="BodyText"/>
        <w:spacing w:before="1"/>
        <w:rPr>
          <w:rFonts w:ascii="Arial"/>
          <w:sz w:val="21"/>
        </w:rPr>
      </w:pPr>
    </w:p>
    <w:p w14:paraId="6C4FF223" w14:textId="77777777" w:rsidR="00AE2255" w:rsidRDefault="00000000">
      <w:pPr>
        <w:pStyle w:val="ListParagraph"/>
        <w:numPr>
          <w:ilvl w:val="0"/>
          <w:numId w:val="3"/>
        </w:numPr>
        <w:tabs>
          <w:tab w:val="left" w:pos="880"/>
        </w:tabs>
        <w:spacing w:line="249" w:lineRule="auto"/>
        <w:ind w:right="398"/>
        <w:rPr>
          <w:rFonts w:ascii="Arial"/>
          <w:sz w:val="20"/>
        </w:rPr>
      </w:pPr>
      <w:r>
        <w:rPr>
          <w:rFonts w:ascii="Arial"/>
          <w:sz w:val="20"/>
        </w:rPr>
        <w:t>Based on my knowledge, the financial statements, and other financial information included in this report, fairly present</w:t>
      </w:r>
      <w:r>
        <w:rPr>
          <w:rFonts w:ascii="Arial"/>
          <w:spacing w:val="-3"/>
          <w:sz w:val="20"/>
        </w:rPr>
        <w:t xml:space="preserve"> </w:t>
      </w:r>
      <w:r>
        <w:rPr>
          <w:rFonts w:ascii="Arial"/>
          <w:sz w:val="20"/>
        </w:rPr>
        <w:t>in</w:t>
      </w:r>
      <w:r>
        <w:rPr>
          <w:rFonts w:ascii="Arial"/>
          <w:spacing w:val="-3"/>
          <w:sz w:val="20"/>
        </w:rPr>
        <w:t xml:space="preserve"> </w:t>
      </w:r>
      <w:r>
        <w:rPr>
          <w:rFonts w:ascii="Arial"/>
          <w:sz w:val="20"/>
        </w:rPr>
        <w:t>all</w:t>
      </w:r>
      <w:r>
        <w:rPr>
          <w:rFonts w:ascii="Arial"/>
          <w:spacing w:val="-3"/>
          <w:sz w:val="20"/>
        </w:rPr>
        <w:t xml:space="preserve"> </w:t>
      </w:r>
      <w:r>
        <w:rPr>
          <w:rFonts w:ascii="Arial"/>
          <w:sz w:val="20"/>
        </w:rPr>
        <w:t>material</w:t>
      </w:r>
      <w:r>
        <w:rPr>
          <w:rFonts w:ascii="Arial"/>
          <w:spacing w:val="-3"/>
          <w:sz w:val="20"/>
        </w:rPr>
        <w:t xml:space="preserve"> </w:t>
      </w:r>
      <w:r>
        <w:rPr>
          <w:rFonts w:ascii="Arial"/>
          <w:sz w:val="20"/>
        </w:rPr>
        <w:t>respects</w:t>
      </w:r>
      <w:r>
        <w:rPr>
          <w:rFonts w:ascii="Arial"/>
          <w:spacing w:val="-3"/>
          <w:sz w:val="20"/>
        </w:rPr>
        <w:t xml:space="preserve"> </w:t>
      </w:r>
      <w:r>
        <w:rPr>
          <w:rFonts w:ascii="Arial"/>
          <w:sz w:val="20"/>
        </w:rPr>
        <w:t>the</w:t>
      </w:r>
      <w:r>
        <w:rPr>
          <w:rFonts w:ascii="Arial"/>
          <w:spacing w:val="-3"/>
          <w:sz w:val="20"/>
        </w:rPr>
        <w:t xml:space="preserve"> </w:t>
      </w:r>
      <w:r>
        <w:rPr>
          <w:rFonts w:ascii="Arial"/>
          <w:sz w:val="20"/>
        </w:rPr>
        <w:t>financial</w:t>
      </w:r>
      <w:r>
        <w:rPr>
          <w:rFonts w:ascii="Arial"/>
          <w:spacing w:val="-3"/>
          <w:sz w:val="20"/>
        </w:rPr>
        <w:t xml:space="preserve"> </w:t>
      </w:r>
      <w:r>
        <w:rPr>
          <w:rFonts w:ascii="Arial"/>
          <w:sz w:val="20"/>
        </w:rPr>
        <w:t>condition,</w:t>
      </w:r>
      <w:r>
        <w:rPr>
          <w:rFonts w:ascii="Arial"/>
          <w:spacing w:val="-3"/>
          <w:sz w:val="20"/>
        </w:rPr>
        <w:t xml:space="preserve"> </w:t>
      </w:r>
      <w:r>
        <w:rPr>
          <w:rFonts w:ascii="Arial"/>
          <w:sz w:val="20"/>
        </w:rPr>
        <w:t>results</w:t>
      </w:r>
      <w:r>
        <w:rPr>
          <w:rFonts w:ascii="Arial"/>
          <w:spacing w:val="-3"/>
          <w:sz w:val="20"/>
        </w:rPr>
        <w:t xml:space="preserve"> </w:t>
      </w:r>
      <w:r>
        <w:rPr>
          <w:rFonts w:ascii="Arial"/>
          <w:sz w:val="20"/>
        </w:rPr>
        <w:t>of</w:t>
      </w:r>
      <w:r>
        <w:rPr>
          <w:rFonts w:ascii="Arial"/>
          <w:spacing w:val="-3"/>
          <w:sz w:val="20"/>
        </w:rPr>
        <w:t xml:space="preserve"> </w:t>
      </w:r>
      <w:r>
        <w:rPr>
          <w:rFonts w:ascii="Arial"/>
          <w:sz w:val="20"/>
        </w:rPr>
        <w:t>operations,</w:t>
      </w:r>
      <w:r>
        <w:rPr>
          <w:rFonts w:ascii="Arial"/>
          <w:spacing w:val="-3"/>
          <w:sz w:val="20"/>
        </w:rPr>
        <w:t xml:space="preserve"> </w:t>
      </w:r>
      <w:r>
        <w:rPr>
          <w:rFonts w:ascii="Arial"/>
          <w:sz w:val="20"/>
        </w:rPr>
        <w:t>and</w:t>
      </w:r>
      <w:r>
        <w:rPr>
          <w:rFonts w:ascii="Arial"/>
          <w:spacing w:val="-3"/>
          <w:sz w:val="20"/>
        </w:rPr>
        <w:t xml:space="preserve"> </w:t>
      </w:r>
      <w:r>
        <w:rPr>
          <w:rFonts w:ascii="Arial"/>
          <w:sz w:val="20"/>
        </w:rPr>
        <w:t>cash</w:t>
      </w:r>
      <w:r>
        <w:rPr>
          <w:rFonts w:ascii="Arial"/>
          <w:spacing w:val="-3"/>
          <w:sz w:val="20"/>
        </w:rPr>
        <w:t xml:space="preserve"> </w:t>
      </w:r>
      <w:r>
        <w:rPr>
          <w:rFonts w:ascii="Arial"/>
          <w:sz w:val="20"/>
        </w:rPr>
        <w:t>flows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registrant</w:t>
      </w:r>
      <w:r>
        <w:rPr>
          <w:rFonts w:ascii="Arial"/>
          <w:spacing w:val="-3"/>
          <w:sz w:val="20"/>
        </w:rPr>
        <w:t xml:space="preserve"> </w:t>
      </w:r>
      <w:r>
        <w:rPr>
          <w:rFonts w:ascii="Arial"/>
          <w:sz w:val="20"/>
        </w:rPr>
        <w:t>as</w:t>
      </w:r>
      <w:r>
        <w:rPr>
          <w:rFonts w:ascii="Arial"/>
          <w:spacing w:val="-3"/>
          <w:sz w:val="20"/>
        </w:rPr>
        <w:t xml:space="preserve"> </w:t>
      </w:r>
      <w:r>
        <w:rPr>
          <w:rFonts w:ascii="Arial"/>
          <w:sz w:val="20"/>
        </w:rPr>
        <w:t xml:space="preserve">of, and for, the periods presented in this </w:t>
      </w:r>
      <w:proofErr w:type="gramStart"/>
      <w:r>
        <w:rPr>
          <w:rFonts w:ascii="Arial"/>
          <w:sz w:val="20"/>
        </w:rPr>
        <w:t>report;</w:t>
      </w:r>
      <w:proofErr w:type="gramEnd"/>
    </w:p>
    <w:p w14:paraId="52092ADD" w14:textId="77777777" w:rsidR="00AE2255" w:rsidRDefault="00AE2255">
      <w:pPr>
        <w:pStyle w:val="BodyText"/>
        <w:spacing w:before="1"/>
        <w:rPr>
          <w:rFonts w:ascii="Arial"/>
          <w:sz w:val="21"/>
        </w:rPr>
      </w:pPr>
    </w:p>
    <w:p w14:paraId="44BE4DC1" w14:textId="77777777" w:rsidR="00AE2255" w:rsidRDefault="00000000">
      <w:pPr>
        <w:pStyle w:val="ListParagraph"/>
        <w:numPr>
          <w:ilvl w:val="0"/>
          <w:numId w:val="3"/>
        </w:numPr>
        <w:tabs>
          <w:tab w:val="left" w:pos="880"/>
        </w:tabs>
        <w:spacing w:line="249" w:lineRule="auto"/>
        <w:ind w:right="582"/>
        <w:rPr>
          <w:rFonts w:ascii="Arial" w:hAnsi="Arial"/>
          <w:sz w:val="20"/>
        </w:rPr>
      </w:pP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other</w:t>
      </w:r>
      <w:r>
        <w:rPr>
          <w:rFonts w:ascii="Arial" w:hAnsi="Arial"/>
          <w:spacing w:val="-4"/>
          <w:sz w:val="20"/>
        </w:rPr>
        <w:t xml:space="preserve"> </w:t>
      </w:r>
      <w:r>
        <w:rPr>
          <w:rFonts w:ascii="Arial" w:hAnsi="Arial"/>
          <w:sz w:val="20"/>
        </w:rPr>
        <w:t>certifying</w:t>
      </w:r>
      <w:r>
        <w:rPr>
          <w:rFonts w:ascii="Arial" w:hAnsi="Arial"/>
          <w:spacing w:val="-4"/>
          <w:sz w:val="20"/>
        </w:rPr>
        <w:t xml:space="preserve"> </w:t>
      </w:r>
      <w:r>
        <w:rPr>
          <w:rFonts w:ascii="Arial" w:hAnsi="Arial"/>
          <w:sz w:val="20"/>
        </w:rPr>
        <w:t>officer</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I</w:t>
      </w:r>
      <w:r>
        <w:rPr>
          <w:rFonts w:ascii="Arial" w:hAnsi="Arial"/>
          <w:spacing w:val="-4"/>
          <w:sz w:val="20"/>
        </w:rPr>
        <w:t xml:space="preserve"> </w:t>
      </w:r>
      <w:r>
        <w:rPr>
          <w:rFonts w:ascii="Arial" w:hAnsi="Arial"/>
          <w:sz w:val="20"/>
        </w:rPr>
        <w:t>are</w:t>
      </w:r>
      <w:r>
        <w:rPr>
          <w:rFonts w:ascii="Arial" w:hAnsi="Arial"/>
          <w:spacing w:val="-4"/>
          <w:sz w:val="20"/>
        </w:rPr>
        <w:t xml:space="preserve"> </w:t>
      </w:r>
      <w:r>
        <w:rPr>
          <w:rFonts w:ascii="Arial" w:hAnsi="Arial"/>
          <w:sz w:val="20"/>
        </w:rPr>
        <w:t>responsible</w:t>
      </w:r>
      <w:r>
        <w:rPr>
          <w:rFonts w:ascii="Arial" w:hAnsi="Arial"/>
          <w:spacing w:val="-4"/>
          <w:sz w:val="20"/>
        </w:rPr>
        <w:t xml:space="preserve"> </w:t>
      </w:r>
      <w:r>
        <w:rPr>
          <w:rFonts w:ascii="Arial" w:hAnsi="Arial"/>
          <w:sz w:val="20"/>
        </w:rPr>
        <w:t>for</w:t>
      </w:r>
      <w:r>
        <w:rPr>
          <w:rFonts w:ascii="Arial" w:hAnsi="Arial"/>
          <w:spacing w:val="-4"/>
          <w:sz w:val="20"/>
        </w:rPr>
        <w:t xml:space="preserve"> </w:t>
      </w:r>
      <w:r>
        <w:rPr>
          <w:rFonts w:ascii="Arial" w:hAnsi="Arial"/>
          <w:sz w:val="20"/>
        </w:rPr>
        <w:t>establishing</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maintaining</w:t>
      </w:r>
      <w:r>
        <w:rPr>
          <w:rFonts w:ascii="Arial" w:hAnsi="Arial"/>
          <w:spacing w:val="-4"/>
          <w:sz w:val="20"/>
        </w:rPr>
        <w:t xml:space="preserve"> </w:t>
      </w:r>
      <w:r>
        <w:rPr>
          <w:rFonts w:ascii="Arial" w:hAnsi="Arial"/>
          <w:sz w:val="20"/>
        </w:rPr>
        <w:t>disclosure</w:t>
      </w:r>
      <w:r>
        <w:rPr>
          <w:rFonts w:ascii="Arial" w:hAnsi="Arial"/>
          <w:spacing w:val="-4"/>
          <w:sz w:val="20"/>
        </w:rPr>
        <w:t xml:space="preserve"> </w:t>
      </w:r>
      <w:r>
        <w:rPr>
          <w:rFonts w:ascii="Arial" w:hAnsi="Arial"/>
          <w:sz w:val="20"/>
        </w:rPr>
        <w:t>controls and procedures (as defined in Exchange</w:t>
      </w:r>
      <w:r>
        <w:rPr>
          <w:rFonts w:ascii="Arial" w:hAnsi="Arial"/>
          <w:spacing w:val="-11"/>
          <w:sz w:val="20"/>
        </w:rPr>
        <w:t xml:space="preserve"> </w:t>
      </w:r>
      <w:r>
        <w:rPr>
          <w:rFonts w:ascii="Arial" w:hAnsi="Arial"/>
          <w:sz w:val="20"/>
        </w:rPr>
        <w:t>Act Rules 13a-15(e) and 15d-15(e)) and internal control over financial reporting (as defined in Exchange</w:t>
      </w:r>
      <w:r>
        <w:rPr>
          <w:rFonts w:ascii="Arial" w:hAnsi="Arial"/>
          <w:spacing w:val="-6"/>
          <w:sz w:val="20"/>
        </w:rPr>
        <w:t xml:space="preserve"> </w:t>
      </w:r>
      <w:r>
        <w:rPr>
          <w:rFonts w:ascii="Arial" w:hAnsi="Arial"/>
          <w:sz w:val="20"/>
        </w:rPr>
        <w:t>Act Rules 13a-15(f) and 15d-15(f)) for the registrant and have:</w:t>
      </w:r>
    </w:p>
    <w:p w14:paraId="53B9CD6A" w14:textId="77777777" w:rsidR="00AE2255" w:rsidRDefault="00AE2255">
      <w:pPr>
        <w:pStyle w:val="BodyText"/>
        <w:spacing w:before="1"/>
        <w:rPr>
          <w:rFonts w:ascii="Arial"/>
          <w:sz w:val="21"/>
        </w:rPr>
      </w:pPr>
    </w:p>
    <w:p w14:paraId="1A0A2F5B" w14:textId="77777777" w:rsidR="00AE2255" w:rsidRDefault="00000000">
      <w:pPr>
        <w:pStyle w:val="ListParagraph"/>
        <w:numPr>
          <w:ilvl w:val="1"/>
          <w:numId w:val="3"/>
        </w:numPr>
        <w:tabs>
          <w:tab w:val="left" w:pos="1600"/>
        </w:tabs>
        <w:spacing w:line="249" w:lineRule="auto"/>
        <w:ind w:right="375"/>
        <w:rPr>
          <w:rFonts w:ascii="Arial"/>
          <w:sz w:val="20"/>
        </w:rPr>
      </w:pPr>
      <w:r>
        <w:rPr>
          <w:rFonts w:ascii="Arial"/>
          <w:sz w:val="20"/>
        </w:rPr>
        <w:t>Designed</w:t>
      </w:r>
      <w:r>
        <w:rPr>
          <w:rFonts w:ascii="Arial"/>
          <w:spacing w:val="-4"/>
          <w:sz w:val="20"/>
        </w:rPr>
        <w:t xml:space="preserve"> </w:t>
      </w:r>
      <w:r>
        <w:rPr>
          <w:rFonts w:ascii="Arial"/>
          <w:sz w:val="20"/>
        </w:rPr>
        <w:t>such</w:t>
      </w:r>
      <w:r>
        <w:rPr>
          <w:rFonts w:ascii="Arial"/>
          <w:spacing w:val="-4"/>
          <w:sz w:val="20"/>
        </w:rPr>
        <w:t xml:space="preserve"> </w:t>
      </w:r>
      <w:r>
        <w:rPr>
          <w:rFonts w:ascii="Arial"/>
          <w:sz w:val="20"/>
        </w:rPr>
        <w:t>disclosure</w:t>
      </w:r>
      <w:r>
        <w:rPr>
          <w:rFonts w:ascii="Arial"/>
          <w:spacing w:val="-4"/>
          <w:sz w:val="20"/>
        </w:rPr>
        <w:t xml:space="preserve"> </w:t>
      </w:r>
      <w:r>
        <w:rPr>
          <w:rFonts w:ascii="Arial"/>
          <w:sz w:val="20"/>
        </w:rPr>
        <w:t>controls</w:t>
      </w:r>
      <w:r>
        <w:rPr>
          <w:rFonts w:ascii="Arial"/>
          <w:spacing w:val="-4"/>
          <w:sz w:val="20"/>
        </w:rPr>
        <w:t xml:space="preserve"> </w:t>
      </w:r>
      <w:r>
        <w:rPr>
          <w:rFonts w:ascii="Arial"/>
          <w:sz w:val="20"/>
        </w:rPr>
        <w:t>and</w:t>
      </w:r>
      <w:r>
        <w:rPr>
          <w:rFonts w:ascii="Arial"/>
          <w:spacing w:val="-4"/>
          <w:sz w:val="20"/>
        </w:rPr>
        <w:t xml:space="preserve"> </w:t>
      </w:r>
      <w:r>
        <w:rPr>
          <w:rFonts w:ascii="Arial"/>
          <w:sz w:val="20"/>
        </w:rPr>
        <w:t>procedures,</w:t>
      </w:r>
      <w:r>
        <w:rPr>
          <w:rFonts w:ascii="Arial"/>
          <w:spacing w:val="-4"/>
          <w:sz w:val="20"/>
        </w:rPr>
        <w:t xml:space="preserve"> </w:t>
      </w:r>
      <w:r>
        <w:rPr>
          <w:rFonts w:ascii="Arial"/>
          <w:sz w:val="20"/>
        </w:rPr>
        <w:t>or</w:t>
      </w:r>
      <w:r>
        <w:rPr>
          <w:rFonts w:ascii="Arial"/>
          <w:spacing w:val="-4"/>
          <w:sz w:val="20"/>
        </w:rPr>
        <w:t xml:space="preserve"> </w:t>
      </w:r>
      <w:r>
        <w:rPr>
          <w:rFonts w:ascii="Arial"/>
          <w:sz w:val="20"/>
        </w:rPr>
        <w:t>caused</w:t>
      </w:r>
      <w:r>
        <w:rPr>
          <w:rFonts w:ascii="Arial"/>
          <w:spacing w:val="-4"/>
          <w:sz w:val="20"/>
        </w:rPr>
        <w:t xml:space="preserve"> </w:t>
      </w:r>
      <w:r>
        <w:rPr>
          <w:rFonts w:ascii="Arial"/>
          <w:sz w:val="20"/>
        </w:rPr>
        <w:t>such</w:t>
      </w:r>
      <w:r>
        <w:rPr>
          <w:rFonts w:ascii="Arial"/>
          <w:spacing w:val="-4"/>
          <w:sz w:val="20"/>
        </w:rPr>
        <w:t xml:space="preserve"> </w:t>
      </w:r>
      <w:r>
        <w:rPr>
          <w:rFonts w:ascii="Arial"/>
          <w:sz w:val="20"/>
        </w:rPr>
        <w:t>disclosure</w:t>
      </w:r>
      <w:r>
        <w:rPr>
          <w:rFonts w:ascii="Arial"/>
          <w:spacing w:val="-4"/>
          <w:sz w:val="20"/>
        </w:rPr>
        <w:t xml:space="preserve"> </w:t>
      </w:r>
      <w:r>
        <w:rPr>
          <w:rFonts w:ascii="Arial"/>
          <w:sz w:val="20"/>
        </w:rPr>
        <w:t>controls</w:t>
      </w:r>
      <w:r>
        <w:rPr>
          <w:rFonts w:ascii="Arial"/>
          <w:spacing w:val="-4"/>
          <w:sz w:val="20"/>
        </w:rPr>
        <w:t xml:space="preserve"> </w:t>
      </w:r>
      <w:r>
        <w:rPr>
          <w:rFonts w:ascii="Arial"/>
          <w:sz w:val="20"/>
        </w:rPr>
        <w:t>and</w:t>
      </w:r>
      <w:r>
        <w:rPr>
          <w:rFonts w:ascii="Arial"/>
          <w:spacing w:val="-4"/>
          <w:sz w:val="20"/>
        </w:rPr>
        <w:t xml:space="preserve"> </w:t>
      </w:r>
      <w:r>
        <w:rPr>
          <w:rFonts w:ascii="Arial"/>
          <w:sz w:val="20"/>
        </w:rPr>
        <w:t>procedures</w:t>
      </w:r>
      <w:r>
        <w:rPr>
          <w:rFonts w:ascii="Arial"/>
          <w:spacing w:val="-4"/>
          <w:sz w:val="20"/>
        </w:rPr>
        <w:t xml:space="preserve"> </w:t>
      </w:r>
      <w:r>
        <w:rPr>
          <w:rFonts w:ascii="Arial"/>
          <w:sz w:val="20"/>
        </w:rPr>
        <w:t xml:space="preserve">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Pr>
          <w:rFonts w:ascii="Arial"/>
          <w:sz w:val="20"/>
        </w:rPr>
        <w:t>prepared;</w:t>
      </w:r>
      <w:proofErr w:type="gramEnd"/>
    </w:p>
    <w:p w14:paraId="13C7735A" w14:textId="77777777" w:rsidR="00AE2255" w:rsidRDefault="00AE2255">
      <w:pPr>
        <w:pStyle w:val="BodyText"/>
        <w:spacing w:before="2"/>
        <w:rPr>
          <w:rFonts w:ascii="Arial"/>
          <w:sz w:val="21"/>
        </w:rPr>
      </w:pPr>
    </w:p>
    <w:p w14:paraId="65A10D7F" w14:textId="77777777" w:rsidR="00AE2255" w:rsidRDefault="00000000">
      <w:pPr>
        <w:pStyle w:val="ListParagraph"/>
        <w:numPr>
          <w:ilvl w:val="1"/>
          <w:numId w:val="3"/>
        </w:numPr>
        <w:tabs>
          <w:tab w:val="left" w:pos="1600"/>
        </w:tabs>
        <w:spacing w:line="249" w:lineRule="auto"/>
        <w:ind w:right="421"/>
        <w:rPr>
          <w:rFonts w:ascii="Arial"/>
          <w:sz w:val="20"/>
        </w:rPr>
      </w:pPr>
      <w:r>
        <w:rPr>
          <w:rFonts w:ascii="Arial"/>
          <w:sz w:val="20"/>
        </w:rPr>
        <w:t>Designed such internal control over financial reporting, or caused such internal control over financial reporting to be designed under our supervision, to provide reasonable assurance regarding the reliability of</w:t>
      </w:r>
      <w:r>
        <w:rPr>
          <w:rFonts w:ascii="Arial"/>
          <w:spacing w:val="-4"/>
          <w:sz w:val="20"/>
        </w:rPr>
        <w:t xml:space="preserve"> </w:t>
      </w:r>
      <w:r>
        <w:rPr>
          <w:rFonts w:ascii="Arial"/>
          <w:sz w:val="20"/>
        </w:rPr>
        <w:t>financial</w:t>
      </w:r>
      <w:r>
        <w:rPr>
          <w:rFonts w:ascii="Arial"/>
          <w:spacing w:val="-4"/>
          <w:sz w:val="20"/>
        </w:rPr>
        <w:t xml:space="preserve"> </w:t>
      </w:r>
      <w:r>
        <w:rPr>
          <w:rFonts w:ascii="Arial"/>
          <w:sz w:val="20"/>
        </w:rPr>
        <w:t>reporting</w:t>
      </w:r>
      <w:r>
        <w:rPr>
          <w:rFonts w:ascii="Arial"/>
          <w:spacing w:val="-4"/>
          <w:sz w:val="20"/>
        </w:rPr>
        <w:t xml:space="preserve"> </w:t>
      </w:r>
      <w:r>
        <w:rPr>
          <w:rFonts w:ascii="Arial"/>
          <w:sz w:val="20"/>
        </w:rPr>
        <w:t>and</w:t>
      </w:r>
      <w:r>
        <w:rPr>
          <w:rFonts w:ascii="Arial"/>
          <w:spacing w:val="-4"/>
          <w:sz w:val="20"/>
        </w:rPr>
        <w:t xml:space="preserve"> </w:t>
      </w:r>
      <w:r>
        <w:rPr>
          <w:rFonts w:ascii="Arial"/>
          <w:sz w:val="20"/>
        </w:rPr>
        <w:t>the</w:t>
      </w:r>
      <w:r>
        <w:rPr>
          <w:rFonts w:ascii="Arial"/>
          <w:spacing w:val="-4"/>
          <w:sz w:val="20"/>
        </w:rPr>
        <w:t xml:space="preserve"> </w:t>
      </w:r>
      <w:r>
        <w:rPr>
          <w:rFonts w:ascii="Arial"/>
          <w:sz w:val="20"/>
        </w:rPr>
        <w:t>preparation</w:t>
      </w:r>
      <w:r>
        <w:rPr>
          <w:rFonts w:ascii="Arial"/>
          <w:spacing w:val="-4"/>
          <w:sz w:val="20"/>
        </w:rPr>
        <w:t xml:space="preserve"> </w:t>
      </w:r>
      <w:r>
        <w:rPr>
          <w:rFonts w:ascii="Arial"/>
          <w:sz w:val="20"/>
        </w:rPr>
        <w:t>of</w:t>
      </w:r>
      <w:r>
        <w:rPr>
          <w:rFonts w:ascii="Arial"/>
          <w:spacing w:val="-4"/>
          <w:sz w:val="20"/>
        </w:rPr>
        <w:t xml:space="preserve"> </w:t>
      </w:r>
      <w:r>
        <w:rPr>
          <w:rFonts w:ascii="Arial"/>
          <w:sz w:val="20"/>
        </w:rPr>
        <w:t>financial</w:t>
      </w:r>
      <w:r>
        <w:rPr>
          <w:rFonts w:ascii="Arial"/>
          <w:spacing w:val="-4"/>
          <w:sz w:val="20"/>
        </w:rPr>
        <w:t xml:space="preserve"> </w:t>
      </w:r>
      <w:r>
        <w:rPr>
          <w:rFonts w:ascii="Arial"/>
          <w:sz w:val="20"/>
        </w:rPr>
        <w:t>statements</w:t>
      </w:r>
      <w:r>
        <w:rPr>
          <w:rFonts w:ascii="Arial"/>
          <w:spacing w:val="-4"/>
          <w:sz w:val="20"/>
        </w:rPr>
        <w:t xml:space="preserve"> </w:t>
      </w:r>
      <w:r>
        <w:rPr>
          <w:rFonts w:ascii="Arial"/>
          <w:sz w:val="20"/>
        </w:rPr>
        <w:t>for</w:t>
      </w:r>
      <w:r>
        <w:rPr>
          <w:rFonts w:ascii="Arial"/>
          <w:spacing w:val="-4"/>
          <w:sz w:val="20"/>
        </w:rPr>
        <w:t xml:space="preserve"> </w:t>
      </w:r>
      <w:r>
        <w:rPr>
          <w:rFonts w:ascii="Arial"/>
          <w:sz w:val="20"/>
        </w:rPr>
        <w:t>external</w:t>
      </w:r>
      <w:r>
        <w:rPr>
          <w:rFonts w:ascii="Arial"/>
          <w:spacing w:val="-4"/>
          <w:sz w:val="20"/>
        </w:rPr>
        <w:t xml:space="preserve"> </w:t>
      </w:r>
      <w:r>
        <w:rPr>
          <w:rFonts w:ascii="Arial"/>
          <w:sz w:val="20"/>
        </w:rPr>
        <w:t>purposes</w:t>
      </w:r>
      <w:r>
        <w:rPr>
          <w:rFonts w:ascii="Arial"/>
          <w:spacing w:val="-4"/>
          <w:sz w:val="20"/>
        </w:rPr>
        <w:t xml:space="preserve"> </w:t>
      </w:r>
      <w:r>
        <w:rPr>
          <w:rFonts w:ascii="Arial"/>
          <w:sz w:val="20"/>
        </w:rPr>
        <w:t>in</w:t>
      </w:r>
      <w:r>
        <w:rPr>
          <w:rFonts w:ascii="Arial"/>
          <w:spacing w:val="-4"/>
          <w:sz w:val="20"/>
        </w:rPr>
        <w:t xml:space="preserve"> </w:t>
      </w:r>
      <w:r>
        <w:rPr>
          <w:rFonts w:ascii="Arial"/>
          <w:sz w:val="20"/>
        </w:rPr>
        <w:t>accordance</w:t>
      </w:r>
      <w:r>
        <w:rPr>
          <w:rFonts w:ascii="Arial"/>
          <w:spacing w:val="-4"/>
          <w:sz w:val="20"/>
        </w:rPr>
        <w:t xml:space="preserve"> </w:t>
      </w:r>
      <w:r>
        <w:rPr>
          <w:rFonts w:ascii="Arial"/>
          <w:sz w:val="20"/>
        </w:rPr>
        <w:t xml:space="preserve">with generally accepted accounting </w:t>
      </w:r>
      <w:proofErr w:type="gramStart"/>
      <w:r>
        <w:rPr>
          <w:rFonts w:ascii="Arial"/>
          <w:sz w:val="20"/>
        </w:rPr>
        <w:t>principles;</w:t>
      </w:r>
      <w:proofErr w:type="gramEnd"/>
    </w:p>
    <w:p w14:paraId="6E8FBE1D" w14:textId="77777777" w:rsidR="00AE2255" w:rsidRDefault="00AE2255">
      <w:pPr>
        <w:pStyle w:val="BodyText"/>
        <w:spacing w:before="1"/>
        <w:rPr>
          <w:rFonts w:ascii="Arial"/>
          <w:sz w:val="21"/>
        </w:rPr>
      </w:pPr>
    </w:p>
    <w:p w14:paraId="1B7D5DD7" w14:textId="77777777" w:rsidR="00AE2255" w:rsidRDefault="00000000">
      <w:pPr>
        <w:pStyle w:val="ListParagraph"/>
        <w:numPr>
          <w:ilvl w:val="1"/>
          <w:numId w:val="3"/>
        </w:numPr>
        <w:tabs>
          <w:tab w:val="left" w:pos="1600"/>
        </w:tabs>
        <w:spacing w:before="1" w:line="249" w:lineRule="auto"/>
        <w:ind w:right="424"/>
        <w:rPr>
          <w:rFonts w:ascii="Arial" w:hAnsi="Arial"/>
          <w:sz w:val="20"/>
        </w:rPr>
      </w:pPr>
      <w:r>
        <w:rPr>
          <w:rFonts w:ascii="Arial" w:hAnsi="Arial"/>
          <w:sz w:val="20"/>
        </w:rPr>
        <w:t>Evaluated the effectiveness of the registrant’s disclosure controls and procedures, and presented in this report</w:t>
      </w:r>
      <w:r>
        <w:rPr>
          <w:rFonts w:ascii="Arial" w:hAnsi="Arial"/>
          <w:spacing w:val="-3"/>
          <w:sz w:val="20"/>
        </w:rPr>
        <w:t xml:space="preserve"> </w:t>
      </w:r>
      <w:r>
        <w:rPr>
          <w:rFonts w:ascii="Arial" w:hAnsi="Arial"/>
          <w:sz w:val="20"/>
        </w:rPr>
        <w:t>our</w:t>
      </w:r>
      <w:r>
        <w:rPr>
          <w:rFonts w:ascii="Arial" w:hAnsi="Arial"/>
          <w:spacing w:val="-3"/>
          <w:sz w:val="20"/>
        </w:rPr>
        <w:t xml:space="preserve"> </w:t>
      </w:r>
      <w:r>
        <w:rPr>
          <w:rFonts w:ascii="Arial" w:hAnsi="Arial"/>
          <w:sz w:val="20"/>
        </w:rPr>
        <w:t>conclusions</w:t>
      </w:r>
      <w:r>
        <w:rPr>
          <w:rFonts w:ascii="Arial" w:hAnsi="Arial"/>
          <w:spacing w:val="-3"/>
          <w:sz w:val="20"/>
        </w:rPr>
        <w:t xml:space="preserve"> </w:t>
      </w:r>
      <w:r>
        <w:rPr>
          <w:rFonts w:ascii="Arial" w:hAnsi="Arial"/>
          <w:sz w:val="20"/>
        </w:rPr>
        <w:t>about</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effectiveness</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disclosure</w:t>
      </w:r>
      <w:r>
        <w:rPr>
          <w:rFonts w:ascii="Arial" w:hAnsi="Arial"/>
          <w:spacing w:val="-3"/>
          <w:sz w:val="20"/>
        </w:rPr>
        <w:t xml:space="preserve"> </w:t>
      </w:r>
      <w:r>
        <w:rPr>
          <w:rFonts w:ascii="Arial" w:hAnsi="Arial"/>
          <w:sz w:val="20"/>
        </w:rPr>
        <w:t>controls</w:t>
      </w:r>
      <w:r>
        <w:rPr>
          <w:rFonts w:ascii="Arial" w:hAnsi="Arial"/>
          <w:spacing w:val="-3"/>
          <w:sz w:val="20"/>
        </w:rPr>
        <w:t xml:space="preserve"> </w:t>
      </w:r>
      <w:r>
        <w:rPr>
          <w:rFonts w:ascii="Arial" w:hAnsi="Arial"/>
          <w:sz w:val="20"/>
        </w:rPr>
        <w:t>and</w:t>
      </w:r>
      <w:r>
        <w:rPr>
          <w:rFonts w:ascii="Arial" w:hAnsi="Arial"/>
          <w:spacing w:val="-3"/>
          <w:sz w:val="20"/>
        </w:rPr>
        <w:t xml:space="preserve"> </w:t>
      </w:r>
      <w:r>
        <w:rPr>
          <w:rFonts w:ascii="Arial" w:hAnsi="Arial"/>
          <w:sz w:val="20"/>
        </w:rPr>
        <w:t>procedures,</w:t>
      </w:r>
      <w:r>
        <w:rPr>
          <w:rFonts w:ascii="Arial" w:hAnsi="Arial"/>
          <w:spacing w:val="-3"/>
          <w:sz w:val="20"/>
        </w:rPr>
        <w:t xml:space="preserve"> </w:t>
      </w:r>
      <w:r>
        <w:rPr>
          <w:rFonts w:ascii="Arial" w:hAnsi="Arial"/>
          <w:sz w:val="20"/>
        </w:rPr>
        <w:t>as</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end</w:t>
      </w:r>
      <w:r>
        <w:rPr>
          <w:rFonts w:ascii="Arial" w:hAnsi="Arial"/>
          <w:spacing w:val="-3"/>
          <w:sz w:val="20"/>
        </w:rPr>
        <w:t xml:space="preserve"> </w:t>
      </w:r>
      <w:r>
        <w:rPr>
          <w:rFonts w:ascii="Arial" w:hAnsi="Arial"/>
          <w:sz w:val="20"/>
        </w:rPr>
        <w:t>of the period covered by this report based on such evaluation; and</w:t>
      </w:r>
    </w:p>
    <w:p w14:paraId="3385CBF6" w14:textId="77777777" w:rsidR="00AE2255" w:rsidRDefault="00AE2255">
      <w:pPr>
        <w:pStyle w:val="BodyText"/>
        <w:rPr>
          <w:rFonts w:ascii="Arial"/>
          <w:sz w:val="21"/>
        </w:rPr>
      </w:pPr>
    </w:p>
    <w:p w14:paraId="2EEE6174" w14:textId="77777777" w:rsidR="00AE2255" w:rsidRDefault="00000000">
      <w:pPr>
        <w:pStyle w:val="ListParagraph"/>
        <w:numPr>
          <w:ilvl w:val="1"/>
          <w:numId w:val="3"/>
        </w:numPr>
        <w:tabs>
          <w:tab w:val="left" w:pos="1600"/>
        </w:tabs>
        <w:spacing w:line="249" w:lineRule="auto"/>
        <w:ind w:right="347"/>
        <w:rPr>
          <w:rFonts w:ascii="Arial" w:hAnsi="Arial"/>
          <w:sz w:val="20"/>
        </w:rPr>
      </w:pPr>
      <w:r>
        <w:rPr>
          <w:rFonts w:ascii="Arial" w:hAnsi="Arial"/>
          <w:sz w:val="20"/>
        </w:rPr>
        <w:t>Disclosed</w:t>
      </w:r>
      <w:r>
        <w:rPr>
          <w:rFonts w:ascii="Arial" w:hAnsi="Arial"/>
          <w:spacing w:val="-4"/>
          <w:sz w:val="20"/>
        </w:rPr>
        <w:t xml:space="preserve"> </w:t>
      </w:r>
      <w:r>
        <w:rPr>
          <w:rFonts w:ascii="Arial" w:hAnsi="Arial"/>
          <w:sz w:val="20"/>
        </w:rPr>
        <w:t>in</w:t>
      </w:r>
      <w:r>
        <w:rPr>
          <w:rFonts w:ascii="Arial" w:hAnsi="Arial"/>
          <w:spacing w:val="-4"/>
          <w:sz w:val="20"/>
        </w:rPr>
        <w:t xml:space="preserve"> </w:t>
      </w:r>
      <w:r>
        <w:rPr>
          <w:rFonts w:ascii="Arial" w:hAnsi="Arial"/>
          <w:sz w:val="20"/>
        </w:rPr>
        <w:t>this</w:t>
      </w:r>
      <w:r>
        <w:rPr>
          <w:rFonts w:ascii="Arial" w:hAnsi="Arial"/>
          <w:spacing w:val="-4"/>
          <w:sz w:val="20"/>
        </w:rPr>
        <w:t xml:space="preserve"> </w:t>
      </w:r>
      <w:r>
        <w:rPr>
          <w:rFonts w:ascii="Arial" w:hAnsi="Arial"/>
          <w:sz w:val="20"/>
        </w:rPr>
        <w:t>report</w:t>
      </w:r>
      <w:r>
        <w:rPr>
          <w:rFonts w:ascii="Arial" w:hAnsi="Arial"/>
          <w:spacing w:val="-4"/>
          <w:sz w:val="20"/>
        </w:rPr>
        <w:t xml:space="preserve"> </w:t>
      </w:r>
      <w:r>
        <w:rPr>
          <w:rFonts w:ascii="Arial" w:hAnsi="Arial"/>
          <w:sz w:val="20"/>
        </w:rPr>
        <w:t>any</w:t>
      </w:r>
      <w:r>
        <w:rPr>
          <w:rFonts w:ascii="Arial" w:hAnsi="Arial"/>
          <w:spacing w:val="-4"/>
          <w:sz w:val="20"/>
        </w:rPr>
        <w:t xml:space="preserve"> </w:t>
      </w:r>
      <w:r>
        <w:rPr>
          <w:rFonts w:ascii="Arial" w:hAnsi="Arial"/>
          <w:sz w:val="20"/>
        </w:rPr>
        <w:t>change</w:t>
      </w:r>
      <w:r>
        <w:rPr>
          <w:rFonts w:ascii="Arial" w:hAnsi="Arial"/>
          <w:spacing w:val="-4"/>
          <w:sz w:val="20"/>
        </w:rPr>
        <w:t xml:space="preserve"> </w:t>
      </w:r>
      <w:r>
        <w:rPr>
          <w:rFonts w:ascii="Arial" w:hAnsi="Arial"/>
          <w:sz w:val="20"/>
        </w:rPr>
        <w:t>in</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internal</w:t>
      </w:r>
      <w:r>
        <w:rPr>
          <w:rFonts w:ascii="Arial" w:hAnsi="Arial"/>
          <w:spacing w:val="-4"/>
          <w:sz w:val="20"/>
        </w:rPr>
        <w:t xml:space="preserve"> </w:t>
      </w:r>
      <w:r>
        <w:rPr>
          <w:rFonts w:ascii="Arial" w:hAnsi="Arial"/>
          <w:sz w:val="20"/>
        </w:rPr>
        <w:t>control</w:t>
      </w:r>
      <w:r>
        <w:rPr>
          <w:rFonts w:ascii="Arial" w:hAnsi="Arial"/>
          <w:spacing w:val="-4"/>
          <w:sz w:val="20"/>
        </w:rPr>
        <w:t xml:space="preserve"> </w:t>
      </w:r>
      <w:r>
        <w:rPr>
          <w:rFonts w:ascii="Arial" w:hAnsi="Arial"/>
          <w:sz w:val="20"/>
        </w:rPr>
        <w:t>over</w:t>
      </w:r>
      <w:r>
        <w:rPr>
          <w:rFonts w:ascii="Arial" w:hAnsi="Arial"/>
          <w:spacing w:val="-4"/>
          <w:sz w:val="20"/>
        </w:rPr>
        <w:t xml:space="preserve"> </w:t>
      </w:r>
      <w:r>
        <w:rPr>
          <w:rFonts w:ascii="Arial" w:hAnsi="Arial"/>
          <w:sz w:val="20"/>
        </w:rPr>
        <w:t>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that</w:t>
      </w:r>
      <w:r>
        <w:rPr>
          <w:rFonts w:ascii="Arial" w:hAnsi="Arial"/>
          <w:spacing w:val="-4"/>
          <w:sz w:val="20"/>
        </w:rPr>
        <w:t xml:space="preserve"> </w:t>
      </w:r>
      <w:r>
        <w:rPr>
          <w:rFonts w:ascii="Arial" w:hAnsi="Arial"/>
          <w:sz w:val="20"/>
        </w:rPr>
        <w:t>occurred during the registrant’s most recent fiscal quarter (the registrant’s fourth fiscal quarter in the case of an annual report) that has materially affected, or is reasonably likely to materially affect, the registrant’s internal control over financial reporting; and</w:t>
      </w:r>
    </w:p>
    <w:p w14:paraId="0A1D64C1" w14:textId="77777777" w:rsidR="00AE2255" w:rsidRDefault="00AE2255">
      <w:pPr>
        <w:pStyle w:val="BodyText"/>
        <w:spacing w:before="2"/>
        <w:rPr>
          <w:rFonts w:ascii="Arial"/>
          <w:sz w:val="21"/>
        </w:rPr>
      </w:pPr>
    </w:p>
    <w:p w14:paraId="24AEE9C7" w14:textId="77777777" w:rsidR="00AE2255" w:rsidRDefault="00000000">
      <w:pPr>
        <w:pStyle w:val="ListParagraph"/>
        <w:numPr>
          <w:ilvl w:val="0"/>
          <w:numId w:val="3"/>
        </w:numPr>
        <w:tabs>
          <w:tab w:val="left" w:pos="880"/>
        </w:tabs>
        <w:spacing w:line="249" w:lineRule="auto"/>
        <w:ind w:right="771"/>
        <w:rPr>
          <w:rFonts w:ascii="Arial" w:hAnsi="Arial"/>
          <w:sz w:val="20"/>
        </w:rPr>
      </w:pPr>
      <w:r>
        <w:rPr>
          <w:rFonts w:ascii="Arial" w:hAnsi="Arial"/>
          <w:sz w:val="20"/>
        </w:rPr>
        <w:t>The registrant’s other certifying officer and I have disclosed, based on our most recent evaluation of internal control</w:t>
      </w:r>
      <w:r>
        <w:rPr>
          <w:rFonts w:ascii="Arial" w:hAnsi="Arial"/>
          <w:spacing w:val="-4"/>
          <w:sz w:val="20"/>
        </w:rPr>
        <w:t xml:space="preserve"> </w:t>
      </w:r>
      <w:r>
        <w:rPr>
          <w:rFonts w:ascii="Arial" w:hAnsi="Arial"/>
          <w:sz w:val="20"/>
        </w:rPr>
        <w:t>over</w:t>
      </w:r>
      <w:r>
        <w:rPr>
          <w:rFonts w:ascii="Arial" w:hAnsi="Arial"/>
          <w:spacing w:val="-4"/>
          <w:sz w:val="20"/>
        </w:rPr>
        <w:t xml:space="preserve"> </w:t>
      </w:r>
      <w:r>
        <w:rPr>
          <w:rFonts w:ascii="Arial" w:hAnsi="Arial"/>
          <w:sz w:val="20"/>
        </w:rPr>
        <w:t>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auditors</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audit</w:t>
      </w:r>
      <w:r>
        <w:rPr>
          <w:rFonts w:ascii="Arial" w:hAnsi="Arial"/>
          <w:spacing w:val="-4"/>
          <w:sz w:val="20"/>
        </w:rPr>
        <w:t xml:space="preserve"> </w:t>
      </w:r>
      <w:r>
        <w:rPr>
          <w:rFonts w:ascii="Arial" w:hAnsi="Arial"/>
          <w:sz w:val="20"/>
        </w:rPr>
        <w:t>committee</w:t>
      </w:r>
      <w:r>
        <w:rPr>
          <w:rFonts w:ascii="Arial" w:hAnsi="Arial"/>
          <w:spacing w:val="-4"/>
          <w:sz w:val="20"/>
        </w:rPr>
        <w:t xml:space="preserve"> </w:t>
      </w:r>
      <w:r>
        <w:rPr>
          <w:rFonts w:ascii="Arial" w:hAnsi="Arial"/>
          <w:sz w:val="20"/>
        </w:rPr>
        <w:t>of</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board</w:t>
      </w:r>
      <w:r>
        <w:rPr>
          <w:rFonts w:ascii="Arial" w:hAnsi="Arial"/>
          <w:spacing w:val="-4"/>
          <w:sz w:val="20"/>
        </w:rPr>
        <w:t xml:space="preserve"> </w:t>
      </w:r>
      <w:r>
        <w:rPr>
          <w:rFonts w:ascii="Arial" w:hAnsi="Arial"/>
          <w:sz w:val="20"/>
        </w:rPr>
        <w:t>of directors (or persons performing the equivalent functions):</w:t>
      </w:r>
    </w:p>
    <w:p w14:paraId="654B2A78" w14:textId="77777777" w:rsidR="00AE2255" w:rsidRDefault="00AE2255">
      <w:pPr>
        <w:pStyle w:val="BodyText"/>
        <w:spacing w:before="1"/>
        <w:rPr>
          <w:rFonts w:ascii="Arial"/>
          <w:sz w:val="21"/>
        </w:rPr>
      </w:pPr>
    </w:p>
    <w:p w14:paraId="0FA919C2" w14:textId="77777777" w:rsidR="00AE2255" w:rsidRDefault="00000000">
      <w:pPr>
        <w:pStyle w:val="ListParagraph"/>
        <w:numPr>
          <w:ilvl w:val="1"/>
          <w:numId w:val="3"/>
        </w:numPr>
        <w:tabs>
          <w:tab w:val="left" w:pos="1600"/>
        </w:tabs>
        <w:spacing w:line="249" w:lineRule="auto"/>
        <w:ind w:right="362"/>
        <w:rPr>
          <w:rFonts w:ascii="Arial" w:hAnsi="Arial"/>
          <w:sz w:val="20"/>
        </w:rPr>
      </w:pPr>
      <w:r>
        <w:rPr>
          <w:rFonts w:ascii="Arial" w:hAnsi="Arial"/>
          <w:sz w:val="20"/>
        </w:rPr>
        <w:t>All significant deficiencies and material weaknesses in the design or operation of internal control over 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which</w:t>
      </w:r>
      <w:r>
        <w:rPr>
          <w:rFonts w:ascii="Arial" w:hAnsi="Arial"/>
          <w:spacing w:val="-4"/>
          <w:sz w:val="20"/>
        </w:rPr>
        <w:t xml:space="preserve"> </w:t>
      </w:r>
      <w:r>
        <w:rPr>
          <w:rFonts w:ascii="Arial" w:hAnsi="Arial"/>
          <w:sz w:val="20"/>
        </w:rPr>
        <w:t>are</w:t>
      </w:r>
      <w:r>
        <w:rPr>
          <w:rFonts w:ascii="Arial" w:hAnsi="Arial"/>
          <w:spacing w:val="-4"/>
          <w:sz w:val="20"/>
        </w:rPr>
        <w:t xml:space="preserve"> </w:t>
      </w:r>
      <w:r>
        <w:rPr>
          <w:rFonts w:ascii="Arial" w:hAnsi="Arial"/>
          <w:sz w:val="20"/>
        </w:rPr>
        <w:t>reasonably</w:t>
      </w:r>
      <w:r>
        <w:rPr>
          <w:rFonts w:ascii="Arial" w:hAnsi="Arial"/>
          <w:spacing w:val="-4"/>
          <w:sz w:val="20"/>
        </w:rPr>
        <w:t xml:space="preserve"> </w:t>
      </w:r>
      <w:r>
        <w:rPr>
          <w:rFonts w:ascii="Arial" w:hAnsi="Arial"/>
          <w:sz w:val="20"/>
        </w:rPr>
        <w:t>likely</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adversely</w:t>
      </w:r>
      <w:r>
        <w:rPr>
          <w:rFonts w:ascii="Arial" w:hAnsi="Arial"/>
          <w:spacing w:val="-4"/>
          <w:sz w:val="20"/>
        </w:rPr>
        <w:t xml:space="preserve"> </w:t>
      </w:r>
      <w:r>
        <w:rPr>
          <w:rFonts w:ascii="Arial" w:hAnsi="Arial"/>
          <w:sz w:val="20"/>
        </w:rPr>
        <w:t>affect</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ability</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record,</w:t>
      </w:r>
      <w:r>
        <w:rPr>
          <w:rFonts w:ascii="Arial" w:hAnsi="Arial"/>
          <w:spacing w:val="-4"/>
          <w:sz w:val="20"/>
        </w:rPr>
        <w:t xml:space="preserve"> </w:t>
      </w:r>
      <w:r>
        <w:rPr>
          <w:rFonts w:ascii="Arial" w:hAnsi="Arial"/>
          <w:sz w:val="20"/>
        </w:rPr>
        <w:t>process, summarize, and report financial information; and</w:t>
      </w:r>
    </w:p>
    <w:p w14:paraId="654DEAFC" w14:textId="77777777" w:rsidR="00AE2255" w:rsidRDefault="00AE2255">
      <w:pPr>
        <w:pStyle w:val="BodyText"/>
        <w:spacing w:before="1"/>
        <w:rPr>
          <w:rFonts w:ascii="Arial"/>
          <w:sz w:val="21"/>
        </w:rPr>
      </w:pPr>
    </w:p>
    <w:p w14:paraId="793CB8A2" w14:textId="77777777" w:rsidR="00AE2255" w:rsidRDefault="00000000">
      <w:pPr>
        <w:pStyle w:val="ListParagraph"/>
        <w:numPr>
          <w:ilvl w:val="1"/>
          <w:numId w:val="3"/>
        </w:numPr>
        <w:tabs>
          <w:tab w:val="left" w:pos="1600"/>
        </w:tabs>
        <w:spacing w:line="249" w:lineRule="auto"/>
        <w:ind w:right="454"/>
        <w:rPr>
          <w:rFonts w:ascii="Arial" w:hAnsi="Arial"/>
          <w:sz w:val="20"/>
        </w:rPr>
      </w:pPr>
      <w:r>
        <w:rPr>
          <w:rFonts w:ascii="Arial" w:hAnsi="Arial"/>
          <w:sz w:val="20"/>
        </w:rPr>
        <w:t>Any</w:t>
      </w:r>
      <w:r>
        <w:rPr>
          <w:rFonts w:ascii="Arial" w:hAnsi="Arial"/>
          <w:spacing w:val="-3"/>
          <w:sz w:val="20"/>
        </w:rPr>
        <w:t xml:space="preserve"> </w:t>
      </w:r>
      <w:r>
        <w:rPr>
          <w:rFonts w:ascii="Arial" w:hAnsi="Arial"/>
          <w:sz w:val="20"/>
        </w:rPr>
        <w:t>fraud,</w:t>
      </w:r>
      <w:r>
        <w:rPr>
          <w:rFonts w:ascii="Arial" w:hAnsi="Arial"/>
          <w:spacing w:val="-3"/>
          <w:sz w:val="20"/>
        </w:rPr>
        <w:t xml:space="preserve"> </w:t>
      </w:r>
      <w:proofErr w:type="gramStart"/>
      <w:r>
        <w:rPr>
          <w:rFonts w:ascii="Arial" w:hAnsi="Arial"/>
          <w:sz w:val="20"/>
        </w:rPr>
        <w:t>whether</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not</w:t>
      </w:r>
      <w:proofErr w:type="gramEnd"/>
      <w:r>
        <w:rPr>
          <w:rFonts w:ascii="Arial" w:hAnsi="Arial"/>
          <w:spacing w:val="-3"/>
          <w:sz w:val="20"/>
        </w:rPr>
        <w:t xml:space="preserve"> </w:t>
      </w:r>
      <w:r>
        <w:rPr>
          <w:rFonts w:ascii="Arial" w:hAnsi="Arial"/>
          <w:sz w:val="20"/>
        </w:rPr>
        <w:t>material,</w:t>
      </w:r>
      <w:r>
        <w:rPr>
          <w:rFonts w:ascii="Arial" w:hAnsi="Arial"/>
          <w:spacing w:val="-3"/>
          <w:sz w:val="20"/>
        </w:rPr>
        <w:t xml:space="preserve"> </w:t>
      </w:r>
      <w:r>
        <w:rPr>
          <w:rFonts w:ascii="Arial" w:hAnsi="Arial"/>
          <w:sz w:val="20"/>
        </w:rPr>
        <w:t>that</w:t>
      </w:r>
      <w:r>
        <w:rPr>
          <w:rFonts w:ascii="Arial" w:hAnsi="Arial"/>
          <w:spacing w:val="-3"/>
          <w:sz w:val="20"/>
        </w:rPr>
        <w:t xml:space="preserve"> </w:t>
      </w:r>
      <w:r>
        <w:rPr>
          <w:rFonts w:ascii="Arial" w:hAnsi="Arial"/>
          <w:sz w:val="20"/>
        </w:rPr>
        <w:t>involves</w:t>
      </w:r>
      <w:r>
        <w:rPr>
          <w:rFonts w:ascii="Arial" w:hAnsi="Arial"/>
          <w:spacing w:val="-3"/>
          <w:sz w:val="20"/>
        </w:rPr>
        <w:t xml:space="preserve"> </w:t>
      </w:r>
      <w:r>
        <w:rPr>
          <w:rFonts w:ascii="Arial" w:hAnsi="Arial"/>
          <w:sz w:val="20"/>
        </w:rPr>
        <w:t>management</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other</w:t>
      </w:r>
      <w:r>
        <w:rPr>
          <w:rFonts w:ascii="Arial" w:hAnsi="Arial"/>
          <w:spacing w:val="-3"/>
          <w:sz w:val="20"/>
        </w:rPr>
        <w:t xml:space="preserve"> </w:t>
      </w:r>
      <w:r>
        <w:rPr>
          <w:rFonts w:ascii="Arial" w:hAnsi="Arial"/>
          <w:sz w:val="20"/>
        </w:rPr>
        <w:t>employees</w:t>
      </w:r>
      <w:r>
        <w:rPr>
          <w:rFonts w:ascii="Arial" w:hAnsi="Arial"/>
          <w:spacing w:val="-3"/>
          <w:sz w:val="20"/>
        </w:rPr>
        <w:t xml:space="preserve"> </w:t>
      </w:r>
      <w:r>
        <w:rPr>
          <w:rFonts w:ascii="Arial" w:hAnsi="Arial"/>
          <w:sz w:val="20"/>
        </w:rPr>
        <w:t>who</w:t>
      </w:r>
      <w:r>
        <w:rPr>
          <w:rFonts w:ascii="Arial" w:hAnsi="Arial"/>
          <w:spacing w:val="-3"/>
          <w:sz w:val="20"/>
        </w:rPr>
        <w:t xml:space="preserve"> </w:t>
      </w:r>
      <w:r>
        <w:rPr>
          <w:rFonts w:ascii="Arial" w:hAnsi="Arial"/>
          <w:sz w:val="20"/>
        </w:rPr>
        <w:t>have</w:t>
      </w:r>
      <w:r>
        <w:rPr>
          <w:rFonts w:ascii="Arial" w:hAnsi="Arial"/>
          <w:spacing w:val="-3"/>
          <w:sz w:val="20"/>
        </w:rPr>
        <w:t xml:space="preserve"> </w:t>
      </w:r>
      <w:r>
        <w:rPr>
          <w:rFonts w:ascii="Arial" w:hAnsi="Arial"/>
          <w:sz w:val="20"/>
        </w:rPr>
        <w:t>a</w:t>
      </w:r>
      <w:r>
        <w:rPr>
          <w:rFonts w:ascii="Arial" w:hAnsi="Arial"/>
          <w:spacing w:val="-3"/>
          <w:sz w:val="20"/>
        </w:rPr>
        <w:t xml:space="preserve"> </w:t>
      </w:r>
      <w:r>
        <w:rPr>
          <w:rFonts w:ascii="Arial" w:hAnsi="Arial"/>
          <w:sz w:val="20"/>
        </w:rPr>
        <w:t>significant role in the registrant’s internal control over financial reporting.</w:t>
      </w:r>
    </w:p>
    <w:p w14:paraId="29841F0E" w14:textId="77777777" w:rsidR="00AE2255" w:rsidRDefault="00000000">
      <w:pPr>
        <w:pStyle w:val="BodyText"/>
        <w:spacing w:before="84" w:line="297" w:lineRule="auto"/>
        <w:ind w:left="7272" w:right="2294"/>
        <w:rPr>
          <w:rFonts w:ascii="Arial"/>
        </w:rPr>
      </w:pPr>
      <w:r>
        <w:pict w14:anchorId="76370316">
          <v:group id="docshapegroup172" o:spid="_x0000_s2059" style="position:absolute;left:0;text-align:left;margin-left:380pt;margin-top:16.7pt;width:143.25pt;height:1pt;z-index:-22615552;mso-position-horizontal-relative:page" coordorigin="7600,334" coordsize="2865,20">
            <v:shape id="docshape173" o:spid="_x0000_s2061" style="position:absolute;left:7600;top:343;width:2865;height:2" coordorigin="7600,344" coordsize="2865,0" path="m10465,344r-2865,e" fillcolor="black" stroked="f">
              <v:fill opacity="0"/>
              <v:path arrowok="t"/>
            </v:shape>
            <v:line id="_x0000_s2060" style="position:absolute" from="7600,344" to="10465,344" strokeweight="1pt"/>
            <w10:wrap anchorx="page"/>
          </v:group>
        </w:pict>
      </w:r>
      <w:r>
        <w:rPr>
          <w:rFonts w:ascii="Arial"/>
        </w:rPr>
        <w:t>/s/</w:t>
      </w:r>
      <w:r>
        <w:rPr>
          <w:rFonts w:ascii="Arial"/>
          <w:spacing w:val="-14"/>
        </w:rPr>
        <w:t xml:space="preserve"> </w:t>
      </w:r>
      <w:r>
        <w:rPr>
          <w:rFonts w:ascii="Arial"/>
        </w:rPr>
        <w:t>James</w:t>
      </w:r>
      <w:r>
        <w:rPr>
          <w:rFonts w:ascii="Arial"/>
          <w:spacing w:val="-14"/>
        </w:rPr>
        <w:t xml:space="preserve"> </w:t>
      </w:r>
      <w:r>
        <w:rPr>
          <w:rFonts w:ascii="Arial"/>
        </w:rPr>
        <w:t>D.</w:t>
      </w:r>
      <w:r>
        <w:rPr>
          <w:rFonts w:ascii="Arial"/>
          <w:spacing w:val="-14"/>
        </w:rPr>
        <w:t xml:space="preserve"> </w:t>
      </w:r>
      <w:proofErr w:type="spellStart"/>
      <w:r>
        <w:rPr>
          <w:rFonts w:ascii="Arial"/>
        </w:rPr>
        <w:t>Taiclet</w:t>
      </w:r>
      <w:proofErr w:type="spellEnd"/>
      <w:r>
        <w:rPr>
          <w:rFonts w:ascii="Arial"/>
        </w:rPr>
        <w:t xml:space="preserve"> James D. </w:t>
      </w:r>
      <w:proofErr w:type="spellStart"/>
      <w:r>
        <w:rPr>
          <w:rFonts w:ascii="Arial"/>
        </w:rPr>
        <w:t>Taiclet</w:t>
      </w:r>
      <w:proofErr w:type="spellEnd"/>
    </w:p>
    <w:p w14:paraId="4CA82DD5" w14:textId="77777777" w:rsidR="00AE2255" w:rsidRDefault="00000000">
      <w:pPr>
        <w:pStyle w:val="BodyText"/>
        <w:spacing w:line="230" w:lineRule="exact"/>
        <w:ind w:left="7272"/>
        <w:rPr>
          <w:rFonts w:ascii="Arial"/>
        </w:rPr>
      </w:pPr>
      <w:r>
        <w:rPr>
          <w:rFonts w:ascii="Arial"/>
        </w:rPr>
        <w:t>Chief</w:t>
      </w:r>
      <w:r>
        <w:rPr>
          <w:rFonts w:ascii="Arial"/>
          <w:spacing w:val="-6"/>
        </w:rPr>
        <w:t xml:space="preserve"> </w:t>
      </w:r>
      <w:r>
        <w:rPr>
          <w:rFonts w:ascii="Arial"/>
        </w:rPr>
        <w:t>Executive</w:t>
      </w:r>
      <w:r>
        <w:rPr>
          <w:rFonts w:ascii="Arial"/>
          <w:spacing w:val="-5"/>
        </w:rPr>
        <w:t xml:space="preserve"> </w:t>
      </w:r>
      <w:r>
        <w:rPr>
          <w:rFonts w:ascii="Arial"/>
          <w:spacing w:val="-2"/>
        </w:rPr>
        <w:t>Officer</w:t>
      </w:r>
    </w:p>
    <w:p w14:paraId="6AF324BC" w14:textId="77777777" w:rsidR="00AE2255" w:rsidRDefault="00000000">
      <w:pPr>
        <w:pStyle w:val="BodyText"/>
        <w:spacing w:before="55"/>
        <w:ind w:left="628"/>
        <w:rPr>
          <w:rFonts w:ascii="Arial"/>
        </w:rPr>
      </w:pPr>
      <w:r>
        <w:rPr>
          <w:rFonts w:ascii="Arial"/>
        </w:rPr>
        <w:t>Date:</w:t>
      </w:r>
      <w:r>
        <w:rPr>
          <w:rFonts w:ascii="Arial"/>
          <w:spacing w:val="49"/>
        </w:rPr>
        <w:t xml:space="preserve"> </w:t>
      </w:r>
      <w:r>
        <w:rPr>
          <w:rFonts w:ascii="Arial"/>
        </w:rPr>
        <w:t>January</w:t>
      </w:r>
      <w:r>
        <w:rPr>
          <w:rFonts w:ascii="Arial"/>
          <w:spacing w:val="-4"/>
        </w:rPr>
        <w:t xml:space="preserve"> </w:t>
      </w:r>
      <w:r>
        <w:rPr>
          <w:rFonts w:ascii="Arial"/>
        </w:rPr>
        <w:t>26,</w:t>
      </w:r>
      <w:r>
        <w:rPr>
          <w:rFonts w:ascii="Arial"/>
          <w:spacing w:val="-3"/>
        </w:rPr>
        <w:t xml:space="preserve"> </w:t>
      </w:r>
      <w:r>
        <w:rPr>
          <w:rFonts w:ascii="Arial"/>
          <w:spacing w:val="-4"/>
        </w:rPr>
        <w:t>2023</w:t>
      </w:r>
    </w:p>
    <w:p w14:paraId="0CD530C5" w14:textId="77777777" w:rsidR="00AE2255" w:rsidRDefault="00AE2255">
      <w:pPr>
        <w:rPr>
          <w:rFonts w:ascii="Arial"/>
        </w:rPr>
        <w:sectPr w:rsidR="00AE2255">
          <w:headerReference w:type="default" r:id="rId189"/>
          <w:footerReference w:type="default" r:id="rId190"/>
          <w:pgSz w:w="12240" w:h="15840"/>
          <w:pgMar w:top="1080" w:right="560" w:bottom="280" w:left="380" w:header="865" w:footer="0" w:gutter="0"/>
          <w:pgNumType w:start="1"/>
          <w:cols w:space="720"/>
        </w:sectPr>
      </w:pPr>
    </w:p>
    <w:p w14:paraId="69BC9B67" w14:textId="77777777" w:rsidR="00AE2255" w:rsidRDefault="00000000">
      <w:pPr>
        <w:pStyle w:val="Heading1"/>
        <w:spacing w:before="50" w:line="249" w:lineRule="auto"/>
        <w:ind w:left="3097" w:right="2819" w:firstLine="150"/>
        <w:rPr>
          <w:rFonts w:ascii="Arial"/>
        </w:rPr>
      </w:pPr>
      <w:bookmarkStart w:id="99" w:name="Ex_31.2"/>
      <w:bookmarkEnd w:id="99"/>
      <w:r>
        <w:rPr>
          <w:rFonts w:ascii="Arial"/>
        </w:rPr>
        <w:lastRenderedPageBreak/>
        <w:t>CERTIFICATION OF JESUS MALAVE PURSUANT TO SECTION</w:t>
      </w:r>
      <w:r>
        <w:rPr>
          <w:rFonts w:ascii="Arial"/>
          <w:spacing w:val="-7"/>
        </w:rPr>
        <w:t xml:space="preserve"> </w:t>
      </w:r>
      <w:r>
        <w:rPr>
          <w:rFonts w:ascii="Arial"/>
        </w:rPr>
        <w:t>302</w:t>
      </w:r>
      <w:r>
        <w:rPr>
          <w:rFonts w:ascii="Arial"/>
          <w:spacing w:val="-7"/>
        </w:rPr>
        <w:t xml:space="preserve"> </w:t>
      </w:r>
      <w:r>
        <w:rPr>
          <w:rFonts w:ascii="Arial"/>
        </w:rPr>
        <w:t>OF</w:t>
      </w:r>
      <w:r>
        <w:rPr>
          <w:rFonts w:ascii="Arial"/>
          <w:spacing w:val="-7"/>
        </w:rPr>
        <w:t xml:space="preserve"> </w:t>
      </w:r>
      <w:r>
        <w:rPr>
          <w:rFonts w:ascii="Arial"/>
        </w:rPr>
        <w:t>THE</w:t>
      </w:r>
      <w:r>
        <w:rPr>
          <w:rFonts w:ascii="Arial"/>
          <w:spacing w:val="-7"/>
        </w:rPr>
        <w:t xml:space="preserve"> </w:t>
      </w:r>
      <w:r>
        <w:rPr>
          <w:rFonts w:ascii="Arial"/>
        </w:rPr>
        <w:t>SARBANES-OXLEY</w:t>
      </w:r>
      <w:r>
        <w:rPr>
          <w:rFonts w:ascii="Arial"/>
          <w:spacing w:val="-7"/>
        </w:rPr>
        <w:t xml:space="preserve"> </w:t>
      </w:r>
      <w:r>
        <w:rPr>
          <w:rFonts w:ascii="Arial"/>
        </w:rPr>
        <w:t>ACT</w:t>
      </w:r>
      <w:r>
        <w:rPr>
          <w:rFonts w:ascii="Arial"/>
          <w:spacing w:val="-7"/>
        </w:rPr>
        <w:t xml:space="preserve"> </w:t>
      </w:r>
      <w:r>
        <w:rPr>
          <w:rFonts w:ascii="Arial"/>
        </w:rPr>
        <w:t>OF</w:t>
      </w:r>
      <w:r>
        <w:rPr>
          <w:rFonts w:ascii="Arial"/>
          <w:spacing w:val="-7"/>
        </w:rPr>
        <w:t xml:space="preserve"> </w:t>
      </w:r>
      <w:r>
        <w:rPr>
          <w:rFonts w:ascii="Arial"/>
        </w:rPr>
        <w:t>2002</w:t>
      </w:r>
    </w:p>
    <w:p w14:paraId="03A2B436" w14:textId="77777777" w:rsidR="00AE2255" w:rsidRDefault="00AE2255">
      <w:pPr>
        <w:pStyle w:val="BodyText"/>
        <w:rPr>
          <w:rFonts w:ascii="Arial"/>
          <w:b/>
          <w:sz w:val="21"/>
        </w:rPr>
      </w:pPr>
    </w:p>
    <w:p w14:paraId="13E81D6A" w14:textId="77777777" w:rsidR="00AE2255" w:rsidRDefault="00000000">
      <w:pPr>
        <w:pStyle w:val="BodyText"/>
        <w:ind w:left="880"/>
        <w:rPr>
          <w:rFonts w:ascii="Arial"/>
        </w:rPr>
      </w:pPr>
      <w:r>
        <w:rPr>
          <w:rFonts w:ascii="Arial"/>
        </w:rPr>
        <w:t>I,</w:t>
      </w:r>
      <w:r>
        <w:rPr>
          <w:rFonts w:ascii="Arial"/>
          <w:spacing w:val="-4"/>
        </w:rPr>
        <w:t xml:space="preserve"> </w:t>
      </w:r>
      <w:r>
        <w:rPr>
          <w:rFonts w:ascii="Arial"/>
        </w:rPr>
        <w:t>Jesus</w:t>
      </w:r>
      <w:r>
        <w:rPr>
          <w:rFonts w:ascii="Arial"/>
          <w:spacing w:val="-4"/>
        </w:rPr>
        <w:t xml:space="preserve"> </w:t>
      </w:r>
      <w:r>
        <w:rPr>
          <w:rFonts w:ascii="Arial"/>
        </w:rPr>
        <w:t>Malave,</w:t>
      </w:r>
      <w:r>
        <w:rPr>
          <w:rFonts w:ascii="Arial"/>
          <w:spacing w:val="-4"/>
        </w:rPr>
        <w:t xml:space="preserve"> </w:t>
      </w:r>
      <w:r>
        <w:rPr>
          <w:rFonts w:ascii="Arial"/>
        </w:rPr>
        <w:t>certify</w:t>
      </w:r>
      <w:r>
        <w:rPr>
          <w:rFonts w:ascii="Arial"/>
          <w:spacing w:val="-3"/>
        </w:rPr>
        <w:t xml:space="preserve"> </w:t>
      </w:r>
      <w:r>
        <w:rPr>
          <w:rFonts w:ascii="Arial"/>
          <w:spacing w:val="-2"/>
        </w:rPr>
        <w:t>that:</w:t>
      </w:r>
    </w:p>
    <w:p w14:paraId="4ABD1BE9" w14:textId="77777777" w:rsidR="00AE2255" w:rsidRDefault="00AE2255">
      <w:pPr>
        <w:pStyle w:val="BodyText"/>
        <w:spacing w:before="8"/>
        <w:rPr>
          <w:rFonts w:ascii="Arial"/>
          <w:sz w:val="21"/>
        </w:rPr>
      </w:pPr>
    </w:p>
    <w:p w14:paraId="53E4A085" w14:textId="77777777" w:rsidR="00AE2255" w:rsidRDefault="00000000">
      <w:pPr>
        <w:pStyle w:val="ListParagraph"/>
        <w:numPr>
          <w:ilvl w:val="0"/>
          <w:numId w:val="2"/>
        </w:numPr>
        <w:tabs>
          <w:tab w:val="left" w:pos="880"/>
        </w:tabs>
        <w:rPr>
          <w:rFonts w:ascii="Arial"/>
          <w:sz w:val="20"/>
        </w:rPr>
      </w:pPr>
      <w:r>
        <w:rPr>
          <w:rFonts w:ascii="Arial"/>
          <w:sz w:val="20"/>
        </w:rPr>
        <w:t>I</w:t>
      </w:r>
      <w:r>
        <w:rPr>
          <w:rFonts w:ascii="Arial"/>
          <w:spacing w:val="-7"/>
          <w:sz w:val="20"/>
        </w:rPr>
        <w:t xml:space="preserve"> </w:t>
      </w:r>
      <w:r>
        <w:rPr>
          <w:rFonts w:ascii="Arial"/>
          <w:sz w:val="20"/>
        </w:rPr>
        <w:t>have</w:t>
      </w:r>
      <w:r>
        <w:rPr>
          <w:rFonts w:ascii="Arial"/>
          <w:spacing w:val="-3"/>
          <w:sz w:val="20"/>
        </w:rPr>
        <w:t xml:space="preserve"> </w:t>
      </w:r>
      <w:r>
        <w:rPr>
          <w:rFonts w:ascii="Arial"/>
          <w:sz w:val="20"/>
        </w:rPr>
        <w:t>reviewed</w:t>
      </w:r>
      <w:r>
        <w:rPr>
          <w:rFonts w:ascii="Arial"/>
          <w:spacing w:val="-4"/>
          <w:sz w:val="20"/>
        </w:rPr>
        <w:t xml:space="preserve"> </w:t>
      </w:r>
      <w:r>
        <w:rPr>
          <w:rFonts w:ascii="Arial"/>
          <w:sz w:val="20"/>
        </w:rPr>
        <w:t>this</w:t>
      </w:r>
      <w:r>
        <w:rPr>
          <w:rFonts w:ascii="Arial"/>
          <w:spacing w:val="-14"/>
          <w:sz w:val="20"/>
        </w:rPr>
        <w:t xml:space="preserve"> </w:t>
      </w:r>
      <w:r>
        <w:rPr>
          <w:rFonts w:ascii="Arial"/>
          <w:sz w:val="20"/>
        </w:rPr>
        <w:t>Annual</w:t>
      </w:r>
      <w:r>
        <w:rPr>
          <w:rFonts w:ascii="Arial"/>
          <w:spacing w:val="-4"/>
          <w:sz w:val="20"/>
        </w:rPr>
        <w:t xml:space="preserve"> </w:t>
      </w:r>
      <w:r>
        <w:rPr>
          <w:rFonts w:ascii="Arial"/>
          <w:sz w:val="20"/>
        </w:rPr>
        <w:t>Report</w:t>
      </w:r>
      <w:r>
        <w:rPr>
          <w:rFonts w:ascii="Arial"/>
          <w:spacing w:val="-4"/>
          <w:sz w:val="20"/>
        </w:rPr>
        <w:t xml:space="preserve"> </w:t>
      </w:r>
      <w:r>
        <w:rPr>
          <w:rFonts w:ascii="Arial"/>
          <w:sz w:val="20"/>
        </w:rPr>
        <w:t>on</w:t>
      </w:r>
      <w:r>
        <w:rPr>
          <w:rFonts w:ascii="Arial"/>
          <w:spacing w:val="-4"/>
          <w:sz w:val="20"/>
        </w:rPr>
        <w:t xml:space="preserve"> </w:t>
      </w:r>
      <w:r>
        <w:rPr>
          <w:rFonts w:ascii="Arial"/>
          <w:sz w:val="20"/>
        </w:rPr>
        <w:t>Form</w:t>
      </w:r>
      <w:r>
        <w:rPr>
          <w:rFonts w:ascii="Arial"/>
          <w:spacing w:val="-3"/>
          <w:sz w:val="20"/>
        </w:rPr>
        <w:t xml:space="preserve"> </w:t>
      </w:r>
      <w:r>
        <w:rPr>
          <w:rFonts w:ascii="Arial"/>
          <w:sz w:val="20"/>
        </w:rPr>
        <w:t>10-K</w:t>
      </w:r>
      <w:r>
        <w:rPr>
          <w:rFonts w:ascii="Arial"/>
          <w:spacing w:val="-4"/>
          <w:sz w:val="20"/>
        </w:rPr>
        <w:t xml:space="preserve"> </w:t>
      </w:r>
      <w:r>
        <w:rPr>
          <w:rFonts w:ascii="Arial"/>
          <w:sz w:val="20"/>
        </w:rPr>
        <w:t>of</w:t>
      </w:r>
      <w:r>
        <w:rPr>
          <w:rFonts w:ascii="Arial"/>
          <w:spacing w:val="-4"/>
          <w:sz w:val="20"/>
        </w:rPr>
        <w:t xml:space="preserve"> </w:t>
      </w:r>
      <w:r>
        <w:rPr>
          <w:rFonts w:ascii="Arial"/>
          <w:sz w:val="20"/>
        </w:rPr>
        <w:t>Lockheed</w:t>
      </w:r>
      <w:r>
        <w:rPr>
          <w:rFonts w:ascii="Arial"/>
          <w:spacing w:val="-4"/>
          <w:sz w:val="20"/>
        </w:rPr>
        <w:t xml:space="preserve"> </w:t>
      </w:r>
      <w:r>
        <w:rPr>
          <w:rFonts w:ascii="Arial"/>
          <w:sz w:val="20"/>
        </w:rPr>
        <w:t>Martin</w:t>
      </w:r>
      <w:r>
        <w:rPr>
          <w:rFonts w:ascii="Arial"/>
          <w:spacing w:val="-3"/>
          <w:sz w:val="20"/>
        </w:rPr>
        <w:t xml:space="preserve"> </w:t>
      </w:r>
      <w:proofErr w:type="gramStart"/>
      <w:r>
        <w:rPr>
          <w:rFonts w:ascii="Arial"/>
          <w:spacing w:val="-2"/>
          <w:sz w:val="20"/>
        </w:rPr>
        <w:t>Corporation;</w:t>
      </w:r>
      <w:proofErr w:type="gramEnd"/>
    </w:p>
    <w:p w14:paraId="04EEF738" w14:textId="77777777" w:rsidR="00AE2255" w:rsidRDefault="00AE2255">
      <w:pPr>
        <w:pStyle w:val="BodyText"/>
        <w:spacing w:before="9"/>
        <w:rPr>
          <w:rFonts w:ascii="Arial"/>
          <w:sz w:val="21"/>
        </w:rPr>
      </w:pPr>
    </w:p>
    <w:p w14:paraId="5E8EDE35" w14:textId="77777777" w:rsidR="00AE2255" w:rsidRDefault="00000000">
      <w:pPr>
        <w:pStyle w:val="ListParagraph"/>
        <w:numPr>
          <w:ilvl w:val="0"/>
          <w:numId w:val="2"/>
        </w:numPr>
        <w:tabs>
          <w:tab w:val="left" w:pos="880"/>
        </w:tabs>
        <w:spacing w:line="249" w:lineRule="auto"/>
        <w:ind w:right="453"/>
        <w:rPr>
          <w:rFonts w:ascii="Arial"/>
          <w:sz w:val="20"/>
        </w:rPr>
      </w:pPr>
      <w:r>
        <w:rPr>
          <w:rFonts w:ascii="Arial"/>
          <w:sz w:val="20"/>
        </w:rPr>
        <w:t>Based on my knowledge, this report does not contain any untrue statement of a material fact or omit to state a material</w:t>
      </w:r>
      <w:r>
        <w:rPr>
          <w:rFonts w:ascii="Arial"/>
          <w:spacing w:val="-3"/>
          <w:sz w:val="20"/>
        </w:rPr>
        <w:t xml:space="preserve"> </w:t>
      </w:r>
      <w:r>
        <w:rPr>
          <w:rFonts w:ascii="Arial"/>
          <w:sz w:val="20"/>
        </w:rPr>
        <w:t>fact</w:t>
      </w:r>
      <w:r>
        <w:rPr>
          <w:rFonts w:ascii="Arial"/>
          <w:spacing w:val="-3"/>
          <w:sz w:val="20"/>
        </w:rPr>
        <w:t xml:space="preserve"> </w:t>
      </w:r>
      <w:r>
        <w:rPr>
          <w:rFonts w:ascii="Arial"/>
          <w:sz w:val="20"/>
        </w:rPr>
        <w:t>necessary</w:t>
      </w:r>
      <w:r>
        <w:rPr>
          <w:rFonts w:ascii="Arial"/>
          <w:spacing w:val="-3"/>
          <w:sz w:val="20"/>
        </w:rPr>
        <w:t xml:space="preserve"> </w:t>
      </w:r>
      <w:r>
        <w:rPr>
          <w:rFonts w:ascii="Arial"/>
          <w:sz w:val="20"/>
        </w:rPr>
        <w:t>to</w:t>
      </w:r>
      <w:r>
        <w:rPr>
          <w:rFonts w:ascii="Arial"/>
          <w:spacing w:val="-3"/>
          <w:sz w:val="20"/>
        </w:rPr>
        <w:t xml:space="preserve"> </w:t>
      </w:r>
      <w:r>
        <w:rPr>
          <w:rFonts w:ascii="Arial"/>
          <w:sz w:val="20"/>
        </w:rPr>
        <w:t>make</w:t>
      </w:r>
      <w:r>
        <w:rPr>
          <w:rFonts w:ascii="Arial"/>
          <w:spacing w:val="-3"/>
          <w:sz w:val="20"/>
        </w:rPr>
        <w:t xml:space="preserve"> </w:t>
      </w:r>
      <w:r>
        <w:rPr>
          <w:rFonts w:ascii="Arial"/>
          <w:sz w:val="20"/>
        </w:rPr>
        <w:t>the</w:t>
      </w:r>
      <w:r>
        <w:rPr>
          <w:rFonts w:ascii="Arial"/>
          <w:spacing w:val="-3"/>
          <w:sz w:val="20"/>
        </w:rPr>
        <w:t xml:space="preserve"> </w:t>
      </w:r>
      <w:r>
        <w:rPr>
          <w:rFonts w:ascii="Arial"/>
          <w:sz w:val="20"/>
        </w:rPr>
        <w:t>statements</w:t>
      </w:r>
      <w:r>
        <w:rPr>
          <w:rFonts w:ascii="Arial"/>
          <w:spacing w:val="-3"/>
          <w:sz w:val="20"/>
        </w:rPr>
        <w:t xml:space="preserve"> </w:t>
      </w:r>
      <w:r>
        <w:rPr>
          <w:rFonts w:ascii="Arial"/>
          <w:sz w:val="20"/>
        </w:rPr>
        <w:t>made,</w:t>
      </w:r>
      <w:r>
        <w:rPr>
          <w:rFonts w:ascii="Arial"/>
          <w:spacing w:val="-3"/>
          <w:sz w:val="20"/>
        </w:rPr>
        <w:t xml:space="preserve"> </w:t>
      </w:r>
      <w:r>
        <w:rPr>
          <w:rFonts w:ascii="Arial"/>
          <w:sz w:val="20"/>
        </w:rPr>
        <w:t>in</w:t>
      </w:r>
      <w:r>
        <w:rPr>
          <w:rFonts w:ascii="Arial"/>
          <w:spacing w:val="-3"/>
          <w:sz w:val="20"/>
        </w:rPr>
        <w:t xml:space="preserve"> </w:t>
      </w:r>
      <w:r>
        <w:rPr>
          <w:rFonts w:ascii="Arial"/>
          <w:sz w:val="20"/>
        </w:rPr>
        <w:t>light</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circumstances</w:t>
      </w:r>
      <w:r>
        <w:rPr>
          <w:rFonts w:ascii="Arial"/>
          <w:spacing w:val="-3"/>
          <w:sz w:val="20"/>
        </w:rPr>
        <w:t xml:space="preserve"> </w:t>
      </w:r>
      <w:r>
        <w:rPr>
          <w:rFonts w:ascii="Arial"/>
          <w:sz w:val="20"/>
        </w:rPr>
        <w:t>under</w:t>
      </w:r>
      <w:r>
        <w:rPr>
          <w:rFonts w:ascii="Arial"/>
          <w:spacing w:val="-3"/>
          <w:sz w:val="20"/>
        </w:rPr>
        <w:t xml:space="preserve"> </w:t>
      </w:r>
      <w:r>
        <w:rPr>
          <w:rFonts w:ascii="Arial"/>
          <w:sz w:val="20"/>
        </w:rPr>
        <w:t>which</w:t>
      </w:r>
      <w:r>
        <w:rPr>
          <w:rFonts w:ascii="Arial"/>
          <w:spacing w:val="-3"/>
          <w:sz w:val="20"/>
        </w:rPr>
        <w:t xml:space="preserve"> </w:t>
      </w:r>
      <w:r>
        <w:rPr>
          <w:rFonts w:ascii="Arial"/>
          <w:sz w:val="20"/>
        </w:rPr>
        <w:t>such</w:t>
      </w:r>
      <w:r>
        <w:rPr>
          <w:rFonts w:ascii="Arial"/>
          <w:spacing w:val="-3"/>
          <w:sz w:val="20"/>
        </w:rPr>
        <w:t xml:space="preserve"> </w:t>
      </w:r>
      <w:r>
        <w:rPr>
          <w:rFonts w:ascii="Arial"/>
          <w:sz w:val="20"/>
        </w:rPr>
        <w:t xml:space="preserve">statements were made, not misleading with respect to the period covered by this </w:t>
      </w:r>
      <w:proofErr w:type="gramStart"/>
      <w:r>
        <w:rPr>
          <w:rFonts w:ascii="Arial"/>
          <w:sz w:val="20"/>
        </w:rPr>
        <w:t>report;</w:t>
      </w:r>
      <w:proofErr w:type="gramEnd"/>
    </w:p>
    <w:p w14:paraId="29EF804E" w14:textId="77777777" w:rsidR="00AE2255" w:rsidRDefault="00AE2255">
      <w:pPr>
        <w:pStyle w:val="BodyText"/>
        <w:spacing w:before="1"/>
        <w:rPr>
          <w:rFonts w:ascii="Arial"/>
          <w:sz w:val="21"/>
        </w:rPr>
      </w:pPr>
    </w:p>
    <w:p w14:paraId="6419FD23" w14:textId="77777777" w:rsidR="00AE2255" w:rsidRDefault="00000000">
      <w:pPr>
        <w:pStyle w:val="ListParagraph"/>
        <w:numPr>
          <w:ilvl w:val="0"/>
          <w:numId w:val="2"/>
        </w:numPr>
        <w:tabs>
          <w:tab w:val="left" w:pos="880"/>
        </w:tabs>
        <w:spacing w:line="249" w:lineRule="auto"/>
        <w:ind w:right="398"/>
        <w:rPr>
          <w:rFonts w:ascii="Arial"/>
          <w:sz w:val="20"/>
        </w:rPr>
      </w:pPr>
      <w:r>
        <w:rPr>
          <w:rFonts w:ascii="Arial"/>
          <w:sz w:val="20"/>
        </w:rPr>
        <w:t>Based on my knowledge, the financial statements, and other financial information included in this report, fairly present</w:t>
      </w:r>
      <w:r>
        <w:rPr>
          <w:rFonts w:ascii="Arial"/>
          <w:spacing w:val="-3"/>
          <w:sz w:val="20"/>
        </w:rPr>
        <w:t xml:space="preserve"> </w:t>
      </w:r>
      <w:r>
        <w:rPr>
          <w:rFonts w:ascii="Arial"/>
          <w:sz w:val="20"/>
        </w:rPr>
        <w:t>in</w:t>
      </w:r>
      <w:r>
        <w:rPr>
          <w:rFonts w:ascii="Arial"/>
          <w:spacing w:val="-3"/>
          <w:sz w:val="20"/>
        </w:rPr>
        <w:t xml:space="preserve"> </w:t>
      </w:r>
      <w:r>
        <w:rPr>
          <w:rFonts w:ascii="Arial"/>
          <w:sz w:val="20"/>
        </w:rPr>
        <w:t>all</w:t>
      </w:r>
      <w:r>
        <w:rPr>
          <w:rFonts w:ascii="Arial"/>
          <w:spacing w:val="-3"/>
          <w:sz w:val="20"/>
        </w:rPr>
        <w:t xml:space="preserve"> </w:t>
      </w:r>
      <w:r>
        <w:rPr>
          <w:rFonts w:ascii="Arial"/>
          <w:sz w:val="20"/>
        </w:rPr>
        <w:t>material</w:t>
      </w:r>
      <w:r>
        <w:rPr>
          <w:rFonts w:ascii="Arial"/>
          <w:spacing w:val="-3"/>
          <w:sz w:val="20"/>
        </w:rPr>
        <w:t xml:space="preserve"> </w:t>
      </w:r>
      <w:r>
        <w:rPr>
          <w:rFonts w:ascii="Arial"/>
          <w:sz w:val="20"/>
        </w:rPr>
        <w:t>respects</w:t>
      </w:r>
      <w:r>
        <w:rPr>
          <w:rFonts w:ascii="Arial"/>
          <w:spacing w:val="-3"/>
          <w:sz w:val="20"/>
        </w:rPr>
        <w:t xml:space="preserve"> </w:t>
      </w:r>
      <w:r>
        <w:rPr>
          <w:rFonts w:ascii="Arial"/>
          <w:sz w:val="20"/>
        </w:rPr>
        <w:t>the</w:t>
      </w:r>
      <w:r>
        <w:rPr>
          <w:rFonts w:ascii="Arial"/>
          <w:spacing w:val="-3"/>
          <w:sz w:val="20"/>
        </w:rPr>
        <w:t xml:space="preserve"> </w:t>
      </w:r>
      <w:r>
        <w:rPr>
          <w:rFonts w:ascii="Arial"/>
          <w:sz w:val="20"/>
        </w:rPr>
        <w:t>financial</w:t>
      </w:r>
      <w:r>
        <w:rPr>
          <w:rFonts w:ascii="Arial"/>
          <w:spacing w:val="-3"/>
          <w:sz w:val="20"/>
        </w:rPr>
        <w:t xml:space="preserve"> </w:t>
      </w:r>
      <w:r>
        <w:rPr>
          <w:rFonts w:ascii="Arial"/>
          <w:sz w:val="20"/>
        </w:rPr>
        <w:t>condition,</w:t>
      </w:r>
      <w:r>
        <w:rPr>
          <w:rFonts w:ascii="Arial"/>
          <w:spacing w:val="-3"/>
          <w:sz w:val="20"/>
        </w:rPr>
        <w:t xml:space="preserve"> </w:t>
      </w:r>
      <w:r>
        <w:rPr>
          <w:rFonts w:ascii="Arial"/>
          <w:sz w:val="20"/>
        </w:rPr>
        <w:t>results</w:t>
      </w:r>
      <w:r>
        <w:rPr>
          <w:rFonts w:ascii="Arial"/>
          <w:spacing w:val="-3"/>
          <w:sz w:val="20"/>
        </w:rPr>
        <w:t xml:space="preserve"> </w:t>
      </w:r>
      <w:r>
        <w:rPr>
          <w:rFonts w:ascii="Arial"/>
          <w:sz w:val="20"/>
        </w:rPr>
        <w:t>of</w:t>
      </w:r>
      <w:r>
        <w:rPr>
          <w:rFonts w:ascii="Arial"/>
          <w:spacing w:val="-3"/>
          <w:sz w:val="20"/>
        </w:rPr>
        <w:t xml:space="preserve"> </w:t>
      </w:r>
      <w:r>
        <w:rPr>
          <w:rFonts w:ascii="Arial"/>
          <w:sz w:val="20"/>
        </w:rPr>
        <w:t>operations,</w:t>
      </w:r>
      <w:r>
        <w:rPr>
          <w:rFonts w:ascii="Arial"/>
          <w:spacing w:val="-3"/>
          <w:sz w:val="20"/>
        </w:rPr>
        <w:t xml:space="preserve"> </w:t>
      </w:r>
      <w:r>
        <w:rPr>
          <w:rFonts w:ascii="Arial"/>
          <w:sz w:val="20"/>
        </w:rPr>
        <w:t>and</w:t>
      </w:r>
      <w:r>
        <w:rPr>
          <w:rFonts w:ascii="Arial"/>
          <w:spacing w:val="-3"/>
          <w:sz w:val="20"/>
        </w:rPr>
        <w:t xml:space="preserve"> </w:t>
      </w:r>
      <w:r>
        <w:rPr>
          <w:rFonts w:ascii="Arial"/>
          <w:sz w:val="20"/>
        </w:rPr>
        <w:t>cash</w:t>
      </w:r>
      <w:r>
        <w:rPr>
          <w:rFonts w:ascii="Arial"/>
          <w:spacing w:val="-3"/>
          <w:sz w:val="20"/>
        </w:rPr>
        <w:t xml:space="preserve"> </w:t>
      </w:r>
      <w:r>
        <w:rPr>
          <w:rFonts w:ascii="Arial"/>
          <w:sz w:val="20"/>
        </w:rPr>
        <w:t>flows</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registrant</w:t>
      </w:r>
      <w:r>
        <w:rPr>
          <w:rFonts w:ascii="Arial"/>
          <w:spacing w:val="-3"/>
          <w:sz w:val="20"/>
        </w:rPr>
        <w:t xml:space="preserve"> </w:t>
      </w:r>
      <w:r>
        <w:rPr>
          <w:rFonts w:ascii="Arial"/>
          <w:sz w:val="20"/>
        </w:rPr>
        <w:t>as</w:t>
      </w:r>
      <w:r>
        <w:rPr>
          <w:rFonts w:ascii="Arial"/>
          <w:spacing w:val="-3"/>
          <w:sz w:val="20"/>
        </w:rPr>
        <w:t xml:space="preserve"> </w:t>
      </w:r>
      <w:r>
        <w:rPr>
          <w:rFonts w:ascii="Arial"/>
          <w:sz w:val="20"/>
        </w:rPr>
        <w:t xml:space="preserve">of, and for, the periods presented in this </w:t>
      </w:r>
      <w:proofErr w:type="gramStart"/>
      <w:r>
        <w:rPr>
          <w:rFonts w:ascii="Arial"/>
          <w:sz w:val="20"/>
        </w:rPr>
        <w:t>report;</w:t>
      </w:r>
      <w:proofErr w:type="gramEnd"/>
    </w:p>
    <w:p w14:paraId="54110885" w14:textId="77777777" w:rsidR="00AE2255" w:rsidRDefault="00AE2255">
      <w:pPr>
        <w:pStyle w:val="BodyText"/>
        <w:spacing w:before="1"/>
        <w:rPr>
          <w:rFonts w:ascii="Arial"/>
          <w:sz w:val="21"/>
        </w:rPr>
      </w:pPr>
    </w:p>
    <w:p w14:paraId="2C80CA3B" w14:textId="77777777" w:rsidR="00AE2255" w:rsidRDefault="00000000">
      <w:pPr>
        <w:pStyle w:val="ListParagraph"/>
        <w:numPr>
          <w:ilvl w:val="0"/>
          <w:numId w:val="2"/>
        </w:numPr>
        <w:tabs>
          <w:tab w:val="left" w:pos="880"/>
        </w:tabs>
        <w:spacing w:line="249" w:lineRule="auto"/>
        <w:ind w:right="582"/>
        <w:rPr>
          <w:rFonts w:ascii="Arial" w:hAnsi="Arial"/>
          <w:sz w:val="20"/>
        </w:rPr>
      </w:pP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other</w:t>
      </w:r>
      <w:r>
        <w:rPr>
          <w:rFonts w:ascii="Arial" w:hAnsi="Arial"/>
          <w:spacing w:val="-4"/>
          <w:sz w:val="20"/>
        </w:rPr>
        <w:t xml:space="preserve"> </w:t>
      </w:r>
      <w:r>
        <w:rPr>
          <w:rFonts w:ascii="Arial" w:hAnsi="Arial"/>
          <w:sz w:val="20"/>
        </w:rPr>
        <w:t>certifying</w:t>
      </w:r>
      <w:r>
        <w:rPr>
          <w:rFonts w:ascii="Arial" w:hAnsi="Arial"/>
          <w:spacing w:val="-4"/>
          <w:sz w:val="20"/>
        </w:rPr>
        <w:t xml:space="preserve"> </w:t>
      </w:r>
      <w:r>
        <w:rPr>
          <w:rFonts w:ascii="Arial" w:hAnsi="Arial"/>
          <w:sz w:val="20"/>
        </w:rPr>
        <w:t>officer</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I</w:t>
      </w:r>
      <w:r>
        <w:rPr>
          <w:rFonts w:ascii="Arial" w:hAnsi="Arial"/>
          <w:spacing w:val="-4"/>
          <w:sz w:val="20"/>
        </w:rPr>
        <w:t xml:space="preserve"> </w:t>
      </w:r>
      <w:r>
        <w:rPr>
          <w:rFonts w:ascii="Arial" w:hAnsi="Arial"/>
          <w:sz w:val="20"/>
        </w:rPr>
        <w:t>are</w:t>
      </w:r>
      <w:r>
        <w:rPr>
          <w:rFonts w:ascii="Arial" w:hAnsi="Arial"/>
          <w:spacing w:val="-4"/>
          <w:sz w:val="20"/>
        </w:rPr>
        <w:t xml:space="preserve"> </w:t>
      </w:r>
      <w:r>
        <w:rPr>
          <w:rFonts w:ascii="Arial" w:hAnsi="Arial"/>
          <w:sz w:val="20"/>
        </w:rPr>
        <w:t>responsible</w:t>
      </w:r>
      <w:r>
        <w:rPr>
          <w:rFonts w:ascii="Arial" w:hAnsi="Arial"/>
          <w:spacing w:val="-4"/>
          <w:sz w:val="20"/>
        </w:rPr>
        <w:t xml:space="preserve"> </w:t>
      </w:r>
      <w:r>
        <w:rPr>
          <w:rFonts w:ascii="Arial" w:hAnsi="Arial"/>
          <w:sz w:val="20"/>
        </w:rPr>
        <w:t>for</w:t>
      </w:r>
      <w:r>
        <w:rPr>
          <w:rFonts w:ascii="Arial" w:hAnsi="Arial"/>
          <w:spacing w:val="-4"/>
          <w:sz w:val="20"/>
        </w:rPr>
        <w:t xml:space="preserve"> </w:t>
      </w:r>
      <w:r>
        <w:rPr>
          <w:rFonts w:ascii="Arial" w:hAnsi="Arial"/>
          <w:sz w:val="20"/>
        </w:rPr>
        <w:t>establishing</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maintaining</w:t>
      </w:r>
      <w:r>
        <w:rPr>
          <w:rFonts w:ascii="Arial" w:hAnsi="Arial"/>
          <w:spacing w:val="-4"/>
          <w:sz w:val="20"/>
        </w:rPr>
        <w:t xml:space="preserve"> </w:t>
      </w:r>
      <w:r>
        <w:rPr>
          <w:rFonts w:ascii="Arial" w:hAnsi="Arial"/>
          <w:sz w:val="20"/>
        </w:rPr>
        <w:t>disclosure</w:t>
      </w:r>
      <w:r>
        <w:rPr>
          <w:rFonts w:ascii="Arial" w:hAnsi="Arial"/>
          <w:spacing w:val="-4"/>
          <w:sz w:val="20"/>
        </w:rPr>
        <w:t xml:space="preserve"> </w:t>
      </w:r>
      <w:r>
        <w:rPr>
          <w:rFonts w:ascii="Arial" w:hAnsi="Arial"/>
          <w:sz w:val="20"/>
        </w:rPr>
        <w:t>controls and procedures (as defined in Exchange</w:t>
      </w:r>
      <w:r>
        <w:rPr>
          <w:rFonts w:ascii="Arial" w:hAnsi="Arial"/>
          <w:spacing w:val="-11"/>
          <w:sz w:val="20"/>
        </w:rPr>
        <w:t xml:space="preserve"> </w:t>
      </w:r>
      <w:r>
        <w:rPr>
          <w:rFonts w:ascii="Arial" w:hAnsi="Arial"/>
          <w:sz w:val="20"/>
        </w:rPr>
        <w:t>Act Rules 13a-15(e) and 15d-15(e)) and internal control over financial reporting (as defined in Exchange</w:t>
      </w:r>
      <w:r>
        <w:rPr>
          <w:rFonts w:ascii="Arial" w:hAnsi="Arial"/>
          <w:spacing w:val="-6"/>
          <w:sz w:val="20"/>
        </w:rPr>
        <w:t xml:space="preserve"> </w:t>
      </w:r>
      <w:r>
        <w:rPr>
          <w:rFonts w:ascii="Arial" w:hAnsi="Arial"/>
          <w:sz w:val="20"/>
        </w:rPr>
        <w:t>Act Rules 13a-15(f) and 15d-15(f)) for the registrant and have:</w:t>
      </w:r>
    </w:p>
    <w:p w14:paraId="63DB1332" w14:textId="77777777" w:rsidR="00AE2255" w:rsidRDefault="00AE2255">
      <w:pPr>
        <w:pStyle w:val="BodyText"/>
        <w:spacing w:before="1"/>
        <w:rPr>
          <w:rFonts w:ascii="Arial"/>
          <w:sz w:val="21"/>
        </w:rPr>
      </w:pPr>
    </w:p>
    <w:p w14:paraId="667C563B" w14:textId="77777777" w:rsidR="00AE2255" w:rsidRDefault="00000000">
      <w:pPr>
        <w:pStyle w:val="ListParagraph"/>
        <w:numPr>
          <w:ilvl w:val="1"/>
          <w:numId w:val="2"/>
        </w:numPr>
        <w:tabs>
          <w:tab w:val="left" w:pos="1600"/>
        </w:tabs>
        <w:spacing w:line="249" w:lineRule="auto"/>
        <w:ind w:right="375"/>
        <w:rPr>
          <w:rFonts w:ascii="Arial"/>
          <w:sz w:val="20"/>
        </w:rPr>
      </w:pPr>
      <w:r>
        <w:rPr>
          <w:rFonts w:ascii="Arial"/>
          <w:sz w:val="20"/>
        </w:rPr>
        <w:t>Designed</w:t>
      </w:r>
      <w:r>
        <w:rPr>
          <w:rFonts w:ascii="Arial"/>
          <w:spacing w:val="-4"/>
          <w:sz w:val="20"/>
        </w:rPr>
        <w:t xml:space="preserve"> </w:t>
      </w:r>
      <w:r>
        <w:rPr>
          <w:rFonts w:ascii="Arial"/>
          <w:sz w:val="20"/>
        </w:rPr>
        <w:t>such</w:t>
      </w:r>
      <w:r>
        <w:rPr>
          <w:rFonts w:ascii="Arial"/>
          <w:spacing w:val="-4"/>
          <w:sz w:val="20"/>
        </w:rPr>
        <w:t xml:space="preserve"> </w:t>
      </w:r>
      <w:r>
        <w:rPr>
          <w:rFonts w:ascii="Arial"/>
          <w:sz w:val="20"/>
        </w:rPr>
        <w:t>disclosure</w:t>
      </w:r>
      <w:r>
        <w:rPr>
          <w:rFonts w:ascii="Arial"/>
          <w:spacing w:val="-4"/>
          <w:sz w:val="20"/>
        </w:rPr>
        <w:t xml:space="preserve"> </w:t>
      </w:r>
      <w:r>
        <w:rPr>
          <w:rFonts w:ascii="Arial"/>
          <w:sz w:val="20"/>
        </w:rPr>
        <w:t>controls</w:t>
      </w:r>
      <w:r>
        <w:rPr>
          <w:rFonts w:ascii="Arial"/>
          <w:spacing w:val="-4"/>
          <w:sz w:val="20"/>
        </w:rPr>
        <w:t xml:space="preserve"> </w:t>
      </w:r>
      <w:r>
        <w:rPr>
          <w:rFonts w:ascii="Arial"/>
          <w:sz w:val="20"/>
        </w:rPr>
        <w:t>and</w:t>
      </w:r>
      <w:r>
        <w:rPr>
          <w:rFonts w:ascii="Arial"/>
          <w:spacing w:val="-4"/>
          <w:sz w:val="20"/>
        </w:rPr>
        <w:t xml:space="preserve"> </w:t>
      </w:r>
      <w:r>
        <w:rPr>
          <w:rFonts w:ascii="Arial"/>
          <w:sz w:val="20"/>
        </w:rPr>
        <w:t>procedures,</w:t>
      </w:r>
      <w:r>
        <w:rPr>
          <w:rFonts w:ascii="Arial"/>
          <w:spacing w:val="-4"/>
          <w:sz w:val="20"/>
        </w:rPr>
        <w:t xml:space="preserve"> </w:t>
      </w:r>
      <w:r>
        <w:rPr>
          <w:rFonts w:ascii="Arial"/>
          <w:sz w:val="20"/>
        </w:rPr>
        <w:t>or</w:t>
      </w:r>
      <w:r>
        <w:rPr>
          <w:rFonts w:ascii="Arial"/>
          <w:spacing w:val="-4"/>
          <w:sz w:val="20"/>
        </w:rPr>
        <w:t xml:space="preserve"> </w:t>
      </w:r>
      <w:r>
        <w:rPr>
          <w:rFonts w:ascii="Arial"/>
          <w:sz w:val="20"/>
        </w:rPr>
        <w:t>caused</w:t>
      </w:r>
      <w:r>
        <w:rPr>
          <w:rFonts w:ascii="Arial"/>
          <w:spacing w:val="-4"/>
          <w:sz w:val="20"/>
        </w:rPr>
        <w:t xml:space="preserve"> </w:t>
      </w:r>
      <w:r>
        <w:rPr>
          <w:rFonts w:ascii="Arial"/>
          <w:sz w:val="20"/>
        </w:rPr>
        <w:t>such</w:t>
      </w:r>
      <w:r>
        <w:rPr>
          <w:rFonts w:ascii="Arial"/>
          <w:spacing w:val="-4"/>
          <w:sz w:val="20"/>
        </w:rPr>
        <w:t xml:space="preserve"> </w:t>
      </w:r>
      <w:r>
        <w:rPr>
          <w:rFonts w:ascii="Arial"/>
          <w:sz w:val="20"/>
        </w:rPr>
        <w:t>disclosure</w:t>
      </w:r>
      <w:r>
        <w:rPr>
          <w:rFonts w:ascii="Arial"/>
          <w:spacing w:val="-4"/>
          <w:sz w:val="20"/>
        </w:rPr>
        <w:t xml:space="preserve"> </w:t>
      </w:r>
      <w:r>
        <w:rPr>
          <w:rFonts w:ascii="Arial"/>
          <w:sz w:val="20"/>
        </w:rPr>
        <w:t>controls</w:t>
      </w:r>
      <w:r>
        <w:rPr>
          <w:rFonts w:ascii="Arial"/>
          <w:spacing w:val="-4"/>
          <w:sz w:val="20"/>
        </w:rPr>
        <w:t xml:space="preserve"> </w:t>
      </w:r>
      <w:r>
        <w:rPr>
          <w:rFonts w:ascii="Arial"/>
          <w:sz w:val="20"/>
        </w:rPr>
        <w:t>and</w:t>
      </w:r>
      <w:r>
        <w:rPr>
          <w:rFonts w:ascii="Arial"/>
          <w:spacing w:val="-4"/>
          <w:sz w:val="20"/>
        </w:rPr>
        <w:t xml:space="preserve"> </w:t>
      </w:r>
      <w:r>
        <w:rPr>
          <w:rFonts w:ascii="Arial"/>
          <w:sz w:val="20"/>
        </w:rPr>
        <w:t>procedures</w:t>
      </w:r>
      <w:r>
        <w:rPr>
          <w:rFonts w:ascii="Arial"/>
          <w:spacing w:val="-4"/>
          <w:sz w:val="20"/>
        </w:rPr>
        <w:t xml:space="preserve"> </w:t>
      </w:r>
      <w:r>
        <w:rPr>
          <w:rFonts w:ascii="Arial"/>
          <w:sz w:val="20"/>
        </w:rPr>
        <w:t xml:space="preserve">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Pr>
          <w:rFonts w:ascii="Arial"/>
          <w:sz w:val="20"/>
        </w:rPr>
        <w:t>prepared;</w:t>
      </w:r>
      <w:proofErr w:type="gramEnd"/>
    </w:p>
    <w:p w14:paraId="4B04F2F2" w14:textId="77777777" w:rsidR="00AE2255" w:rsidRDefault="00AE2255">
      <w:pPr>
        <w:pStyle w:val="BodyText"/>
        <w:spacing w:before="2"/>
        <w:rPr>
          <w:rFonts w:ascii="Arial"/>
          <w:sz w:val="21"/>
        </w:rPr>
      </w:pPr>
    </w:p>
    <w:p w14:paraId="17E8FBC4" w14:textId="77777777" w:rsidR="00AE2255" w:rsidRDefault="00000000">
      <w:pPr>
        <w:pStyle w:val="ListParagraph"/>
        <w:numPr>
          <w:ilvl w:val="1"/>
          <w:numId w:val="2"/>
        </w:numPr>
        <w:tabs>
          <w:tab w:val="left" w:pos="1600"/>
        </w:tabs>
        <w:spacing w:line="249" w:lineRule="auto"/>
        <w:ind w:right="421"/>
        <w:rPr>
          <w:rFonts w:ascii="Arial"/>
          <w:sz w:val="20"/>
        </w:rPr>
      </w:pPr>
      <w:r>
        <w:rPr>
          <w:rFonts w:ascii="Arial"/>
          <w:sz w:val="20"/>
        </w:rPr>
        <w:t>Designed such internal control over financial reporting, or caused such internal control over financial reporting to be designed under our supervision, to provide reasonable assurance regarding the reliability of</w:t>
      </w:r>
      <w:r>
        <w:rPr>
          <w:rFonts w:ascii="Arial"/>
          <w:spacing w:val="-4"/>
          <w:sz w:val="20"/>
        </w:rPr>
        <w:t xml:space="preserve"> </w:t>
      </w:r>
      <w:r>
        <w:rPr>
          <w:rFonts w:ascii="Arial"/>
          <w:sz w:val="20"/>
        </w:rPr>
        <w:t>financial</w:t>
      </w:r>
      <w:r>
        <w:rPr>
          <w:rFonts w:ascii="Arial"/>
          <w:spacing w:val="-4"/>
          <w:sz w:val="20"/>
        </w:rPr>
        <w:t xml:space="preserve"> </w:t>
      </w:r>
      <w:r>
        <w:rPr>
          <w:rFonts w:ascii="Arial"/>
          <w:sz w:val="20"/>
        </w:rPr>
        <w:t>reporting</w:t>
      </w:r>
      <w:r>
        <w:rPr>
          <w:rFonts w:ascii="Arial"/>
          <w:spacing w:val="-4"/>
          <w:sz w:val="20"/>
        </w:rPr>
        <w:t xml:space="preserve"> </w:t>
      </w:r>
      <w:r>
        <w:rPr>
          <w:rFonts w:ascii="Arial"/>
          <w:sz w:val="20"/>
        </w:rPr>
        <w:t>and</w:t>
      </w:r>
      <w:r>
        <w:rPr>
          <w:rFonts w:ascii="Arial"/>
          <w:spacing w:val="-4"/>
          <w:sz w:val="20"/>
        </w:rPr>
        <w:t xml:space="preserve"> </w:t>
      </w:r>
      <w:r>
        <w:rPr>
          <w:rFonts w:ascii="Arial"/>
          <w:sz w:val="20"/>
        </w:rPr>
        <w:t>the</w:t>
      </w:r>
      <w:r>
        <w:rPr>
          <w:rFonts w:ascii="Arial"/>
          <w:spacing w:val="-4"/>
          <w:sz w:val="20"/>
        </w:rPr>
        <w:t xml:space="preserve"> </w:t>
      </w:r>
      <w:r>
        <w:rPr>
          <w:rFonts w:ascii="Arial"/>
          <w:sz w:val="20"/>
        </w:rPr>
        <w:t>preparation</w:t>
      </w:r>
      <w:r>
        <w:rPr>
          <w:rFonts w:ascii="Arial"/>
          <w:spacing w:val="-4"/>
          <w:sz w:val="20"/>
        </w:rPr>
        <w:t xml:space="preserve"> </w:t>
      </w:r>
      <w:r>
        <w:rPr>
          <w:rFonts w:ascii="Arial"/>
          <w:sz w:val="20"/>
        </w:rPr>
        <w:t>of</w:t>
      </w:r>
      <w:r>
        <w:rPr>
          <w:rFonts w:ascii="Arial"/>
          <w:spacing w:val="-4"/>
          <w:sz w:val="20"/>
        </w:rPr>
        <w:t xml:space="preserve"> </w:t>
      </w:r>
      <w:r>
        <w:rPr>
          <w:rFonts w:ascii="Arial"/>
          <w:sz w:val="20"/>
        </w:rPr>
        <w:t>financial</w:t>
      </w:r>
      <w:r>
        <w:rPr>
          <w:rFonts w:ascii="Arial"/>
          <w:spacing w:val="-4"/>
          <w:sz w:val="20"/>
        </w:rPr>
        <w:t xml:space="preserve"> </w:t>
      </w:r>
      <w:r>
        <w:rPr>
          <w:rFonts w:ascii="Arial"/>
          <w:sz w:val="20"/>
        </w:rPr>
        <w:t>statements</w:t>
      </w:r>
      <w:r>
        <w:rPr>
          <w:rFonts w:ascii="Arial"/>
          <w:spacing w:val="-4"/>
          <w:sz w:val="20"/>
        </w:rPr>
        <w:t xml:space="preserve"> </w:t>
      </w:r>
      <w:r>
        <w:rPr>
          <w:rFonts w:ascii="Arial"/>
          <w:sz w:val="20"/>
        </w:rPr>
        <w:t>for</w:t>
      </w:r>
      <w:r>
        <w:rPr>
          <w:rFonts w:ascii="Arial"/>
          <w:spacing w:val="-4"/>
          <w:sz w:val="20"/>
        </w:rPr>
        <w:t xml:space="preserve"> </w:t>
      </w:r>
      <w:r>
        <w:rPr>
          <w:rFonts w:ascii="Arial"/>
          <w:sz w:val="20"/>
        </w:rPr>
        <w:t>external</w:t>
      </w:r>
      <w:r>
        <w:rPr>
          <w:rFonts w:ascii="Arial"/>
          <w:spacing w:val="-4"/>
          <w:sz w:val="20"/>
        </w:rPr>
        <w:t xml:space="preserve"> </w:t>
      </w:r>
      <w:r>
        <w:rPr>
          <w:rFonts w:ascii="Arial"/>
          <w:sz w:val="20"/>
        </w:rPr>
        <w:t>purposes</w:t>
      </w:r>
      <w:r>
        <w:rPr>
          <w:rFonts w:ascii="Arial"/>
          <w:spacing w:val="-4"/>
          <w:sz w:val="20"/>
        </w:rPr>
        <w:t xml:space="preserve"> </w:t>
      </w:r>
      <w:r>
        <w:rPr>
          <w:rFonts w:ascii="Arial"/>
          <w:sz w:val="20"/>
        </w:rPr>
        <w:t>in</w:t>
      </w:r>
      <w:r>
        <w:rPr>
          <w:rFonts w:ascii="Arial"/>
          <w:spacing w:val="-4"/>
          <w:sz w:val="20"/>
        </w:rPr>
        <w:t xml:space="preserve"> </w:t>
      </w:r>
      <w:r>
        <w:rPr>
          <w:rFonts w:ascii="Arial"/>
          <w:sz w:val="20"/>
        </w:rPr>
        <w:t>accordance</w:t>
      </w:r>
      <w:r>
        <w:rPr>
          <w:rFonts w:ascii="Arial"/>
          <w:spacing w:val="-4"/>
          <w:sz w:val="20"/>
        </w:rPr>
        <w:t xml:space="preserve"> </w:t>
      </w:r>
      <w:r>
        <w:rPr>
          <w:rFonts w:ascii="Arial"/>
          <w:sz w:val="20"/>
        </w:rPr>
        <w:t xml:space="preserve">with generally accepted accounting </w:t>
      </w:r>
      <w:proofErr w:type="gramStart"/>
      <w:r>
        <w:rPr>
          <w:rFonts w:ascii="Arial"/>
          <w:sz w:val="20"/>
        </w:rPr>
        <w:t>principles;</w:t>
      </w:r>
      <w:proofErr w:type="gramEnd"/>
    </w:p>
    <w:p w14:paraId="600F5D7A" w14:textId="77777777" w:rsidR="00AE2255" w:rsidRDefault="00AE2255">
      <w:pPr>
        <w:pStyle w:val="BodyText"/>
        <w:spacing w:before="1"/>
        <w:rPr>
          <w:rFonts w:ascii="Arial"/>
          <w:sz w:val="21"/>
        </w:rPr>
      </w:pPr>
    </w:p>
    <w:p w14:paraId="4881F1E7" w14:textId="77777777" w:rsidR="00AE2255" w:rsidRDefault="00000000">
      <w:pPr>
        <w:pStyle w:val="ListParagraph"/>
        <w:numPr>
          <w:ilvl w:val="1"/>
          <w:numId w:val="2"/>
        </w:numPr>
        <w:tabs>
          <w:tab w:val="left" w:pos="1600"/>
        </w:tabs>
        <w:spacing w:before="1" w:line="249" w:lineRule="auto"/>
        <w:ind w:right="424"/>
        <w:rPr>
          <w:rFonts w:ascii="Arial" w:hAnsi="Arial"/>
          <w:sz w:val="20"/>
        </w:rPr>
      </w:pPr>
      <w:r>
        <w:rPr>
          <w:rFonts w:ascii="Arial" w:hAnsi="Arial"/>
          <w:sz w:val="20"/>
        </w:rPr>
        <w:t>Evaluated the effectiveness of the registrant’s disclosure controls and procedures, and presented in this report</w:t>
      </w:r>
      <w:r>
        <w:rPr>
          <w:rFonts w:ascii="Arial" w:hAnsi="Arial"/>
          <w:spacing w:val="-3"/>
          <w:sz w:val="20"/>
        </w:rPr>
        <w:t xml:space="preserve"> </w:t>
      </w:r>
      <w:r>
        <w:rPr>
          <w:rFonts w:ascii="Arial" w:hAnsi="Arial"/>
          <w:sz w:val="20"/>
        </w:rPr>
        <w:t>our</w:t>
      </w:r>
      <w:r>
        <w:rPr>
          <w:rFonts w:ascii="Arial" w:hAnsi="Arial"/>
          <w:spacing w:val="-3"/>
          <w:sz w:val="20"/>
        </w:rPr>
        <w:t xml:space="preserve"> </w:t>
      </w:r>
      <w:r>
        <w:rPr>
          <w:rFonts w:ascii="Arial" w:hAnsi="Arial"/>
          <w:sz w:val="20"/>
        </w:rPr>
        <w:t>conclusions</w:t>
      </w:r>
      <w:r>
        <w:rPr>
          <w:rFonts w:ascii="Arial" w:hAnsi="Arial"/>
          <w:spacing w:val="-3"/>
          <w:sz w:val="20"/>
        </w:rPr>
        <w:t xml:space="preserve"> </w:t>
      </w:r>
      <w:r>
        <w:rPr>
          <w:rFonts w:ascii="Arial" w:hAnsi="Arial"/>
          <w:sz w:val="20"/>
        </w:rPr>
        <w:t>about</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effectiveness</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disclosure</w:t>
      </w:r>
      <w:r>
        <w:rPr>
          <w:rFonts w:ascii="Arial" w:hAnsi="Arial"/>
          <w:spacing w:val="-3"/>
          <w:sz w:val="20"/>
        </w:rPr>
        <w:t xml:space="preserve"> </w:t>
      </w:r>
      <w:r>
        <w:rPr>
          <w:rFonts w:ascii="Arial" w:hAnsi="Arial"/>
          <w:sz w:val="20"/>
        </w:rPr>
        <w:t>controls</w:t>
      </w:r>
      <w:r>
        <w:rPr>
          <w:rFonts w:ascii="Arial" w:hAnsi="Arial"/>
          <w:spacing w:val="-3"/>
          <w:sz w:val="20"/>
        </w:rPr>
        <w:t xml:space="preserve"> </w:t>
      </w:r>
      <w:r>
        <w:rPr>
          <w:rFonts w:ascii="Arial" w:hAnsi="Arial"/>
          <w:sz w:val="20"/>
        </w:rPr>
        <w:t>and</w:t>
      </w:r>
      <w:r>
        <w:rPr>
          <w:rFonts w:ascii="Arial" w:hAnsi="Arial"/>
          <w:spacing w:val="-3"/>
          <w:sz w:val="20"/>
        </w:rPr>
        <w:t xml:space="preserve"> </w:t>
      </w:r>
      <w:r>
        <w:rPr>
          <w:rFonts w:ascii="Arial" w:hAnsi="Arial"/>
          <w:sz w:val="20"/>
        </w:rPr>
        <w:t>procedures,</w:t>
      </w:r>
      <w:r>
        <w:rPr>
          <w:rFonts w:ascii="Arial" w:hAnsi="Arial"/>
          <w:spacing w:val="-3"/>
          <w:sz w:val="20"/>
        </w:rPr>
        <w:t xml:space="preserve"> </w:t>
      </w:r>
      <w:r>
        <w:rPr>
          <w:rFonts w:ascii="Arial" w:hAnsi="Arial"/>
          <w:sz w:val="20"/>
        </w:rPr>
        <w:t>as</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end</w:t>
      </w:r>
      <w:r>
        <w:rPr>
          <w:rFonts w:ascii="Arial" w:hAnsi="Arial"/>
          <w:spacing w:val="-3"/>
          <w:sz w:val="20"/>
        </w:rPr>
        <w:t xml:space="preserve"> </w:t>
      </w:r>
      <w:r>
        <w:rPr>
          <w:rFonts w:ascii="Arial" w:hAnsi="Arial"/>
          <w:sz w:val="20"/>
        </w:rPr>
        <w:t>of the period covered by this report based on such evaluation; and</w:t>
      </w:r>
    </w:p>
    <w:p w14:paraId="3C2A09ED" w14:textId="77777777" w:rsidR="00AE2255" w:rsidRDefault="00AE2255">
      <w:pPr>
        <w:pStyle w:val="BodyText"/>
        <w:rPr>
          <w:rFonts w:ascii="Arial"/>
          <w:sz w:val="21"/>
        </w:rPr>
      </w:pPr>
    </w:p>
    <w:p w14:paraId="33CBAF3A" w14:textId="77777777" w:rsidR="00AE2255" w:rsidRDefault="00000000">
      <w:pPr>
        <w:pStyle w:val="ListParagraph"/>
        <w:numPr>
          <w:ilvl w:val="1"/>
          <w:numId w:val="2"/>
        </w:numPr>
        <w:tabs>
          <w:tab w:val="left" w:pos="1600"/>
        </w:tabs>
        <w:spacing w:line="249" w:lineRule="auto"/>
        <w:ind w:right="347"/>
        <w:rPr>
          <w:rFonts w:ascii="Arial" w:hAnsi="Arial"/>
          <w:sz w:val="20"/>
        </w:rPr>
      </w:pPr>
      <w:r>
        <w:rPr>
          <w:rFonts w:ascii="Arial" w:hAnsi="Arial"/>
          <w:sz w:val="20"/>
        </w:rPr>
        <w:t>Disclosed</w:t>
      </w:r>
      <w:r>
        <w:rPr>
          <w:rFonts w:ascii="Arial" w:hAnsi="Arial"/>
          <w:spacing w:val="-4"/>
          <w:sz w:val="20"/>
        </w:rPr>
        <w:t xml:space="preserve"> </w:t>
      </w:r>
      <w:r>
        <w:rPr>
          <w:rFonts w:ascii="Arial" w:hAnsi="Arial"/>
          <w:sz w:val="20"/>
        </w:rPr>
        <w:t>in</w:t>
      </w:r>
      <w:r>
        <w:rPr>
          <w:rFonts w:ascii="Arial" w:hAnsi="Arial"/>
          <w:spacing w:val="-4"/>
          <w:sz w:val="20"/>
        </w:rPr>
        <w:t xml:space="preserve"> </w:t>
      </w:r>
      <w:r>
        <w:rPr>
          <w:rFonts w:ascii="Arial" w:hAnsi="Arial"/>
          <w:sz w:val="20"/>
        </w:rPr>
        <w:t>this</w:t>
      </w:r>
      <w:r>
        <w:rPr>
          <w:rFonts w:ascii="Arial" w:hAnsi="Arial"/>
          <w:spacing w:val="-4"/>
          <w:sz w:val="20"/>
        </w:rPr>
        <w:t xml:space="preserve"> </w:t>
      </w:r>
      <w:r>
        <w:rPr>
          <w:rFonts w:ascii="Arial" w:hAnsi="Arial"/>
          <w:sz w:val="20"/>
        </w:rPr>
        <w:t>report</w:t>
      </w:r>
      <w:r>
        <w:rPr>
          <w:rFonts w:ascii="Arial" w:hAnsi="Arial"/>
          <w:spacing w:val="-4"/>
          <w:sz w:val="20"/>
        </w:rPr>
        <w:t xml:space="preserve"> </w:t>
      </w:r>
      <w:r>
        <w:rPr>
          <w:rFonts w:ascii="Arial" w:hAnsi="Arial"/>
          <w:sz w:val="20"/>
        </w:rPr>
        <w:t>any</w:t>
      </w:r>
      <w:r>
        <w:rPr>
          <w:rFonts w:ascii="Arial" w:hAnsi="Arial"/>
          <w:spacing w:val="-4"/>
          <w:sz w:val="20"/>
        </w:rPr>
        <w:t xml:space="preserve"> </w:t>
      </w:r>
      <w:r>
        <w:rPr>
          <w:rFonts w:ascii="Arial" w:hAnsi="Arial"/>
          <w:sz w:val="20"/>
        </w:rPr>
        <w:t>change</w:t>
      </w:r>
      <w:r>
        <w:rPr>
          <w:rFonts w:ascii="Arial" w:hAnsi="Arial"/>
          <w:spacing w:val="-4"/>
          <w:sz w:val="20"/>
        </w:rPr>
        <w:t xml:space="preserve"> </w:t>
      </w:r>
      <w:r>
        <w:rPr>
          <w:rFonts w:ascii="Arial" w:hAnsi="Arial"/>
          <w:sz w:val="20"/>
        </w:rPr>
        <w:t>in</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internal</w:t>
      </w:r>
      <w:r>
        <w:rPr>
          <w:rFonts w:ascii="Arial" w:hAnsi="Arial"/>
          <w:spacing w:val="-4"/>
          <w:sz w:val="20"/>
        </w:rPr>
        <w:t xml:space="preserve"> </w:t>
      </w:r>
      <w:r>
        <w:rPr>
          <w:rFonts w:ascii="Arial" w:hAnsi="Arial"/>
          <w:sz w:val="20"/>
        </w:rPr>
        <w:t>control</w:t>
      </w:r>
      <w:r>
        <w:rPr>
          <w:rFonts w:ascii="Arial" w:hAnsi="Arial"/>
          <w:spacing w:val="-4"/>
          <w:sz w:val="20"/>
        </w:rPr>
        <w:t xml:space="preserve"> </w:t>
      </w:r>
      <w:r>
        <w:rPr>
          <w:rFonts w:ascii="Arial" w:hAnsi="Arial"/>
          <w:sz w:val="20"/>
        </w:rPr>
        <w:t>over</w:t>
      </w:r>
      <w:r>
        <w:rPr>
          <w:rFonts w:ascii="Arial" w:hAnsi="Arial"/>
          <w:spacing w:val="-4"/>
          <w:sz w:val="20"/>
        </w:rPr>
        <w:t xml:space="preserve"> </w:t>
      </w:r>
      <w:r>
        <w:rPr>
          <w:rFonts w:ascii="Arial" w:hAnsi="Arial"/>
          <w:sz w:val="20"/>
        </w:rPr>
        <w:t>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that</w:t>
      </w:r>
      <w:r>
        <w:rPr>
          <w:rFonts w:ascii="Arial" w:hAnsi="Arial"/>
          <w:spacing w:val="-4"/>
          <w:sz w:val="20"/>
        </w:rPr>
        <w:t xml:space="preserve"> </w:t>
      </w:r>
      <w:r>
        <w:rPr>
          <w:rFonts w:ascii="Arial" w:hAnsi="Arial"/>
          <w:sz w:val="20"/>
        </w:rPr>
        <w:t>occurred during the registrant’s most recent fiscal quarter (the registrant’s fourth fiscal quarter in the case of an annual report) that has materially affected, or is reasonably likely to materially affect, the registrant’s internal control over financial reporting; and</w:t>
      </w:r>
    </w:p>
    <w:p w14:paraId="280E0DA7" w14:textId="77777777" w:rsidR="00AE2255" w:rsidRDefault="00AE2255">
      <w:pPr>
        <w:pStyle w:val="BodyText"/>
        <w:spacing w:before="2"/>
        <w:rPr>
          <w:rFonts w:ascii="Arial"/>
          <w:sz w:val="21"/>
        </w:rPr>
      </w:pPr>
    </w:p>
    <w:p w14:paraId="3E2E8161" w14:textId="77777777" w:rsidR="00AE2255" w:rsidRDefault="00000000">
      <w:pPr>
        <w:pStyle w:val="ListParagraph"/>
        <w:numPr>
          <w:ilvl w:val="0"/>
          <w:numId w:val="2"/>
        </w:numPr>
        <w:tabs>
          <w:tab w:val="left" w:pos="880"/>
        </w:tabs>
        <w:spacing w:line="249" w:lineRule="auto"/>
        <w:ind w:right="771"/>
        <w:rPr>
          <w:rFonts w:ascii="Arial" w:hAnsi="Arial"/>
          <w:sz w:val="20"/>
        </w:rPr>
      </w:pPr>
      <w:r>
        <w:rPr>
          <w:rFonts w:ascii="Arial" w:hAnsi="Arial"/>
          <w:sz w:val="20"/>
        </w:rPr>
        <w:t>The registrant’s other certifying officer and I have disclosed, based on our most recent evaluation of internal control</w:t>
      </w:r>
      <w:r>
        <w:rPr>
          <w:rFonts w:ascii="Arial" w:hAnsi="Arial"/>
          <w:spacing w:val="-4"/>
          <w:sz w:val="20"/>
        </w:rPr>
        <w:t xml:space="preserve"> </w:t>
      </w:r>
      <w:r>
        <w:rPr>
          <w:rFonts w:ascii="Arial" w:hAnsi="Arial"/>
          <w:sz w:val="20"/>
        </w:rPr>
        <w:t>over</w:t>
      </w:r>
      <w:r>
        <w:rPr>
          <w:rFonts w:ascii="Arial" w:hAnsi="Arial"/>
          <w:spacing w:val="-4"/>
          <w:sz w:val="20"/>
        </w:rPr>
        <w:t xml:space="preserve"> </w:t>
      </w:r>
      <w:r>
        <w:rPr>
          <w:rFonts w:ascii="Arial" w:hAnsi="Arial"/>
          <w:sz w:val="20"/>
        </w:rPr>
        <w:t>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auditors</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audit</w:t>
      </w:r>
      <w:r>
        <w:rPr>
          <w:rFonts w:ascii="Arial" w:hAnsi="Arial"/>
          <w:spacing w:val="-4"/>
          <w:sz w:val="20"/>
        </w:rPr>
        <w:t xml:space="preserve"> </w:t>
      </w:r>
      <w:r>
        <w:rPr>
          <w:rFonts w:ascii="Arial" w:hAnsi="Arial"/>
          <w:sz w:val="20"/>
        </w:rPr>
        <w:t>committee</w:t>
      </w:r>
      <w:r>
        <w:rPr>
          <w:rFonts w:ascii="Arial" w:hAnsi="Arial"/>
          <w:spacing w:val="-4"/>
          <w:sz w:val="20"/>
        </w:rPr>
        <w:t xml:space="preserve"> </w:t>
      </w:r>
      <w:r>
        <w:rPr>
          <w:rFonts w:ascii="Arial" w:hAnsi="Arial"/>
          <w:sz w:val="20"/>
        </w:rPr>
        <w:t>of</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board</w:t>
      </w:r>
      <w:r>
        <w:rPr>
          <w:rFonts w:ascii="Arial" w:hAnsi="Arial"/>
          <w:spacing w:val="-4"/>
          <w:sz w:val="20"/>
        </w:rPr>
        <w:t xml:space="preserve"> </w:t>
      </w:r>
      <w:r>
        <w:rPr>
          <w:rFonts w:ascii="Arial" w:hAnsi="Arial"/>
          <w:sz w:val="20"/>
        </w:rPr>
        <w:t>of directors (or persons performing the equivalent functions):</w:t>
      </w:r>
    </w:p>
    <w:p w14:paraId="19264B8B" w14:textId="77777777" w:rsidR="00AE2255" w:rsidRDefault="00AE2255">
      <w:pPr>
        <w:pStyle w:val="BodyText"/>
        <w:spacing w:before="1"/>
        <w:rPr>
          <w:rFonts w:ascii="Arial"/>
          <w:sz w:val="21"/>
        </w:rPr>
      </w:pPr>
    </w:p>
    <w:p w14:paraId="6D2CDD26" w14:textId="77777777" w:rsidR="00AE2255" w:rsidRDefault="00000000">
      <w:pPr>
        <w:pStyle w:val="ListParagraph"/>
        <w:numPr>
          <w:ilvl w:val="1"/>
          <w:numId w:val="2"/>
        </w:numPr>
        <w:tabs>
          <w:tab w:val="left" w:pos="1600"/>
        </w:tabs>
        <w:spacing w:line="249" w:lineRule="auto"/>
        <w:ind w:right="362"/>
        <w:rPr>
          <w:rFonts w:ascii="Arial" w:hAnsi="Arial"/>
          <w:sz w:val="20"/>
        </w:rPr>
      </w:pPr>
      <w:r>
        <w:rPr>
          <w:rFonts w:ascii="Arial" w:hAnsi="Arial"/>
          <w:sz w:val="20"/>
        </w:rPr>
        <w:t>All significant deficiencies and material weaknesses in the design or operation of internal control over financial</w:t>
      </w:r>
      <w:r>
        <w:rPr>
          <w:rFonts w:ascii="Arial" w:hAnsi="Arial"/>
          <w:spacing w:val="-4"/>
          <w:sz w:val="20"/>
        </w:rPr>
        <w:t xml:space="preserve"> </w:t>
      </w:r>
      <w:r>
        <w:rPr>
          <w:rFonts w:ascii="Arial" w:hAnsi="Arial"/>
          <w:sz w:val="20"/>
        </w:rPr>
        <w:t>reporting</w:t>
      </w:r>
      <w:r>
        <w:rPr>
          <w:rFonts w:ascii="Arial" w:hAnsi="Arial"/>
          <w:spacing w:val="-4"/>
          <w:sz w:val="20"/>
        </w:rPr>
        <w:t xml:space="preserve"> </w:t>
      </w:r>
      <w:r>
        <w:rPr>
          <w:rFonts w:ascii="Arial" w:hAnsi="Arial"/>
          <w:sz w:val="20"/>
        </w:rPr>
        <w:t>which</w:t>
      </w:r>
      <w:r>
        <w:rPr>
          <w:rFonts w:ascii="Arial" w:hAnsi="Arial"/>
          <w:spacing w:val="-4"/>
          <w:sz w:val="20"/>
        </w:rPr>
        <w:t xml:space="preserve"> </w:t>
      </w:r>
      <w:r>
        <w:rPr>
          <w:rFonts w:ascii="Arial" w:hAnsi="Arial"/>
          <w:sz w:val="20"/>
        </w:rPr>
        <w:t>are</w:t>
      </w:r>
      <w:r>
        <w:rPr>
          <w:rFonts w:ascii="Arial" w:hAnsi="Arial"/>
          <w:spacing w:val="-4"/>
          <w:sz w:val="20"/>
        </w:rPr>
        <w:t xml:space="preserve"> </w:t>
      </w:r>
      <w:r>
        <w:rPr>
          <w:rFonts w:ascii="Arial" w:hAnsi="Arial"/>
          <w:sz w:val="20"/>
        </w:rPr>
        <w:t>reasonably</w:t>
      </w:r>
      <w:r>
        <w:rPr>
          <w:rFonts w:ascii="Arial" w:hAnsi="Arial"/>
          <w:spacing w:val="-4"/>
          <w:sz w:val="20"/>
        </w:rPr>
        <w:t xml:space="preserve"> </w:t>
      </w:r>
      <w:r>
        <w:rPr>
          <w:rFonts w:ascii="Arial" w:hAnsi="Arial"/>
          <w:sz w:val="20"/>
        </w:rPr>
        <w:t>likely</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adversely</w:t>
      </w:r>
      <w:r>
        <w:rPr>
          <w:rFonts w:ascii="Arial" w:hAnsi="Arial"/>
          <w:spacing w:val="-4"/>
          <w:sz w:val="20"/>
        </w:rPr>
        <w:t xml:space="preserve"> </w:t>
      </w:r>
      <w:r>
        <w:rPr>
          <w:rFonts w:ascii="Arial" w:hAnsi="Arial"/>
          <w:sz w:val="20"/>
        </w:rPr>
        <w:t>affect</w:t>
      </w:r>
      <w:r>
        <w:rPr>
          <w:rFonts w:ascii="Arial" w:hAnsi="Arial"/>
          <w:spacing w:val="-4"/>
          <w:sz w:val="20"/>
        </w:rPr>
        <w:t xml:space="preserve"> </w:t>
      </w:r>
      <w:r>
        <w:rPr>
          <w:rFonts w:ascii="Arial" w:hAnsi="Arial"/>
          <w:sz w:val="20"/>
        </w:rPr>
        <w:t>the</w:t>
      </w:r>
      <w:r>
        <w:rPr>
          <w:rFonts w:ascii="Arial" w:hAnsi="Arial"/>
          <w:spacing w:val="-4"/>
          <w:sz w:val="20"/>
        </w:rPr>
        <w:t xml:space="preserve"> </w:t>
      </w:r>
      <w:r>
        <w:rPr>
          <w:rFonts w:ascii="Arial" w:hAnsi="Arial"/>
          <w:sz w:val="20"/>
        </w:rPr>
        <w:t>registrant’s</w:t>
      </w:r>
      <w:r>
        <w:rPr>
          <w:rFonts w:ascii="Arial" w:hAnsi="Arial"/>
          <w:spacing w:val="-4"/>
          <w:sz w:val="20"/>
        </w:rPr>
        <w:t xml:space="preserve"> </w:t>
      </w:r>
      <w:r>
        <w:rPr>
          <w:rFonts w:ascii="Arial" w:hAnsi="Arial"/>
          <w:sz w:val="20"/>
        </w:rPr>
        <w:t>ability</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record,</w:t>
      </w:r>
      <w:r>
        <w:rPr>
          <w:rFonts w:ascii="Arial" w:hAnsi="Arial"/>
          <w:spacing w:val="-4"/>
          <w:sz w:val="20"/>
        </w:rPr>
        <w:t xml:space="preserve"> </w:t>
      </w:r>
      <w:r>
        <w:rPr>
          <w:rFonts w:ascii="Arial" w:hAnsi="Arial"/>
          <w:sz w:val="20"/>
        </w:rPr>
        <w:t>process, summarize, and report financial information; and</w:t>
      </w:r>
    </w:p>
    <w:p w14:paraId="6D2CE9D9" w14:textId="77777777" w:rsidR="00AE2255" w:rsidRDefault="00AE2255">
      <w:pPr>
        <w:pStyle w:val="BodyText"/>
        <w:spacing w:before="1"/>
        <w:rPr>
          <w:rFonts w:ascii="Arial"/>
          <w:sz w:val="21"/>
        </w:rPr>
      </w:pPr>
    </w:p>
    <w:p w14:paraId="6F140B29" w14:textId="77777777" w:rsidR="00AE2255" w:rsidRDefault="00000000">
      <w:pPr>
        <w:pStyle w:val="ListParagraph"/>
        <w:numPr>
          <w:ilvl w:val="1"/>
          <w:numId w:val="2"/>
        </w:numPr>
        <w:tabs>
          <w:tab w:val="left" w:pos="1600"/>
        </w:tabs>
        <w:spacing w:line="249" w:lineRule="auto"/>
        <w:ind w:right="454"/>
        <w:rPr>
          <w:rFonts w:ascii="Arial" w:hAnsi="Arial"/>
          <w:sz w:val="20"/>
        </w:rPr>
      </w:pPr>
      <w:r>
        <w:rPr>
          <w:rFonts w:ascii="Arial" w:hAnsi="Arial"/>
          <w:sz w:val="20"/>
        </w:rPr>
        <w:t>Any</w:t>
      </w:r>
      <w:r>
        <w:rPr>
          <w:rFonts w:ascii="Arial" w:hAnsi="Arial"/>
          <w:spacing w:val="-3"/>
          <w:sz w:val="20"/>
        </w:rPr>
        <w:t xml:space="preserve"> </w:t>
      </w:r>
      <w:r>
        <w:rPr>
          <w:rFonts w:ascii="Arial" w:hAnsi="Arial"/>
          <w:sz w:val="20"/>
        </w:rPr>
        <w:t>fraud,</w:t>
      </w:r>
      <w:r>
        <w:rPr>
          <w:rFonts w:ascii="Arial" w:hAnsi="Arial"/>
          <w:spacing w:val="-3"/>
          <w:sz w:val="20"/>
        </w:rPr>
        <w:t xml:space="preserve"> </w:t>
      </w:r>
      <w:proofErr w:type="gramStart"/>
      <w:r>
        <w:rPr>
          <w:rFonts w:ascii="Arial" w:hAnsi="Arial"/>
          <w:sz w:val="20"/>
        </w:rPr>
        <w:t>whether</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not</w:t>
      </w:r>
      <w:proofErr w:type="gramEnd"/>
      <w:r>
        <w:rPr>
          <w:rFonts w:ascii="Arial" w:hAnsi="Arial"/>
          <w:spacing w:val="-3"/>
          <w:sz w:val="20"/>
        </w:rPr>
        <w:t xml:space="preserve"> </w:t>
      </w:r>
      <w:r>
        <w:rPr>
          <w:rFonts w:ascii="Arial" w:hAnsi="Arial"/>
          <w:sz w:val="20"/>
        </w:rPr>
        <w:t>material,</w:t>
      </w:r>
      <w:r>
        <w:rPr>
          <w:rFonts w:ascii="Arial" w:hAnsi="Arial"/>
          <w:spacing w:val="-3"/>
          <w:sz w:val="20"/>
        </w:rPr>
        <w:t xml:space="preserve"> </w:t>
      </w:r>
      <w:r>
        <w:rPr>
          <w:rFonts w:ascii="Arial" w:hAnsi="Arial"/>
          <w:sz w:val="20"/>
        </w:rPr>
        <w:t>that</w:t>
      </w:r>
      <w:r>
        <w:rPr>
          <w:rFonts w:ascii="Arial" w:hAnsi="Arial"/>
          <w:spacing w:val="-3"/>
          <w:sz w:val="20"/>
        </w:rPr>
        <w:t xml:space="preserve"> </w:t>
      </w:r>
      <w:r>
        <w:rPr>
          <w:rFonts w:ascii="Arial" w:hAnsi="Arial"/>
          <w:sz w:val="20"/>
        </w:rPr>
        <w:t>involves</w:t>
      </w:r>
      <w:r>
        <w:rPr>
          <w:rFonts w:ascii="Arial" w:hAnsi="Arial"/>
          <w:spacing w:val="-3"/>
          <w:sz w:val="20"/>
        </w:rPr>
        <w:t xml:space="preserve"> </w:t>
      </w:r>
      <w:r>
        <w:rPr>
          <w:rFonts w:ascii="Arial" w:hAnsi="Arial"/>
          <w:sz w:val="20"/>
        </w:rPr>
        <w:t>management</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other</w:t>
      </w:r>
      <w:r>
        <w:rPr>
          <w:rFonts w:ascii="Arial" w:hAnsi="Arial"/>
          <w:spacing w:val="-3"/>
          <w:sz w:val="20"/>
        </w:rPr>
        <w:t xml:space="preserve"> </w:t>
      </w:r>
      <w:r>
        <w:rPr>
          <w:rFonts w:ascii="Arial" w:hAnsi="Arial"/>
          <w:sz w:val="20"/>
        </w:rPr>
        <w:t>employees</w:t>
      </w:r>
      <w:r>
        <w:rPr>
          <w:rFonts w:ascii="Arial" w:hAnsi="Arial"/>
          <w:spacing w:val="-3"/>
          <w:sz w:val="20"/>
        </w:rPr>
        <w:t xml:space="preserve"> </w:t>
      </w:r>
      <w:r>
        <w:rPr>
          <w:rFonts w:ascii="Arial" w:hAnsi="Arial"/>
          <w:sz w:val="20"/>
        </w:rPr>
        <w:t>who</w:t>
      </w:r>
      <w:r>
        <w:rPr>
          <w:rFonts w:ascii="Arial" w:hAnsi="Arial"/>
          <w:spacing w:val="-3"/>
          <w:sz w:val="20"/>
        </w:rPr>
        <w:t xml:space="preserve"> </w:t>
      </w:r>
      <w:r>
        <w:rPr>
          <w:rFonts w:ascii="Arial" w:hAnsi="Arial"/>
          <w:sz w:val="20"/>
        </w:rPr>
        <w:t>have</w:t>
      </w:r>
      <w:r>
        <w:rPr>
          <w:rFonts w:ascii="Arial" w:hAnsi="Arial"/>
          <w:spacing w:val="-3"/>
          <w:sz w:val="20"/>
        </w:rPr>
        <w:t xml:space="preserve"> </w:t>
      </w:r>
      <w:r>
        <w:rPr>
          <w:rFonts w:ascii="Arial" w:hAnsi="Arial"/>
          <w:sz w:val="20"/>
        </w:rPr>
        <w:t>a</w:t>
      </w:r>
      <w:r>
        <w:rPr>
          <w:rFonts w:ascii="Arial" w:hAnsi="Arial"/>
          <w:spacing w:val="-3"/>
          <w:sz w:val="20"/>
        </w:rPr>
        <w:t xml:space="preserve"> </w:t>
      </w:r>
      <w:r>
        <w:rPr>
          <w:rFonts w:ascii="Arial" w:hAnsi="Arial"/>
          <w:sz w:val="20"/>
        </w:rPr>
        <w:t>significant role in the registrant’s internal control over financial reporting.</w:t>
      </w:r>
    </w:p>
    <w:p w14:paraId="6EFD224C" w14:textId="77777777" w:rsidR="00AE2255" w:rsidRDefault="00AE2255">
      <w:pPr>
        <w:pStyle w:val="BodyText"/>
        <w:rPr>
          <w:rFonts w:ascii="Arial"/>
        </w:rPr>
      </w:pPr>
    </w:p>
    <w:p w14:paraId="0019A7F0" w14:textId="77777777" w:rsidR="00AE2255" w:rsidRDefault="00AE2255">
      <w:pPr>
        <w:pStyle w:val="BodyText"/>
        <w:rPr>
          <w:rFonts w:ascii="Arial"/>
        </w:rPr>
      </w:pPr>
    </w:p>
    <w:p w14:paraId="734C4C12" w14:textId="77777777" w:rsidR="00AE2255" w:rsidRDefault="00AE2255">
      <w:pPr>
        <w:pStyle w:val="BodyText"/>
        <w:rPr>
          <w:rFonts w:ascii="Arial"/>
        </w:rPr>
      </w:pPr>
    </w:p>
    <w:p w14:paraId="510F3CFC" w14:textId="77777777" w:rsidR="00AE2255" w:rsidRDefault="00AE2255">
      <w:pPr>
        <w:pStyle w:val="BodyText"/>
        <w:spacing w:before="1"/>
        <w:rPr>
          <w:rFonts w:ascii="Arial"/>
        </w:rPr>
      </w:pPr>
    </w:p>
    <w:p w14:paraId="50A36D22" w14:textId="77777777" w:rsidR="00AE2255" w:rsidRDefault="00000000">
      <w:pPr>
        <w:pStyle w:val="BodyText"/>
        <w:spacing w:before="93" w:line="304" w:lineRule="auto"/>
        <w:ind w:left="8147" w:right="1189"/>
        <w:rPr>
          <w:rFonts w:ascii="Arial"/>
        </w:rPr>
      </w:pPr>
      <w:r>
        <w:pict w14:anchorId="377E551C">
          <v:group id="docshapegroup175" o:spid="_x0000_s2056" style="position:absolute;left:0;text-align:left;margin-left:423.75pt;margin-top:17.15pt;width:143.25pt;height:1pt;z-index:-22615040;mso-position-horizontal-relative:page" coordorigin="8475,343" coordsize="2865,20">
            <v:shape id="docshape176" o:spid="_x0000_s2058" style="position:absolute;left:8475;top:352;width:2865;height:2" coordorigin="8475,353" coordsize="2865,0" path="m11340,353r-2865,e" fillcolor="black" stroked="f">
              <v:fill opacity="0"/>
              <v:path arrowok="t"/>
            </v:shape>
            <v:line id="_x0000_s2057" style="position:absolute" from="8475,353" to="11340,353" strokeweight="1pt"/>
            <w10:wrap anchorx="page"/>
          </v:group>
        </w:pict>
      </w:r>
      <w:r>
        <w:rPr>
          <w:rFonts w:ascii="Arial"/>
        </w:rPr>
        <w:t>/s/</w:t>
      </w:r>
      <w:r>
        <w:rPr>
          <w:rFonts w:ascii="Arial"/>
          <w:spacing w:val="-14"/>
        </w:rPr>
        <w:t xml:space="preserve"> </w:t>
      </w:r>
      <w:r>
        <w:rPr>
          <w:rFonts w:ascii="Arial"/>
        </w:rPr>
        <w:t>Jesus</w:t>
      </w:r>
      <w:r>
        <w:rPr>
          <w:rFonts w:ascii="Arial"/>
          <w:spacing w:val="-14"/>
        </w:rPr>
        <w:t xml:space="preserve"> </w:t>
      </w:r>
      <w:r>
        <w:rPr>
          <w:rFonts w:ascii="Arial"/>
        </w:rPr>
        <w:t>Malave Jesus Malave</w:t>
      </w:r>
    </w:p>
    <w:p w14:paraId="289E862C" w14:textId="77777777" w:rsidR="00AE2255" w:rsidRDefault="00000000">
      <w:pPr>
        <w:pStyle w:val="BodyText"/>
        <w:spacing w:line="223" w:lineRule="exact"/>
        <w:ind w:left="8147"/>
        <w:rPr>
          <w:rFonts w:ascii="Arial"/>
        </w:rPr>
      </w:pPr>
      <w:r>
        <w:rPr>
          <w:rFonts w:ascii="Arial"/>
        </w:rPr>
        <w:t>Chief</w:t>
      </w:r>
      <w:r>
        <w:rPr>
          <w:rFonts w:ascii="Arial"/>
          <w:spacing w:val="-7"/>
        </w:rPr>
        <w:t xml:space="preserve"> </w:t>
      </w:r>
      <w:r>
        <w:rPr>
          <w:rFonts w:ascii="Arial"/>
        </w:rPr>
        <w:t>Financial</w:t>
      </w:r>
      <w:r>
        <w:rPr>
          <w:rFonts w:ascii="Arial"/>
          <w:spacing w:val="-6"/>
        </w:rPr>
        <w:t xml:space="preserve"> </w:t>
      </w:r>
      <w:r>
        <w:rPr>
          <w:rFonts w:ascii="Arial"/>
          <w:spacing w:val="-2"/>
        </w:rPr>
        <w:t>Officer</w:t>
      </w:r>
    </w:p>
    <w:p w14:paraId="648E1123" w14:textId="77777777" w:rsidR="00AE2255" w:rsidRDefault="00000000">
      <w:pPr>
        <w:pStyle w:val="BodyText"/>
        <w:spacing w:before="48"/>
        <w:ind w:left="1652"/>
        <w:rPr>
          <w:rFonts w:ascii="Arial"/>
        </w:rPr>
      </w:pPr>
      <w:r>
        <w:rPr>
          <w:rFonts w:ascii="Arial"/>
        </w:rPr>
        <w:t>Date:</w:t>
      </w:r>
      <w:r>
        <w:rPr>
          <w:rFonts w:ascii="Arial"/>
          <w:spacing w:val="49"/>
        </w:rPr>
        <w:t xml:space="preserve"> </w:t>
      </w:r>
      <w:r>
        <w:rPr>
          <w:rFonts w:ascii="Arial"/>
        </w:rPr>
        <w:t>January</w:t>
      </w:r>
      <w:r>
        <w:rPr>
          <w:rFonts w:ascii="Arial"/>
          <w:spacing w:val="-4"/>
        </w:rPr>
        <w:t xml:space="preserve"> </w:t>
      </w:r>
      <w:r>
        <w:rPr>
          <w:rFonts w:ascii="Arial"/>
        </w:rPr>
        <w:t>26,</w:t>
      </w:r>
      <w:r>
        <w:rPr>
          <w:rFonts w:ascii="Arial"/>
          <w:spacing w:val="-3"/>
        </w:rPr>
        <w:t xml:space="preserve"> </w:t>
      </w:r>
      <w:r>
        <w:rPr>
          <w:rFonts w:ascii="Arial"/>
          <w:spacing w:val="-4"/>
        </w:rPr>
        <w:t>2023</w:t>
      </w:r>
    </w:p>
    <w:p w14:paraId="39344CAC" w14:textId="77777777" w:rsidR="00AE2255" w:rsidRDefault="00AE2255">
      <w:pPr>
        <w:rPr>
          <w:rFonts w:ascii="Arial"/>
        </w:rPr>
        <w:sectPr w:rsidR="00AE2255">
          <w:headerReference w:type="default" r:id="rId191"/>
          <w:footerReference w:type="default" r:id="rId192"/>
          <w:pgSz w:w="12240" w:h="15840"/>
          <w:pgMar w:top="1080" w:right="560" w:bottom="280" w:left="380" w:header="865" w:footer="0" w:gutter="0"/>
          <w:cols w:space="720"/>
        </w:sectPr>
      </w:pPr>
    </w:p>
    <w:p w14:paraId="266E3DF9" w14:textId="77777777" w:rsidR="00AE2255" w:rsidRDefault="00AE2255">
      <w:pPr>
        <w:pStyle w:val="BodyText"/>
        <w:spacing w:before="7"/>
        <w:rPr>
          <w:rFonts w:ascii="Arial"/>
          <w:sz w:val="13"/>
        </w:rPr>
      </w:pPr>
    </w:p>
    <w:p w14:paraId="6E4C4AFA" w14:textId="77777777" w:rsidR="00AE2255" w:rsidRDefault="00000000">
      <w:pPr>
        <w:pStyle w:val="Heading1"/>
        <w:spacing w:before="93" w:line="249" w:lineRule="auto"/>
        <w:ind w:left="1832" w:hanging="1155"/>
        <w:rPr>
          <w:rFonts w:ascii="Arial"/>
        </w:rPr>
      </w:pPr>
      <w:bookmarkStart w:id="100" w:name="Exhibit_32"/>
      <w:bookmarkEnd w:id="100"/>
      <w:r>
        <w:rPr>
          <w:rFonts w:ascii="Arial"/>
        </w:rPr>
        <w:t>CERTIFICATION</w:t>
      </w:r>
      <w:r>
        <w:rPr>
          <w:rFonts w:ascii="Arial"/>
          <w:spacing w:val="-4"/>
        </w:rPr>
        <w:t xml:space="preserve"> </w:t>
      </w:r>
      <w:r>
        <w:rPr>
          <w:rFonts w:ascii="Arial"/>
        </w:rPr>
        <w:t>OF</w:t>
      </w:r>
      <w:r>
        <w:rPr>
          <w:rFonts w:ascii="Arial"/>
          <w:spacing w:val="-4"/>
        </w:rPr>
        <w:t xml:space="preserve"> </w:t>
      </w:r>
      <w:r>
        <w:rPr>
          <w:rFonts w:ascii="Arial"/>
        </w:rPr>
        <w:t>JAMES</w:t>
      </w:r>
      <w:r>
        <w:rPr>
          <w:rFonts w:ascii="Arial"/>
          <w:spacing w:val="-4"/>
        </w:rPr>
        <w:t xml:space="preserve"> </w:t>
      </w:r>
      <w:r>
        <w:rPr>
          <w:rFonts w:ascii="Arial"/>
        </w:rPr>
        <w:t>D.</w:t>
      </w:r>
      <w:r>
        <w:rPr>
          <w:rFonts w:ascii="Arial"/>
          <w:spacing w:val="-4"/>
        </w:rPr>
        <w:t xml:space="preserve"> </w:t>
      </w:r>
      <w:r>
        <w:rPr>
          <w:rFonts w:ascii="Arial"/>
        </w:rPr>
        <w:t>TAICLET</w:t>
      </w:r>
      <w:r>
        <w:rPr>
          <w:rFonts w:ascii="Arial"/>
          <w:spacing w:val="-4"/>
        </w:rPr>
        <w:t xml:space="preserve"> </w:t>
      </w:r>
      <w:r>
        <w:rPr>
          <w:rFonts w:ascii="Arial"/>
        </w:rPr>
        <w:t>AND</w:t>
      </w:r>
      <w:r>
        <w:rPr>
          <w:rFonts w:ascii="Arial"/>
          <w:spacing w:val="-4"/>
        </w:rPr>
        <w:t xml:space="preserve"> </w:t>
      </w:r>
      <w:r>
        <w:rPr>
          <w:rFonts w:ascii="Arial"/>
        </w:rPr>
        <w:t>JESUS</w:t>
      </w:r>
      <w:r>
        <w:rPr>
          <w:rFonts w:ascii="Arial"/>
          <w:spacing w:val="-4"/>
        </w:rPr>
        <w:t xml:space="preserve"> </w:t>
      </w:r>
      <w:r>
        <w:rPr>
          <w:rFonts w:ascii="Arial"/>
        </w:rPr>
        <w:t>MALAVE</w:t>
      </w:r>
      <w:r>
        <w:rPr>
          <w:rFonts w:ascii="Arial"/>
          <w:spacing w:val="-4"/>
        </w:rPr>
        <w:t xml:space="preserve"> </w:t>
      </w:r>
      <w:r>
        <w:rPr>
          <w:rFonts w:ascii="Arial"/>
        </w:rPr>
        <w:t>PURSUANT</w:t>
      </w:r>
      <w:r>
        <w:rPr>
          <w:rFonts w:ascii="Arial"/>
          <w:spacing w:val="-4"/>
        </w:rPr>
        <w:t xml:space="preserve"> </w:t>
      </w:r>
      <w:r>
        <w:rPr>
          <w:rFonts w:ascii="Arial"/>
        </w:rPr>
        <w:t>TO</w:t>
      </w:r>
      <w:r>
        <w:rPr>
          <w:rFonts w:ascii="Arial"/>
          <w:spacing w:val="-4"/>
        </w:rPr>
        <w:t xml:space="preserve"> </w:t>
      </w:r>
      <w:r>
        <w:rPr>
          <w:rFonts w:ascii="Arial"/>
        </w:rPr>
        <w:t>18</w:t>
      </w:r>
      <w:r>
        <w:rPr>
          <w:rFonts w:ascii="Arial"/>
          <w:spacing w:val="-4"/>
        </w:rPr>
        <w:t xml:space="preserve"> </w:t>
      </w:r>
      <w:r>
        <w:rPr>
          <w:rFonts w:ascii="Arial"/>
        </w:rPr>
        <w:t>U.S.C.</w:t>
      </w:r>
      <w:r>
        <w:rPr>
          <w:rFonts w:ascii="Arial"/>
          <w:spacing w:val="-4"/>
        </w:rPr>
        <w:t xml:space="preserve"> </w:t>
      </w:r>
      <w:r>
        <w:rPr>
          <w:rFonts w:ascii="Arial"/>
        </w:rPr>
        <w:t>SECTION</w:t>
      </w:r>
      <w:r>
        <w:rPr>
          <w:rFonts w:ascii="Arial"/>
          <w:spacing w:val="-4"/>
        </w:rPr>
        <w:t xml:space="preserve"> </w:t>
      </w:r>
      <w:r>
        <w:rPr>
          <w:rFonts w:ascii="Arial"/>
        </w:rPr>
        <w:t>1350,</w:t>
      </w:r>
      <w:r>
        <w:rPr>
          <w:rFonts w:ascii="Arial"/>
          <w:spacing w:val="-4"/>
        </w:rPr>
        <w:t xml:space="preserve"> </w:t>
      </w:r>
      <w:r>
        <w:rPr>
          <w:rFonts w:ascii="Arial"/>
        </w:rPr>
        <w:t>AS ADOPTED PURSUANT TO SECTION 906 OF THE SARBANES-OXLEY ACT OF 2002</w:t>
      </w:r>
    </w:p>
    <w:p w14:paraId="7FE54AA2" w14:textId="77777777" w:rsidR="00AE2255" w:rsidRDefault="00AE2255">
      <w:pPr>
        <w:pStyle w:val="BodyText"/>
        <w:rPr>
          <w:rFonts w:ascii="Arial"/>
          <w:b/>
          <w:sz w:val="21"/>
        </w:rPr>
      </w:pPr>
    </w:p>
    <w:p w14:paraId="1A6D25C2" w14:textId="77777777" w:rsidR="00AE2255" w:rsidRDefault="00000000">
      <w:pPr>
        <w:pStyle w:val="BodyText"/>
        <w:spacing w:line="249" w:lineRule="auto"/>
        <w:ind w:left="610" w:right="428" w:firstLine="360"/>
        <w:jc w:val="both"/>
        <w:rPr>
          <w:rFonts w:ascii="Arial" w:hAnsi="Arial"/>
        </w:rPr>
      </w:pPr>
      <w:r>
        <w:rPr>
          <w:rFonts w:ascii="Arial" w:hAnsi="Arial"/>
        </w:rPr>
        <w:t>In connection with the</w:t>
      </w:r>
      <w:r>
        <w:rPr>
          <w:rFonts w:ascii="Arial" w:hAnsi="Arial"/>
          <w:spacing w:val="-2"/>
        </w:rPr>
        <w:t xml:space="preserve"> </w:t>
      </w:r>
      <w:r>
        <w:rPr>
          <w:rFonts w:ascii="Arial" w:hAnsi="Arial"/>
        </w:rPr>
        <w:t xml:space="preserve">Annual Report of Lockheed Martin Corporation (the “Corporation”) on Form 10-K for the period ended December 31, 2022, as filed with the U.S. Securities and Exchange Commission on the date hereof (the “Report”), I, James D. </w:t>
      </w:r>
      <w:proofErr w:type="spellStart"/>
      <w:r>
        <w:rPr>
          <w:rFonts w:ascii="Arial" w:hAnsi="Arial"/>
        </w:rPr>
        <w:t>Taiclet</w:t>
      </w:r>
      <w:proofErr w:type="spellEnd"/>
      <w:r>
        <w:rPr>
          <w:rFonts w:ascii="Arial" w:hAnsi="Arial"/>
        </w:rPr>
        <w:t>, Chief Executive Officer of the Corporation, and I, Jesus Malave, Chief Financial Officer of the Corporation, each certify, pursuant to 18 U.S.C. Section 1350, as adopted pursuant to Section 906 of the Sarbanes-Oxley Act of 2002, that to my knowledge:</w:t>
      </w:r>
    </w:p>
    <w:p w14:paraId="684E5585" w14:textId="77777777" w:rsidR="00AE2255" w:rsidRDefault="00AE2255">
      <w:pPr>
        <w:pStyle w:val="BodyText"/>
        <w:spacing w:before="3"/>
        <w:rPr>
          <w:rFonts w:ascii="Arial"/>
          <w:sz w:val="21"/>
        </w:rPr>
      </w:pPr>
    </w:p>
    <w:p w14:paraId="2033CB8D" w14:textId="77777777" w:rsidR="00AE2255" w:rsidRDefault="00000000">
      <w:pPr>
        <w:pStyle w:val="ListParagraph"/>
        <w:numPr>
          <w:ilvl w:val="0"/>
          <w:numId w:val="1"/>
        </w:numPr>
        <w:tabs>
          <w:tab w:val="left" w:pos="1689"/>
          <w:tab w:val="left" w:pos="1690"/>
        </w:tabs>
        <w:spacing w:line="249" w:lineRule="auto"/>
        <w:ind w:right="429"/>
        <w:rPr>
          <w:rFonts w:ascii="Arial"/>
          <w:sz w:val="20"/>
        </w:rPr>
      </w:pPr>
      <w:r>
        <w:rPr>
          <w:rFonts w:ascii="Arial"/>
          <w:sz w:val="20"/>
        </w:rPr>
        <w:t>The Report fully complies with the requirements of Section 13(a) or 15(d) of the Securities Exchange</w:t>
      </w:r>
      <w:r>
        <w:rPr>
          <w:rFonts w:ascii="Arial"/>
          <w:spacing w:val="40"/>
          <w:sz w:val="20"/>
        </w:rPr>
        <w:t xml:space="preserve"> </w:t>
      </w:r>
      <w:r>
        <w:rPr>
          <w:rFonts w:ascii="Arial"/>
          <w:sz w:val="20"/>
        </w:rPr>
        <w:t>Act of 1934; and</w:t>
      </w:r>
    </w:p>
    <w:p w14:paraId="7E1499D7" w14:textId="77777777" w:rsidR="00AE2255" w:rsidRDefault="00000000">
      <w:pPr>
        <w:pStyle w:val="ListParagraph"/>
        <w:numPr>
          <w:ilvl w:val="0"/>
          <w:numId w:val="1"/>
        </w:numPr>
        <w:tabs>
          <w:tab w:val="left" w:pos="1689"/>
          <w:tab w:val="left" w:pos="1690"/>
        </w:tabs>
        <w:spacing w:before="2" w:line="249" w:lineRule="auto"/>
        <w:ind w:right="430"/>
        <w:rPr>
          <w:rFonts w:ascii="Arial"/>
          <w:sz w:val="20"/>
        </w:rPr>
      </w:pPr>
      <w:r>
        <w:rPr>
          <w:rFonts w:ascii="Arial"/>
          <w:sz w:val="20"/>
        </w:rPr>
        <w:t>The information contained in the Report fairly presents, in all material respects, the financial condition and results of operations of the Corporation.</w:t>
      </w:r>
    </w:p>
    <w:p w14:paraId="775EC117" w14:textId="77777777" w:rsidR="00AE2255" w:rsidRDefault="00AE2255">
      <w:pPr>
        <w:pStyle w:val="BodyText"/>
        <w:rPr>
          <w:rFonts w:ascii="Arial"/>
          <w:sz w:val="22"/>
        </w:rPr>
      </w:pPr>
    </w:p>
    <w:p w14:paraId="09229674" w14:textId="77777777" w:rsidR="00AE2255" w:rsidRDefault="00AE2255">
      <w:pPr>
        <w:pStyle w:val="BodyText"/>
        <w:spacing w:before="7"/>
        <w:rPr>
          <w:rFonts w:ascii="Arial"/>
          <w:sz w:val="31"/>
        </w:rPr>
      </w:pPr>
    </w:p>
    <w:p w14:paraId="0EF2A6CD" w14:textId="77777777" w:rsidR="00AE2255" w:rsidRDefault="00000000">
      <w:pPr>
        <w:pStyle w:val="BodyText"/>
        <w:spacing w:line="297" w:lineRule="auto"/>
        <w:ind w:left="6347" w:right="3219"/>
        <w:rPr>
          <w:rFonts w:ascii="Arial"/>
        </w:rPr>
      </w:pPr>
      <w:r>
        <w:pict w14:anchorId="0493DF3A">
          <v:group id="docshapegroup178" o:spid="_x0000_s2053" style="position:absolute;left:0;text-align:left;margin-left:333.75pt;margin-top:12.1pt;width:171.75pt;height:1pt;z-index:15767552;mso-position-horizontal-relative:page" coordorigin="6675,242" coordsize="3435,20">
            <v:shape id="docshape179" o:spid="_x0000_s2055" style="position:absolute;left:6675;top:252;width:3435;height:2" coordorigin="6675,252" coordsize="3435,0" path="m10110,252r-3435,e" fillcolor="black" stroked="f">
              <v:fill opacity="0"/>
              <v:path arrowok="t"/>
            </v:shape>
            <v:line id="_x0000_s2054" style="position:absolute" from="6675,252" to="10110,252" strokeweight="1pt"/>
            <w10:wrap anchorx="page"/>
          </v:group>
        </w:pict>
      </w:r>
      <w:r>
        <w:rPr>
          <w:rFonts w:ascii="Arial"/>
        </w:rPr>
        <w:t>/s/</w:t>
      </w:r>
      <w:r>
        <w:rPr>
          <w:rFonts w:ascii="Arial"/>
          <w:spacing w:val="-14"/>
        </w:rPr>
        <w:t xml:space="preserve"> </w:t>
      </w:r>
      <w:r>
        <w:rPr>
          <w:rFonts w:ascii="Arial"/>
        </w:rPr>
        <w:t>James</w:t>
      </w:r>
      <w:r>
        <w:rPr>
          <w:rFonts w:ascii="Arial"/>
          <w:spacing w:val="-14"/>
        </w:rPr>
        <w:t xml:space="preserve"> </w:t>
      </w:r>
      <w:r>
        <w:rPr>
          <w:rFonts w:ascii="Arial"/>
        </w:rPr>
        <w:t>D.</w:t>
      </w:r>
      <w:r>
        <w:rPr>
          <w:rFonts w:ascii="Arial"/>
          <w:spacing w:val="-14"/>
        </w:rPr>
        <w:t xml:space="preserve"> </w:t>
      </w:r>
      <w:proofErr w:type="spellStart"/>
      <w:r>
        <w:rPr>
          <w:rFonts w:ascii="Arial"/>
        </w:rPr>
        <w:t>Taiclet</w:t>
      </w:r>
      <w:proofErr w:type="spellEnd"/>
      <w:r>
        <w:rPr>
          <w:rFonts w:ascii="Arial"/>
        </w:rPr>
        <w:t xml:space="preserve"> James D. </w:t>
      </w:r>
      <w:proofErr w:type="spellStart"/>
      <w:r>
        <w:rPr>
          <w:rFonts w:ascii="Arial"/>
        </w:rPr>
        <w:t>Taiclet</w:t>
      </w:r>
      <w:proofErr w:type="spellEnd"/>
    </w:p>
    <w:p w14:paraId="0DF5C4F7" w14:textId="77777777" w:rsidR="00AE2255" w:rsidRDefault="00000000">
      <w:pPr>
        <w:pStyle w:val="BodyText"/>
        <w:spacing w:line="230" w:lineRule="exact"/>
        <w:ind w:left="6347"/>
        <w:rPr>
          <w:rFonts w:ascii="Arial"/>
        </w:rPr>
      </w:pPr>
      <w:r>
        <w:rPr>
          <w:rFonts w:ascii="Arial"/>
        </w:rPr>
        <w:t>Chief</w:t>
      </w:r>
      <w:r>
        <w:rPr>
          <w:rFonts w:ascii="Arial"/>
          <w:spacing w:val="-6"/>
        </w:rPr>
        <w:t xml:space="preserve"> </w:t>
      </w:r>
      <w:r>
        <w:rPr>
          <w:rFonts w:ascii="Arial"/>
        </w:rPr>
        <w:t>Executive</w:t>
      </w:r>
      <w:r>
        <w:rPr>
          <w:rFonts w:ascii="Arial"/>
          <w:spacing w:val="-5"/>
        </w:rPr>
        <w:t xml:space="preserve"> </w:t>
      </w:r>
      <w:r>
        <w:rPr>
          <w:rFonts w:ascii="Arial"/>
          <w:spacing w:val="-2"/>
        </w:rPr>
        <w:t>Officer</w:t>
      </w:r>
    </w:p>
    <w:p w14:paraId="2891FDF1" w14:textId="77777777" w:rsidR="00AE2255" w:rsidRDefault="00AE2255">
      <w:pPr>
        <w:pStyle w:val="BodyText"/>
        <w:spacing w:before="10"/>
        <w:rPr>
          <w:rFonts w:ascii="Arial"/>
          <w:sz w:val="30"/>
        </w:rPr>
      </w:pPr>
    </w:p>
    <w:p w14:paraId="03C7C199" w14:textId="77777777" w:rsidR="00AE2255" w:rsidRDefault="00000000">
      <w:pPr>
        <w:pStyle w:val="BodyText"/>
        <w:spacing w:line="297" w:lineRule="auto"/>
        <w:ind w:left="6347" w:right="2995"/>
        <w:rPr>
          <w:rFonts w:ascii="Arial"/>
        </w:rPr>
      </w:pPr>
      <w:r>
        <w:pict w14:anchorId="37E7758F">
          <v:group id="docshapegroup180" o:spid="_x0000_s2050" style="position:absolute;left:0;text-align:left;margin-left:333.75pt;margin-top:12.1pt;width:171.75pt;height:1pt;z-index:15768064;mso-position-horizontal-relative:page" coordorigin="6675,242" coordsize="3435,20">
            <v:shape id="docshape181" o:spid="_x0000_s2052" style="position:absolute;left:6675;top:252;width:3435;height:2" coordorigin="6675,252" coordsize="3435,0" path="m10110,252r-3435,e" fillcolor="black" stroked="f">
              <v:fill opacity="0"/>
              <v:path arrowok="t"/>
            </v:shape>
            <v:line id="_x0000_s2051" style="position:absolute" from="6675,252" to="10110,252" strokeweight="1pt"/>
            <w10:wrap anchorx="page"/>
          </v:group>
        </w:pict>
      </w:r>
      <w:r>
        <w:rPr>
          <w:rFonts w:ascii="Arial"/>
        </w:rPr>
        <w:t>/s/</w:t>
      </w:r>
      <w:r>
        <w:rPr>
          <w:rFonts w:ascii="Arial"/>
          <w:spacing w:val="-14"/>
        </w:rPr>
        <w:t xml:space="preserve"> </w:t>
      </w:r>
      <w:r>
        <w:rPr>
          <w:rFonts w:ascii="Arial"/>
        </w:rPr>
        <w:t>Jesus</w:t>
      </w:r>
      <w:r>
        <w:rPr>
          <w:rFonts w:ascii="Arial"/>
          <w:spacing w:val="-14"/>
        </w:rPr>
        <w:t xml:space="preserve"> </w:t>
      </w:r>
      <w:r>
        <w:rPr>
          <w:rFonts w:ascii="Arial"/>
        </w:rPr>
        <w:t>Malave Jesus Malave</w:t>
      </w:r>
    </w:p>
    <w:p w14:paraId="215AC328" w14:textId="77777777" w:rsidR="00AE2255" w:rsidRDefault="00000000">
      <w:pPr>
        <w:pStyle w:val="BodyText"/>
        <w:spacing w:line="230" w:lineRule="exact"/>
        <w:ind w:left="6347"/>
        <w:rPr>
          <w:rFonts w:ascii="Arial"/>
        </w:rPr>
      </w:pPr>
      <w:r>
        <w:rPr>
          <w:rFonts w:ascii="Arial"/>
        </w:rPr>
        <w:t>Chief</w:t>
      </w:r>
      <w:r>
        <w:rPr>
          <w:rFonts w:ascii="Arial"/>
          <w:spacing w:val="-7"/>
        </w:rPr>
        <w:t xml:space="preserve"> </w:t>
      </w:r>
      <w:r>
        <w:rPr>
          <w:rFonts w:ascii="Arial"/>
        </w:rPr>
        <w:t>Financial</w:t>
      </w:r>
      <w:r>
        <w:rPr>
          <w:rFonts w:ascii="Arial"/>
          <w:spacing w:val="-6"/>
        </w:rPr>
        <w:t xml:space="preserve"> </w:t>
      </w:r>
      <w:r>
        <w:rPr>
          <w:rFonts w:ascii="Arial"/>
          <w:spacing w:val="-2"/>
        </w:rPr>
        <w:t>Officer</w:t>
      </w:r>
    </w:p>
    <w:p w14:paraId="31FD8E54" w14:textId="77777777" w:rsidR="00AE2255" w:rsidRDefault="00AE2255">
      <w:pPr>
        <w:pStyle w:val="BodyText"/>
        <w:spacing w:before="8"/>
        <w:rPr>
          <w:rFonts w:ascii="Arial"/>
          <w:sz w:val="19"/>
        </w:rPr>
      </w:pPr>
    </w:p>
    <w:p w14:paraId="6749FA37" w14:textId="77777777" w:rsidR="00AE2255" w:rsidRDefault="00000000">
      <w:pPr>
        <w:pStyle w:val="BodyText"/>
        <w:spacing w:before="93"/>
        <w:ind w:left="610"/>
        <w:rPr>
          <w:rFonts w:ascii="Arial"/>
        </w:rPr>
      </w:pPr>
      <w:r>
        <w:rPr>
          <w:rFonts w:ascii="Arial"/>
        </w:rPr>
        <w:t>Date:</w:t>
      </w:r>
      <w:r>
        <w:rPr>
          <w:rFonts w:ascii="Arial"/>
          <w:spacing w:val="-5"/>
        </w:rPr>
        <w:t xml:space="preserve"> </w:t>
      </w:r>
      <w:r>
        <w:rPr>
          <w:rFonts w:ascii="Arial"/>
        </w:rPr>
        <w:t>January</w:t>
      </w:r>
      <w:r>
        <w:rPr>
          <w:rFonts w:ascii="Arial"/>
          <w:spacing w:val="-4"/>
        </w:rPr>
        <w:t xml:space="preserve"> </w:t>
      </w:r>
      <w:r>
        <w:rPr>
          <w:rFonts w:ascii="Arial"/>
        </w:rPr>
        <w:t>26,</w:t>
      </w:r>
      <w:r>
        <w:rPr>
          <w:rFonts w:ascii="Arial"/>
          <w:spacing w:val="-4"/>
        </w:rPr>
        <w:t xml:space="preserve"> 2023</w:t>
      </w:r>
    </w:p>
    <w:sectPr w:rsidR="00AE2255">
      <w:headerReference w:type="default" r:id="rId193"/>
      <w:footerReference w:type="default" r:id="rId194"/>
      <w:pgSz w:w="12240" w:h="15840"/>
      <w:pgMar w:top="1040" w:right="560" w:bottom="280" w:left="380" w:header="8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2174" w14:textId="77777777" w:rsidR="00600AD6" w:rsidRDefault="00600AD6">
      <w:r>
        <w:separator/>
      </w:r>
    </w:p>
  </w:endnote>
  <w:endnote w:type="continuationSeparator" w:id="0">
    <w:p w14:paraId="140487A2" w14:textId="77777777" w:rsidR="00600AD6" w:rsidRDefault="0060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A988" w14:textId="77777777" w:rsidR="00AE2255" w:rsidRDefault="00000000">
    <w:pPr>
      <w:pStyle w:val="BodyText"/>
      <w:spacing w:line="14" w:lineRule="auto"/>
    </w:pPr>
    <w:r>
      <w:pict w14:anchorId="7F244969">
        <v:shapetype id="_x0000_t202" coordsize="21600,21600" o:spt="202" path="m,l,21600r21600,l21600,xe">
          <v:stroke joinstyle="miter"/>
          <v:path gradientshapeok="t" o:connecttype="rect"/>
        </v:shapetype>
        <v:shape id="docshape15" o:spid="_x0000_s1077" type="#_x0000_t202" style="position:absolute;margin-left:295.5pt;margin-top:754.45pt;width:22pt;height:13.1pt;z-index:-22652416;mso-position-horizontal-relative:page;mso-position-vertical-relative:page" filled="f" stroked="f">
          <v:textbox inset="0,0,0,0">
            <w:txbxContent>
              <w:p w14:paraId="704012CD" w14:textId="77777777" w:rsidR="00AE2255" w:rsidRDefault="00000000">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A398" w14:textId="77777777" w:rsidR="00AE2255" w:rsidRDefault="00AE2255">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159" w14:textId="77777777" w:rsidR="00AE2255" w:rsidRDefault="00AE2255">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2760" w14:textId="77777777" w:rsidR="00AE2255" w:rsidRDefault="00AE2255">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3BD5" w14:textId="77777777" w:rsidR="00AE2255" w:rsidRDefault="00AE2255">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5528" w14:textId="77777777" w:rsidR="00AE2255" w:rsidRDefault="00AE2255">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539C" w14:textId="77777777" w:rsidR="00AE2255" w:rsidRDefault="00AE2255">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5365" w14:textId="77777777" w:rsidR="00AE2255" w:rsidRDefault="00AE2255">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2880" w14:textId="77777777" w:rsidR="00AE2255" w:rsidRDefault="00AE2255">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06F5" w14:textId="77777777" w:rsidR="00AE2255" w:rsidRDefault="00AE2255">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FEC7" w14:textId="77777777" w:rsidR="00AE2255" w:rsidRDefault="00AE225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4123" w14:textId="77777777" w:rsidR="00AE2255" w:rsidRDefault="00AE2255">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FEFAB" w14:textId="77777777" w:rsidR="00AE2255" w:rsidRDefault="00AE225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5726A" w14:textId="77777777" w:rsidR="00AE2255" w:rsidRDefault="00AE225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DD46" w14:textId="77777777" w:rsidR="00AE2255" w:rsidRDefault="00AE225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F9F1" w14:textId="77777777" w:rsidR="00AE2255" w:rsidRDefault="00AE225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800B" w14:textId="77777777" w:rsidR="00AE2255" w:rsidRDefault="00AE225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8B39" w14:textId="77777777" w:rsidR="00AE2255" w:rsidRDefault="00AE2255">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8B32" w14:textId="77777777" w:rsidR="00AE2255" w:rsidRDefault="00AE2255">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116B" w14:textId="77777777" w:rsidR="00AE2255" w:rsidRDefault="00AE225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3835C" w14:textId="77777777" w:rsidR="00600AD6" w:rsidRDefault="00600AD6">
      <w:r>
        <w:separator/>
      </w:r>
    </w:p>
  </w:footnote>
  <w:footnote w:type="continuationSeparator" w:id="0">
    <w:p w14:paraId="3B09FFC5" w14:textId="77777777" w:rsidR="00600AD6" w:rsidRDefault="00600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60F0" w14:textId="77777777" w:rsidR="00AE2255" w:rsidRDefault="00000000">
    <w:pPr>
      <w:pStyle w:val="BodyText"/>
      <w:spacing w:line="14" w:lineRule="auto"/>
    </w:pPr>
    <w:r>
      <w:pict w14:anchorId="13CA24E0">
        <v:shapetype id="_x0000_t202" coordsize="21600,21600" o:spt="202" path="m,l,21600r21600,l21600,xe">
          <v:stroke joinstyle="miter"/>
          <v:path gradientshapeok="t" o:connecttype="rect"/>
        </v:shapetype>
        <v:shape id="docshape1" o:spid="_x0000_s1079" type="#_x0000_t202" style="position:absolute;margin-left:66.5pt;margin-top:10.5pt;width:73.6pt;height:13.1pt;z-index:-22653440;mso-position-horizontal-relative:page;mso-position-vertical-relative:page" filled="f" stroked="f">
          <v:textbox inset="0,0,0,0">
            <w:txbxContent>
              <w:p w14:paraId="2ED9D607" w14:textId="77777777" w:rsidR="00AE2255" w:rsidRDefault="00000000">
                <w:pPr>
                  <w:pStyle w:val="BodyText"/>
                  <w:spacing w:before="11"/>
                  <w:ind w:left="20"/>
                </w:pPr>
                <w:hyperlink w:anchor="_bookmark0" w:history="1">
                  <w:r>
                    <w:rPr>
                      <w:color w:val="0000FF"/>
                      <w:u w:val="single" w:color="0000FF"/>
                    </w:rPr>
                    <w:t>Table</w:t>
                  </w:r>
                  <w:r>
                    <w:rPr>
                      <w:color w:val="0000FF"/>
                      <w:spacing w:val="-3"/>
                      <w:u w:val="single" w:color="0000FF"/>
                    </w:rPr>
                    <w:t xml:space="preserve"> </w:t>
                  </w:r>
                  <w:r>
                    <w:rPr>
                      <w:color w:val="0000FF"/>
                      <w:u w:val="single" w:color="0000FF"/>
                    </w:rPr>
                    <w:t>of</w:t>
                  </w:r>
                  <w:r>
                    <w:rPr>
                      <w:color w:val="0000FF"/>
                      <w:spacing w:val="-1"/>
                      <w:u w:val="single" w:color="0000FF"/>
                    </w:rPr>
                    <w:t xml:space="preserve"> </w:t>
                  </w:r>
                  <w:r>
                    <w:rPr>
                      <w:color w:val="0000FF"/>
                      <w:spacing w:val="-2"/>
                      <w:u w:val="single" w:color="0000FF"/>
                    </w:rPr>
                    <w:t>Contents</w:t>
                  </w:r>
                </w:hyperlink>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AD88" w14:textId="109D6A98" w:rsidR="00AE2255" w:rsidRDefault="00AE2255">
    <w:pPr>
      <w:pStyle w:val="BodyText"/>
      <w:spacing w:line="14"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478B" w14:textId="52C015BF" w:rsidR="00AE2255" w:rsidRDefault="00AE2255">
    <w:pPr>
      <w:pStyle w:val="BodyText"/>
      <w:spacing w:line="14"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0FD9" w14:textId="26B67B19" w:rsidR="00AE2255" w:rsidRDefault="00AE2255">
    <w:pPr>
      <w:pStyle w:val="BodyText"/>
      <w:spacing w:line="14"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67C2" w14:textId="72DC99D2" w:rsidR="00AE2255" w:rsidRDefault="00AE2255">
    <w:pPr>
      <w:pStyle w:val="BodyText"/>
      <w:spacing w:line="14"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D3B0" w14:textId="2E66A22C" w:rsidR="00AE2255" w:rsidRDefault="00AE2255">
    <w:pPr>
      <w:pStyle w:val="BodyText"/>
      <w:spacing w:line="14"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BFE5" w14:textId="6E70995F" w:rsidR="00AE2255" w:rsidRDefault="00AE2255">
    <w:pPr>
      <w:pStyle w:val="BodyText"/>
      <w:spacing w:line="14"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B62B" w14:textId="20719EE6" w:rsidR="00AE2255" w:rsidRDefault="00AE2255">
    <w:pPr>
      <w:pStyle w:val="BodyText"/>
      <w:spacing w:line="14"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33D3" w14:textId="516EFCFB" w:rsidR="00AE2255" w:rsidRDefault="00AE2255">
    <w:pPr>
      <w:pStyle w:val="BodyText"/>
      <w:spacing w:line="14"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6FE2" w14:textId="76DD3F51" w:rsidR="00AE2255" w:rsidRDefault="00AE2255">
    <w:pPr>
      <w:pStyle w:val="BodyText"/>
      <w:spacing w:line="14"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55CF" w14:textId="77777777" w:rsidR="00AE2255" w:rsidRDefault="00000000">
    <w:pPr>
      <w:pStyle w:val="BodyText"/>
      <w:spacing w:line="14" w:lineRule="auto"/>
    </w:pPr>
    <w:r>
      <w:pict w14:anchorId="4B14519C">
        <v:shapetype id="_x0000_t202" coordsize="21600,21600" o:spt="202" path="m,l,21600r21600,l21600,xe">
          <v:stroke joinstyle="miter"/>
          <v:path gradientshapeok="t" o:connecttype="rect"/>
        </v:shapetype>
        <v:shape id="docshape171" o:spid="_x0000_s1027" type="#_x0000_t202" style="position:absolute;margin-left:510.5pt;margin-top:42.25pt;width:60.55pt;height:13.2pt;z-index:-22626816;mso-position-horizontal-relative:page;mso-position-vertical-relative:page" filled="f" stroked="f">
          <v:textbox inset="0,0,0,0">
            <w:txbxContent>
              <w:p w14:paraId="31ECBFFC" w14:textId="77777777" w:rsidR="00AE2255" w:rsidRDefault="00000000">
                <w:pPr>
                  <w:spacing w:before="13"/>
                  <w:ind w:left="20"/>
                  <w:rPr>
                    <w:rFonts w:ascii="Arial"/>
                    <w:b/>
                    <w:sz w:val="20"/>
                  </w:rPr>
                </w:pPr>
                <w:r>
                  <w:rPr>
                    <w:rFonts w:ascii="Arial"/>
                    <w:b/>
                    <w:sz w:val="20"/>
                  </w:rPr>
                  <w:t>Exhibit</w:t>
                </w:r>
                <w:r>
                  <w:rPr>
                    <w:rFonts w:ascii="Arial"/>
                    <w:b/>
                    <w:spacing w:val="-7"/>
                    <w:sz w:val="20"/>
                  </w:rPr>
                  <w:t xml:space="preserve"> </w:t>
                </w:r>
                <w:r>
                  <w:rPr>
                    <w:rFonts w:ascii="Arial"/>
                    <w:b/>
                    <w:spacing w:val="-4"/>
                    <w:sz w:val="20"/>
                  </w:rPr>
                  <w:t>31.</w:t>
                </w:r>
                <w:r>
                  <w:rPr>
                    <w:rFonts w:ascii="Arial"/>
                    <w:b/>
                    <w:spacing w:val="-4"/>
                    <w:sz w:val="20"/>
                  </w:rPr>
                  <w:fldChar w:fldCharType="begin"/>
                </w:r>
                <w:r>
                  <w:rPr>
                    <w:rFonts w:ascii="Arial"/>
                    <w:b/>
                    <w:spacing w:val="-4"/>
                    <w:sz w:val="20"/>
                  </w:rPr>
                  <w:instrText xml:space="preserve"> PAGE </w:instrText>
                </w:r>
                <w:r>
                  <w:rPr>
                    <w:rFonts w:ascii="Arial"/>
                    <w:b/>
                    <w:spacing w:val="-4"/>
                    <w:sz w:val="20"/>
                  </w:rPr>
                  <w:fldChar w:fldCharType="separate"/>
                </w:r>
                <w:r>
                  <w:rPr>
                    <w:rFonts w:ascii="Arial"/>
                    <w:b/>
                    <w:spacing w:val="-4"/>
                    <w:sz w:val="20"/>
                  </w:rPr>
                  <w:t>1</w:t>
                </w:r>
                <w:r>
                  <w:rPr>
                    <w:rFonts w:ascii="Arial"/>
                    <w:b/>
                    <w:spacing w:val="-4"/>
                    <w:sz w:val="20"/>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94EA" w14:textId="77777777" w:rsidR="00AE2255" w:rsidRDefault="00000000">
    <w:pPr>
      <w:pStyle w:val="BodyText"/>
      <w:spacing w:line="14" w:lineRule="auto"/>
    </w:pPr>
    <w:r>
      <w:pict w14:anchorId="4CF57207">
        <v:shapetype id="_x0000_t202" coordsize="21600,21600" o:spt="202" path="m,l,21600r21600,l21600,xe">
          <v:stroke joinstyle="miter"/>
          <v:path gradientshapeok="t" o:connecttype="rect"/>
        </v:shapetype>
        <v:shape id="docshape14" o:spid="_x0000_s1078" type="#_x0000_t202" style="position:absolute;margin-left:66.5pt;margin-top:10.5pt;width:73.6pt;height:13.1pt;z-index:-22652928;mso-position-horizontal-relative:page;mso-position-vertical-relative:page" filled="f" stroked="f">
          <v:textbox inset="0,0,0,0">
            <w:txbxContent>
              <w:p w14:paraId="4567345E" w14:textId="77777777" w:rsidR="00AE2255" w:rsidRDefault="00000000">
                <w:pPr>
                  <w:pStyle w:val="BodyText"/>
                  <w:spacing w:before="11"/>
                  <w:ind w:left="20"/>
                </w:pPr>
                <w:hyperlink w:anchor="_bookmark0" w:history="1">
                  <w:r>
                    <w:rPr>
                      <w:color w:val="0000FF"/>
                      <w:u w:val="single" w:color="0000FF"/>
                    </w:rPr>
                    <w:t>Table</w:t>
                  </w:r>
                  <w:r>
                    <w:rPr>
                      <w:color w:val="0000FF"/>
                      <w:spacing w:val="-3"/>
                      <w:u w:val="single" w:color="0000FF"/>
                    </w:rPr>
                    <w:t xml:space="preserve"> </w:t>
                  </w:r>
                  <w:r>
                    <w:rPr>
                      <w:color w:val="0000FF"/>
                      <w:u w:val="single" w:color="0000FF"/>
                    </w:rPr>
                    <w:t>of</w:t>
                  </w:r>
                  <w:r>
                    <w:rPr>
                      <w:color w:val="0000FF"/>
                      <w:spacing w:val="-1"/>
                      <w:u w:val="single" w:color="0000FF"/>
                    </w:rPr>
                    <w:t xml:space="preserve"> </w:t>
                  </w:r>
                  <w:r>
                    <w:rPr>
                      <w:color w:val="0000FF"/>
                      <w:spacing w:val="-2"/>
                      <w:u w:val="single" w:color="0000FF"/>
                    </w:rPr>
                    <w:t>Contents</w:t>
                  </w:r>
                </w:hyperlink>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DC04" w14:textId="77777777" w:rsidR="00AE2255" w:rsidRDefault="00000000">
    <w:pPr>
      <w:pStyle w:val="BodyText"/>
      <w:spacing w:line="14" w:lineRule="auto"/>
    </w:pPr>
    <w:r>
      <w:pict w14:anchorId="658BA749">
        <v:shapetype id="_x0000_t202" coordsize="21600,21600" o:spt="202" path="m,l,21600r21600,l21600,xe">
          <v:stroke joinstyle="miter"/>
          <v:path gradientshapeok="t" o:connecttype="rect"/>
        </v:shapetype>
        <v:shape id="docshape174" o:spid="_x0000_s1026" type="#_x0000_t202" style="position:absolute;margin-left:510.5pt;margin-top:42.25pt;width:60.55pt;height:13.2pt;z-index:-22626304;mso-position-horizontal-relative:page;mso-position-vertical-relative:page" filled="f" stroked="f">
          <v:textbox inset="0,0,0,0">
            <w:txbxContent>
              <w:p w14:paraId="7B9DB40C" w14:textId="77777777" w:rsidR="00AE2255" w:rsidRDefault="00000000">
                <w:pPr>
                  <w:spacing w:before="13"/>
                  <w:ind w:left="20"/>
                  <w:rPr>
                    <w:rFonts w:ascii="Arial"/>
                    <w:b/>
                    <w:sz w:val="20"/>
                  </w:rPr>
                </w:pPr>
                <w:r>
                  <w:rPr>
                    <w:rFonts w:ascii="Arial"/>
                    <w:b/>
                    <w:sz w:val="20"/>
                  </w:rPr>
                  <w:t>Exhibit</w:t>
                </w:r>
                <w:r>
                  <w:rPr>
                    <w:rFonts w:ascii="Arial"/>
                    <w:b/>
                    <w:spacing w:val="-7"/>
                    <w:sz w:val="20"/>
                  </w:rPr>
                  <w:t xml:space="preserve"> </w:t>
                </w:r>
                <w:r>
                  <w:rPr>
                    <w:rFonts w:ascii="Arial"/>
                    <w:b/>
                    <w:spacing w:val="-4"/>
                    <w:sz w:val="20"/>
                  </w:rPr>
                  <w:t>31.</w:t>
                </w:r>
                <w:r>
                  <w:rPr>
                    <w:rFonts w:ascii="Arial"/>
                    <w:b/>
                    <w:spacing w:val="-4"/>
                    <w:sz w:val="20"/>
                  </w:rPr>
                  <w:fldChar w:fldCharType="begin"/>
                </w:r>
                <w:r>
                  <w:rPr>
                    <w:rFonts w:ascii="Arial"/>
                    <w:b/>
                    <w:spacing w:val="-4"/>
                    <w:sz w:val="20"/>
                  </w:rPr>
                  <w:instrText xml:space="preserve"> PAGE </w:instrText>
                </w:r>
                <w:r>
                  <w:rPr>
                    <w:rFonts w:ascii="Arial"/>
                    <w:b/>
                    <w:spacing w:val="-4"/>
                    <w:sz w:val="20"/>
                  </w:rPr>
                  <w:fldChar w:fldCharType="separate"/>
                </w:r>
                <w:r>
                  <w:rPr>
                    <w:rFonts w:ascii="Arial"/>
                    <w:b/>
                    <w:spacing w:val="-4"/>
                    <w:sz w:val="20"/>
                  </w:rPr>
                  <w:t>2</w:t>
                </w:r>
                <w:r>
                  <w:rPr>
                    <w:rFonts w:ascii="Arial"/>
                    <w:b/>
                    <w:spacing w:val="-4"/>
                    <w:sz w:val="20"/>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0E12" w14:textId="77777777" w:rsidR="00AE2255" w:rsidRDefault="00000000">
    <w:pPr>
      <w:pStyle w:val="BodyText"/>
      <w:spacing w:line="14" w:lineRule="auto"/>
    </w:pPr>
    <w:r>
      <w:pict w14:anchorId="399D7EA6">
        <v:shapetype id="_x0000_t202" coordsize="21600,21600" o:spt="202" path="m,l,21600r21600,l21600,xe">
          <v:stroke joinstyle="miter"/>
          <v:path gradientshapeok="t" o:connecttype="rect"/>
        </v:shapetype>
        <v:shape id="docshape177" o:spid="_x0000_s1025" type="#_x0000_t202" style="position:absolute;margin-left:514.3pt;margin-top:40pt;width:49.2pt;height:13.2pt;z-index:-22625792;mso-position-horizontal-relative:page;mso-position-vertical-relative:page" filled="f" stroked="f">
          <v:textbox inset="0,0,0,0">
            <w:txbxContent>
              <w:p w14:paraId="6C3B8224" w14:textId="77777777" w:rsidR="00AE2255" w:rsidRDefault="00000000">
                <w:pPr>
                  <w:spacing w:before="13"/>
                  <w:ind w:left="20"/>
                  <w:rPr>
                    <w:rFonts w:ascii="Arial"/>
                    <w:b/>
                    <w:sz w:val="20"/>
                  </w:rPr>
                </w:pPr>
                <w:r>
                  <w:rPr>
                    <w:rFonts w:ascii="Arial"/>
                    <w:b/>
                    <w:sz w:val="20"/>
                  </w:rPr>
                  <w:t>Exhibit</w:t>
                </w:r>
                <w:r>
                  <w:rPr>
                    <w:rFonts w:ascii="Arial"/>
                    <w:b/>
                    <w:spacing w:val="-7"/>
                    <w:sz w:val="20"/>
                  </w:rPr>
                  <w:t xml:space="preserve"> </w:t>
                </w:r>
                <w:r>
                  <w:rPr>
                    <w:rFonts w:ascii="Arial"/>
                    <w:b/>
                    <w:spacing w:val="-5"/>
                    <w:sz w:val="20"/>
                  </w:rPr>
                  <w:t>32</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6281" w14:textId="77777777" w:rsidR="00AE2255" w:rsidRDefault="00000000">
    <w:pPr>
      <w:pStyle w:val="BodyText"/>
      <w:spacing w:line="14" w:lineRule="auto"/>
    </w:pPr>
    <w:r>
      <w:pict w14:anchorId="2E213D4D">
        <v:shapetype id="_x0000_t202" coordsize="21600,21600" o:spt="202" path="m,l,21600r21600,l21600,xe">
          <v:stroke joinstyle="miter"/>
          <v:path gradientshapeok="t" o:connecttype="rect"/>
        </v:shapetype>
        <v:shape id="docshape96" o:spid="_x0000_s1076" type="#_x0000_t202" style="position:absolute;margin-left:509.35pt;margin-top:41.85pt;width:58.65pt;height:13.1pt;z-index:-22651904;mso-position-horizontal-relative:page;mso-position-vertical-relative:page" filled="f" stroked="f">
          <v:textbox inset="0,0,0,0">
            <w:txbxContent>
              <w:p w14:paraId="5444405A" w14:textId="77777777" w:rsidR="00AE2255" w:rsidRDefault="00000000">
                <w:pPr>
                  <w:spacing w:before="11"/>
                  <w:ind w:left="20"/>
                  <w:rPr>
                    <w:b/>
                    <w:sz w:val="20"/>
                  </w:rPr>
                </w:pPr>
                <w:r>
                  <w:rPr>
                    <w:b/>
                    <w:sz w:val="20"/>
                  </w:rPr>
                  <w:t>Exhibit</w:t>
                </w:r>
                <w:r>
                  <w:rPr>
                    <w:b/>
                    <w:spacing w:val="-5"/>
                    <w:sz w:val="20"/>
                  </w:rPr>
                  <w:t xml:space="preserve"> </w:t>
                </w:r>
                <w:r>
                  <w:rPr>
                    <w:b/>
                    <w:spacing w:val="-2"/>
                    <w:sz w:val="20"/>
                  </w:rPr>
                  <w:t>10.13</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7072" w14:textId="77777777" w:rsidR="00AE2255" w:rsidRDefault="00000000">
    <w:pPr>
      <w:pStyle w:val="BodyText"/>
      <w:spacing w:line="14" w:lineRule="auto"/>
    </w:pPr>
    <w:r>
      <w:pict w14:anchorId="4C398C10">
        <v:shapetype id="_x0000_t202" coordsize="21600,21600" o:spt="202" path="m,l,21600r21600,l21600,xe">
          <v:stroke joinstyle="miter"/>
          <v:path gradientshapeok="t" o:connecttype="rect"/>
        </v:shapetype>
        <v:shape id="docshape97" o:spid="_x0000_s1075" type="#_x0000_t202" style="position:absolute;margin-left:509.35pt;margin-top:41.85pt;width:58.65pt;height:13.1pt;z-index:-22651392;mso-position-horizontal-relative:page;mso-position-vertical-relative:page" filled="f" stroked="f">
          <v:textbox inset="0,0,0,0">
            <w:txbxContent>
              <w:p w14:paraId="2CD64EB5" w14:textId="77777777" w:rsidR="00AE2255" w:rsidRDefault="00000000">
                <w:pPr>
                  <w:spacing w:before="11"/>
                  <w:ind w:left="20"/>
                  <w:rPr>
                    <w:b/>
                    <w:sz w:val="20"/>
                  </w:rPr>
                </w:pPr>
                <w:r>
                  <w:rPr>
                    <w:b/>
                    <w:sz w:val="20"/>
                  </w:rPr>
                  <w:t>Exhibit</w:t>
                </w:r>
                <w:r>
                  <w:rPr>
                    <w:b/>
                    <w:spacing w:val="-5"/>
                    <w:sz w:val="20"/>
                  </w:rPr>
                  <w:t xml:space="preserve"> </w:t>
                </w:r>
                <w:r>
                  <w:rPr>
                    <w:b/>
                    <w:spacing w:val="-2"/>
                    <w:sz w:val="20"/>
                  </w:rPr>
                  <w:t>10.40</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CFAB" w14:textId="77777777" w:rsidR="00AE2255" w:rsidRDefault="00000000">
    <w:pPr>
      <w:pStyle w:val="BodyText"/>
      <w:spacing w:line="14" w:lineRule="auto"/>
    </w:pPr>
    <w:r>
      <w:pict w14:anchorId="56BF1A87">
        <v:shapetype id="_x0000_t202" coordsize="21600,21600" o:spt="202" path="m,l,21600r21600,l21600,xe">
          <v:stroke joinstyle="miter"/>
          <v:path gradientshapeok="t" o:connecttype="rect"/>
        </v:shapetype>
        <v:shape id="docshape98" o:spid="_x0000_s1074" type="#_x0000_t202" style="position:absolute;margin-left:517.35pt;margin-top:39.6pt;width:46.15pt;height:13.1pt;z-index:-22650880;mso-position-horizontal-relative:page;mso-position-vertical-relative:page" filled="f" stroked="f">
          <v:textbox inset="0,0,0,0">
            <w:txbxContent>
              <w:p w14:paraId="0095E427" w14:textId="77777777" w:rsidR="00AE2255" w:rsidRDefault="00000000">
                <w:pPr>
                  <w:spacing w:before="11"/>
                  <w:ind w:left="20"/>
                  <w:rPr>
                    <w:b/>
                    <w:sz w:val="20"/>
                  </w:rPr>
                </w:pPr>
                <w:r>
                  <w:rPr>
                    <w:b/>
                    <w:sz w:val="20"/>
                  </w:rPr>
                  <w:t>Exhibit</w:t>
                </w:r>
                <w:r>
                  <w:rPr>
                    <w:b/>
                    <w:spacing w:val="-5"/>
                    <w:sz w:val="20"/>
                  </w:rPr>
                  <w:t xml:space="preserve"> 21</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9FD1" w14:textId="77777777" w:rsidR="00AE2255" w:rsidRDefault="00000000">
    <w:pPr>
      <w:pStyle w:val="BodyText"/>
      <w:spacing w:line="14" w:lineRule="auto"/>
    </w:pPr>
    <w:r>
      <w:pict w14:anchorId="7C698947">
        <v:shapetype id="_x0000_t202" coordsize="21600,21600" o:spt="202" path="m,l,21600r21600,l21600,xe">
          <v:stroke joinstyle="miter"/>
          <v:path gradientshapeok="t" o:connecttype="rect"/>
        </v:shapetype>
        <v:shape id="docshape101" o:spid="_x0000_s1073" type="#_x0000_t202" style="position:absolute;margin-left:517.35pt;margin-top:39.6pt;width:49.15pt;height:13.1pt;z-index:-22650368;mso-position-horizontal-relative:page;mso-position-vertical-relative:page" filled="f" stroked="f">
          <v:textbox inset="0,0,0,0">
            <w:txbxContent>
              <w:p w14:paraId="6AE7415D" w14:textId="77777777" w:rsidR="00AE2255" w:rsidRDefault="00000000">
                <w:pPr>
                  <w:spacing w:before="11"/>
                  <w:ind w:left="20"/>
                  <w:rPr>
                    <w:b/>
                    <w:sz w:val="20"/>
                  </w:rPr>
                </w:pPr>
                <w:r>
                  <w:rPr>
                    <w:b/>
                    <w:sz w:val="20"/>
                  </w:rPr>
                  <w:t>Exhibit</w:t>
                </w:r>
                <w:r>
                  <w:rPr>
                    <w:b/>
                    <w:spacing w:val="-5"/>
                    <w:sz w:val="20"/>
                  </w:rPr>
                  <w:t xml:space="preserve"> </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23</w:t>
                </w:r>
                <w:r>
                  <w:rPr>
                    <w:b/>
                    <w:spacing w:val="-5"/>
                    <w:sz w:val="20"/>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05DC" w14:textId="77777777" w:rsidR="00AE2255" w:rsidRDefault="00000000">
    <w:pPr>
      <w:pStyle w:val="BodyText"/>
      <w:spacing w:line="14" w:lineRule="auto"/>
    </w:pPr>
    <w:r>
      <w:pict w14:anchorId="77C459A2">
        <v:shapetype id="_x0000_t202" coordsize="21600,21600" o:spt="202" path="m,l,21600r21600,l21600,xe">
          <v:stroke joinstyle="miter"/>
          <v:path gradientshapeok="t" o:connecttype="rect"/>
        </v:shapetype>
        <v:shape id="docshape102" o:spid="_x0000_s1072" type="#_x0000_t202" style="position:absolute;margin-left:517.35pt;margin-top:39.6pt;width:49.15pt;height:13.1pt;z-index:-22649856;mso-position-horizontal-relative:page;mso-position-vertical-relative:page" filled="f" stroked="f">
          <v:textbox inset="0,0,0,0">
            <w:txbxContent>
              <w:p w14:paraId="1C3CD09C" w14:textId="77777777" w:rsidR="00AE2255" w:rsidRDefault="00000000">
                <w:pPr>
                  <w:spacing w:before="11"/>
                  <w:ind w:left="20"/>
                  <w:rPr>
                    <w:b/>
                    <w:sz w:val="20"/>
                  </w:rPr>
                </w:pPr>
                <w:r>
                  <w:rPr>
                    <w:b/>
                    <w:sz w:val="20"/>
                  </w:rPr>
                  <w:t>Exhibit</w:t>
                </w:r>
                <w:r>
                  <w:rPr>
                    <w:b/>
                    <w:spacing w:val="-5"/>
                    <w:sz w:val="20"/>
                  </w:rPr>
                  <w:t xml:space="preserve"> </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24</w:t>
                </w:r>
                <w:r>
                  <w:rPr>
                    <w:b/>
                    <w:spacing w:val="-5"/>
                    <w:sz w:val="20"/>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1A96" w14:textId="1815098D" w:rsidR="00AE2255" w:rsidRDefault="00AE2255" w:rsidP="003A13A0">
    <w:pPr>
      <w:pStyle w:val="BodyTex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A9D" w14:textId="5F81AF83" w:rsidR="00AE2255" w:rsidRDefault="00AE2255">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29FB"/>
    <w:multiLevelType w:val="multilevel"/>
    <w:tmpl w:val="57AE2B22"/>
    <w:lvl w:ilvl="0">
      <w:start w:val="31"/>
      <w:numFmt w:val="decimal"/>
      <w:lvlText w:val="%1"/>
      <w:lvlJc w:val="left"/>
      <w:pPr>
        <w:ind w:left="1652" w:hanging="990"/>
        <w:jc w:val="left"/>
      </w:pPr>
      <w:rPr>
        <w:rFonts w:hint="default"/>
        <w:lang w:val="en-US" w:eastAsia="en-US" w:bidi="ar-SA"/>
      </w:rPr>
    </w:lvl>
    <w:lvl w:ilvl="1">
      <w:start w:val="1"/>
      <w:numFmt w:val="decimal"/>
      <w:lvlText w:val="%1.%2"/>
      <w:lvlJc w:val="left"/>
      <w:pPr>
        <w:ind w:left="1652" w:hanging="990"/>
        <w:jc w:val="left"/>
      </w:pPr>
      <w:rPr>
        <w:rFonts w:ascii="Times New Roman" w:eastAsia="Times New Roman" w:hAnsi="Times New Roman" w:cs="Times New Roman" w:hint="default"/>
        <w:b w:val="0"/>
        <w:bCs w:val="0"/>
        <w:i w:val="0"/>
        <w:iCs w:val="0"/>
        <w:w w:val="100"/>
        <w:position w:val="1"/>
        <w:sz w:val="20"/>
        <w:szCs w:val="20"/>
        <w:lang w:val="en-US" w:eastAsia="en-US" w:bidi="ar-SA"/>
      </w:rPr>
    </w:lvl>
    <w:lvl w:ilvl="2">
      <w:numFmt w:val="bullet"/>
      <w:lvlText w:val="•"/>
      <w:lvlJc w:val="left"/>
      <w:pPr>
        <w:ind w:left="3588" w:hanging="990"/>
      </w:pPr>
      <w:rPr>
        <w:rFonts w:hint="default"/>
        <w:lang w:val="en-US" w:eastAsia="en-US" w:bidi="ar-SA"/>
      </w:rPr>
    </w:lvl>
    <w:lvl w:ilvl="3">
      <w:numFmt w:val="bullet"/>
      <w:lvlText w:val="•"/>
      <w:lvlJc w:val="left"/>
      <w:pPr>
        <w:ind w:left="4552" w:hanging="990"/>
      </w:pPr>
      <w:rPr>
        <w:rFonts w:hint="default"/>
        <w:lang w:val="en-US" w:eastAsia="en-US" w:bidi="ar-SA"/>
      </w:rPr>
    </w:lvl>
    <w:lvl w:ilvl="4">
      <w:numFmt w:val="bullet"/>
      <w:lvlText w:val="•"/>
      <w:lvlJc w:val="left"/>
      <w:pPr>
        <w:ind w:left="5516" w:hanging="990"/>
      </w:pPr>
      <w:rPr>
        <w:rFonts w:hint="default"/>
        <w:lang w:val="en-US" w:eastAsia="en-US" w:bidi="ar-SA"/>
      </w:rPr>
    </w:lvl>
    <w:lvl w:ilvl="5">
      <w:numFmt w:val="bullet"/>
      <w:lvlText w:val="•"/>
      <w:lvlJc w:val="left"/>
      <w:pPr>
        <w:ind w:left="6480" w:hanging="990"/>
      </w:pPr>
      <w:rPr>
        <w:rFonts w:hint="default"/>
        <w:lang w:val="en-US" w:eastAsia="en-US" w:bidi="ar-SA"/>
      </w:rPr>
    </w:lvl>
    <w:lvl w:ilvl="6">
      <w:numFmt w:val="bullet"/>
      <w:lvlText w:val="•"/>
      <w:lvlJc w:val="left"/>
      <w:pPr>
        <w:ind w:left="7444" w:hanging="990"/>
      </w:pPr>
      <w:rPr>
        <w:rFonts w:hint="default"/>
        <w:lang w:val="en-US" w:eastAsia="en-US" w:bidi="ar-SA"/>
      </w:rPr>
    </w:lvl>
    <w:lvl w:ilvl="7">
      <w:numFmt w:val="bullet"/>
      <w:lvlText w:val="•"/>
      <w:lvlJc w:val="left"/>
      <w:pPr>
        <w:ind w:left="8408" w:hanging="990"/>
      </w:pPr>
      <w:rPr>
        <w:rFonts w:hint="default"/>
        <w:lang w:val="en-US" w:eastAsia="en-US" w:bidi="ar-SA"/>
      </w:rPr>
    </w:lvl>
    <w:lvl w:ilvl="8">
      <w:numFmt w:val="bullet"/>
      <w:lvlText w:val="•"/>
      <w:lvlJc w:val="left"/>
      <w:pPr>
        <w:ind w:left="9372" w:hanging="990"/>
      </w:pPr>
      <w:rPr>
        <w:rFonts w:hint="default"/>
        <w:lang w:val="en-US" w:eastAsia="en-US" w:bidi="ar-SA"/>
      </w:rPr>
    </w:lvl>
  </w:abstractNum>
  <w:abstractNum w:abstractNumId="1" w15:restartNumberingAfterBreak="0">
    <w:nsid w:val="0D8F5F93"/>
    <w:multiLevelType w:val="hybridMultilevel"/>
    <w:tmpl w:val="A6EAE450"/>
    <w:lvl w:ilvl="0" w:tplc="7346B728">
      <w:numFmt w:val="bullet"/>
      <w:lvlText w:val="☐"/>
      <w:lvlJc w:val="left"/>
      <w:pPr>
        <w:ind w:left="467" w:hanging="239"/>
      </w:pPr>
      <w:rPr>
        <w:rFonts w:ascii="Arial Unicode MS" w:eastAsia="Arial Unicode MS" w:hAnsi="Arial Unicode MS" w:cs="Arial Unicode MS" w:hint="default"/>
        <w:b w:val="0"/>
        <w:bCs w:val="0"/>
        <w:i w:val="0"/>
        <w:iCs w:val="0"/>
        <w:w w:val="100"/>
        <w:sz w:val="16"/>
        <w:szCs w:val="16"/>
        <w:lang w:val="en-US" w:eastAsia="en-US" w:bidi="ar-SA"/>
      </w:rPr>
    </w:lvl>
    <w:lvl w:ilvl="1" w:tplc="136EA41E">
      <w:numFmt w:val="bullet"/>
      <w:lvlText w:val="•"/>
      <w:lvlJc w:val="left"/>
      <w:pPr>
        <w:ind w:left="970" w:hanging="360"/>
      </w:pPr>
      <w:rPr>
        <w:rFonts w:ascii="Times New Roman" w:eastAsia="Times New Roman" w:hAnsi="Times New Roman" w:cs="Times New Roman" w:hint="default"/>
        <w:b w:val="0"/>
        <w:bCs w:val="0"/>
        <w:i w:val="0"/>
        <w:iCs w:val="0"/>
        <w:w w:val="100"/>
        <w:sz w:val="20"/>
        <w:szCs w:val="20"/>
        <w:lang w:val="en-US" w:eastAsia="en-US" w:bidi="ar-SA"/>
      </w:rPr>
    </w:lvl>
    <w:lvl w:ilvl="2" w:tplc="C5A82F9A">
      <w:numFmt w:val="bullet"/>
      <w:lvlText w:val="•"/>
      <w:lvlJc w:val="left"/>
      <w:pPr>
        <w:ind w:left="2126" w:hanging="360"/>
      </w:pPr>
      <w:rPr>
        <w:rFonts w:hint="default"/>
        <w:lang w:val="en-US" w:eastAsia="en-US" w:bidi="ar-SA"/>
      </w:rPr>
    </w:lvl>
    <w:lvl w:ilvl="3" w:tplc="B6B4B2B8">
      <w:numFmt w:val="bullet"/>
      <w:lvlText w:val="•"/>
      <w:lvlJc w:val="left"/>
      <w:pPr>
        <w:ind w:left="3273" w:hanging="360"/>
      </w:pPr>
      <w:rPr>
        <w:rFonts w:hint="default"/>
        <w:lang w:val="en-US" w:eastAsia="en-US" w:bidi="ar-SA"/>
      </w:rPr>
    </w:lvl>
    <w:lvl w:ilvl="4" w:tplc="E14A62EA">
      <w:numFmt w:val="bullet"/>
      <w:lvlText w:val="•"/>
      <w:lvlJc w:val="left"/>
      <w:pPr>
        <w:ind w:left="4420" w:hanging="360"/>
      </w:pPr>
      <w:rPr>
        <w:rFonts w:hint="default"/>
        <w:lang w:val="en-US" w:eastAsia="en-US" w:bidi="ar-SA"/>
      </w:rPr>
    </w:lvl>
    <w:lvl w:ilvl="5" w:tplc="30160B8C">
      <w:numFmt w:val="bullet"/>
      <w:lvlText w:val="•"/>
      <w:lvlJc w:val="left"/>
      <w:pPr>
        <w:ind w:left="5566" w:hanging="360"/>
      </w:pPr>
      <w:rPr>
        <w:rFonts w:hint="default"/>
        <w:lang w:val="en-US" w:eastAsia="en-US" w:bidi="ar-SA"/>
      </w:rPr>
    </w:lvl>
    <w:lvl w:ilvl="6" w:tplc="791CC0F6">
      <w:numFmt w:val="bullet"/>
      <w:lvlText w:val="•"/>
      <w:lvlJc w:val="left"/>
      <w:pPr>
        <w:ind w:left="6713" w:hanging="360"/>
      </w:pPr>
      <w:rPr>
        <w:rFonts w:hint="default"/>
        <w:lang w:val="en-US" w:eastAsia="en-US" w:bidi="ar-SA"/>
      </w:rPr>
    </w:lvl>
    <w:lvl w:ilvl="7" w:tplc="5038CF5C">
      <w:numFmt w:val="bullet"/>
      <w:lvlText w:val="•"/>
      <w:lvlJc w:val="left"/>
      <w:pPr>
        <w:ind w:left="7860" w:hanging="360"/>
      </w:pPr>
      <w:rPr>
        <w:rFonts w:hint="default"/>
        <w:lang w:val="en-US" w:eastAsia="en-US" w:bidi="ar-SA"/>
      </w:rPr>
    </w:lvl>
    <w:lvl w:ilvl="8" w:tplc="AC6EADFC">
      <w:numFmt w:val="bullet"/>
      <w:lvlText w:val="•"/>
      <w:lvlJc w:val="left"/>
      <w:pPr>
        <w:ind w:left="9006" w:hanging="360"/>
      </w:pPr>
      <w:rPr>
        <w:rFonts w:hint="default"/>
        <w:lang w:val="en-US" w:eastAsia="en-US" w:bidi="ar-SA"/>
      </w:rPr>
    </w:lvl>
  </w:abstractNum>
  <w:abstractNum w:abstractNumId="2" w15:restartNumberingAfterBreak="0">
    <w:nsid w:val="1A142D3D"/>
    <w:multiLevelType w:val="multilevel"/>
    <w:tmpl w:val="7B944B26"/>
    <w:lvl w:ilvl="0">
      <w:start w:val="3"/>
      <w:numFmt w:val="decimal"/>
      <w:lvlText w:val="%1"/>
      <w:lvlJc w:val="left"/>
      <w:pPr>
        <w:ind w:left="1652" w:hanging="990"/>
        <w:jc w:val="left"/>
      </w:pPr>
      <w:rPr>
        <w:rFonts w:hint="default"/>
        <w:lang w:val="en-US" w:eastAsia="en-US" w:bidi="ar-SA"/>
      </w:rPr>
    </w:lvl>
    <w:lvl w:ilvl="1">
      <w:start w:val="1"/>
      <w:numFmt w:val="decimal"/>
      <w:lvlText w:val="%1.%2"/>
      <w:lvlJc w:val="left"/>
      <w:pPr>
        <w:ind w:left="1652" w:hanging="990"/>
        <w:jc w:val="left"/>
      </w:pPr>
      <w:rPr>
        <w:rFonts w:ascii="Times New Roman" w:eastAsia="Times New Roman" w:hAnsi="Times New Roman" w:cs="Times New Roman" w:hint="default"/>
        <w:b w:val="0"/>
        <w:bCs w:val="0"/>
        <w:i w:val="0"/>
        <w:iCs w:val="0"/>
        <w:w w:val="100"/>
        <w:position w:val="2"/>
        <w:sz w:val="20"/>
        <w:szCs w:val="20"/>
        <w:lang w:val="en-US" w:eastAsia="en-US" w:bidi="ar-SA"/>
      </w:rPr>
    </w:lvl>
    <w:lvl w:ilvl="2">
      <w:numFmt w:val="bullet"/>
      <w:lvlText w:val="•"/>
      <w:lvlJc w:val="left"/>
      <w:pPr>
        <w:ind w:left="3588" w:hanging="990"/>
      </w:pPr>
      <w:rPr>
        <w:rFonts w:hint="default"/>
        <w:lang w:val="en-US" w:eastAsia="en-US" w:bidi="ar-SA"/>
      </w:rPr>
    </w:lvl>
    <w:lvl w:ilvl="3">
      <w:numFmt w:val="bullet"/>
      <w:lvlText w:val="•"/>
      <w:lvlJc w:val="left"/>
      <w:pPr>
        <w:ind w:left="4552" w:hanging="990"/>
      </w:pPr>
      <w:rPr>
        <w:rFonts w:hint="default"/>
        <w:lang w:val="en-US" w:eastAsia="en-US" w:bidi="ar-SA"/>
      </w:rPr>
    </w:lvl>
    <w:lvl w:ilvl="4">
      <w:numFmt w:val="bullet"/>
      <w:lvlText w:val="•"/>
      <w:lvlJc w:val="left"/>
      <w:pPr>
        <w:ind w:left="5516" w:hanging="990"/>
      </w:pPr>
      <w:rPr>
        <w:rFonts w:hint="default"/>
        <w:lang w:val="en-US" w:eastAsia="en-US" w:bidi="ar-SA"/>
      </w:rPr>
    </w:lvl>
    <w:lvl w:ilvl="5">
      <w:numFmt w:val="bullet"/>
      <w:lvlText w:val="•"/>
      <w:lvlJc w:val="left"/>
      <w:pPr>
        <w:ind w:left="6480" w:hanging="990"/>
      </w:pPr>
      <w:rPr>
        <w:rFonts w:hint="default"/>
        <w:lang w:val="en-US" w:eastAsia="en-US" w:bidi="ar-SA"/>
      </w:rPr>
    </w:lvl>
    <w:lvl w:ilvl="6">
      <w:numFmt w:val="bullet"/>
      <w:lvlText w:val="•"/>
      <w:lvlJc w:val="left"/>
      <w:pPr>
        <w:ind w:left="7444" w:hanging="990"/>
      </w:pPr>
      <w:rPr>
        <w:rFonts w:hint="default"/>
        <w:lang w:val="en-US" w:eastAsia="en-US" w:bidi="ar-SA"/>
      </w:rPr>
    </w:lvl>
    <w:lvl w:ilvl="7">
      <w:numFmt w:val="bullet"/>
      <w:lvlText w:val="•"/>
      <w:lvlJc w:val="left"/>
      <w:pPr>
        <w:ind w:left="8408" w:hanging="990"/>
      </w:pPr>
      <w:rPr>
        <w:rFonts w:hint="default"/>
        <w:lang w:val="en-US" w:eastAsia="en-US" w:bidi="ar-SA"/>
      </w:rPr>
    </w:lvl>
    <w:lvl w:ilvl="8">
      <w:numFmt w:val="bullet"/>
      <w:lvlText w:val="•"/>
      <w:lvlJc w:val="left"/>
      <w:pPr>
        <w:ind w:left="9372" w:hanging="990"/>
      </w:pPr>
      <w:rPr>
        <w:rFonts w:hint="default"/>
        <w:lang w:val="en-US" w:eastAsia="en-US" w:bidi="ar-SA"/>
      </w:rPr>
    </w:lvl>
  </w:abstractNum>
  <w:abstractNum w:abstractNumId="3" w15:restartNumberingAfterBreak="0">
    <w:nsid w:val="1CBF770F"/>
    <w:multiLevelType w:val="hybridMultilevel"/>
    <w:tmpl w:val="80944020"/>
    <w:lvl w:ilvl="0" w:tplc="7A1C1F36">
      <w:numFmt w:val="bullet"/>
      <w:lvlText w:val="•"/>
      <w:lvlJc w:val="left"/>
      <w:pPr>
        <w:ind w:left="1330" w:hanging="360"/>
      </w:pPr>
      <w:rPr>
        <w:rFonts w:ascii="Times New Roman" w:eastAsia="Times New Roman" w:hAnsi="Times New Roman" w:cs="Times New Roman" w:hint="default"/>
        <w:b w:val="0"/>
        <w:bCs w:val="0"/>
        <w:i w:val="0"/>
        <w:iCs w:val="0"/>
        <w:w w:val="100"/>
        <w:sz w:val="20"/>
        <w:szCs w:val="20"/>
        <w:lang w:val="en-US" w:eastAsia="en-US" w:bidi="ar-SA"/>
      </w:rPr>
    </w:lvl>
    <w:lvl w:ilvl="1" w:tplc="C71ADBEA">
      <w:numFmt w:val="bullet"/>
      <w:lvlText w:val="•"/>
      <w:lvlJc w:val="left"/>
      <w:pPr>
        <w:ind w:left="2336" w:hanging="360"/>
      </w:pPr>
      <w:rPr>
        <w:rFonts w:hint="default"/>
        <w:lang w:val="en-US" w:eastAsia="en-US" w:bidi="ar-SA"/>
      </w:rPr>
    </w:lvl>
    <w:lvl w:ilvl="2" w:tplc="1E8A1F12">
      <w:numFmt w:val="bullet"/>
      <w:lvlText w:val="•"/>
      <w:lvlJc w:val="left"/>
      <w:pPr>
        <w:ind w:left="3332" w:hanging="360"/>
      </w:pPr>
      <w:rPr>
        <w:rFonts w:hint="default"/>
        <w:lang w:val="en-US" w:eastAsia="en-US" w:bidi="ar-SA"/>
      </w:rPr>
    </w:lvl>
    <w:lvl w:ilvl="3" w:tplc="488C9C6C">
      <w:numFmt w:val="bullet"/>
      <w:lvlText w:val="•"/>
      <w:lvlJc w:val="left"/>
      <w:pPr>
        <w:ind w:left="4328" w:hanging="360"/>
      </w:pPr>
      <w:rPr>
        <w:rFonts w:hint="default"/>
        <w:lang w:val="en-US" w:eastAsia="en-US" w:bidi="ar-SA"/>
      </w:rPr>
    </w:lvl>
    <w:lvl w:ilvl="4" w:tplc="60EE152A">
      <w:numFmt w:val="bullet"/>
      <w:lvlText w:val="•"/>
      <w:lvlJc w:val="left"/>
      <w:pPr>
        <w:ind w:left="5324" w:hanging="360"/>
      </w:pPr>
      <w:rPr>
        <w:rFonts w:hint="default"/>
        <w:lang w:val="en-US" w:eastAsia="en-US" w:bidi="ar-SA"/>
      </w:rPr>
    </w:lvl>
    <w:lvl w:ilvl="5" w:tplc="2D7082C6">
      <w:numFmt w:val="bullet"/>
      <w:lvlText w:val="•"/>
      <w:lvlJc w:val="left"/>
      <w:pPr>
        <w:ind w:left="6320" w:hanging="360"/>
      </w:pPr>
      <w:rPr>
        <w:rFonts w:hint="default"/>
        <w:lang w:val="en-US" w:eastAsia="en-US" w:bidi="ar-SA"/>
      </w:rPr>
    </w:lvl>
    <w:lvl w:ilvl="6" w:tplc="5A2229D8">
      <w:numFmt w:val="bullet"/>
      <w:lvlText w:val="•"/>
      <w:lvlJc w:val="left"/>
      <w:pPr>
        <w:ind w:left="7316" w:hanging="360"/>
      </w:pPr>
      <w:rPr>
        <w:rFonts w:hint="default"/>
        <w:lang w:val="en-US" w:eastAsia="en-US" w:bidi="ar-SA"/>
      </w:rPr>
    </w:lvl>
    <w:lvl w:ilvl="7" w:tplc="CF7C3FE4">
      <w:numFmt w:val="bullet"/>
      <w:lvlText w:val="•"/>
      <w:lvlJc w:val="left"/>
      <w:pPr>
        <w:ind w:left="8312" w:hanging="360"/>
      </w:pPr>
      <w:rPr>
        <w:rFonts w:hint="default"/>
        <w:lang w:val="en-US" w:eastAsia="en-US" w:bidi="ar-SA"/>
      </w:rPr>
    </w:lvl>
    <w:lvl w:ilvl="8" w:tplc="6966DF2C">
      <w:numFmt w:val="bullet"/>
      <w:lvlText w:val="•"/>
      <w:lvlJc w:val="left"/>
      <w:pPr>
        <w:ind w:left="9308" w:hanging="360"/>
      </w:pPr>
      <w:rPr>
        <w:rFonts w:hint="default"/>
        <w:lang w:val="en-US" w:eastAsia="en-US" w:bidi="ar-SA"/>
      </w:rPr>
    </w:lvl>
  </w:abstractNum>
  <w:abstractNum w:abstractNumId="4" w15:restartNumberingAfterBreak="0">
    <w:nsid w:val="24F57485"/>
    <w:multiLevelType w:val="hybridMultilevel"/>
    <w:tmpl w:val="A52E84D2"/>
    <w:lvl w:ilvl="0" w:tplc="15FE132C">
      <w:numFmt w:val="bullet"/>
      <w:lvlText w:val="•"/>
      <w:lvlJc w:val="left"/>
      <w:pPr>
        <w:ind w:left="970" w:hanging="315"/>
      </w:pPr>
      <w:rPr>
        <w:rFonts w:ascii="Times New Roman" w:eastAsia="Times New Roman" w:hAnsi="Times New Roman" w:cs="Times New Roman" w:hint="default"/>
        <w:b w:val="0"/>
        <w:bCs w:val="0"/>
        <w:i w:val="0"/>
        <w:iCs w:val="0"/>
        <w:w w:val="100"/>
        <w:sz w:val="20"/>
        <w:szCs w:val="20"/>
        <w:lang w:val="en-US" w:eastAsia="en-US" w:bidi="ar-SA"/>
      </w:rPr>
    </w:lvl>
    <w:lvl w:ilvl="1" w:tplc="C46AC672">
      <w:numFmt w:val="bullet"/>
      <w:lvlText w:val="•"/>
      <w:lvlJc w:val="left"/>
      <w:pPr>
        <w:ind w:left="2012" w:hanging="315"/>
      </w:pPr>
      <w:rPr>
        <w:rFonts w:hint="default"/>
        <w:lang w:val="en-US" w:eastAsia="en-US" w:bidi="ar-SA"/>
      </w:rPr>
    </w:lvl>
    <w:lvl w:ilvl="2" w:tplc="A0A20810">
      <w:numFmt w:val="bullet"/>
      <w:lvlText w:val="•"/>
      <w:lvlJc w:val="left"/>
      <w:pPr>
        <w:ind w:left="3044" w:hanging="315"/>
      </w:pPr>
      <w:rPr>
        <w:rFonts w:hint="default"/>
        <w:lang w:val="en-US" w:eastAsia="en-US" w:bidi="ar-SA"/>
      </w:rPr>
    </w:lvl>
    <w:lvl w:ilvl="3" w:tplc="A3D6DEA6">
      <w:numFmt w:val="bullet"/>
      <w:lvlText w:val="•"/>
      <w:lvlJc w:val="left"/>
      <w:pPr>
        <w:ind w:left="4076" w:hanging="315"/>
      </w:pPr>
      <w:rPr>
        <w:rFonts w:hint="default"/>
        <w:lang w:val="en-US" w:eastAsia="en-US" w:bidi="ar-SA"/>
      </w:rPr>
    </w:lvl>
    <w:lvl w:ilvl="4" w:tplc="2904F114">
      <w:numFmt w:val="bullet"/>
      <w:lvlText w:val="•"/>
      <w:lvlJc w:val="left"/>
      <w:pPr>
        <w:ind w:left="5108" w:hanging="315"/>
      </w:pPr>
      <w:rPr>
        <w:rFonts w:hint="default"/>
        <w:lang w:val="en-US" w:eastAsia="en-US" w:bidi="ar-SA"/>
      </w:rPr>
    </w:lvl>
    <w:lvl w:ilvl="5" w:tplc="3C585ECE">
      <w:numFmt w:val="bullet"/>
      <w:lvlText w:val="•"/>
      <w:lvlJc w:val="left"/>
      <w:pPr>
        <w:ind w:left="6140" w:hanging="315"/>
      </w:pPr>
      <w:rPr>
        <w:rFonts w:hint="default"/>
        <w:lang w:val="en-US" w:eastAsia="en-US" w:bidi="ar-SA"/>
      </w:rPr>
    </w:lvl>
    <w:lvl w:ilvl="6" w:tplc="9C26D72A">
      <w:numFmt w:val="bullet"/>
      <w:lvlText w:val="•"/>
      <w:lvlJc w:val="left"/>
      <w:pPr>
        <w:ind w:left="7172" w:hanging="315"/>
      </w:pPr>
      <w:rPr>
        <w:rFonts w:hint="default"/>
        <w:lang w:val="en-US" w:eastAsia="en-US" w:bidi="ar-SA"/>
      </w:rPr>
    </w:lvl>
    <w:lvl w:ilvl="7" w:tplc="1C183F88">
      <w:numFmt w:val="bullet"/>
      <w:lvlText w:val="•"/>
      <w:lvlJc w:val="left"/>
      <w:pPr>
        <w:ind w:left="8204" w:hanging="315"/>
      </w:pPr>
      <w:rPr>
        <w:rFonts w:hint="default"/>
        <w:lang w:val="en-US" w:eastAsia="en-US" w:bidi="ar-SA"/>
      </w:rPr>
    </w:lvl>
    <w:lvl w:ilvl="8" w:tplc="C0FCFE94">
      <w:numFmt w:val="bullet"/>
      <w:lvlText w:val="•"/>
      <w:lvlJc w:val="left"/>
      <w:pPr>
        <w:ind w:left="9236" w:hanging="315"/>
      </w:pPr>
      <w:rPr>
        <w:rFonts w:hint="default"/>
        <w:lang w:val="en-US" w:eastAsia="en-US" w:bidi="ar-SA"/>
      </w:rPr>
    </w:lvl>
  </w:abstractNum>
  <w:abstractNum w:abstractNumId="5" w15:restartNumberingAfterBreak="0">
    <w:nsid w:val="38263F57"/>
    <w:multiLevelType w:val="multilevel"/>
    <w:tmpl w:val="5B7655E6"/>
    <w:lvl w:ilvl="0">
      <w:start w:val="10"/>
      <w:numFmt w:val="decimal"/>
      <w:lvlText w:val="%1"/>
      <w:lvlJc w:val="left"/>
      <w:pPr>
        <w:ind w:left="1652" w:hanging="990"/>
        <w:jc w:val="left"/>
      </w:pPr>
      <w:rPr>
        <w:rFonts w:hint="default"/>
        <w:lang w:val="en-US" w:eastAsia="en-US" w:bidi="ar-SA"/>
      </w:rPr>
    </w:lvl>
    <w:lvl w:ilvl="1">
      <w:start w:val="1"/>
      <w:numFmt w:val="decimal"/>
      <w:lvlText w:val="%1.%2"/>
      <w:lvlJc w:val="left"/>
      <w:pPr>
        <w:ind w:left="1652" w:hanging="990"/>
        <w:jc w:val="left"/>
      </w:pPr>
      <w:rPr>
        <w:rFonts w:ascii="Times New Roman" w:eastAsia="Times New Roman" w:hAnsi="Times New Roman" w:cs="Times New Roman" w:hint="default"/>
        <w:b w:val="0"/>
        <w:bCs w:val="0"/>
        <w:i w:val="0"/>
        <w:iCs w:val="0"/>
        <w:w w:val="100"/>
        <w:position w:val="2"/>
        <w:sz w:val="20"/>
        <w:szCs w:val="20"/>
        <w:lang w:val="en-US" w:eastAsia="en-US" w:bidi="ar-SA"/>
      </w:rPr>
    </w:lvl>
    <w:lvl w:ilvl="2">
      <w:numFmt w:val="bullet"/>
      <w:lvlText w:val="•"/>
      <w:lvlJc w:val="left"/>
      <w:pPr>
        <w:ind w:left="3588" w:hanging="990"/>
      </w:pPr>
      <w:rPr>
        <w:rFonts w:hint="default"/>
        <w:lang w:val="en-US" w:eastAsia="en-US" w:bidi="ar-SA"/>
      </w:rPr>
    </w:lvl>
    <w:lvl w:ilvl="3">
      <w:numFmt w:val="bullet"/>
      <w:lvlText w:val="•"/>
      <w:lvlJc w:val="left"/>
      <w:pPr>
        <w:ind w:left="4552" w:hanging="990"/>
      </w:pPr>
      <w:rPr>
        <w:rFonts w:hint="default"/>
        <w:lang w:val="en-US" w:eastAsia="en-US" w:bidi="ar-SA"/>
      </w:rPr>
    </w:lvl>
    <w:lvl w:ilvl="4">
      <w:numFmt w:val="bullet"/>
      <w:lvlText w:val="•"/>
      <w:lvlJc w:val="left"/>
      <w:pPr>
        <w:ind w:left="5516" w:hanging="990"/>
      </w:pPr>
      <w:rPr>
        <w:rFonts w:hint="default"/>
        <w:lang w:val="en-US" w:eastAsia="en-US" w:bidi="ar-SA"/>
      </w:rPr>
    </w:lvl>
    <w:lvl w:ilvl="5">
      <w:numFmt w:val="bullet"/>
      <w:lvlText w:val="•"/>
      <w:lvlJc w:val="left"/>
      <w:pPr>
        <w:ind w:left="6480" w:hanging="990"/>
      </w:pPr>
      <w:rPr>
        <w:rFonts w:hint="default"/>
        <w:lang w:val="en-US" w:eastAsia="en-US" w:bidi="ar-SA"/>
      </w:rPr>
    </w:lvl>
    <w:lvl w:ilvl="6">
      <w:numFmt w:val="bullet"/>
      <w:lvlText w:val="•"/>
      <w:lvlJc w:val="left"/>
      <w:pPr>
        <w:ind w:left="7444" w:hanging="990"/>
      </w:pPr>
      <w:rPr>
        <w:rFonts w:hint="default"/>
        <w:lang w:val="en-US" w:eastAsia="en-US" w:bidi="ar-SA"/>
      </w:rPr>
    </w:lvl>
    <w:lvl w:ilvl="7">
      <w:numFmt w:val="bullet"/>
      <w:lvlText w:val="•"/>
      <w:lvlJc w:val="left"/>
      <w:pPr>
        <w:ind w:left="8408" w:hanging="990"/>
      </w:pPr>
      <w:rPr>
        <w:rFonts w:hint="default"/>
        <w:lang w:val="en-US" w:eastAsia="en-US" w:bidi="ar-SA"/>
      </w:rPr>
    </w:lvl>
    <w:lvl w:ilvl="8">
      <w:numFmt w:val="bullet"/>
      <w:lvlText w:val="•"/>
      <w:lvlJc w:val="left"/>
      <w:pPr>
        <w:ind w:left="9372" w:hanging="990"/>
      </w:pPr>
      <w:rPr>
        <w:rFonts w:hint="default"/>
        <w:lang w:val="en-US" w:eastAsia="en-US" w:bidi="ar-SA"/>
      </w:rPr>
    </w:lvl>
  </w:abstractNum>
  <w:abstractNum w:abstractNumId="6" w15:restartNumberingAfterBreak="0">
    <w:nsid w:val="38B54390"/>
    <w:multiLevelType w:val="hybridMultilevel"/>
    <w:tmpl w:val="710AFAF0"/>
    <w:lvl w:ilvl="0" w:tplc="6E08C39A">
      <w:start w:val="1"/>
      <w:numFmt w:val="decimal"/>
      <w:lvlText w:val="%1."/>
      <w:lvlJc w:val="left"/>
      <w:pPr>
        <w:ind w:left="1240" w:hanging="360"/>
        <w:jc w:val="left"/>
      </w:pPr>
      <w:rPr>
        <w:rFonts w:ascii="Arial" w:eastAsia="Arial" w:hAnsi="Arial" w:cs="Arial" w:hint="default"/>
        <w:b w:val="0"/>
        <w:bCs w:val="0"/>
        <w:i w:val="0"/>
        <w:iCs w:val="0"/>
        <w:spacing w:val="-1"/>
        <w:w w:val="100"/>
        <w:sz w:val="22"/>
        <w:szCs w:val="22"/>
        <w:lang w:val="en-US" w:eastAsia="en-US" w:bidi="ar-SA"/>
      </w:rPr>
    </w:lvl>
    <w:lvl w:ilvl="1" w:tplc="6D24596A">
      <w:numFmt w:val="bullet"/>
      <w:lvlText w:val="•"/>
      <w:lvlJc w:val="left"/>
      <w:pPr>
        <w:ind w:left="2246" w:hanging="360"/>
      </w:pPr>
      <w:rPr>
        <w:rFonts w:hint="default"/>
        <w:lang w:val="en-US" w:eastAsia="en-US" w:bidi="ar-SA"/>
      </w:rPr>
    </w:lvl>
    <w:lvl w:ilvl="2" w:tplc="A3C0A9D8">
      <w:numFmt w:val="bullet"/>
      <w:lvlText w:val="•"/>
      <w:lvlJc w:val="left"/>
      <w:pPr>
        <w:ind w:left="3252" w:hanging="360"/>
      </w:pPr>
      <w:rPr>
        <w:rFonts w:hint="default"/>
        <w:lang w:val="en-US" w:eastAsia="en-US" w:bidi="ar-SA"/>
      </w:rPr>
    </w:lvl>
    <w:lvl w:ilvl="3" w:tplc="792E64C6">
      <w:numFmt w:val="bullet"/>
      <w:lvlText w:val="•"/>
      <w:lvlJc w:val="left"/>
      <w:pPr>
        <w:ind w:left="4258" w:hanging="360"/>
      </w:pPr>
      <w:rPr>
        <w:rFonts w:hint="default"/>
        <w:lang w:val="en-US" w:eastAsia="en-US" w:bidi="ar-SA"/>
      </w:rPr>
    </w:lvl>
    <w:lvl w:ilvl="4" w:tplc="7C8A1C8C">
      <w:numFmt w:val="bullet"/>
      <w:lvlText w:val="•"/>
      <w:lvlJc w:val="left"/>
      <w:pPr>
        <w:ind w:left="5264" w:hanging="360"/>
      </w:pPr>
      <w:rPr>
        <w:rFonts w:hint="default"/>
        <w:lang w:val="en-US" w:eastAsia="en-US" w:bidi="ar-SA"/>
      </w:rPr>
    </w:lvl>
    <w:lvl w:ilvl="5" w:tplc="A0B821F4">
      <w:numFmt w:val="bullet"/>
      <w:lvlText w:val="•"/>
      <w:lvlJc w:val="left"/>
      <w:pPr>
        <w:ind w:left="6270" w:hanging="360"/>
      </w:pPr>
      <w:rPr>
        <w:rFonts w:hint="default"/>
        <w:lang w:val="en-US" w:eastAsia="en-US" w:bidi="ar-SA"/>
      </w:rPr>
    </w:lvl>
    <w:lvl w:ilvl="6" w:tplc="08A29C96">
      <w:numFmt w:val="bullet"/>
      <w:lvlText w:val="•"/>
      <w:lvlJc w:val="left"/>
      <w:pPr>
        <w:ind w:left="7276" w:hanging="360"/>
      </w:pPr>
      <w:rPr>
        <w:rFonts w:hint="default"/>
        <w:lang w:val="en-US" w:eastAsia="en-US" w:bidi="ar-SA"/>
      </w:rPr>
    </w:lvl>
    <w:lvl w:ilvl="7" w:tplc="C8BA2698">
      <w:numFmt w:val="bullet"/>
      <w:lvlText w:val="•"/>
      <w:lvlJc w:val="left"/>
      <w:pPr>
        <w:ind w:left="8282" w:hanging="360"/>
      </w:pPr>
      <w:rPr>
        <w:rFonts w:hint="default"/>
        <w:lang w:val="en-US" w:eastAsia="en-US" w:bidi="ar-SA"/>
      </w:rPr>
    </w:lvl>
    <w:lvl w:ilvl="8" w:tplc="E8302A00">
      <w:numFmt w:val="bullet"/>
      <w:lvlText w:val="•"/>
      <w:lvlJc w:val="left"/>
      <w:pPr>
        <w:ind w:left="9288" w:hanging="360"/>
      </w:pPr>
      <w:rPr>
        <w:rFonts w:hint="default"/>
        <w:lang w:val="en-US" w:eastAsia="en-US" w:bidi="ar-SA"/>
      </w:rPr>
    </w:lvl>
  </w:abstractNum>
  <w:abstractNum w:abstractNumId="7" w15:restartNumberingAfterBreak="0">
    <w:nsid w:val="39470F1A"/>
    <w:multiLevelType w:val="hybridMultilevel"/>
    <w:tmpl w:val="21F89044"/>
    <w:lvl w:ilvl="0" w:tplc="24261E2C">
      <w:start w:val="1"/>
      <w:numFmt w:val="decimal"/>
      <w:lvlText w:val="(%1)"/>
      <w:lvlJc w:val="left"/>
      <w:pPr>
        <w:ind w:left="1690" w:hanging="540"/>
        <w:jc w:val="left"/>
      </w:pPr>
      <w:rPr>
        <w:rFonts w:ascii="Arial" w:eastAsia="Arial" w:hAnsi="Arial" w:cs="Arial" w:hint="default"/>
        <w:b w:val="0"/>
        <w:bCs w:val="0"/>
        <w:i w:val="0"/>
        <w:iCs w:val="0"/>
        <w:spacing w:val="-1"/>
        <w:w w:val="100"/>
        <w:sz w:val="20"/>
        <w:szCs w:val="20"/>
        <w:lang w:val="en-US" w:eastAsia="en-US" w:bidi="ar-SA"/>
      </w:rPr>
    </w:lvl>
    <w:lvl w:ilvl="1" w:tplc="05863D90">
      <w:numFmt w:val="bullet"/>
      <w:lvlText w:val="•"/>
      <w:lvlJc w:val="left"/>
      <w:pPr>
        <w:ind w:left="2660" w:hanging="540"/>
      </w:pPr>
      <w:rPr>
        <w:rFonts w:hint="default"/>
        <w:lang w:val="en-US" w:eastAsia="en-US" w:bidi="ar-SA"/>
      </w:rPr>
    </w:lvl>
    <w:lvl w:ilvl="2" w:tplc="46164A2E">
      <w:numFmt w:val="bullet"/>
      <w:lvlText w:val="•"/>
      <w:lvlJc w:val="left"/>
      <w:pPr>
        <w:ind w:left="3620" w:hanging="540"/>
      </w:pPr>
      <w:rPr>
        <w:rFonts w:hint="default"/>
        <w:lang w:val="en-US" w:eastAsia="en-US" w:bidi="ar-SA"/>
      </w:rPr>
    </w:lvl>
    <w:lvl w:ilvl="3" w:tplc="4536878A">
      <w:numFmt w:val="bullet"/>
      <w:lvlText w:val="•"/>
      <w:lvlJc w:val="left"/>
      <w:pPr>
        <w:ind w:left="4580" w:hanging="540"/>
      </w:pPr>
      <w:rPr>
        <w:rFonts w:hint="default"/>
        <w:lang w:val="en-US" w:eastAsia="en-US" w:bidi="ar-SA"/>
      </w:rPr>
    </w:lvl>
    <w:lvl w:ilvl="4" w:tplc="63EA5DC2">
      <w:numFmt w:val="bullet"/>
      <w:lvlText w:val="•"/>
      <w:lvlJc w:val="left"/>
      <w:pPr>
        <w:ind w:left="5540" w:hanging="540"/>
      </w:pPr>
      <w:rPr>
        <w:rFonts w:hint="default"/>
        <w:lang w:val="en-US" w:eastAsia="en-US" w:bidi="ar-SA"/>
      </w:rPr>
    </w:lvl>
    <w:lvl w:ilvl="5" w:tplc="3AAEB5EC">
      <w:numFmt w:val="bullet"/>
      <w:lvlText w:val="•"/>
      <w:lvlJc w:val="left"/>
      <w:pPr>
        <w:ind w:left="6500" w:hanging="540"/>
      </w:pPr>
      <w:rPr>
        <w:rFonts w:hint="default"/>
        <w:lang w:val="en-US" w:eastAsia="en-US" w:bidi="ar-SA"/>
      </w:rPr>
    </w:lvl>
    <w:lvl w:ilvl="6" w:tplc="B3D0E5E6">
      <w:numFmt w:val="bullet"/>
      <w:lvlText w:val="•"/>
      <w:lvlJc w:val="left"/>
      <w:pPr>
        <w:ind w:left="7460" w:hanging="540"/>
      </w:pPr>
      <w:rPr>
        <w:rFonts w:hint="default"/>
        <w:lang w:val="en-US" w:eastAsia="en-US" w:bidi="ar-SA"/>
      </w:rPr>
    </w:lvl>
    <w:lvl w:ilvl="7" w:tplc="6490631E">
      <w:numFmt w:val="bullet"/>
      <w:lvlText w:val="•"/>
      <w:lvlJc w:val="left"/>
      <w:pPr>
        <w:ind w:left="8420" w:hanging="540"/>
      </w:pPr>
      <w:rPr>
        <w:rFonts w:hint="default"/>
        <w:lang w:val="en-US" w:eastAsia="en-US" w:bidi="ar-SA"/>
      </w:rPr>
    </w:lvl>
    <w:lvl w:ilvl="8" w:tplc="02EED470">
      <w:numFmt w:val="bullet"/>
      <w:lvlText w:val="•"/>
      <w:lvlJc w:val="left"/>
      <w:pPr>
        <w:ind w:left="9380" w:hanging="540"/>
      </w:pPr>
      <w:rPr>
        <w:rFonts w:hint="default"/>
        <w:lang w:val="en-US" w:eastAsia="en-US" w:bidi="ar-SA"/>
      </w:rPr>
    </w:lvl>
  </w:abstractNum>
  <w:abstractNum w:abstractNumId="8" w15:restartNumberingAfterBreak="0">
    <w:nsid w:val="43C10BBF"/>
    <w:multiLevelType w:val="multilevel"/>
    <w:tmpl w:val="C44288F8"/>
    <w:lvl w:ilvl="0">
      <w:start w:val="4"/>
      <w:numFmt w:val="decimal"/>
      <w:lvlText w:val="%1"/>
      <w:lvlJc w:val="left"/>
      <w:pPr>
        <w:ind w:left="1652" w:hanging="990"/>
        <w:jc w:val="left"/>
      </w:pPr>
      <w:rPr>
        <w:rFonts w:hint="default"/>
        <w:lang w:val="en-US" w:eastAsia="en-US" w:bidi="ar-SA"/>
      </w:rPr>
    </w:lvl>
    <w:lvl w:ilvl="1">
      <w:start w:val="1"/>
      <w:numFmt w:val="decimal"/>
      <w:lvlText w:val="%1.%2"/>
      <w:lvlJc w:val="left"/>
      <w:pPr>
        <w:ind w:left="1652" w:hanging="990"/>
        <w:jc w:val="left"/>
      </w:pPr>
      <w:rPr>
        <w:rFonts w:ascii="Times New Roman" w:eastAsia="Times New Roman" w:hAnsi="Times New Roman" w:cs="Times New Roman" w:hint="default"/>
        <w:b w:val="0"/>
        <w:bCs w:val="0"/>
        <w:i w:val="0"/>
        <w:iCs w:val="0"/>
        <w:w w:val="100"/>
        <w:position w:val="1"/>
        <w:sz w:val="20"/>
        <w:szCs w:val="20"/>
        <w:lang w:val="en-US" w:eastAsia="en-US" w:bidi="ar-SA"/>
      </w:rPr>
    </w:lvl>
    <w:lvl w:ilvl="2">
      <w:numFmt w:val="bullet"/>
      <w:lvlText w:val="•"/>
      <w:lvlJc w:val="left"/>
      <w:pPr>
        <w:ind w:left="3588" w:hanging="990"/>
      </w:pPr>
      <w:rPr>
        <w:rFonts w:hint="default"/>
        <w:lang w:val="en-US" w:eastAsia="en-US" w:bidi="ar-SA"/>
      </w:rPr>
    </w:lvl>
    <w:lvl w:ilvl="3">
      <w:numFmt w:val="bullet"/>
      <w:lvlText w:val="•"/>
      <w:lvlJc w:val="left"/>
      <w:pPr>
        <w:ind w:left="4552" w:hanging="990"/>
      </w:pPr>
      <w:rPr>
        <w:rFonts w:hint="default"/>
        <w:lang w:val="en-US" w:eastAsia="en-US" w:bidi="ar-SA"/>
      </w:rPr>
    </w:lvl>
    <w:lvl w:ilvl="4">
      <w:numFmt w:val="bullet"/>
      <w:lvlText w:val="•"/>
      <w:lvlJc w:val="left"/>
      <w:pPr>
        <w:ind w:left="5516" w:hanging="990"/>
      </w:pPr>
      <w:rPr>
        <w:rFonts w:hint="default"/>
        <w:lang w:val="en-US" w:eastAsia="en-US" w:bidi="ar-SA"/>
      </w:rPr>
    </w:lvl>
    <w:lvl w:ilvl="5">
      <w:numFmt w:val="bullet"/>
      <w:lvlText w:val="•"/>
      <w:lvlJc w:val="left"/>
      <w:pPr>
        <w:ind w:left="6480" w:hanging="990"/>
      </w:pPr>
      <w:rPr>
        <w:rFonts w:hint="default"/>
        <w:lang w:val="en-US" w:eastAsia="en-US" w:bidi="ar-SA"/>
      </w:rPr>
    </w:lvl>
    <w:lvl w:ilvl="6">
      <w:numFmt w:val="bullet"/>
      <w:lvlText w:val="•"/>
      <w:lvlJc w:val="left"/>
      <w:pPr>
        <w:ind w:left="7444" w:hanging="990"/>
      </w:pPr>
      <w:rPr>
        <w:rFonts w:hint="default"/>
        <w:lang w:val="en-US" w:eastAsia="en-US" w:bidi="ar-SA"/>
      </w:rPr>
    </w:lvl>
    <w:lvl w:ilvl="7">
      <w:numFmt w:val="bullet"/>
      <w:lvlText w:val="•"/>
      <w:lvlJc w:val="left"/>
      <w:pPr>
        <w:ind w:left="8408" w:hanging="990"/>
      </w:pPr>
      <w:rPr>
        <w:rFonts w:hint="default"/>
        <w:lang w:val="en-US" w:eastAsia="en-US" w:bidi="ar-SA"/>
      </w:rPr>
    </w:lvl>
    <w:lvl w:ilvl="8">
      <w:numFmt w:val="bullet"/>
      <w:lvlText w:val="•"/>
      <w:lvlJc w:val="left"/>
      <w:pPr>
        <w:ind w:left="9372" w:hanging="990"/>
      </w:pPr>
      <w:rPr>
        <w:rFonts w:hint="default"/>
        <w:lang w:val="en-US" w:eastAsia="en-US" w:bidi="ar-SA"/>
      </w:rPr>
    </w:lvl>
  </w:abstractNum>
  <w:abstractNum w:abstractNumId="9" w15:restartNumberingAfterBreak="0">
    <w:nsid w:val="48FD5706"/>
    <w:multiLevelType w:val="hybridMultilevel"/>
    <w:tmpl w:val="7ADCDE1E"/>
    <w:lvl w:ilvl="0" w:tplc="A8A0A018">
      <w:start w:val="1"/>
      <w:numFmt w:val="decimal"/>
      <w:lvlText w:val="%1."/>
      <w:lvlJc w:val="left"/>
      <w:pPr>
        <w:ind w:left="880" w:hanging="360"/>
        <w:jc w:val="left"/>
      </w:pPr>
      <w:rPr>
        <w:rFonts w:ascii="Arial" w:eastAsia="Arial" w:hAnsi="Arial" w:cs="Arial" w:hint="default"/>
        <w:b w:val="0"/>
        <w:bCs w:val="0"/>
        <w:i w:val="0"/>
        <w:iCs w:val="0"/>
        <w:spacing w:val="-1"/>
        <w:w w:val="100"/>
        <w:sz w:val="20"/>
        <w:szCs w:val="20"/>
        <w:lang w:val="en-US" w:eastAsia="en-US" w:bidi="ar-SA"/>
      </w:rPr>
    </w:lvl>
    <w:lvl w:ilvl="1" w:tplc="518E4D30">
      <w:start w:val="1"/>
      <w:numFmt w:val="lowerLetter"/>
      <w:lvlText w:val="%2)"/>
      <w:lvlJc w:val="left"/>
      <w:pPr>
        <w:ind w:left="1600" w:hanging="360"/>
        <w:jc w:val="left"/>
      </w:pPr>
      <w:rPr>
        <w:rFonts w:ascii="Arial" w:eastAsia="Arial" w:hAnsi="Arial" w:cs="Arial" w:hint="default"/>
        <w:b w:val="0"/>
        <w:bCs w:val="0"/>
        <w:i w:val="0"/>
        <w:iCs w:val="0"/>
        <w:spacing w:val="-1"/>
        <w:w w:val="100"/>
        <w:sz w:val="20"/>
        <w:szCs w:val="20"/>
        <w:lang w:val="en-US" w:eastAsia="en-US" w:bidi="ar-SA"/>
      </w:rPr>
    </w:lvl>
    <w:lvl w:ilvl="2" w:tplc="A50EB126">
      <w:numFmt w:val="bullet"/>
      <w:lvlText w:val="•"/>
      <w:lvlJc w:val="left"/>
      <w:pPr>
        <w:ind w:left="2677" w:hanging="360"/>
      </w:pPr>
      <w:rPr>
        <w:rFonts w:hint="default"/>
        <w:lang w:val="en-US" w:eastAsia="en-US" w:bidi="ar-SA"/>
      </w:rPr>
    </w:lvl>
    <w:lvl w:ilvl="3" w:tplc="A580C20C">
      <w:numFmt w:val="bullet"/>
      <w:lvlText w:val="•"/>
      <w:lvlJc w:val="left"/>
      <w:pPr>
        <w:ind w:left="3755" w:hanging="360"/>
      </w:pPr>
      <w:rPr>
        <w:rFonts w:hint="default"/>
        <w:lang w:val="en-US" w:eastAsia="en-US" w:bidi="ar-SA"/>
      </w:rPr>
    </w:lvl>
    <w:lvl w:ilvl="4" w:tplc="DCA40E88">
      <w:numFmt w:val="bullet"/>
      <w:lvlText w:val="•"/>
      <w:lvlJc w:val="left"/>
      <w:pPr>
        <w:ind w:left="4833" w:hanging="360"/>
      </w:pPr>
      <w:rPr>
        <w:rFonts w:hint="default"/>
        <w:lang w:val="en-US" w:eastAsia="en-US" w:bidi="ar-SA"/>
      </w:rPr>
    </w:lvl>
    <w:lvl w:ilvl="5" w:tplc="E7DC905E">
      <w:numFmt w:val="bullet"/>
      <w:lvlText w:val="•"/>
      <w:lvlJc w:val="left"/>
      <w:pPr>
        <w:ind w:left="5911" w:hanging="360"/>
      </w:pPr>
      <w:rPr>
        <w:rFonts w:hint="default"/>
        <w:lang w:val="en-US" w:eastAsia="en-US" w:bidi="ar-SA"/>
      </w:rPr>
    </w:lvl>
    <w:lvl w:ilvl="6" w:tplc="E696C5BC">
      <w:numFmt w:val="bullet"/>
      <w:lvlText w:val="•"/>
      <w:lvlJc w:val="left"/>
      <w:pPr>
        <w:ind w:left="6988" w:hanging="360"/>
      </w:pPr>
      <w:rPr>
        <w:rFonts w:hint="default"/>
        <w:lang w:val="en-US" w:eastAsia="en-US" w:bidi="ar-SA"/>
      </w:rPr>
    </w:lvl>
    <w:lvl w:ilvl="7" w:tplc="77E88160">
      <w:numFmt w:val="bullet"/>
      <w:lvlText w:val="•"/>
      <w:lvlJc w:val="left"/>
      <w:pPr>
        <w:ind w:left="8066" w:hanging="360"/>
      </w:pPr>
      <w:rPr>
        <w:rFonts w:hint="default"/>
        <w:lang w:val="en-US" w:eastAsia="en-US" w:bidi="ar-SA"/>
      </w:rPr>
    </w:lvl>
    <w:lvl w:ilvl="8" w:tplc="B3185110">
      <w:numFmt w:val="bullet"/>
      <w:lvlText w:val="•"/>
      <w:lvlJc w:val="left"/>
      <w:pPr>
        <w:ind w:left="9144" w:hanging="360"/>
      </w:pPr>
      <w:rPr>
        <w:rFonts w:hint="default"/>
        <w:lang w:val="en-US" w:eastAsia="en-US" w:bidi="ar-SA"/>
      </w:rPr>
    </w:lvl>
  </w:abstractNum>
  <w:abstractNum w:abstractNumId="10" w15:restartNumberingAfterBreak="0">
    <w:nsid w:val="4AE02A7C"/>
    <w:multiLevelType w:val="hybridMultilevel"/>
    <w:tmpl w:val="04849388"/>
    <w:lvl w:ilvl="0" w:tplc="44DC4316">
      <w:start w:val="1"/>
      <w:numFmt w:val="decimal"/>
      <w:lvlText w:val="%1."/>
      <w:lvlJc w:val="left"/>
      <w:pPr>
        <w:ind w:left="880" w:hanging="360"/>
        <w:jc w:val="left"/>
      </w:pPr>
      <w:rPr>
        <w:rFonts w:ascii="Arial" w:eastAsia="Arial" w:hAnsi="Arial" w:cs="Arial" w:hint="default"/>
        <w:b w:val="0"/>
        <w:bCs w:val="0"/>
        <w:i w:val="0"/>
        <w:iCs w:val="0"/>
        <w:spacing w:val="-1"/>
        <w:w w:val="100"/>
        <w:sz w:val="20"/>
        <w:szCs w:val="20"/>
        <w:lang w:val="en-US" w:eastAsia="en-US" w:bidi="ar-SA"/>
      </w:rPr>
    </w:lvl>
    <w:lvl w:ilvl="1" w:tplc="33BAB450">
      <w:start w:val="1"/>
      <w:numFmt w:val="lowerLetter"/>
      <w:lvlText w:val="%2)"/>
      <w:lvlJc w:val="left"/>
      <w:pPr>
        <w:ind w:left="1600" w:hanging="360"/>
        <w:jc w:val="left"/>
      </w:pPr>
      <w:rPr>
        <w:rFonts w:ascii="Arial" w:eastAsia="Arial" w:hAnsi="Arial" w:cs="Arial" w:hint="default"/>
        <w:b w:val="0"/>
        <w:bCs w:val="0"/>
        <w:i w:val="0"/>
        <w:iCs w:val="0"/>
        <w:spacing w:val="-1"/>
        <w:w w:val="100"/>
        <w:sz w:val="20"/>
        <w:szCs w:val="20"/>
        <w:lang w:val="en-US" w:eastAsia="en-US" w:bidi="ar-SA"/>
      </w:rPr>
    </w:lvl>
    <w:lvl w:ilvl="2" w:tplc="DED65860">
      <w:numFmt w:val="bullet"/>
      <w:lvlText w:val="•"/>
      <w:lvlJc w:val="left"/>
      <w:pPr>
        <w:ind w:left="2677" w:hanging="360"/>
      </w:pPr>
      <w:rPr>
        <w:rFonts w:hint="default"/>
        <w:lang w:val="en-US" w:eastAsia="en-US" w:bidi="ar-SA"/>
      </w:rPr>
    </w:lvl>
    <w:lvl w:ilvl="3" w:tplc="CF22F7CC">
      <w:numFmt w:val="bullet"/>
      <w:lvlText w:val="•"/>
      <w:lvlJc w:val="left"/>
      <w:pPr>
        <w:ind w:left="3755" w:hanging="360"/>
      </w:pPr>
      <w:rPr>
        <w:rFonts w:hint="default"/>
        <w:lang w:val="en-US" w:eastAsia="en-US" w:bidi="ar-SA"/>
      </w:rPr>
    </w:lvl>
    <w:lvl w:ilvl="4" w:tplc="F10C2072">
      <w:numFmt w:val="bullet"/>
      <w:lvlText w:val="•"/>
      <w:lvlJc w:val="left"/>
      <w:pPr>
        <w:ind w:left="4833" w:hanging="360"/>
      </w:pPr>
      <w:rPr>
        <w:rFonts w:hint="default"/>
        <w:lang w:val="en-US" w:eastAsia="en-US" w:bidi="ar-SA"/>
      </w:rPr>
    </w:lvl>
    <w:lvl w:ilvl="5" w:tplc="2B747C92">
      <w:numFmt w:val="bullet"/>
      <w:lvlText w:val="•"/>
      <w:lvlJc w:val="left"/>
      <w:pPr>
        <w:ind w:left="5911" w:hanging="360"/>
      </w:pPr>
      <w:rPr>
        <w:rFonts w:hint="default"/>
        <w:lang w:val="en-US" w:eastAsia="en-US" w:bidi="ar-SA"/>
      </w:rPr>
    </w:lvl>
    <w:lvl w:ilvl="6" w:tplc="5D4218A0">
      <w:numFmt w:val="bullet"/>
      <w:lvlText w:val="•"/>
      <w:lvlJc w:val="left"/>
      <w:pPr>
        <w:ind w:left="6988" w:hanging="360"/>
      </w:pPr>
      <w:rPr>
        <w:rFonts w:hint="default"/>
        <w:lang w:val="en-US" w:eastAsia="en-US" w:bidi="ar-SA"/>
      </w:rPr>
    </w:lvl>
    <w:lvl w:ilvl="7" w:tplc="202821F2">
      <w:numFmt w:val="bullet"/>
      <w:lvlText w:val="•"/>
      <w:lvlJc w:val="left"/>
      <w:pPr>
        <w:ind w:left="8066" w:hanging="360"/>
      </w:pPr>
      <w:rPr>
        <w:rFonts w:hint="default"/>
        <w:lang w:val="en-US" w:eastAsia="en-US" w:bidi="ar-SA"/>
      </w:rPr>
    </w:lvl>
    <w:lvl w:ilvl="8" w:tplc="88220EEA">
      <w:numFmt w:val="bullet"/>
      <w:lvlText w:val="•"/>
      <w:lvlJc w:val="left"/>
      <w:pPr>
        <w:ind w:left="9144" w:hanging="360"/>
      </w:pPr>
      <w:rPr>
        <w:rFonts w:hint="default"/>
        <w:lang w:val="en-US" w:eastAsia="en-US" w:bidi="ar-SA"/>
      </w:rPr>
    </w:lvl>
  </w:abstractNum>
  <w:abstractNum w:abstractNumId="11" w15:restartNumberingAfterBreak="0">
    <w:nsid w:val="4E2D6D0D"/>
    <w:multiLevelType w:val="hybridMultilevel"/>
    <w:tmpl w:val="BF00E9C4"/>
    <w:lvl w:ilvl="0" w:tplc="A5485558">
      <w:start w:val="1"/>
      <w:numFmt w:val="decimal"/>
      <w:lvlText w:val="%1."/>
      <w:lvlJc w:val="left"/>
      <w:pPr>
        <w:ind w:left="12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8EA6E7FA">
      <w:numFmt w:val="bullet"/>
      <w:lvlText w:val="•"/>
      <w:lvlJc w:val="left"/>
      <w:pPr>
        <w:ind w:left="2246" w:hanging="360"/>
      </w:pPr>
      <w:rPr>
        <w:rFonts w:hint="default"/>
        <w:lang w:val="en-US" w:eastAsia="en-US" w:bidi="ar-SA"/>
      </w:rPr>
    </w:lvl>
    <w:lvl w:ilvl="2" w:tplc="24346128">
      <w:numFmt w:val="bullet"/>
      <w:lvlText w:val="•"/>
      <w:lvlJc w:val="left"/>
      <w:pPr>
        <w:ind w:left="3252" w:hanging="360"/>
      </w:pPr>
      <w:rPr>
        <w:rFonts w:hint="default"/>
        <w:lang w:val="en-US" w:eastAsia="en-US" w:bidi="ar-SA"/>
      </w:rPr>
    </w:lvl>
    <w:lvl w:ilvl="3" w:tplc="AF32BA4E">
      <w:numFmt w:val="bullet"/>
      <w:lvlText w:val="•"/>
      <w:lvlJc w:val="left"/>
      <w:pPr>
        <w:ind w:left="4258" w:hanging="360"/>
      </w:pPr>
      <w:rPr>
        <w:rFonts w:hint="default"/>
        <w:lang w:val="en-US" w:eastAsia="en-US" w:bidi="ar-SA"/>
      </w:rPr>
    </w:lvl>
    <w:lvl w:ilvl="4" w:tplc="B6546C3A">
      <w:numFmt w:val="bullet"/>
      <w:lvlText w:val="•"/>
      <w:lvlJc w:val="left"/>
      <w:pPr>
        <w:ind w:left="5264" w:hanging="360"/>
      </w:pPr>
      <w:rPr>
        <w:rFonts w:hint="default"/>
        <w:lang w:val="en-US" w:eastAsia="en-US" w:bidi="ar-SA"/>
      </w:rPr>
    </w:lvl>
    <w:lvl w:ilvl="5" w:tplc="5BBC9DBE">
      <w:numFmt w:val="bullet"/>
      <w:lvlText w:val="•"/>
      <w:lvlJc w:val="left"/>
      <w:pPr>
        <w:ind w:left="6270" w:hanging="360"/>
      </w:pPr>
      <w:rPr>
        <w:rFonts w:hint="default"/>
        <w:lang w:val="en-US" w:eastAsia="en-US" w:bidi="ar-SA"/>
      </w:rPr>
    </w:lvl>
    <w:lvl w:ilvl="6" w:tplc="2DD22B20">
      <w:numFmt w:val="bullet"/>
      <w:lvlText w:val="•"/>
      <w:lvlJc w:val="left"/>
      <w:pPr>
        <w:ind w:left="7276" w:hanging="360"/>
      </w:pPr>
      <w:rPr>
        <w:rFonts w:hint="default"/>
        <w:lang w:val="en-US" w:eastAsia="en-US" w:bidi="ar-SA"/>
      </w:rPr>
    </w:lvl>
    <w:lvl w:ilvl="7" w:tplc="CC08CCD0">
      <w:numFmt w:val="bullet"/>
      <w:lvlText w:val="•"/>
      <w:lvlJc w:val="left"/>
      <w:pPr>
        <w:ind w:left="8282" w:hanging="360"/>
      </w:pPr>
      <w:rPr>
        <w:rFonts w:hint="default"/>
        <w:lang w:val="en-US" w:eastAsia="en-US" w:bidi="ar-SA"/>
      </w:rPr>
    </w:lvl>
    <w:lvl w:ilvl="8" w:tplc="EB663FB0">
      <w:numFmt w:val="bullet"/>
      <w:lvlText w:val="•"/>
      <w:lvlJc w:val="left"/>
      <w:pPr>
        <w:ind w:left="9288" w:hanging="360"/>
      </w:pPr>
      <w:rPr>
        <w:rFonts w:hint="default"/>
        <w:lang w:val="en-US" w:eastAsia="en-US" w:bidi="ar-SA"/>
      </w:rPr>
    </w:lvl>
  </w:abstractNum>
  <w:abstractNum w:abstractNumId="12" w15:restartNumberingAfterBreak="0">
    <w:nsid w:val="5538163F"/>
    <w:multiLevelType w:val="hybridMultilevel"/>
    <w:tmpl w:val="32CC3CAE"/>
    <w:lvl w:ilvl="0" w:tplc="713A2C64">
      <w:numFmt w:val="bullet"/>
      <w:lvlText w:val="•"/>
      <w:lvlJc w:val="left"/>
      <w:pPr>
        <w:ind w:left="970" w:hanging="360"/>
      </w:pPr>
      <w:rPr>
        <w:rFonts w:ascii="Times New Roman" w:eastAsia="Times New Roman" w:hAnsi="Times New Roman" w:cs="Times New Roman" w:hint="default"/>
        <w:b/>
        <w:bCs/>
        <w:i w:val="0"/>
        <w:iCs w:val="0"/>
        <w:w w:val="100"/>
        <w:sz w:val="20"/>
        <w:szCs w:val="20"/>
        <w:lang w:val="en-US" w:eastAsia="en-US" w:bidi="ar-SA"/>
      </w:rPr>
    </w:lvl>
    <w:lvl w:ilvl="1" w:tplc="55CE232E">
      <w:numFmt w:val="bullet"/>
      <w:lvlText w:val="•"/>
      <w:lvlJc w:val="left"/>
      <w:pPr>
        <w:ind w:left="2012" w:hanging="360"/>
      </w:pPr>
      <w:rPr>
        <w:rFonts w:hint="default"/>
        <w:lang w:val="en-US" w:eastAsia="en-US" w:bidi="ar-SA"/>
      </w:rPr>
    </w:lvl>
    <w:lvl w:ilvl="2" w:tplc="11625186">
      <w:numFmt w:val="bullet"/>
      <w:lvlText w:val="•"/>
      <w:lvlJc w:val="left"/>
      <w:pPr>
        <w:ind w:left="3044" w:hanging="360"/>
      </w:pPr>
      <w:rPr>
        <w:rFonts w:hint="default"/>
        <w:lang w:val="en-US" w:eastAsia="en-US" w:bidi="ar-SA"/>
      </w:rPr>
    </w:lvl>
    <w:lvl w:ilvl="3" w:tplc="F34AEDCC">
      <w:numFmt w:val="bullet"/>
      <w:lvlText w:val="•"/>
      <w:lvlJc w:val="left"/>
      <w:pPr>
        <w:ind w:left="4076" w:hanging="360"/>
      </w:pPr>
      <w:rPr>
        <w:rFonts w:hint="default"/>
        <w:lang w:val="en-US" w:eastAsia="en-US" w:bidi="ar-SA"/>
      </w:rPr>
    </w:lvl>
    <w:lvl w:ilvl="4" w:tplc="4F62BC8C">
      <w:numFmt w:val="bullet"/>
      <w:lvlText w:val="•"/>
      <w:lvlJc w:val="left"/>
      <w:pPr>
        <w:ind w:left="5108" w:hanging="360"/>
      </w:pPr>
      <w:rPr>
        <w:rFonts w:hint="default"/>
        <w:lang w:val="en-US" w:eastAsia="en-US" w:bidi="ar-SA"/>
      </w:rPr>
    </w:lvl>
    <w:lvl w:ilvl="5" w:tplc="E2488ACC">
      <w:numFmt w:val="bullet"/>
      <w:lvlText w:val="•"/>
      <w:lvlJc w:val="left"/>
      <w:pPr>
        <w:ind w:left="6140" w:hanging="360"/>
      </w:pPr>
      <w:rPr>
        <w:rFonts w:hint="default"/>
        <w:lang w:val="en-US" w:eastAsia="en-US" w:bidi="ar-SA"/>
      </w:rPr>
    </w:lvl>
    <w:lvl w:ilvl="6" w:tplc="4BDCC960">
      <w:numFmt w:val="bullet"/>
      <w:lvlText w:val="•"/>
      <w:lvlJc w:val="left"/>
      <w:pPr>
        <w:ind w:left="7172" w:hanging="360"/>
      </w:pPr>
      <w:rPr>
        <w:rFonts w:hint="default"/>
        <w:lang w:val="en-US" w:eastAsia="en-US" w:bidi="ar-SA"/>
      </w:rPr>
    </w:lvl>
    <w:lvl w:ilvl="7" w:tplc="16680658">
      <w:numFmt w:val="bullet"/>
      <w:lvlText w:val="•"/>
      <w:lvlJc w:val="left"/>
      <w:pPr>
        <w:ind w:left="8204" w:hanging="360"/>
      </w:pPr>
      <w:rPr>
        <w:rFonts w:hint="default"/>
        <w:lang w:val="en-US" w:eastAsia="en-US" w:bidi="ar-SA"/>
      </w:rPr>
    </w:lvl>
    <w:lvl w:ilvl="8" w:tplc="96C0AF88">
      <w:numFmt w:val="bullet"/>
      <w:lvlText w:val="•"/>
      <w:lvlJc w:val="left"/>
      <w:pPr>
        <w:ind w:left="9236" w:hanging="360"/>
      </w:pPr>
      <w:rPr>
        <w:rFonts w:hint="default"/>
        <w:lang w:val="en-US" w:eastAsia="en-US" w:bidi="ar-SA"/>
      </w:rPr>
    </w:lvl>
  </w:abstractNum>
  <w:abstractNum w:abstractNumId="13" w15:restartNumberingAfterBreak="0">
    <w:nsid w:val="5DA42CFA"/>
    <w:multiLevelType w:val="hybridMultilevel"/>
    <w:tmpl w:val="6C8EE02E"/>
    <w:lvl w:ilvl="0" w:tplc="05004C2A">
      <w:start w:val="23"/>
      <w:numFmt w:val="decimal"/>
      <w:lvlText w:val="%1"/>
      <w:lvlJc w:val="left"/>
      <w:pPr>
        <w:ind w:left="1652" w:hanging="990"/>
        <w:jc w:val="left"/>
      </w:pPr>
      <w:rPr>
        <w:rFonts w:ascii="Times New Roman" w:eastAsia="Times New Roman" w:hAnsi="Times New Roman" w:cs="Times New Roman" w:hint="default"/>
        <w:b w:val="0"/>
        <w:bCs w:val="0"/>
        <w:i w:val="0"/>
        <w:iCs w:val="0"/>
        <w:w w:val="100"/>
        <w:position w:val="1"/>
        <w:sz w:val="20"/>
        <w:szCs w:val="20"/>
        <w:lang w:val="en-US" w:eastAsia="en-US" w:bidi="ar-SA"/>
      </w:rPr>
    </w:lvl>
    <w:lvl w:ilvl="1" w:tplc="75EA072E">
      <w:numFmt w:val="bullet"/>
      <w:lvlText w:val="•"/>
      <w:lvlJc w:val="left"/>
      <w:pPr>
        <w:ind w:left="2624" w:hanging="990"/>
      </w:pPr>
      <w:rPr>
        <w:rFonts w:hint="default"/>
        <w:lang w:val="en-US" w:eastAsia="en-US" w:bidi="ar-SA"/>
      </w:rPr>
    </w:lvl>
    <w:lvl w:ilvl="2" w:tplc="DF7E9F98">
      <w:numFmt w:val="bullet"/>
      <w:lvlText w:val="•"/>
      <w:lvlJc w:val="left"/>
      <w:pPr>
        <w:ind w:left="3588" w:hanging="990"/>
      </w:pPr>
      <w:rPr>
        <w:rFonts w:hint="default"/>
        <w:lang w:val="en-US" w:eastAsia="en-US" w:bidi="ar-SA"/>
      </w:rPr>
    </w:lvl>
    <w:lvl w:ilvl="3" w:tplc="1500070E">
      <w:numFmt w:val="bullet"/>
      <w:lvlText w:val="•"/>
      <w:lvlJc w:val="left"/>
      <w:pPr>
        <w:ind w:left="4552" w:hanging="990"/>
      </w:pPr>
      <w:rPr>
        <w:rFonts w:hint="default"/>
        <w:lang w:val="en-US" w:eastAsia="en-US" w:bidi="ar-SA"/>
      </w:rPr>
    </w:lvl>
    <w:lvl w:ilvl="4" w:tplc="FE4E8D90">
      <w:numFmt w:val="bullet"/>
      <w:lvlText w:val="•"/>
      <w:lvlJc w:val="left"/>
      <w:pPr>
        <w:ind w:left="5516" w:hanging="990"/>
      </w:pPr>
      <w:rPr>
        <w:rFonts w:hint="default"/>
        <w:lang w:val="en-US" w:eastAsia="en-US" w:bidi="ar-SA"/>
      </w:rPr>
    </w:lvl>
    <w:lvl w:ilvl="5" w:tplc="4894CDB2">
      <w:numFmt w:val="bullet"/>
      <w:lvlText w:val="•"/>
      <w:lvlJc w:val="left"/>
      <w:pPr>
        <w:ind w:left="6480" w:hanging="990"/>
      </w:pPr>
      <w:rPr>
        <w:rFonts w:hint="default"/>
        <w:lang w:val="en-US" w:eastAsia="en-US" w:bidi="ar-SA"/>
      </w:rPr>
    </w:lvl>
    <w:lvl w:ilvl="6" w:tplc="C6D0A386">
      <w:numFmt w:val="bullet"/>
      <w:lvlText w:val="•"/>
      <w:lvlJc w:val="left"/>
      <w:pPr>
        <w:ind w:left="7444" w:hanging="990"/>
      </w:pPr>
      <w:rPr>
        <w:rFonts w:hint="default"/>
        <w:lang w:val="en-US" w:eastAsia="en-US" w:bidi="ar-SA"/>
      </w:rPr>
    </w:lvl>
    <w:lvl w:ilvl="7" w:tplc="EC4CB636">
      <w:numFmt w:val="bullet"/>
      <w:lvlText w:val="•"/>
      <w:lvlJc w:val="left"/>
      <w:pPr>
        <w:ind w:left="8408" w:hanging="990"/>
      </w:pPr>
      <w:rPr>
        <w:rFonts w:hint="default"/>
        <w:lang w:val="en-US" w:eastAsia="en-US" w:bidi="ar-SA"/>
      </w:rPr>
    </w:lvl>
    <w:lvl w:ilvl="8" w:tplc="C972CE00">
      <w:numFmt w:val="bullet"/>
      <w:lvlText w:val="•"/>
      <w:lvlJc w:val="left"/>
      <w:pPr>
        <w:ind w:left="9372" w:hanging="990"/>
      </w:pPr>
      <w:rPr>
        <w:rFonts w:hint="default"/>
        <w:lang w:val="en-US" w:eastAsia="en-US" w:bidi="ar-SA"/>
      </w:rPr>
    </w:lvl>
  </w:abstractNum>
  <w:abstractNum w:abstractNumId="14" w15:restartNumberingAfterBreak="0">
    <w:nsid w:val="609A4A91"/>
    <w:multiLevelType w:val="hybridMultilevel"/>
    <w:tmpl w:val="D968E7E6"/>
    <w:lvl w:ilvl="0" w:tplc="FDAA2C02">
      <w:numFmt w:val="bullet"/>
      <w:lvlText w:val="•"/>
      <w:lvlJc w:val="left"/>
      <w:pPr>
        <w:ind w:left="970" w:hanging="360"/>
      </w:pPr>
      <w:rPr>
        <w:rFonts w:ascii="Times New Roman" w:eastAsia="Times New Roman" w:hAnsi="Times New Roman" w:cs="Times New Roman" w:hint="default"/>
        <w:w w:val="100"/>
        <w:lang w:val="en-US" w:eastAsia="en-US" w:bidi="ar-SA"/>
      </w:rPr>
    </w:lvl>
    <w:lvl w:ilvl="1" w:tplc="C4989E66">
      <w:numFmt w:val="bullet"/>
      <w:lvlText w:val="•"/>
      <w:lvlJc w:val="left"/>
      <w:pPr>
        <w:ind w:left="2012" w:hanging="360"/>
      </w:pPr>
      <w:rPr>
        <w:rFonts w:hint="default"/>
        <w:lang w:val="en-US" w:eastAsia="en-US" w:bidi="ar-SA"/>
      </w:rPr>
    </w:lvl>
    <w:lvl w:ilvl="2" w:tplc="33780F58">
      <w:numFmt w:val="bullet"/>
      <w:lvlText w:val="•"/>
      <w:lvlJc w:val="left"/>
      <w:pPr>
        <w:ind w:left="3044" w:hanging="360"/>
      </w:pPr>
      <w:rPr>
        <w:rFonts w:hint="default"/>
        <w:lang w:val="en-US" w:eastAsia="en-US" w:bidi="ar-SA"/>
      </w:rPr>
    </w:lvl>
    <w:lvl w:ilvl="3" w:tplc="28989380">
      <w:numFmt w:val="bullet"/>
      <w:lvlText w:val="•"/>
      <w:lvlJc w:val="left"/>
      <w:pPr>
        <w:ind w:left="4076" w:hanging="360"/>
      </w:pPr>
      <w:rPr>
        <w:rFonts w:hint="default"/>
        <w:lang w:val="en-US" w:eastAsia="en-US" w:bidi="ar-SA"/>
      </w:rPr>
    </w:lvl>
    <w:lvl w:ilvl="4" w:tplc="0FB0314A">
      <w:numFmt w:val="bullet"/>
      <w:lvlText w:val="•"/>
      <w:lvlJc w:val="left"/>
      <w:pPr>
        <w:ind w:left="5108" w:hanging="360"/>
      </w:pPr>
      <w:rPr>
        <w:rFonts w:hint="default"/>
        <w:lang w:val="en-US" w:eastAsia="en-US" w:bidi="ar-SA"/>
      </w:rPr>
    </w:lvl>
    <w:lvl w:ilvl="5" w:tplc="5FA8139A">
      <w:numFmt w:val="bullet"/>
      <w:lvlText w:val="•"/>
      <w:lvlJc w:val="left"/>
      <w:pPr>
        <w:ind w:left="6140" w:hanging="360"/>
      </w:pPr>
      <w:rPr>
        <w:rFonts w:hint="default"/>
        <w:lang w:val="en-US" w:eastAsia="en-US" w:bidi="ar-SA"/>
      </w:rPr>
    </w:lvl>
    <w:lvl w:ilvl="6" w:tplc="3D9CF296">
      <w:numFmt w:val="bullet"/>
      <w:lvlText w:val="•"/>
      <w:lvlJc w:val="left"/>
      <w:pPr>
        <w:ind w:left="7172" w:hanging="360"/>
      </w:pPr>
      <w:rPr>
        <w:rFonts w:hint="default"/>
        <w:lang w:val="en-US" w:eastAsia="en-US" w:bidi="ar-SA"/>
      </w:rPr>
    </w:lvl>
    <w:lvl w:ilvl="7" w:tplc="26284D68">
      <w:numFmt w:val="bullet"/>
      <w:lvlText w:val="•"/>
      <w:lvlJc w:val="left"/>
      <w:pPr>
        <w:ind w:left="8204" w:hanging="360"/>
      </w:pPr>
      <w:rPr>
        <w:rFonts w:hint="default"/>
        <w:lang w:val="en-US" w:eastAsia="en-US" w:bidi="ar-SA"/>
      </w:rPr>
    </w:lvl>
    <w:lvl w:ilvl="8" w:tplc="24D45840">
      <w:numFmt w:val="bullet"/>
      <w:lvlText w:val="•"/>
      <w:lvlJc w:val="left"/>
      <w:pPr>
        <w:ind w:left="9236" w:hanging="360"/>
      </w:pPr>
      <w:rPr>
        <w:rFonts w:hint="default"/>
        <w:lang w:val="en-US" w:eastAsia="en-US" w:bidi="ar-SA"/>
      </w:rPr>
    </w:lvl>
  </w:abstractNum>
  <w:num w:numId="1" w16cid:durableId="499585452">
    <w:abstractNumId w:val="7"/>
  </w:num>
  <w:num w:numId="2" w16cid:durableId="1311326354">
    <w:abstractNumId w:val="9"/>
  </w:num>
  <w:num w:numId="3" w16cid:durableId="1537768193">
    <w:abstractNumId w:val="10"/>
  </w:num>
  <w:num w:numId="4" w16cid:durableId="1725835262">
    <w:abstractNumId w:val="3"/>
  </w:num>
  <w:num w:numId="5" w16cid:durableId="208999300">
    <w:abstractNumId w:val="6"/>
  </w:num>
  <w:num w:numId="6" w16cid:durableId="2137946307">
    <w:abstractNumId w:val="11"/>
  </w:num>
  <w:num w:numId="7" w16cid:durableId="219243860">
    <w:abstractNumId w:val="0"/>
  </w:num>
  <w:num w:numId="8" w16cid:durableId="1939633980">
    <w:abstractNumId w:val="13"/>
  </w:num>
  <w:num w:numId="9" w16cid:durableId="1530679731">
    <w:abstractNumId w:val="5"/>
  </w:num>
  <w:num w:numId="10" w16cid:durableId="956175827">
    <w:abstractNumId w:val="8"/>
  </w:num>
  <w:num w:numId="11" w16cid:durableId="1454519727">
    <w:abstractNumId w:val="2"/>
  </w:num>
  <w:num w:numId="12" w16cid:durableId="652681552">
    <w:abstractNumId w:val="14"/>
  </w:num>
  <w:num w:numId="13" w16cid:durableId="1360741231">
    <w:abstractNumId w:val="12"/>
  </w:num>
  <w:num w:numId="14" w16cid:durableId="95029093">
    <w:abstractNumId w:val="4"/>
  </w:num>
  <w:num w:numId="15" w16cid:durableId="1185559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hdrShapeDefaults>
    <o:shapedefaults v:ext="edit" spidmax="22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E2255"/>
    <w:rsid w:val="00095558"/>
    <w:rsid w:val="0012611D"/>
    <w:rsid w:val="00257030"/>
    <w:rsid w:val="003A13A0"/>
    <w:rsid w:val="00494729"/>
    <w:rsid w:val="00600AD6"/>
    <w:rsid w:val="00840A2D"/>
    <w:rsid w:val="00AE2255"/>
    <w:rsid w:val="00CA717B"/>
    <w:rsid w:val="00E759F8"/>
    <w:rsid w:val="00F42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4"/>
    <o:shapelayout v:ext="edit">
      <o:idmap v:ext="edit" data="2"/>
    </o:shapelayout>
  </w:shapeDefaults>
  <w:decimalSymbol w:val="."/>
  <w:listSeparator w:val=","/>
  <w14:docId w14:val="20877B60"/>
  <w15:docId w15:val="{9695FDD6-2C26-4A1D-9657-45452F02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
      <w:ind w:left="20"/>
      <w:outlineLvl w:val="0"/>
    </w:pPr>
    <w:rPr>
      <w:b/>
      <w:bCs/>
      <w:sz w:val="20"/>
      <w:szCs w:val="20"/>
    </w:rPr>
  </w:style>
  <w:style w:type="paragraph" w:styleId="Heading2">
    <w:name w:val="heading 2"/>
    <w:basedOn w:val="Normal"/>
    <w:uiPriority w:val="9"/>
    <w:unhideWhenUsed/>
    <w:qFormat/>
    <w:pPr>
      <w:ind w:left="610"/>
      <w:outlineLvl w:val="1"/>
    </w:pPr>
    <w:rPr>
      <w:b/>
      <w:bCs/>
      <w:sz w:val="20"/>
      <w:szCs w:val="20"/>
    </w:rPr>
  </w:style>
  <w:style w:type="paragraph" w:styleId="Heading3">
    <w:name w:val="heading 3"/>
    <w:basedOn w:val="Normal"/>
    <w:uiPriority w:val="9"/>
    <w:unhideWhenUsed/>
    <w:qFormat/>
    <w:pPr>
      <w:ind w:left="61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5"/>
      <w:ind w:left="662"/>
    </w:pPr>
    <w:rPr>
      <w:sz w:val="20"/>
      <w:szCs w:val="20"/>
      <w:u w:val="single" w:color="000000"/>
    </w:rPr>
  </w:style>
  <w:style w:type="paragraph" w:styleId="TOC2">
    <w:name w:val="toc 2"/>
    <w:basedOn w:val="Normal"/>
    <w:uiPriority w:val="1"/>
    <w:qFormat/>
    <w:pPr>
      <w:spacing w:before="108"/>
      <w:ind w:left="610" w:right="513" w:firstLine="360"/>
    </w:pPr>
    <w:rPr>
      <w:sz w:val="20"/>
      <w:szCs w:val="20"/>
    </w:rPr>
  </w:style>
  <w:style w:type="paragraph" w:styleId="TOC3">
    <w:name w:val="toc 3"/>
    <w:basedOn w:val="Normal"/>
    <w:uiPriority w:val="1"/>
    <w:qFormat/>
    <w:pPr>
      <w:spacing w:before="65"/>
      <w:ind w:left="10349"/>
    </w:pPr>
    <w:rPr>
      <w:b/>
      <w:bCs/>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652" w:hanging="360"/>
    </w:pPr>
  </w:style>
  <w:style w:type="paragraph" w:customStyle="1" w:styleId="TableParagraph">
    <w:name w:val="Table Paragraph"/>
    <w:basedOn w:val="Normal"/>
    <w:uiPriority w:val="1"/>
    <w:qFormat/>
    <w:pPr>
      <w:spacing w:before="25"/>
      <w:jc w:val="right"/>
    </w:pPr>
  </w:style>
  <w:style w:type="paragraph" w:styleId="Header">
    <w:name w:val="header"/>
    <w:basedOn w:val="Normal"/>
    <w:link w:val="HeaderChar"/>
    <w:uiPriority w:val="99"/>
    <w:unhideWhenUsed/>
    <w:rsid w:val="00CA717B"/>
    <w:pPr>
      <w:tabs>
        <w:tab w:val="center" w:pos="4680"/>
        <w:tab w:val="right" w:pos="9360"/>
      </w:tabs>
    </w:pPr>
  </w:style>
  <w:style w:type="character" w:customStyle="1" w:styleId="HeaderChar">
    <w:name w:val="Header Char"/>
    <w:basedOn w:val="DefaultParagraphFont"/>
    <w:link w:val="Header"/>
    <w:uiPriority w:val="99"/>
    <w:rsid w:val="00CA717B"/>
    <w:rPr>
      <w:rFonts w:ascii="Times New Roman" w:eastAsia="Times New Roman" w:hAnsi="Times New Roman" w:cs="Times New Roman"/>
    </w:rPr>
  </w:style>
  <w:style w:type="paragraph" w:styleId="Footer">
    <w:name w:val="footer"/>
    <w:basedOn w:val="Normal"/>
    <w:link w:val="FooterChar"/>
    <w:uiPriority w:val="99"/>
    <w:unhideWhenUsed/>
    <w:rsid w:val="00CA717B"/>
    <w:pPr>
      <w:tabs>
        <w:tab w:val="center" w:pos="4680"/>
        <w:tab w:val="right" w:pos="9360"/>
      </w:tabs>
    </w:pPr>
  </w:style>
  <w:style w:type="character" w:customStyle="1" w:styleId="FooterChar">
    <w:name w:val="Footer Char"/>
    <w:basedOn w:val="DefaultParagraphFont"/>
    <w:link w:val="Footer"/>
    <w:uiPriority w:val="99"/>
    <w:rsid w:val="00CA717B"/>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40A2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sec.gov/Archives/edgar/data/936468/000093646822000048/ex102q12022.htm" TargetMode="External"/><Relationship Id="rId21" Type="http://schemas.openxmlformats.org/officeDocument/2006/relationships/hyperlink" Target="http://www.sec.gov/Archives/edgar/data/936468/000093646822000008/ex41q42021.htm" TargetMode="External"/><Relationship Id="rId42" Type="http://schemas.openxmlformats.org/officeDocument/2006/relationships/hyperlink" Target="http://www.sec.gov/Archives/edgar/data/936468/000119312512505053/d454318dex991.htm" TargetMode="External"/><Relationship Id="rId63" Type="http://schemas.openxmlformats.org/officeDocument/2006/relationships/hyperlink" Target="http://www.sec.gov/Archives/edgar/data/936468/000093646820000016/ex1031q42019.htm" TargetMode="External"/><Relationship Id="rId84" Type="http://schemas.openxmlformats.org/officeDocument/2006/relationships/hyperlink" Target="http://www.sec.gov/Archives/edgar/data/936468/000093646820000056/ex101q12020.htm" TargetMode="External"/><Relationship Id="rId138" Type="http://schemas.openxmlformats.org/officeDocument/2006/relationships/hyperlink" Target="http://www.sec.gov/Archives/edgar/data/936468/000093646822000048/ex109q12022.htm" TargetMode="External"/><Relationship Id="rId159" Type="http://schemas.openxmlformats.org/officeDocument/2006/relationships/header" Target="header4.xml"/><Relationship Id="rId170" Type="http://schemas.openxmlformats.org/officeDocument/2006/relationships/footer" Target="footer8.xml"/><Relationship Id="rId191" Type="http://schemas.openxmlformats.org/officeDocument/2006/relationships/header" Target="header20.xml"/><Relationship Id="rId107" Type="http://schemas.openxmlformats.org/officeDocument/2006/relationships/hyperlink" Target="http://www.sec.gov/Archives/edgar/data/936468/000093646821000044/ex102q12021.htm" TargetMode="External"/><Relationship Id="rId11" Type="http://schemas.openxmlformats.org/officeDocument/2006/relationships/hyperlink" Target="http://www.lockheedmartin.com/investor" TargetMode="External"/><Relationship Id="rId32" Type="http://schemas.openxmlformats.org/officeDocument/2006/relationships/hyperlink" Target="http://www.sec.gov/Archives/edgar/data/936468/000119312510128266/dex991.htm" TargetMode="External"/><Relationship Id="rId53" Type="http://schemas.openxmlformats.org/officeDocument/2006/relationships/hyperlink" Target="http://www.sec.gov/Archives/edgar/data/936468/000119312509038670/dex102.htm" TargetMode="External"/><Relationship Id="rId74" Type="http://schemas.openxmlformats.org/officeDocument/2006/relationships/hyperlink" Target="https://www.sec.gov/Archives/edgar/data/936468/000093646821000013/ex1012q42020.htm" TargetMode="External"/><Relationship Id="rId128" Type="http://schemas.openxmlformats.org/officeDocument/2006/relationships/hyperlink" Target="http://www.sec.gov/Archives/edgar/data/936468/000093646820000125/ex102q32020.htm" TargetMode="External"/><Relationship Id="rId149" Type="http://schemas.openxmlformats.org/officeDocument/2006/relationships/hyperlink" Target="http://www.sec.gov/Archives/edgar/data/936468/000093646820000125/ex101q32020.htm" TargetMode="External"/><Relationship Id="rId5" Type="http://schemas.openxmlformats.org/officeDocument/2006/relationships/footnotes" Target="footnotes.xml"/><Relationship Id="rId95" Type="http://schemas.openxmlformats.org/officeDocument/2006/relationships/hyperlink" Target="http://www.sec.gov/Archives/edgar/data/936468/000093646820000115/ex102q22020.htm" TargetMode="External"/><Relationship Id="rId160" Type="http://schemas.openxmlformats.org/officeDocument/2006/relationships/footer" Target="footer3.xml"/><Relationship Id="rId181" Type="http://schemas.openxmlformats.org/officeDocument/2006/relationships/header" Target="header15.xml"/><Relationship Id="rId22" Type="http://schemas.openxmlformats.org/officeDocument/2006/relationships/hyperlink" Target="http://www.sec.gov/Archives/edgar/data/936468/000093646818000009/ex41q42017.htm" TargetMode="External"/><Relationship Id="rId43" Type="http://schemas.openxmlformats.org/officeDocument/2006/relationships/hyperlink" Target="http://www.sec.gov/Archives/edgar/data/936468/000119312517279340/d453584dex991.htm" TargetMode="External"/><Relationship Id="rId64" Type="http://schemas.openxmlformats.org/officeDocument/2006/relationships/hyperlink" Target="http://www.sec.gov/Archives/edgar/data/936468/000093646820000016/ex1031q42019.htm" TargetMode="External"/><Relationship Id="rId118" Type="http://schemas.openxmlformats.org/officeDocument/2006/relationships/hyperlink" Target="http://www.sec.gov/Archives/edgar/data/936468/000093646822000048/ex102q12022.htm" TargetMode="External"/><Relationship Id="rId139" Type="http://schemas.openxmlformats.org/officeDocument/2006/relationships/hyperlink" Target="http://www.sec.gov/Archives/edgar/data/936468/000093646822000048/ex109q12022.htm" TargetMode="External"/><Relationship Id="rId85" Type="http://schemas.openxmlformats.org/officeDocument/2006/relationships/hyperlink" Target="http://www.sec.gov/Archives/edgar/data/936468/000093646820000056/ex101q12020.htm" TargetMode="External"/><Relationship Id="rId150" Type="http://schemas.openxmlformats.org/officeDocument/2006/relationships/hyperlink" Target="http://www.sec.gov/Archives/edgar/data/936468/000093646820000125/ex101q32020.htm" TargetMode="External"/><Relationship Id="rId171" Type="http://schemas.openxmlformats.org/officeDocument/2006/relationships/header" Target="header10.xml"/><Relationship Id="rId192" Type="http://schemas.openxmlformats.org/officeDocument/2006/relationships/footer" Target="footer19.xml"/><Relationship Id="rId12" Type="http://schemas.openxmlformats.org/officeDocument/2006/relationships/hyperlink" Target="http://www.sec.gov/" TargetMode="External"/><Relationship Id="rId33" Type="http://schemas.openxmlformats.org/officeDocument/2006/relationships/hyperlink" Target="http://www.sec.gov/Archives/edgar/data/936468/000119312510128266/dex991.htm" TargetMode="External"/><Relationship Id="rId108" Type="http://schemas.openxmlformats.org/officeDocument/2006/relationships/hyperlink" Target="http://www.sec.gov/Archives/edgar/data/936468/000093646821000044/ex102q12021.htm" TargetMode="External"/><Relationship Id="rId129" Type="http://schemas.openxmlformats.org/officeDocument/2006/relationships/hyperlink" Target="http://www.sec.gov/Archives/edgar/data/936468/000093646820000125/ex102q32020.htm" TargetMode="External"/><Relationship Id="rId54" Type="http://schemas.openxmlformats.org/officeDocument/2006/relationships/hyperlink" Target="http://www.sec.gov/Archives/edgar/data/936468/000119312506222275/dex101.htm" TargetMode="External"/><Relationship Id="rId75" Type="http://schemas.openxmlformats.org/officeDocument/2006/relationships/hyperlink" Target="https://www.sec.gov/Archives/edgar/data/936468/000093646822000048/ex108q12022.htm" TargetMode="External"/><Relationship Id="rId96" Type="http://schemas.openxmlformats.org/officeDocument/2006/relationships/hyperlink" Target="http://www.sec.gov/Archives/edgar/data/936468/000093646820000115/ex102q22020.htm" TargetMode="External"/><Relationship Id="rId140" Type="http://schemas.openxmlformats.org/officeDocument/2006/relationships/hyperlink" Target="http://www.sec.gov/Archives/edgar/data/936468/000119312517036192/d290249dex1026.htm" TargetMode="External"/><Relationship Id="rId161" Type="http://schemas.openxmlformats.org/officeDocument/2006/relationships/header" Target="header5.xml"/><Relationship Id="rId182" Type="http://schemas.openxmlformats.org/officeDocument/2006/relationships/footer" Target="footer14.xml"/><Relationship Id="rId6" Type="http://schemas.openxmlformats.org/officeDocument/2006/relationships/endnotes" Target="endnotes.xml"/><Relationship Id="rId23" Type="http://schemas.openxmlformats.org/officeDocument/2006/relationships/hyperlink" Target="http://www.sec.gov/Archives/edgar/data/936468/000093646818000009/ex41q42017.htm" TargetMode="External"/><Relationship Id="rId119" Type="http://schemas.openxmlformats.org/officeDocument/2006/relationships/hyperlink" Target="http://www.sec.gov/Archives/edgar/data/936468/000093646822000048/ex103q12022.htm" TargetMode="External"/><Relationship Id="rId44" Type="http://schemas.openxmlformats.org/officeDocument/2006/relationships/hyperlink" Target="http://www.sec.gov/Archives/edgar/data/936468/000119312517279340/d453584dex991.htm" TargetMode="External"/><Relationship Id="rId65" Type="http://schemas.openxmlformats.org/officeDocument/2006/relationships/hyperlink" Target="http://www.sec.gov/Archives/edgar/data/936468/000093646820000016/ex1031q42019.htm" TargetMode="External"/><Relationship Id="rId86" Type="http://schemas.openxmlformats.org/officeDocument/2006/relationships/hyperlink" Target="http://www.sec.gov/Archives/edgar/data/936468/000093646820000056/ex101q12020.htm" TargetMode="External"/><Relationship Id="rId130" Type="http://schemas.openxmlformats.org/officeDocument/2006/relationships/hyperlink" Target="http://www.sec.gov/Archives/edgar/data/936468/000093646820000125/ex102q32020.htm" TargetMode="External"/><Relationship Id="rId151" Type="http://schemas.openxmlformats.org/officeDocument/2006/relationships/hyperlink" Target="http://www.sec.gov/Archives/edgar/data/936468/000093646820000125/ex101q32020.htm" TargetMode="External"/><Relationship Id="rId172" Type="http://schemas.openxmlformats.org/officeDocument/2006/relationships/footer" Target="footer9.xml"/><Relationship Id="rId193" Type="http://schemas.openxmlformats.org/officeDocument/2006/relationships/header" Target="header21.xml"/><Relationship Id="rId13" Type="http://schemas.openxmlformats.org/officeDocument/2006/relationships/hyperlink" Target="http://www.lockheedmartin.com/investor" TargetMode="External"/><Relationship Id="rId109" Type="http://schemas.openxmlformats.org/officeDocument/2006/relationships/hyperlink" Target="http://www.sec.gov/Archives/edgar/data/936468/000093646821000044/ex102q12021.htm" TargetMode="External"/><Relationship Id="rId34" Type="http://schemas.openxmlformats.org/officeDocument/2006/relationships/hyperlink" Target="http://www.sec.gov/Archives/edgar/data/936468/000093646820000085/ex412011indenture.htm" TargetMode="External"/><Relationship Id="rId50" Type="http://schemas.openxmlformats.org/officeDocument/2006/relationships/hyperlink" Target="http://www.sec.gov/Archives/edgar/data/936468/000093646822000120/ex103q32022.htm" TargetMode="External"/><Relationship Id="rId55" Type="http://schemas.openxmlformats.org/officeDocument/2006/relationships/hyperlink" Target="http://www.sec.gov/Archives/edgar/data/936468/000119312506222275/dex101.htm" TargetMode="External"/><Relationship Id="rId76" Type="http://schemas.openxmlformats.org/officeDocument/2006/relationships/hyperlink" Target="https://www.sec.gov/Archives/edgar/data/936468/000093646822000048/ex108q12022.htm" TargetMode="External"/><Relationship Id="rId97" Type="http://schemas.openxmlformats.org/officeDocument/2006/relationships/hyperlink" Target="http://www.sec.gov/Archives/edgar/data/936468/000093646820000115/ex102q22020.htm" TargetMode="External"/><Relationship Id="rId104" Type="http://schemas.openxmlformats.org/officeDocument/2006/relationships/hyperlink" Target="http://www.sec.gov/Archives/edgar/data/936468/000093646821000044/ex101q12021.htm" TargetMode="External"/><Relationship Id="rId120" Type="http://schemas.openxmlformats.org/officeDocument/2006/relationships/hyperlink" Target="http://www.sec.gov/Archives/edgar/data/936468/000093646822000048/ex103q12022.htm" TargetMode="External"/><Relationship Id="rId125" Type="http://schemas.openxmlformats.org/officeDocument/2006/relationships/hyperlink" Target="http://www.sec.gov/Archives/edgar/data/936468/000093646822000048/ex105q12022.htm" TargetMode="External"/><Relationship Id="rId141" Type="http://schemas.openxmlformats.org/officeDocument/2006/relationships/hyperlink" Target="http://www.sec.gov/Archives/edgar/data/936468/000119312517036192/d290249dex1026.htm" TargetMode="External"/><Relationship Id="rId146" Type="http://schemas.openxmlformats.org/officeDocument/2006/relationships/hyperlink" Target="http://www.sec.gov/Archives/edgar/data/936468/000093646820000115/ex1062q2020.htm" TargetMode="External"/><Relationship Id="rId167" Type="http://schemas.openxmlformats.org/officeDocument/2006/relationships/header" Target="header8.xml"/><Relationship Id="rId188" Type="http://schemas.openxmlformats.org/officeDocument/2006/relationships/footer" Target="footer17.xml"/><Relationship Id="rId7" Type="http://schemas.openxmlformats.org/officeDocument/2006/relationships/header" Target="header1.xml"/><Relationship Id="rId71" Type="http://schemas.openxmlformats.org/officeDocument/2006/relationships/hyperlink" Target="http://www.sec.gov/Archives/edgar/data/936468/000093646820000016/ex108q42019.htm" TargetMode="External"/><Relationship Id="rId92" Type="http://schemas.openxmlformats.org/officeDocument/2006/relationships/hyperlink" Target="http://www.sec.gov/Archives/edgar/data/936468/000093646820000056/ex103q12020.htm" TargetMode="External"/><Relationship Id="rId162" Type="http://schemas.openxmlformats.org/officeDocument/2006/relationships/footer" Target="footer4.xml"/><Relationship Id="rId183" Type="http://schemas.openxmlformats.org/officeDocument/2006/relationships/header" Target="header16.xml"/><Relationship Id="rId2" Type="http://schemas.openxmlformats.org/officeDocument/2006/relationships/styles" Target="styles.xml"/><Relationship Id="rId29" Type="http://schemas.openxmlformats.org/officeDocument/2006/relationships/hyperlink" Target="http://www.sec.gov/Archives/edgar/data/936468/000119312508053896/dex41.htm" TargetMode="External"/><Relationship Id="rId24" Type="http://schemas.openxmlformats.org/officeDocument/2006/relationships/hyperlink" Target="http://www.sec.gov/Archives/edgar/data/936468/000093646818000009/ex41q42017.htm" TargetMode="External"/><Relationship Id="rId40" Type="http://schemas.openxmlformats.org/officeDocument/2006/relationships/hyperlink" Target="http://www.sec.gov/Archives/edgar/data/936468/000119312512505053/d454318dex991.htm" TargetMode="External"/><Relationship Id="rId45" Type="http://schemas.openxmlformats.org/officeDocument/2006/relationships/hyperlink" Target="http://www.sec.gov/Archives/edgar/data/936468/000119312517279340/d453584dex991.htm" TargetMode="External"/><Relationship Id="rId66" Type="http://schemas.openxmlformats.org/officeDocument/2006/relationships/hyperlink" Target="http://www.sec.gov/Archives/edgar/data/936468/000119312516476010/d62685dex1022.htm" TargetMode="External"/><Relationship Id="rId87" Type="http://schemas.openxmlformats.org/officeDocument/2006/relationships/hyperlink" Target="http://www.sec.gov/Archives/edgar/data/936468/000093646820000056/ex102q12020.htm" TargetMode="External"/><Relationship Id="rId110" Type="http://schemas.openxmlformats.org/officeDocument/2006/relationships/hyperlink" Target="http://www.sec.gov/Archives/edgar/data/936468/000093646821000044/ex103q12021.htm" TargetMode="External"/><Relationship Id="rId115" Type="http://schemas.openxmlformats.org/officeDocument/2006/relationships/hyperlink" Target="http://www.sec.gov/Archives/edgar/data/936468/000093646822000048/ex101q12022.htm" TargetMode="External"/><Relationship Id="rId131" Type="http://schemas.openxmlformats.org/officeDocument/2006/relationships/hyperlink" Target="http://www.sec.gov/Archives/edgar/data/936468/000093646821000044/ex104q12021.htm" TargetMode="External"/><Relationship Id="rId136" Type="http://schemas.openxmlformats.org/officeDocument/2006/relationships/hyperlink" Target="http://www.sec.gov/Archives/edgar/data/936468/000093646821000072/ex101q22021.htm" TargetMode="External"/><Relationship Id="rId157" Type="http://schemas.openxmlformats.org/officeDocument/2006/relationships/header" Target="header3.xml"/><Relationship Id="rId178" Type="http://schemas.openxmlformats.org/officeDocument/2006/relationships/footer" Target="footer12.xml"/><Relationship Id="rId61" Type="http://schemas.openxmlformats.org/officeDocument/2006/relationships/hyperlink" Target="http://www.sec.gov/Archives/edgar/data/936468/000119312515141818/d887742dex104.htm" TargetMode="External"/><Relationship Id="rId82" Type="http://schemas.openxmlformats.org/officeDocument/2006/relationships/hyperlink" Target="http://www.sec.gov/Archives/edgar/data/936468/000093646819000009/ex1013q42018.htm" TargetMode="External"/><Relationship Id="rId152" Type="http://schemas.openxmlformats.org/officeDocument/2006/relationships/hyperlink" Target="http://www.sec.gov/Archives/edgar/data/936468/000093646822000120/ex101q32022.htm" TargetMode="External"/><Relationship Id="rId173" Type="http://schemas.openxmlformats.org/officeDocument/2006/relationships/header" Target="header11.xml"/><Relationship Id="rId194" Type="http://schemas.openxmlformats.org/officeDocument/2006/relationships/footer" Target="footer20.xml"/><Relationship Id="rId19" Type="http://schemas.openxmlformats.org/officeDocument/2006/relationships/hyperlink" Target="http://www.sec.gov/Archives/edgar/data/936468/000093646820000037/lmtbylaws040820.htm" TargetMode="External"/><Relationship Id="rId14" Type="http://schemas.openxmlformats.org/officeDocument/2006/relationships/hyperlink" Target="http://www.sec.gov/Archives/edgar/data/936468/000119312511045739/dex31.htm" TargetMode="External"/><Relationship Id="rId30" Type="http://schemas.openxmlformats.org/officeDocument/2006/relationships/hyperlink" Target="http://www.sec.gov/Archives/edgar/data/936468/000119312508053896/dex41.htm" TargetMode="External"/><Relationship Id="rId35" Type="http://schemas.openxmlformats.org/officeDocument/2006/relationships/hyperlink" Target="http://www.sec.gov/Archives/edgar/data/936468/000093646820000085/ex412011indenture.htm" TargetMode="External"/><Relationship Id="rId56" Type="http://schemas.openxmlformats.org/officeDocument/2006/relationships/hyperlink" Target="http://www.sec.gov/Archives/edgar/data/936468/000093646818000025/ex1018k042618.htm" TargetMode="External"/><Relationship Id="rId77" Type="http://schemas.openxmlformats.org/officeDocument/2006/relationships/hyperlink" Target="https://www.sec.gov/Archives/edgar/data/936468/000093646822000048/ex108q12022.htm" TargetMode="External"/><Relationship Id="rId100" Type="http://schemas.openxmlformats.org/officeDocument/2006/relationships/hyperlink" Target="http://www.sec.gov/Archives/edgar/data/936468/000093646820000115/ex103q22020.htm" TargetMode="External"/><Relationship Id="rId105" Type="http://schemas.openxmlformats.org/officeDocument/2006/relationships/hyperlink" Target="http://www.sec.gov/Archives/edgar/data/936468/000093646821000044/ex101q12021.htm" TargetMode="External"/><Relationship Id="rId126" Type="http://schemas.openxmlformats.org/officeDocument/2006/relationships/hyperlink" Target="http://www.sec.gov/Archives/edgar/data/936468/000093646822000048/ex105q12022.htm" TargetMode="External"/><Relationship Id="rId147" Type="http://schemas.openxmlformats.org/officeDocument/2006/relationships/hyperlink" Target="http://www.sec.gov/Archives/edgar/data/936468/000093646820000115/ex1062q2020.htm" TargetMode="External"/><Relationship Id="rId168" Type="http://schemas.openxmlformats.org/officeDocument/2006/relationships/footer" Target="footer7.xml"/><Relationship Id="rId8" Type="http://schemas.openxmlformats.org/officeDocument/2006/relationships/header" Target="header2.xml"/><Relationship Id="rId51" Type="http://schemas.openxmlformats.org/officeDocument/2006/relationships/hyperlink" Target="http://www.sec.gov/Archives/edgar/data/936468/000119312509038670/dex102.htm" TargetMode="External"/><Relationship Id="rId72" Type="http://schemas.openxmlformats.org/officeDocument/2006/relationships/hyperlink" Target="https://www.sec.gov/Archives/edgar/data/936468/000093646821000013/ex1012q42020.htm" TargetMode="External"/><Relationship Id="rId93" Type="http://schemas.openxmlformats.org/officeDocument/2006/relationships/hyperlink" Target="http://www.sec.gov/Archives/edgar/data/936468/000093646820000059/a2020ipap042320.htm" TargetMode="External"/><Relationship Id="rId98" Type="http://schemas.openxmlformats.org/officeDocument/2006/relationships/hyperlink" Target="http://www.sec.gov/Archives/edgar/data/936468/000093646820000115/ex103q22020.htm" TargetMode="External"/><Relationship Id="rId121" Type="http://schemas.openxmlformats.org/officeDocument/2006/relationships/hyperlink" Target="http://www.sec.gov/Archives/edgar/data/936468/000093646822000048/ex103q12022.htm" TargetMode="External"/><Relationship Id="rId142" Type="http://schemas.openxmlformats.org/officeDocument/2006/relationships/hyperlink" Target="http://www.sec.gov/Archives/edgar/data/936468/000119312517036192/d290249dex1026.htm" TargetMode="External"/><Relationship Id="rId163" Type="http://schemas.openxmlformats.org/officeDocument/2006/relationships/header" Target="header6.xml"/><Relationship Id="rId184" Type="http://schemas.openxmlformats.org/officeDocument/2006/relationships/footer" Target="footer15.xml"/><Relationship Id="rId189" Type="http://schemas.openxmlformats.org/officeDocument/2006/relationships/header" Target="header19.xml"/><Relationship Id="rId3" Type="http://schemas.openxmlformats.org/officeDocument/2006/relationships/settings" Target="settings.xml"/><Relationship Id="rId25" Type="http://schemas.openxmlformats.org/officeDocument/2006/relationships/hyperlink" Target="http://www.sec.gov/Archives/edgar/data/936468/000119312506182765/dex991.htm" TargetMode="External"/><Relationship Id="rId46" Type="http://schemas.openxmlformats.org/officeDocument/2006/relationships/hyperlink" Target="http://www.sec.gov/Archives/edgar/data/936468/000093646822000106/lmt-revolvingcreditagreeme.htm" TargetMode="External"/><Relationship Id="rId67" Type="http://schemas.openxmlformats.org/officeDocument/2006/relationships/hyperlink" Target="http://www.sec.gov/Archives/edgar/data/936468/000119312516476010/d62685dex1022.htm" TargetMode="External"/><Relationship Id="rId116" Type="http://schemas.openxmlformats.org/officeDocument/2006/relationships/hyperlink" Target="http://www.sec.gov/Archives/edgar/data/936468/000093646822000048/ex102q12022.htm" TargetMode="External"/><Relationship Id="rId137" Type="http://schemas.openxmlformats.org/officeDocument/2006/relationships/hyperlink" Target="http://www.sec.gov/Archives/edgar/data/936468/000093646822000048/ex109q12022.htm" TargetMode="External"/><Relationship Id="rId158" Type="http://schemas.openxmlformats.org/officeDocument/2006/relationships/footer" Target="footer2.xml"/><Relationship Id="rId20" Type="http://schemas.openxmlformats.org/officeDocument/2006/relationships/hyperlink" Target="http://www.sec.gov/Archives/edgar/data/936468/000093646822000008/ex41q42021.htm" TargetMode="External"/><Relationship Id="rId41" Type="http://schemas.openxmlformats.org/officeDocument/2006/relationships/hyperlink" Target="http://www.sec.gov/Archives/edgar/data/936468/000119312512505053/d454318dex991.htm" TargetMode="External"/><Relationship Id="rId62" Type="http://schemas.openxmlformats.org/officeDocument/2006/relationships/hyperlink" Target="http://www.sec.gov/Archives/edgar/data/936468/000119312515141818/d887742dex104.htm" TargetMode="External"/><Relationship Id="rId83" Type="http://schemas.openxmlformats.org/officeDocument/2006/relationships/hyperlink" Target="http://www.sec.gov/Archives/edgar/data/936468/000093646819000009/ex1013q42018.htm" TargetMode="External"/><Relationship Id="rId88" Type="http://schemas.openxmlformats.org/officeDocument/2006/relationships/hyperlink" Target="http://www.sec.gov/Archives/edgar/data/936468/000093646820000056/ex102q12020.htm" TargetMode="External"/><Relationship Id="rId111" Type="http://schemas.openxmlformats.org/officeDocument/2006/relationships/hyperlink" Target="http://www.sec.gov/Archives/edgar/data/936468/000093646821000044/ex103q12021.htm" TargetMode="External"/><Relationship Id="rId132" Type="http://schemas.openxmlformats.org/officeDocument/2006/relationships/hyperlink" Target="http://www.sec.gov/Archives/edgar/data/936468/000093646821000044/ex104q12021.htm" TargetMode="External"/><Relationship Id="rId153" Type="http://schemas.openxmlformats.org/officeDocument/2006/relationships/hyperlink" Target="http://www.sec.gov/Archives/edgar/data/936468/000093646822000120/ex101q32022.htm" TargetMode="External"/><Relationship Id="rId174" Type="http://schemas.openxmlformats.org/officeDocument/2006/relationships/footer" Target="footer10.xml"/><Relationship Id="rId179" Type="http://schemas.openxmlformats.org/officeDocument/2006/relationships/header" Target="header14.xml"/><Relationship Id="rId195" Type="http://schemas.openxmlformats.org/officeDocument/2006/relationships/fontTable" Target="fontTable.xml"/><Relationship Id="rId190" Type="http://schemas.openxmlformats.org/officeDocument/2006/relationships/footer" Target="footer18.xml"/><Relationship Id="rId15" Type="http://schemas.openxmlformats.org/officeDocument/2006/relationships/hyperlink" Target="http://www.sec.gov/Archives/edgar/data/936468/000119312511045739/dex31.htm" TargetMode="External"/><Relationship Id="rId36" Type="http://schemas.openxmlformats.org/officeDocument/2006/relationships/hyperlink" Target="http://www.sec.gov/Archives/edgar/data/936468/000093646820000085/ex412011indenture.htm" TargetMode="External"/><Relationship Id="rId57" Type="http://schemas.openxmlformats.org/officeDocument/2006/relationships/hyperlink" Target="http://www.sec.gov/Archives/edgar/data/936468/000093646818000025/ex1018k042618.htm" TargetMode="External"/><Relationship Id="rId106" Type="http://schemas.openxmlformats.org/officeDocument/2006/relationships/hyperlink" Target="http://www.sec.gov/Archives/edgar/data/936468/000093646821000044/ex101q12021.htm" TargetMode="External"/><Relationship Id="rId127" Type="http://schemas.openxmlformats.org/officeDocument/2006/relationships/hyperlink" Target="http://www.sec.gov/Archives/edgar/data/936468/000093646822000048/ex105q12022.htm" TargetMode="External"/><Relationship Id="rId10" Type="http://schemas.openxmlformats.org/officeDocument/2006/relationships/hyperlink" Target="http://www.lockheedmartin.com/" TargetMode="External"/><Relationship Id="rId31" Type="http://schemas.openxmlformats.org/officeDocument/2006/relationships/hyperlink" Target="http://www.sec.gov/Archives/edgar/data/936468/000119312510128266/dex991.htm" TargetMode="External"/><Relationship Id="rId52" Type="http://schemas.openxmlformats.org/officeDocument/2006/relationships/hyperlink" Target="http://www.sec.gov/Archives/edgar/data/936468/000119312509038670/dex102.htm" TargetMode="External"/><Relationship Id="rId73" Type="http://schemas.openxmlformats.org/officeDocument/2006/relationships/hyperlink" Target="https://www.sec.gov/Archives/edgar/data/936468/000093646821000013/ex1012q42020.htm" TargetMode="External"/><Relationship Id="rId78" Type="http://schemas.openxmlformats.org/officeDocument/2006/relationships/hyperlink" Target="http://www.sec.gov/Archives/edgar/data/936468/000093646822000048/ex106q12022.htm" TargetMode="External"/><Relationship Id="rId94" Type="http://schemas.openxmlformats.org/officeDocument/2006/relationships/hyperlink" Target="http://www.sec.gov/Archives/edgar/data/936468/000093646820000059/a2020ipap042320.htm" TargetMode="External"/><Relationship Id="rId99" Type="http://schemas.openxmlformats.org/officeDocument/2006/relationships/hyperlink" Target="http://www.sec.gov/Archives/edgar/data/936468/000093646820000115/ex103q22020.htm" TargetMode="External"/><Relationship Id="rId101" Type="http://schemas.openxmlformats.org/officeDocument/2006/relationships/hyperlink" Target="http://www.sec.gov/Archives/edgar/data/936468/000093646820000115/ex104q22020.htm" TargetMode="External"/><Relationship Id="rId122" Type="http://schemas.openxmlformats.org/officeDocument/2006/relationships/hyperlink" Target="http://www.sec.gov/Archives/edgar/data/936468/000093646822000048/ex104q12022.htm" TargetMode="External"/><Relationship Id="rId143" Type="http://schemas.openxmlformats.org/officeDocument/2006/relationships/hyperlink" Target="http://www.sec.gov/Archives/edgar/data/936468/000093646818000053/ex101q22018.htm" TargetMode="External"/><Relationship Id="rId148" Type="http://schemas.openxmlformats.org/officeDocument/2006/relationships/hyperlink" Target="http://www.sec.gov/Archives/edgar/data/936468/000093646820000115/ex1062q2020.htm" TargetMode="External"/><Relationship Id="rId164" Type="http://schemas.openxmlformats.org/officeDocument/2006/relationships/footer" Target="footer5.xml"/><Relationship Id="rId169" Type="http://schemas.openxmlformats.org/officeDocument/2006/relationships/header" Target="header9.xml"/><Relationship Id="rId185"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footer" Target="footer13.xml"/><Relationship Id="rId26" Type="http://schemas.openxmlformats.org/officeDocument/2006/relationships/hyperlink" Target="http://www.sec.gov/Archives/edgar/data/936468/000119312506182765/dex991.htm" TargetMode="External"/><Relationship Id="rId47" Type="http://schemas.openxmlformats.org/officeDocument/2006/relationships/hyperlink" Target="http://www.sec.gov/Archives/edgar/data/936468/000093646822000106/lmt-revolvingcreditagreeme.htm" TargetMode="External"/><Relationship Id="rId68" Type="http://schemas.openxmlformats.org/officeDocument/2006/relationships/hyperlink" Target="http://www.sec.gov/Archives/edgar/data/936468/000119312516476010/d62685dex1022.htm" TargetMode="External"/><Relationship Id="rId89" Type="http://schemas.openxmlformats.org/officeDocument/2006/relationships/hyperlink" Target="http://www.sec.gov/Archives/edgar/data/936468/000093646820000056/ex102q12020.htm" TargetMode="External"/><Relationship Id="rId112" Type="http://schemas.openxmlformats.org/officeDocument/2006/relationships/hyperlink" Target="http://www.sec.gov/Archives/edgar/data/936468/000093646821000044/ex103q12021.htm" TargetMode="External"/><Relationship Id="rId133" Type="http://schemas.openxmlformats.org/officeDocument/2006/relationships/hyperlink" Target="http://www.sec.gov/Archives/edgar/data/936468/000093646821000044/ex104q12021.htm" TargetMode="External"/><Relationship Id="rId154" Type="http://schemas.openxmlformats.org/officeDocument/2006/relationships/hyperlink" Target="http://www.sec.gov/Archives/edgar/data/936468/000093646822000120/ex101q32022.htm" TargetMode="External"/><Relationship Id="rId175" Type="http://schemas.openxmlformats.org/officeDocument/2006/relationships/header" Target="header12.xml"/><Relationship Id="rId196" Type="http://schemas.openxmlformats.org/officeDocument/2006/relationships/theme" Target="theme/theme1.xml"/><Relationship Id="rId16" Type="http://schemas.openxmlformats.org/officeDocument/2006/relationships/hyperlink" Target="http://www.sec.gov/Archives/edgar/data/936468/000119312511045739/dex31.htm" TargetMode="External"/><Relationship Id="rId37" Type="http://schemas.openxmlformats.org/officeDocument/2006/relationships/hyperlink" Target="http://www.sec.gov/Archives/edgar/data/936468/000119312522112230/d314321dex41.htm" TargetMode="External"/><Relationship Id="rId58" Type="http://schemas.openxmlformats.org/officeDocument/2006/relationships/hyperlink" Target="http://www.sec.gov/Archives/edgar/data/936468/000119312510040520/dex1034.htm" TargetMode="External"/><Relationship Id="rId79" Type="http://schemas.openxmlformats.org/officeDocument/2006/relationships/hyperlink" Target="http://www.sec.gov/Archives/edgar/data/936468/000093646822000048/ex106q12022.htm" TargetMode="External"/><Relationship Id="rId102" Type="http://schemas.openxmlformats.org/officeDocument/2006/relationships/hyperlink" Target="http://www.sec.gov/Archives/edgar/data/936468/000093646820000115/ex104q22020.htm" TargetMode="External"/><Relationship Id="rId123" Type="http://schemas.openxmlformats.org/officeDocument/2006/relationships/hyperlink" Target="http://www.sec.gov/Archives/edgar/data/936468/000093646822000048/ex104q12022.htm" TargetMode="External"/><Relationship Id="rId144" Type="http://schemas.openxmlformats.org/officeDocument/2006/relationships/hyperlink" Target="http://www.sec.gov/Archives/edgar/data/936468/000093646818000053/ex101q22018.htm" TargetMode="External"/><Relationship Id="rId90" Type="http://schemas.openxmlformats.org/officeDocument/2006/relationships/hyperlink" Target="http://www.sec.gov/Archives/edgar/data/936468/000093646820000056/ex103q12020.htm" TargetMode="External"/><Relationship Id="rId165" Type="http://schemas.openxmlformats.org/officeDocument/2006/relationships/header" Target="header7.xml"/><Relationship Id="rId186" Type="http://schemas.openxmlformats.org/officeDocument/2006/relationships/footer" Target="footer16.xml"/><Relationship Id="rId27" Type="http://schemas.openxmlformats.org/officeDocument/2006/relationships/hyperlink" Target="http://www.sec.gov/Archives/edgar/data/936468/000119312506182765/dex991.htm" TargetMode="External"/><Relationship Id="rId48" Type="http://schemas.openxmlformats.org/officeDocument/2006/relationships/hyperlink" Target="http://www.sec.gov/Archives/edgar/data/936468/000093646822000106/lmt-revolvingcreditagreeme.htm" TargetMode="External"/><Relationship Id="rId69" Type="http://schemas.openxmlformats.org/officeDocument/2006/relationships/hyperlink" Target="http://www.sec.gov/Archives/edgar/data/936468/000093646820000016/ex108q42019.htm" TargetMode="External"/><Relationship Id="rId113" Type="http://schemas.openxmlformats.org/officeDocument/2006/relationships/hyperlink" Target="http://www.sec.gov/Archives/edgar/data/936468/000093646822000048/ex101q12022.htm" TargetMode="External"/><Relationship Id="rId134" Type="http://schemas.openxmlformats.org/officeDocument/2006/relationships/hyperlink" Target="http://www.sec.gov/Archives/edgar/data/936468/000093646821000072/ex101q22021.htm" TargetMode="External"/><Relationship Id="rId80" Type="http://schemas.openxmlformats.org/officeDocument/2006/relationships/hyperlink" Target="http://www.sec.gov/Archives/edgar/data/936468/000093646822000048/ex106q12022.htm" TargetMode="External"/><Relationship Id="rId155" Type="http://schemas.openxmlformats.org/officeDocument/2006/relationships/hyperlink" Target="http://www.sec.gov/Archives/edgar/data/936468/000093646822000048/ex107q12022.htm" TargetMode="External"/><Relationship Id="rId176" Type="http://schemas.openxmlformats.org/officeDocument/2006/relationships/footer" Target="footer11.xml"/><Relationship Id="rId17" Type="http://schemas.openxmlformats.org/officeDocument/2006/relationships/hyperlink" Target="http://www.sec.gov/Archives/edgar/data/936468/000093646820000037/lmtbylaws040820.htm" TargetMode="External"/><Relationship Id="rId38" Type="http://schemas.openxmlformats.org/officeDocument/2006/relationships/hyperlink" Target="http://www.sec.gov/Archives/edgar/data/936468/000119312522112230/d314321dex41.htm" TargetMode="External"/><Relationship Id="rId59" Type="http://schemas.openxmlformats.org/officeDocument/2006/relationships/hyperlink" Target="http://www.sec.gov/Archives/edgar/data/936468/000119312510040520/dex1034.htm" TargetMode="External"/><Relationship Id="rId103" Type="http://schemas.openxmlformats.org/officeDocument/2006/relationships/hyperlink" Target="http://www.sec.gov/Archives/edgar/data/936468/000093646820000115/ex104q22020.htm" TargetMode="External"/><Relationship Id="rId124" Type="http://schemas.openxmlformats.org/officeDocument/2006/relationships/hyperlink" Target="http://www.sec.gov/Archives/edgar/data/936468/000093646822000048/ex104q12022.htm" TargetMode="External"/><Relationship Id="rId70" Type="http://schemas.openxmlformats.org/officeDocument/2006/relationships/hyperlink" Target="http://www.sec.gov/Archives/edgar/data/936468/000093646820000016/ex108q42019.htm" TargetMode="External"/><Relationship Id="rId91" Type="http://schemas.openxmlformats.org/officeDocument/2006/relationships/hyperlink" Target="http://www.sec.gov/Archives/edgar/data/936468/000093646820000056/ex103q12020.htm" TargetMode="External"/><Relationship Id="rId145" Type="http://schemas.openxmlformats.org/officeDocument/2006/relationships/hyperlink" Target="http://www.sec.gov/Archives/edgar/data/936468/000093646818000053/ex101q22018.htm" TargetMode="External"/><Relationship Id="rId166" Type="http://schemas.openxmlformats.org/officeDocument/2006/relationships/footer" Target="footer6.xml"/><Relationship Id="rId187" Type="http://schemas.openxmlformats.org/officeDocument/2006/relationships/header" Target="header18.xml"/><Relationship Id="rId1" Type="http://schemas.openxmlformats.org/officeDocument/2006/relationships/numbering" Target="numbering.xml"/><Relationship Id="rId28" Type="http://schemas.openxmlformats.org/officeDocument/2006/relationships/hyperlink" Target="http://www.sec.gov/Archives/edgar/data/936468/000119312508053896/dex41.htm" TargetMode="External"/><Relationship Id="rId49" Type="http://schemas.openxmlformats.org/officeDocument/2006/relationships/hyperlink" Target="http://www.sec.gov/Archives/edgar/data/936468/000093646822000120/ex103q32022.htm" TargetMode="External"/><Relationship Id="rId114" Type="http://schemas.openxmlformats.org/officeDocument/2006/relationships/hyperlink" Target="http://www.sec.gov/Archives/edgar/data/936468/000093646822000048/ex101q12022.htm" TargetMode="External"/><Relationship Id="rId60" Type="http://schemas.openxmlformats.org/officeDocument/2006/relationships/hyperlink" Target="http://www.sec.gov/Archives/edgar/data/936468/000119312515141818/d887742dex104.htm" TargetMode="External"/><Relationship Id="rId81" Type="http://schemas.openxmlformats.org/officeDocument/2006/relationships/hyperlink" Target="http://www.sec.gov/Archives/edgar/data/936468/000093646819000009/ex1013q42018.htm" TargetMode="External"/><Relationship Id="rId135" Type="http://schemas.openxmlformats.org/officeDocument/2006/relationships/hyperlink" Target="http://www.sec.gov/Archives/edgar/data/936468/000093646821000072/ex101q22021.htm" TargetMode="External"/><Relationship Id="rId156" Type="http://schemas.openxmlformats.org/officeDocument/2006/relationships/hyperlink" Target="http://www.sec.gov/Archives/edgar/data/936468/000093646822000048/ex107q12022.htm" TargetMode="External"/><Relationship Id="rId177" Type="http://schemas.openxmlformats.org/officeDocument/2006/relationships/header" Target="header13.xml"/><Relationship Id="rId18" Type="http://schemas.openxmlformats.org/officeDocument/2006/relationships/hyperlink" Target="http://www.sec.gov/Archives/edgar/data/936468/000093646820000037/lmtbylaws040820.htm" TargetMode="External"/><Relationship Id="rId39" Type="http://schemas.openxmlformats.org/officeDocument/2006/relationships/hyperlink" Target="http://www.sec.gov/Archives/edgar/data/936468/000119312522112230/d314321dex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130</Pages>
  <Words>79024</Words>
  <Characters>450437</Characters>
  <Application>Microsoft Office Word</Application>
  <DocSecurity>0</DocSecurity>
  <Lines>3753</Lines>
  <Paragraphs>1056</Paragraphs>
  <ScaleCrop>false</ScaleCrop>
  <HeadingPairs>
    <vt:vector size="2" baseType="variant">
      <vt:variant>
        <vt:lpstr>Title</vt:lpstr>
      </vt:variant>
      <vt:variant>
        <vt:i4>1</vt:i4>
      </vt:variant>
    </vt:vector>
  </HeadingPairs>
  <TitlesOfParts>
    <vt:vector size="1" baseType="lpstr">
      <vt:lpstr>LMT Q4 2022 10K</vt:lpstr>
    </vt:vector>
  </TitlesOfParts>
  <Company/>
  <LinksUpToDate>false</LinksUpToDate>
  <CharactersWithSpaces>528405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LMT Q4 2022 10K</dc:title>
  <dc:creator>anonymous</dc:creator>
  <cp:keywords>Unrestricted</cp:keywords>
  <cp:lastModifiedBy>Wang, Ashley (US)</cp:lastModifiedBy>
  <cp:revision>5</cp:revision>
  <dcterms:created xsi:type="dcterms:W3CDTF">2023-03-08T22:02:00Z</dcterms:created>
  <dcterms:modified xsi:type="dcterms:W3CDTF">2023-03-09T17:21:00Z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Workiva</vt:lpwstr>
  </property>
  <property fmtid="{D5CDD505-2E9C-101B-9397-08002B2CF9AE}" pid="4" name="LastSaved">
    <vt:filetime>2023-03-08T00:00:00Z</vt:filetime>
  </property>
  <property fmtid="{D5CDD505-2E9C-101B-9397-08002B2CF9AE}" pid="5" name="Producer">
    <vt:lpwstr>Wdesk Fidelity Content Translations Version 007.003.017</vt:lpwstr>
  </property>
  <property fmtid="{D5CDD505-2E9C-101B-9397-08002B2CF9AE}" pid="6" name="LM SIP Document Sensitivity">
    <vt:lpwstr/>
  </property>
  <property fmtid="{D5CDD505-2E9C-101B-9397-08002B2CF9AE}" pid="7" name="Document Author">
    <vt:lpwstr>US\e403316</vt:lpwstr>
  </property>
  <property fmtid="{D5CDD505-2E9C-101B-9397-08002B2CF9AE}" pid="8" name="Document Sensitivity">
    <vt:lpwstr>1</vt:lpwstr>
  </property>
  <property fmtid="{D5CDD505-2E9C-101B-9397-08002B2CF9AE}" pid="9" name="ThirdParty">
    <vt:lpwstr/>
  </property>
  <property fmtid="{D5CDD505-2E9C-101B-9397-08002B2CF9AE}" pid="10" name="OCI Restriction">
    <vt:bool>false</vt:bool>
  </property>
  <property fmtid="{D5CDD505-2E9C-101B-9397-08002B2CF9AE}" pid="11" name="OCI Additional Info">
    <vt:lpwstr/>
  </property>
  <property fmtid="{D5CDD505-2E9C-101B-9397-08002B2CF9AE}" pid="12" name="Allow Header Overwrite">
    <vt:bool>true</vt:bool>
  </property>
  <property fmtid="{D5CDD505-2E9C-101B-9397-08002B2CF9AE}" pid="13" name="Allow Footer Overwrite">
    <vt:bool>true</vt:bool>
  </property>
  <property fmtid="{D5CDD505-2E9C-101B-9397-08002B2CF9AE}" pid="14" name="Multiple Selected">
    <vt:lpwstr>-1</vt:lpwstr>
  </property>
  <property fmtid="{D5CDD505-2E9C-101B-9397-08002B2CF9AE}" pid="15" name="SIPLongWording">
    <vt:lpwstr>_x000d_
_x000d_
</vt:lpwstr>
  </property>
  <property fmtid="{D5CDD505-2E9C-101B-9397-08002B2CF9AE}" pid="16" name="ExpCountry">
    <vt:lpwstr/>
  </property>
  <property fmtid="{D5CDD505-2E9C-101B-9397-08002B2CF9AE}" pid="17" name="TextBoxAndDropdownValues">
    <vt:lpwstr/>
  </property>
  <property fmtid="{D5CDD505-2E9C-101B-9397-08002B2CF9AE}" pid="18" name="SecurityClassification">
    <vt:lpwstr/>
  </property>
</Properties>
</file>