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629285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6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11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April 23,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2070735</wp:posOffset>
            </wp:positionH>
            <wp:positionV relativeFrom="paragraph">
              <wp:posOffset>60325</wp:posOffset>
            </wp:positionV>
            <wp:extent cx="30003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00375" cy="1714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LOCKHEED MARTIN CORPORATION</w:t>
      </w:r>
    </w:p>
    <w:p>
      <w:pPr>
        <w:spacing w:after="0" w:line="53" w:lineRule="exact"/>
        <w:rPr>
          <w:sz w:val="24"/>
          <w:szCs w:val="24"/>
          <w:color w:val="auto"/>
        </w:rPr>
      </w:pPr>
    </w:p>
    <w:tbl>
      <w:tblPr>
        <w:tblLayout w:type="fixed"/>
        <w:tblInd w:w="560" w:type="dxa"/>
        <w:tblCellMar>
          <w:top w:w="0" w:type="dxa"/>
          <w:left w:w="0" w:type="dxa"/>
          <w:bottom w:w="0" w:type="dxa"/>
          <w:right w:w="0" w:type="dxa"/>
        </w:tblCellMar>
      </w:tblPr>
      <w:tr>
        <w:trPr>
          <w:trHeight w:val="238"/>
        </w:trPr>
        <w:tc>
          <w:tcPr>
            <w:tcW w:w="10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740" w:type="dxa"/>
            <w:vAlign w:val="bottom"/>
          </w:tcPr>
          <w:p>
            <w:pPr>
              <w:jc w:val="center"/>
              <w:ind w:right="30"/>
              <w:spacing w:after="0"/>
              <w:rPr>
                <w:sz w:val="20"/>
                <w:szCs w:val="20"/>
                <w:color w:val="auto"/>
              </w:rPr>
            </w:pPr>
            <w:r>
              <w:rPr>
                <w:rFonts w:ascii="Arial" w:cs="Arial" w:eastAsia="Arial" w:hAnsi="Arial"/>
                <w:sz w:val="18"/>
                <w:szCs w:val="18"/>
                <w:color w:val="auto"/>
                <w:w w:val="99"/>
              </w:rPr>
              <w:t>(Exact name of registrant as specified in its charter)</w:t>
            </w:r>
          </w:p>
        </w:tc>
        <w:tc>
          <w:tcPr>
            <w:tcW w:w="2000" w:type="dxa"/>
            <w:vAlign w:val="bottom"/>
          </w:tcPr>
          <w:p>
            <w:pPr>
              <w:spacing w:after="0"/>
              <w:rPr>
                <w:sz w:val="20"/>
                <w:szCs w:val="20"/>
                <w:color w:val="auto"/>
              </w:rPr>
            </w:pPr>
          </w:p>
        </w:tc>
      </w:tr>
      <w:tr>
        <w:trPr>
          <w:trHeight w:val="229"/>
        </w:trPr>
        <w:tc>
          <w:tcPr>
            <w:tcW w:w="1060" w:type="dxa"/>
            <w:vAlign w:val="bottom"/>
          </w:tcPr>
          <w:p>
            <w:pPr>
              <w:spacing w:after="0"/>
              <w:rPr>
                <w:sz w:val="19"/>
                <w:szCs w:val="19"/>
                <w:color w:val="auto"/>
              </w:rPr>
            </w:pPr>
          </w:p>
        </w:tc>
        <w:tc>
          <w:tcPr>
            <w:tcW w:w="1660" w:type="dxa"/>
            <w:vAlign w:val="bottom"/>
          </w:tcPr>
          <w:p>
            <w:pPr>
              <w:jc w:val="center"/>
              <w:ind w:right="610"/>
              <w:spacing w:after="0"/>
              <w:rPr>
                <w:sz w:val="20"/>
                <w:szCs w:val="20"/>
                <w:color w:val="auto"/>
              </w:rPr>
            </w:pPr>
            <w:r>
              <w:rPr>
                <w:rFonts w:ascii="Arial" w:cs="Arial" w:eastAsia="Arial" w:hAnsi="Arial"/>
                <w:sz w:val="18"/>
                <w:szCs w:val="18"/>
                <w:b w:val="1"/>
                <w:bCs w:val="1"/>
                <w:color w:val="auto"/>
              </w:rPr>
              <w:t>Maryland</w:t>
            </w:r>
          </w:p>
        </w:tc>
        <w:tc>
          <w:tcPr>
            <w:tcW w:w="4740" w:type="dxa"/>
            <w:vAlign w:val="bottom"/>
          </w:tcPr>
          <w:p>
            <w:pPr>
              <w:jc w:val="right"/>
              <w:ind w:right="1810"/>
              <w:spacing w:after="0"/>
              <w:rPr>
                <w:sz w:val="20"/>
                <w:szCs w:val="20"/>
                <w:color w:val="auto"/>
              </w:rPr>
            </w:pPr>
            <w:r>
              <w:rPr>
                <w:rFonts w:ascii="Arial" w:cs="Arial" w:eastAsia="Arial" w:hAnsi="Arial"/>
                <w:sz w:val="18"/>
                <w:szCs w:val="18"/>
                <w:b w:val="1"/>
                <w:bCs w:val="1"/>
                <w:color w:val="auto"/>
              </w:rPr>
              <w:t>1-11437</w:t>
            </w:r>
          </w:p>
        </w:tc>
        <w:tc>
          <w:tcPr>
            <w:tcW w:w="2000" w:type="dxa"/>
            <w:vAlign w:val="bottom"/>
          </w:tcPr>
          <w:p>
            <w:pPr>
              <w:jc w:val="right"/>
              <w:ind w:right="130"/>
              <w:spacing w:after="0"/>
              <w:rPr>
                <w:sz w:val="20"/>
                <w:szCs w:val="20"/>
                <w:color w:val="auto"/>
              </w:rPr>
            </w:pPr>
            <w:r>
              <w:rPr>
                <w:rFonts w:ascii="Arial" w:cs="Arial" w:eastAsia="Arial" w:hAnsi="Arial"/>
                <w:sz w:val="18"/>
                <w:szCs w:val="18"/>
                <w:b w:val="1"/>
                <w:bCs w:val="1"/>
                <w:color w:val="auto"/>
              </w:rPr>
              <w:t>52-1893632</w:t>
            </w:r>
          </w:p>
        </w:tc>
      </w:tr>
      <w:tr>
        <w:trPr>
          <w:trHeight w:val="229"/>
        </w:trPr>
        <w:tc>
          <w:tcPr>
            <w:tcW w:w="2720" w:type="dxa"/>
            <w:vAlign w:val="bottom"/>
            <w:gridSpan w:val="2"/>
          </w:tcPr>
          <w:p>
            <w:pPr>
              <w:jc w:val="center"/>
              <w:ind w:left="270"/>
              <w:spacing w:after="0"/>
              <w:rPr>
                <w:sz w:val="20"/>
                <w:szCs w:val="20"/>
                <w:color w:val="auto"/>
              </w:rPr>
            </w:pPr>
            <w:r>
              <w:rPr>
                <w:rFonts w:ascii="Arial" w:cs="Arial" w:eastAsia="Arial" w:hAnsi="Arial"/>
                <w:sz w:val="18"/>
                <w:szCs w:val="18"/>
                <w:color w:val="auto"/>
                <w:w w:val="99"/>
              </w:rPr>
              <w:t>(State or other jurisdiction</w:t>
            </w:r>
          </w:p>
        </w:tc>
        <w:tc>
          <w:tcPr>
            <w:tcW w:w="4740" w:type="dxa"/>
            <w:vAlign w:val="bottom"/>
          </w:tcPr>
          <w:p>
            <w:pPr>
              <w:jc w:val="center"/>
              <w:ind w:left="210"/>
              <w:spacing w:after="0"/>
              <w:rPr>
                <w:sz w:val="20"/>
                <w:szCs w:val="20"/>
                <w:color w:val="auto"/>
              </w:rPr>
            </w:pPr>
            <w:r>
              <w:rPr>
                <w:rFonts w:ascii="Arial" w:cs="Arial" w:eastAsia="Arial" w:hAnsi="Arial"/>
                <w:sz w:val="18"/>
                <w:szCs w:val="18"/>
                <w:color w:val="auto"/>
                <w:w w:val="99"/>
              </w:rPr>
              <w:t>(Commission file number)</w:t>
            </w:r>
          </w:p>
        </w:tc>
        <w:tc>
          <w:tcPr>
            <w:tcW w:w="2000" w:type="dxa"/>
            <w:vAlign w:val="bottom"/>
          </w:tcPr>
          <w:p>
            <w:pPr>
              <w:jc w:val="center"/>
              <w:ind w:left="510"/>
              <w:spacing w:after="0"/>
              <w:rPr>
                <w:sz w:val="20"/>
                <w:szCs w:val="20"/>
                <w:color w:val="auto"/>
              </w:rPr>
            </w:pPr>
            <w:r>
              <w:rPr>
                <w:rFonts w:ascii="Arial" w:cs="Arial" w:eastAsia="Arial" w:hAnsi="Arial"/>
                <w:sz w:val="18"/>
                <w:szCs w:val="18"/>
                <w:color w:val="auto"/>
                <w:w w:val="99"/>
              </w:rPr>
              <w:t>(IRS Employer</w:t>
            </w:r>
          </w:p>
        </w:tc>
      </w:tr>
      <w:tr>
        <w:trPr>
          <w:trHeight w:val="239"/>
        </w:trPr>
        <w:tc>
          <w:tcPr>
            <w:tcW w:w="2720" w:type="dxa"/>
            <w:vAlign w:val="bottom"/>
            <w:gridSpan w:val="2"/>
          </w:tcPr>
          <w:p>
            <w:pPr>
              <w:jc w:val="center"/>
              <w:ind w:left="290"/>
              <w:spacing w:after="0"/>
              <w:rPr>
                <w:sz w:val="20"/>
                <w:szCs w:val="20"/>
                <w:color w:val="auto"/>
              </w:rPr>
            </w:pPr>
            <w:r>
              <w:rPr>
                <w:rFonts w:ascii="Arial" w:cs="Arial" w:eastAsia="Arial" w:hAnsi="Arial"/>
                <w:sz w:val="18"/>
                <w:szCs w:val="18"/>
                <w:color w:val="auto"/>
                <w:w w:val="99"/>
              </w:rPr>
              <w:t>of incorporation)</w:t>
            </w:r>
          </w:p>
        </w:tc>
        <w:tc>
          <w:tcPr>
            <w:tcW w:w="4740" w:type="dxa"/>
            <w:vAlign w:val="bottom"/>
          </w:tcPr>
          <w:p>
            <w:pPr>
              <w:spacing w:after="0"/>
              <w:rPr>
                <w:sz w:val="20"/>
                <w:szCs w:val="20"/>
                <w:color w:val="auto"/>
              </w:rPr>
            </w:pPr>
          </w:p>
        </w:tc>
        <w:tc>
          <w:tcPr>
            <w:tcW w:w="2000" w:type="dxa"/>
            <w:vAlign w:val="bottom"/>
          </w:tcPr>
          <w:p>
            <w:pPr>
              <w:jc w:val="center"/>
              <w:ind w:left="510"/>
              <w:spacing w:after="0"/>
              <w:rPr>
                <w:sz w:val="20"/>
                <w:szCs w:val="20"/>
                <w:color w:val="auto"/>
              </w:rPr>
            </w:pPr>
            <w:r>
              <w:rPr>
                <w:rFonts w:ascii="Arial" w:cs="Arial" w:eastAsia="Arial" w:hAnsi="Arial"/>
                <w:sz w:val="18"/>
                <w:szCs w:val="18"/>
                <w:color w:val="auto"/>
                <w:w w:val="99"/>
              </w:rPr>
              <w:t>Identification No.)</w:t>
            </w:r>
          </w:p>
        </w:tc>
      </w:tr>
      <w:tr>
        <w:trPr>
          <w:trHeight w:val="450"/>
        </w:trPr>
        <w:tc>
          <w:tcPr>
            <w:tcW w:w="2720" w:type="dxa"/>
            <w:vAlign w:val="bottom"/>
            <w:gridSpan w:val="2"/>
          </w:tcPr>
          <w:p>
            <w:pPr>
              <w:jc w:val="center"/>
              <w:ind w:left="290"/>
              <w:spacing w:after="0"/>
              <w:rPr>
                <w:sz w:val="20"/>
                <w:szCs w:val="20"/>
                <w:color w:val="auto"/>
              </w:rPr>
            </w:pPr>
            <w:r>
              <w:rPr>
                <w:rFonts w:ascii="Arial" w:cs="Arial" w:eastAsia="Arial" w:hAnsi="Arial"/>
                <w:sz w:val="18"/>
                <w:szCs w:val="18"/>
                <w:b w:val="1"/>
                <w:bCs w:val="1"/>
                <w:color w:val="auto"/>
                <w:w w:val="99"/>
              </w:rPr>
              <w:t>6801 Rockledge Drive</w:t>
            </w:r>
          </w:p>
        </w:tc>
        <w:tc>
          <w:tcPr>
            <w:tcW w:w="474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29"/>
        </w:trPr>
        <w:tc>
          <w:tcPr>
            <w:tcW w:w="1060" w:type="dxa"/>
            <w:vAlign w:val="bottom"/>
          </w:tcPr>
          <w:p>
            <w:pPr>
              <w:ind w:left="140"/>
              <w:spacing w:after="0"/>
              <w:rPr>
                <w:sz w:val="20"/>
                <w:szCs w:val="20"/>
                <w:color w:val="auto"/>
              </w:rPr>
            </w:pPr>
            <w:r>
              <w:rPr>
                <w:rFonts w:ascii="Arial" w:cs="Arial" w:eastAsia="Arial" w:hAnsi="Arial"/>
                <w:sz w:val="18"/>
                <w:szCs w:val="18"/>
                <w:b w:val="1"/>
                <w:bCs w:val="1"/>
                <w:color w:val="auto"/>
              </w:rPr>
              <w:t>Bethesda,</w:t>
            </w:r>
          </w:p>
        </w:tc>
        <w:tc>
          <w:tcPr>
            <w:tcW w:w="1660" w:type="dxa"/>
            <w:vAlign w:val="bottom"/>
          </w:tcPr>
          <w:p>
            <w:pPr>
              <w:ind w:left="640"/>
              <w:spacing w:after="0"/>
              <w:rPr>
                <w:sz w:val="20"/>
                <w:szCs w:val="20"/>
                <w:color w:val="auto"/>
              </w:rPr>
            </w:pPr>
            <w:r>
              <w:rPr>
                <w:rFonts w:ascii="Arial" w:cs="Arial" w:eastAsia="Arial" w:hAnsi="Arial"/>
                <w:sz w:val="18"/>
                <w:szCs w:val="18"/>
                <w:b w:val="1"/>
                <w:bCs w:val="1"/>
                <w:color w:val="auto"/>
              </w:rPr>
              <w:t>Maryland</w:t>
            </w:r>
          </w:p>
        </w:tc>
        <w:tc>
          <w:tcPr>
            <w:tcW w:w="4740" w:type="dxa"/>
            <w:vAlign w:val="bottom"/>
          </w:tcPr>
          <w:p>
            <w:pPr>
              <w:spacing w:after="0"/>
              <w:rPr>
                <w:sz w:val="19"/>
                <w:szCs w:val="19"/>
                <w:color w:val="auto"/>
              </w:rPr>
            </w:pPr>
          </w:p>
        </w:tc>
        <w:tc>
          <w:tcPr>
            <w:tcW w:w="2000" w:type="dxa"/>
            <w:vAlign w:val="bottom"/>
          </w:tcPr>
          <w:p>
            <w:pPr>
              <w:jc w:val="right"/>
              <w:ind w:right="350"/>
              <w:spacing w:after="0"/>
              <w:rPr>
                <w:sz w:val="20"/>
                <w:szCs w:val="20"/>
                <w:color w:val="auto"/>
              </w:rPr>
            </w:pPr>
            <w:r>
              <w:rPr>
                <w:rFonts w:ascii="Arial" w:cs="Arial" w:eastAsia="Arial" w:hAnsi="Arial"/>
                <w:sz w:val="18"/>
                <w:szCs w:val="18"/>
                <w:b w:val="1"/>
                <w:bCs w:val="1"/>
                <w:color w:val="auto"/>
              </w:rPr>
              <w:t>20817</w:t>
            </w:r>
          </w:p>
        </w:tc>
      </w:tr>
      <w:tr>
        <w:trPr>
          <w:trHeight w:val="239"/>
        </w:trPr>
        <w:tc>
          <w:tcPr>
            <w:tcW w:w="7460" w:type="dxa"/>
            <w:vAlign w:val="bottom"/>
            <w:gridSpan w:val="3"/>
          </w:tcPr>
          <w:p>
            <w:pPr>
              <w:jc w:val="center"/>
              <w:ind w:right="4290"/>
              <w:spacing w:after="0"/>
              <w:rPr>
                <w:sz w:val="20"/>
                <w:szCs w:val="20"/>
                <w:color w:val="auto"/>
              </w:rPr>
            </w:pPr>
            <w:r>
              <w:rPr>
                <w:rFonts w:ascii="Arial" w:cs="Arial" w:eastAsia="Arial" w:hAnsi="Arial"/>
                <w:sz w:val="18"/>
                <w:szCs w:val="18"/>
                <w:color w:val="auto"/>
                <w:w w:val="99"/>
              </w:rPr>
              <w:t>(Address of principal executive offices)</w:t>
            </w:r>
          </w:p>
        </w:tc>
        <w:tc>
          <w:tcPr>
            <w:tcW w:w="2000" w:type="dxa"/>
            <w:vAlign w:val="bottom"/>
          </w:tcPr>
          <w:p>
            <w:pPr>
              <w:jc w:val="center"/>
              <w:ind w:left="510"/>
              <w:spacing w:after="0"/>
              <w:rPr>
                <w:sz w:val="20"/>
                <w:szCs w:val="20"/>
                <w:color w:val="auto"/>
              </w:rPr>
            </w:pPr>
            <w:r>
              <w:rPr>
                <w:rFonts w:ascii="Arial" w:cs="Arial" w:eastAsia="Arial" w:hAnsi="Arial"/>
                <w:sz w:val="18"/>
                <w:szCs w:val="18"/>
                <w:color w:val="auto"/>
                <w:w w:val="98"/>
              </w:rPr>
              <w:t>(Zip Code)</w:t>
            </w:r>
          </w:p>
        </w:tc>
      </w:tr>
      <w:tr>
        <w:trPr>
          <w:trHeight w:val="274"/>
        </w:trPr>
        <w:tc>
          <w:tcPr>
            <w:tcW w:w="106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4740" w:type="dxa"/>
            <w:vAlign w:val="bottom"/>
          </w:tcPr>
          <w:p>
            <w:pPr>
              <w:jc w:val="center"/>
              <w:spacing w:after="0"/>
              <w:rPr>
                <w:sz w:val="20"/>
                <w:szCs w:val="20"/>
                <w:color w:val="auto"/>
              </w:rPr>
            </w:pPr>
            <w:r>
              <w:rPr>
                <w:rFonts w:ascii="Arial" w:cs="Arial" w:eastAsia="Arial" w:hAnsi="Arial"/>
                <w:sz w:val="18"/>
                <w:szCs w:val="18"/>
                <w:b w:val="1"/>
                <w:bCs w:val="1"/>
                <w:color w:val="auto"/>
              </w:rPr>
              <w:t>(301) 897-6000</w:t>
            </w:r>
          </w:p>
        </w:tc>
        <w:tc>
          <w:tcPr>
            <w:tcW w:w="2000" w:type="dxa"/>
            <w:vAlign w:val="bottom"/>
          </w:tcPr>
          <w:p>
            <w:pPr>
              <w:spacing w:after="0"/>
              <w:rPr>
                <w:sz w:val="23"/>
                <w:szCs w:val="23"/>
                <w:color w:val="auto"/>
              </w:rPr>
            </w:pPr>
          </w:p>
        </w:tc>
      </w:tr>
      <w:tr>
        <w:trPr>
          <w:trHeight w:val="239"/>
        </w:trPr>
        <w:tc>
          <w:tcPr>
            <w:tcW w:w="10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740" w:type="dxa"/>
            <w:vAlign w:val="bottom"/>
          </w:tcPr>
          <w:p>
            <w:pPr>
              <w:jc w:val="center"/>
              <w:spacing w:after="0"/>
              <w:rPr>
                <w:sz w:val="20"/>
                <w:szCs w:val="20"/>
                <w:color w:val="auto"/>
              </w:rPr>
            </w:pPr>
            <w:r>
              <w:rPr>
                <w:rFonts w:ascii="Arial" w:cs="Arial" w:eastAsia="Arial" w:hAnsi="Arial"/>
                <w:sz w:val="18"/>
                <w:szCs w:val="18"/>
                <w:color w:val="auto"/>
                <w:w w:val="99"/>
              </w:rPr>
              <w:t>(Registrant’s telephone number, including area code)</w:t>
            </w:r>
          </w:p>
        </w:tc>
        <w:tc>
          <w:tcPr>
            <w:tcW w:w="2000" w:type="dxa"/>
            <w:vAlign w:val="bottom"/>
          </w:tcPr>
          <w:p>
            <w:pPr>
              <w:spacing w:after="0"/>
              <w:rPr>
                <w:sz w:val="20"/>
                <w:szCs w:val="20"/>
                <w:color w:val="auto"/>
              </w:rPr>
            </w:pPr>
          </w:p>
        </w:tc>
      </w:tr>
      <w:tr>
        <w:trPr>
          <w:trHeight w:val="57"/>
        </w:trPr>
        <w:tc>
          <w:tcPr>
            <w:tcW w:w="1060" w:type="dxa"/>
            <w:vAlign w:val="bottom"/>
          </w:tcPr>
          <w:p>
            <w:pPr>
              <w:spacing w:after="0"/>
              <w:rPr>
                <w:sz w:val="4"/>
                <w:szCs w:val="4"/>
                <w:color w:val="auto"/>
              </w:rPr>
            </w:pPr>
          </w:p>
        </w:tc>
        <w:tc>
          <w:tcPr>
            <w:tcW w:w="1660" w:type="dxa"/>
            <w:vAlign w:val="bottom"/>
          </w:tcPr>
          <w:p>
            <w:pPr>
              <w:spacing w:after="0"/>
              <w:rPr>
                <w:sz w:val="4"/>
                <w:szCs w:val="4"/>
                <w:color w:val="auto"/>
              </w:rPr>
            </w:pPr>
          </w:p>
        </w:tc>
        <w:tc>
          <w:tcPr>
            <w:tcW w:w="4740" w:type="dxa"/>
            <w:vAlign w:val="bottom"/>
            <w:tcBorders>
              <w:bottom w:val="single" w:sz="8" w:color="auto"/>
            </w:tcBorders>
          </w:tcPr>
          <w:p>
            <w:pPr>
              <w:spacing w:after="0"/>
              <w:rPr>
                <w:sz w:val="4"/>
                <w:szCs w:val="4"/>
                <w:color w:val="auto"/>
              </w:rPr>
            </w:pPr>
          </w:p>
        </w:tc>
        <w:tc>
          <w:tcPr>
            <w:tcW w:w="2000" w:type="dxa"/>
            <w:vAlign w:val="bottom"/>
          </w:tcPr>
          <w:p>
            <w:pPr>
              <w:spacing w:after="0"/>
              <w:rPr>
                <w:sz w:val="4"/>
                <w:szCs w:val="4"/>
                <w:color w:val="auto"/>
              </w:rPr>
            </w:pPr>
          </w:p>
        </w:tc>
      </w:tr>
    </w:tbl>
    <w:p>
      <w:pPr>
        <w:spacing w:after="0" w:line="200" w:lineRule="exact"/>
        <w:rPr>
          <w:sz w:val="24"/>
          <w:szCs w:val="24"/>
          <w:color w:val="auto"/>
        </w:rPr>
      </w:pPr>
    </w:p>
    <w:p>
      <w:pPr>
        <w:spacing w:after="0" w:line="285" w:lineRule="exact"/>
        <w:rPr>
          <w:sz w:val="24"/>
          <w:szCs w:val="24"/>
          <w:color w:val="auto"/>
        </w:rPr>
      </w:pPr>
    </w:p>
    <w:p>
      <w:pPr>
        <w:ind w:right="300"/>
        <w:spacing w:after="0" w:line="263"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29" w:lineRule="exact"/>
        <w:rPr>
          <w:sz w:val="24"/>
          <w:szCs w:val="24"/>
          <w:color w:val="auto"/>
        </w:rPr>
      </w:pPr>
    </w:p>
    <w:p>
      <w:pPr>
        <w:ind w:left="300" w:hanging="274"/>
        <w:spacing w:after="0"/>
        <w:tabs>
          <w:tab w:leader="none" w:pos="30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Written communications pursuant to Rule 425 under the Securities Act (17 CFR 230.425)</w:t>
      </w:r>
    </w:p>
    <w:p>
      <w:pPr>
        <w:spacing w:after="0" w:line="140" w:lineRule="exact"/>
        <w:rPr>
          <w:rFonts w:ascii="MS PGothic" w:cs="MS PGothic" w:eastAsia="MS PGothic" w:hAnsi="MS PGothic"/>
          <w:sz w:val="16"/>
          <w:szCs w:val="16"/>
          <w:color w:val="auto"/>
          <w:highlight w:val="black"/>
        </w:rPr>
      </w:pPr>
    </w:p>
    <w:p>
      <w:pPr>
        <w:ind w:left="300" w:hanging="274"/>
        <w:spacing w:after="0"/>
        <w:tabs>
          <w:tab w:leader="none" w:pos="30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Soliciting material pursuant to Rule 14a-12 under the Exchange Act (17 CFR 240.14a-12)</w:t>
      </w:r>
    </w:p>
    <w:p>
      <w:pPr>
        <w:spacing w:after="0" w:line="153" w:lineRule="exact"/>
        <w:rPr>
          <w:rFonts w:ascii="MS PGothic" w:cs="MS PGothic" w:eastAsia="MS PGothic" w:hAnsi="MS PGothic"/>
          <w:sz w:val="16"/>
          <w:szCs w:val="16"/>
          <w:color w:val="auto"/>
          <w:highlight w:val="black"/>
        </w:rPr>
      </w:pPr>
    </w:p>
    <w:p>
      <w:pPr>
        <w:ind w:left="300" w:hanging="274"/>
        <w:spacing w:after="0"/>
        <w:tabs>
          <w:tab w:leader="none" w:pos="30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Pre-commencement communications pursuant to Rule 14d-2(b) under the Exchange Act (17 CFR 240.14d-2(b))</w:t>
      </w:r>
    </w:p>
    <w:p>
      <w:pPr>
        <w:spacing w:after="0" w:line="153" w:lineRule="exact"/>
        <w:rPr>
          <w:rFonts w:ascii="MS PGothic" w:cs="MS PGothic" w:eastAsia="MS PGothic" w:hAnsi="MS PGothic"/>
          <w:sz w:val="16"/>
          <w:szCs w:val="16"/>
          <w:color w:val="auto"/>
          <w:highlight w:val="black"/>
        </w:rPr>
      </w:pPr>
    </w:p>
    <w:p>
      <w:pPr>
        <w:ind w:left="300" w:hanging="274"/>
        <w:spacing w:after="0"/>
        <w:tabs>
          <w:tab w:leader="none" w:pos="30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Pre-commencement communications pursuant to Rule 13e-4(c) under the Exchange Act (17 CFR 240.13e-4(c))</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580" w:type="dxa"/>
            <w:vAlign w:val="bottom"/>
            <w:gridSpan w:val="3"/>
          </w:tcPr>
          <w:p>
            <w:pPr>
              <w:jc w:val="center"/>
              <w:ind w:right="460"/>
              <w:spacing w:after="0"/>
              <w:rPr>
                <w:sz w:val="20"/>
                <w:szCs w:val="20"/>
                <w:color w:val="auto"/>
              </w:rPr>
            </w:pPr>
            <w:r>
              <w:rPr>
                <w:rFonts w:ascii="Arial" w:cs="Arial" w:eastAsia="Arial" w:hAnsi="Arial"/>
                <w:sz w:val="16"/>
                <w:szCs w:val="16"/>
                <w:color w:val="auto"/>
              </w:rPr>
              <w:t>Securities registered pursuant to Section 12(b) of the Act:</w:t>
            </w: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0" w:type="dxa"/>
            <w:vAlign w:val="bottom"/>
          </w:tcPr>
          <w:p>
            <w:pPr>
              <w:spacing w:after="0"/>
              <w:rPr>
                <w:sz w:val="18"/>
                <w:szCs w:val="18"/>
                <w:color w:val="auto"/>
              </w:rPr>
            </w:pPr>
          </w:p>
        </w:tc>
      </w:tr>
      <w:tr>
        <w:trPr>
          <w:trHeight w:val="191"/>
        </w:trPr>
        <w:tc>
          <w:tcPr>
            <w:tcW w:w="1420" w:type="dxa"/>
            <w:vAlign w:val="bottom"/>
          </w:tcPr>
          <w:p>
            <w:pPr>
              <w:spacing w:after="0"/>
              <w:rPr>
                <w:sz w:val="16"/>
                <w:szCs w:val="16"/>
                <w:color w:val="auto"/>
              </w:rPr>
            </w:pPr>
          </w:p>
        </w:tc>
        <w:tc>
          <w:tcPr>
            <w:tcW w:w="3160" w:type="dxa"/>
            <w:vAlign w:val="bottom"/>
            <w:gridSpan w:val="2"/>
          </w:tcPr>
          <w:p>
            <w:pPr>
              <w:jc w:val="center"/>
              <w:ind w:right="1880"/>
              <w:spacing w:after="0"/>
              <w:rPr>
                <w:sz w:val="20"/>
                <w:szCs w:val="20"/>
                <w:color w:val="auto"/>
              </w:rPr>
            </w:pPr>
            <w:r>
              <w:rPr>
                <w:rFonts w:ascii="Arial" w:cs="Arial" w:eastAsia="Arial" w:hAnsi="Arial"/>
                <w:sz w:val="16"/>
                <w:szCs w:val="16"/>
                <w:color w:val="auto"/>
                <w:w w:val="99"/>
              </w:rPr>
              <w:t>Title of each class</w:t>
            </w:r>
          </w:p>
        </w:tc>
        <w:tc>
          <w:tcPr>
            <w:tcW w:w="3000" w:type="dxa"/>
            <w:vAlign w:val="bottom"/>
            <w:gridSpan w:val="3"/>
          </w:tcPr>
          <w:p>
            <w:pPr>
              <w:jc w:val="center"/>
              <w:ind w:right="940"/>
              <w:spacing w:after="0"/>
              <w:rPr>
                <w:sz w:val="20"/>
                <w:szCs w:val="20"/>
                <w:color w:val="auto"/>
              </w:rPr>
            </w:pPr>
            <w:r>
              <w:rPr>
                <w:rFonts w:ascii="Arial" w:cs="Arial" w:eastAsia="Arial" w:hAnsi="Arial"/>
                <w:sz w:val="16"/>
                <w:szCs w:val="16"/>
                <w:color w:val="auto"/>
              </w:rPr>
              <w:t>Trading Symbol</w:t>
            </w:r>
          </w:p>
        </w:tc>
        <w:tc>
          <w:tcPr>
            <w:tcW w:w="3200" w:type="dxa"/>
            <w:vAlign w:val="bottom"/>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0"/>
        </w:trPr>
        <w:tc>
          <w:tcPr>
            <w:tcW w:w="14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r>
      <w:tr>
        <w:trPr>
          <w:trHeight w:val="235"/>
        </w:trPr>
        <w:tc>
          <w:tcPr>
            <w:tcW w:w="4580" w:type="dxa"/>
            <w:vAlign w:val="bottom"/>
            <w:gridSpan w:val="3"/>
          </w:tcPr>
          <w:p>
            <w:pPr>
              <w:jc w:val="center"/>
              <w:ind w:right="460"/>
              <w:spacing w:after="0"/>
              <w:rPr>
                <w:sz w:val="20"/>
                <w:szCs w:val="20"/>
                <w:color w:val="auto"/>
              </w:rPr>
            </w:pPr>
            <w:r>
              <w:rPr>
                <w:rFonts w:ascii="Arial" w:cs="Arial" w:eastAsia="Arial" w:hAnsi="Arial"/>
                <w:sz w:val="16"/>
                <w:szCs w:val="16"/>
                <w:color w:val="auto"/>
              </w:rPr>
              <w:t>Common Stock, $1 par value</w:t>
            </w:r>
          </w:p>
        </w:tc>
        <w:tc>
          <w:tcPr>
            <w:tcW w:w="460" w:type="dxa"/>
            <w:vAlign w:val="bottom"/>
          </w:tcPr>
          <w:p>
            <w:pPr>
              <w:spacing w:after="0"/>
              <w:rPr>
                <w:sz w:val="20"/>
                <w:szCs w:val="20"/>
                <w:color w:val="auto"/>
              </w:rPr>
            </w:pPr>
          </w:p>
        </w:tc>
        <w:tc>
          <w:tcPr>
            <w:tcW w:w="2540" w:type="dxa"/>
            <w:vAlign w:val="bottom"/>
            <w:gridSpan w:val="2"/>
          </w:tcPr>
          <w:p>
            <w:pPr>
              <w:jc w:val="center"/>
              <w:ind w:right="1400"/>
              <w:spacing w:after="0"/>
              <w:rPr>
                <w:sz w:val="20"/>
                <w:szCs w:val="20"/>
                <w:color w:val="auto"/>
              </w:rPr>
            </w:pPr>
            <w:r>
              <w:rPr>
                <w:rFonts w:ascii="Arial" w:cs="Arial" w:eastAsia="Arial" w:hAnsi="Arial"/>
                <w:sz w:val="16"/>
                <w:szCs w:val="16"/>
                <w:color w:val="auto"/>
              </w:rPr>
              <w:t>LMT</w:t>
            </w:r>
          </w:p>
        </w:tc>
        <w:tc>
          <w:tcPr>
            <w:tcW w:w="320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190" w:lineRule="exact"/>
        <w:rPr>
          <w:sz w:val="24"/>
          <w:szCs w:val="24"/>
          <w:color w:val="auto"/>
        </w:rPr>
      </w:pPr>
    </w:p>
    <w:p>
      <w:pPr>
        <w:spacing w:after="0" w:line="286"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89" w:lineRule="exact"/>
        <w:rPr>
          <w:sz w:val="24"/>
          <w:szCs w:val="24"/>
          <w:color w:val="auto"/>
        </w:rPr>
      </w:pPr>
    </w:p>
    <w:p>
      <w:pPr>
        <w:ind w:right="140"/>
        <w:spacing w:after="0" w:line="22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highlight w:val="black"/>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901065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44"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On April 23, 2026, Lockheed Martin Corporation issued a news release reporting its financial results for the quarter ended March 29, 2026. A copy of the news release is furnished as Exhibit 99.1 to this Current Report on Form 8-K. Exhibit 99.1 shall not be deemed “filed” for purposes of Section 18 of the Securities Exchange Act of 1934, nor shall it be deemed incorporated by reference in any filing under the Securities Act of 1933, as amended.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9760" w:type="dxa"/>
            <w:vAlign w:val="bottom"/>
            <w:gridSpan w:val="4"/>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99.1</w:t>
            </w:r>
          </w:p>
        </w:tc>
        <w:tc>
          <w:tcPr>
            <w:tcW w:w="520" w:type="dxa"/>
            <w:vAlign w:val="bottom"/>
          </w:tcPr>
          <w:p>
            <w:pPr>
              <w:spacing w:after="0"/>
              <w:rPr>
                <w:sz w:val="24"/>
                <w:szCs w:val="24"/>
                <w:color w:val="auto"/>
              </w:rPr>
            </w:pPr>
          </w:p>
        </w:tc>
        <w:tc>
          <w:tcPr>
            <w:tcW w:w="9760" w:type="dxa"/>
            <w:vAlign w:val="bottom"/>
            <w:gridSpan w:val="4"/>
          </w:tcPr>
          <w:p>
            <w:pPr>
              <w:spacing w:after="0"/>
              <w:rPr>
                <w:sz w:val="20"/>
                <w:szCs w:val="20"/>
                <w:color w:val="auto"/>
              </w:rPr>
            </w:pPr>
            <w:r>
              <w:rPr>
                <w:rFonts w:ascii="Arial" w:cs="Arial" w:eastAsia="Arial" w:hAnsi="Arial"/>
                <w:sz w:val="18"/>
                <w:szCs w:val="18"/>
                <w:color w:val="0000FF"/>
              </w:rPr>
              <w:t>Lockheed Martin Corporation News Release dated April 23, 2026 (earnings release reporting Lockheed Martin</w:t>
            </w:r>
          </w:p>
        </w:tc>
      </w:tr>
      <w:tr>
        <w:trPr>
          <w:trHeight w:val="169"/>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760" w:type="dxa"/>
            <w:vAlign w:val="bottom"/>
            <w:tcBorders>
              <w:top w:val="single" w:sz="8" w:color="0000FF"/>
            </w:tcBorders>
            <w:gridSpan w:val="3"/>
          </w:tcPr>
          <w:p>
            <w:pPr>
              <w:spacing w:after="0" w:line="169" w:lineRule="exact"/>
              <w:rPr>
                <w:sz w:val="20"/>
                <w:szCs w:val="20"/>
                <w:color w:val="auto"/>
              </w:rPr>
            </w:pPr>
            <w:r>
              <w:rPr>
                <w:rFonts w:ascii="Arial" w:cs="Arial" w:eastAsia="Arial" w:hAnsi="Arial"/>
                <w:sz w:val="18"/>
                <w:szCs w:val="18"/>
                <w:color w:val="0000FF"/>
              </w:rPr>
              <w:t>Corporation’s financial results for the quarter ended March 29, 2026).</w:t>
            </w:r>
          </w:p>
        </w:tc>
        <w:tc>
          <w:tcPr>
            <w:tcW w:w="1000" w:type="dxa"/>
            <w:vAlign w:val="bottom"/>
          </w:tcPr>
          <w:p>
            <w:pPr>
              <w:spacing w:after="0"/>
              <w:rPr>
                <w:sz w:val="14"/>
                <w:szCs w:val="14"/>
                <w:color w:val="auto"/>
              </w:rPr>
            </w:pPr>
          </w:p>
        </w:tc>
      </w:tr>
      <w:tr>
        <w:trPr>
          <w:trHeight w:val="20"/>
        </w:trPr>
        <w:tc>
          <w:tcPr>
            <w:tcW w:w="9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80" w:type="dxa"/>
            <w:vAlign w:val="bottom"/>
            <w:gridSpan w:val="2"/>
            <w:shd w:val="clear" w:color="auto" w:fill="0000FF"/>
          </w:tcPr>
          <w:p>
            <w:pPr>
              <w:spacing w:after="0" w:line="20" w:lineRule="exact"/>
              <w:rPr>
                <w:sz w:val="1"/>
                <w:szCs w:val="1"/>
                <w:color w:val="auto"/>
              </w:rPr>
            </w:pPr>
          </w:p>
        </w:tc>
        <w:tc>
          <w:tcPr>
            <w:tcW w:w="4280" w:type="dxa"/>
            <w:vAlign w:val="bottom"/>
            <w:gridSpan w:val="2"/>
          </w:tcPr>
          <w:p>
            <w:pPr>
              <w:spacing w:after="0" w:line="20" w:lineRule="exact"/>
              <w:rPr>
                <w:sz w:val="1"/>
                <w:szCs w:val="1"/>
                <w:color w:val="auto"/>
              </w:rPr>
            </w:pPr>
          </w:p>
        </w:tc>
      </w:tr>
      <w:tr>
        <w:trPr>
          <w:trHeight w:val="308"/>
        </w:trPr>
        <w:tc>
          <w:tcPr>
            <w:tcW w:w="96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520" w:type="dxa"/>
            <w:vAlign w:val="bottom"/>
          </w:tcPr>
          <w:p>
            <w:pPr>
              <w:spacing w:after="0"/>
              <w:rPr>
                <w:sz w:val="24"/>
                <w:szCs w:val="24"/>
                <w:color w:val="auto"/>
              </w:rPr>
            </w:pPr>
          </w:p>
        </w:tc>
        <w:tc>
          <w:tcPr>
            <w:tcW w:w="9760" w:type="dxa"/>
            <w:vAlign w:val="bottom"/>
            <w:gridSpan w:val="4"/>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150"/>
        </w:trPr>
        <w:tc>
          <w:tcPr>
            <w:tcW w:w="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17" w:right="33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8"/>
          <w:szCs w:val="18"/>
          <w:b w:val="1"/>
          <w:bCs w:val="1"/>
          <w:color w:val="auto"/>
        </w:rPr>
        <w:t>SIGNATURE</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tbl>
      <w:tblPr>
        <w:tblLayout w:type="fixed"/>
        <w:tblInd w:w="20" w:type="dxa"/>
        <w:tblCellMar>
          <w:top w:w="0" w:type="dxa"/>
          <w:left w:w="0" w:type="dxa"/>
          <w:bottom w:w="0" w:type="dxa"/>
          <w:right w:w="0" w:type="dxa"/>
        </w:tblCellMar>
      </w:tblPr>
      <w:tr>
        <w:trPr>
          <w:trHeight w:val="196"/>
        </w:trPr>
        <w:tc>
          <w:tcPr>
            <w:tcW w:w="328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9"/>
              </w:rPr>
              <w:t>Lockheed Martin Corporation</w:t>
            </w:r>
          </w:p>
        </w:tc>
        <w:tc>
          <w:tcPr>
            <w:tcW w:w="3200" w:type="dxa"/>
            <w:vAlign w:val="bottom"/>
          </w:tcPr>
          <w:p>
            <w:pPr>
              <w:spacing w:after="0"/>
              <w:rPr>
                <w:sz w:val="17"/>
                <w:szCs w:val="17"/>
                <w:color w:val="auto"/>
              </w:rPr>
            </w:pPr>
          </w:p>
        </w:tc>
      </w:tr>
      <w:tr>
        <w:trPr>
          <w:trHeight w:val="254"/>
        </w:trPr>
        <w:tc>
          <w:tcPr>
            <w:tcW w:w="328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(Registrant)</w:t>
            </w:r>
          </w:p>
        </w:tc>
      </w:tr>
      <w:tr>
        <w:trPr>
          <w:trHeight w:val="738"/>
        </w:trPr>
        <w:tc>
          <w:tcPr>
            <w:tcW w:w="3280" w:type="dxa"/>
            <w:vAlign w:val="bottom"/>
          </w:tcPr>
          <w:p>
            <w:pPr>
              <w:spacing w:after="0"/>
              <w:rPr>
                <w:sz w:val="20"/>
                <w:szCs w:val="20"/>
                <w:color w:val="auto"/>
              </w:rPr>
            </w:pPr>
            <w:r>
              <w:rPr>
                <w:rFonts w:ascii="Arial" w:cs="Arial" w:eastAsia="Arial" w:hAnsi="Arial"/>
                <w:sz w:val="18"/>
                <w:szCs w:val="18"/>
                <w:color w:val="auto"/>
              </w:rPr>
              <w:t>Date: April 23, 2026</w:t>
            </w:r>
          </w:p>
        </w:tc>
        <w:tc>
          <w:tcPr>
            <w:tcW w:w="7720" w:type="dxa"/>
            <w:vAlign w:val="bottom"/>
            <w:gridSpan w:val="4"/>
          </w:tcPr>
          <w:p>
            <w:pPr>
              <w:ind w:left="1660"/>
              <w:spacing w:after="0"/>
              <w:rPr>
                <w:sz w:val="20"/>
                <w:szCs w:val="20"/>
                <w:color w:val="auto"/>
              </w:rPr>
            </w:pPr>
            <w:r>
              <w:rPr>
                <w:rFonts w:ascii="Arial" w:cs="Arial" w:eastAsia="Arial" w:hAnsi="Arial"/>
                <w:sz w:val="18"/>
                <w:szCs w:val="18"/>
                <w:color w:val="auto"/>
              </w:rPr>
              <w:t>By:   /s/ H. Edward Paul III</w:t>
            </w:r>
          </w:p>
        </w:tc>
      </w:tr>
      <w:tr>
        <w:trPr>
          <w:trHeight w:val="218"/>
        </w:trPr>
        <w:tc>
          <w:tcPr>
            <w:tcW w:w="32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55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H. Edward Paul III</w:t>
            </w:r>
          </w:p>
        </w:tc>
      </w:tr>
      <w:tr>
        <w:trPr>
          <w:trHeight w:val="239"/>
        </w:trPr>
        <w:tc>
          <w:tcPr>
            <w:tcW w:w="32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Vice President and Controller</w:t>
            </w:r>
          </w:p>
        </w:tc>
      </w:tr>
    </w:tbl>
    <w:p>
      <w:pPr>
        <w:sectPr>
          <w:pgSz w:w="11900" w:h="16838" w:orient="portrait"/>
          <w:cols w:equalWidth="0" w:num="1">
            <w:col w:w="11120"/>
          </w:cols>
          <w:pgMar w:left="320" w:top="769"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486025" cy="4286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8602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Arial" w:cs="Arial" w:eastAsia="Arial" w:hAnsi="Arial"/>
          <w:sz w:val="43"/>
          <w:szCs w:val="43"/>
          <w:b w:val="1"/>
          <w:bCs w:val="1"/>
          <w:i w:val="1"/>
          <w:iCs w:val="1"/>
          <w:color w:val="auto"/>
        </w:rPr>
        <w:t>News Release</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Lockheed Martin Reports First Quarter 2026 Financial Results</w:t>
      </w:r>
    </w:p>
    <w:p>
      <w:pPr>
        <w:spacing w:after="0" w:line="189" w:lineRule="exact"/>
        <w:rPr>
          <w:sz w:val="20"/>
          <w:szCs w:val="20"/>
          <w:color w:val="auto"/>
        </w:rPr>
      </w:pPr>
    </w:p>
    <w:p>
      <w:pPr>
        <w:ind w:left="320" w:hanging="312"/>
        <w:spacing w:after="0"/>
        <w:tabs>
          <w:tab w:leader="none" w:pos="32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Orion capsule successfully completes historic mission around the moon</w:t>
      </w:r>
    </w:p>
    <w:p>
      <w:pPr>
        <w:spacing w:after="0" w:line="19" w:lineRule="exact"/>
        <w:rPr>
          <w:rFonts w:ascii="Arial" w:cs="Arial" w:eastAsia="Arial" w:hAnsi="Arial"/>
          <w:sz w:val="20"/>
          <w:szCs w:val="20"/>
          <w:b w:val="1"/>
          <w:bCs w:val="1"/>
          <w:color w:val="auto"/>
        </w:rPr>
      </w:pPr>
    </w:p>
    <w:p>
      <w:pPr>
        <w:ind w:left="320" w:hanging="312"/>
        <w:spacing w:after="0"/>
        <w:tabs>
          <w:tab w:leader="none" w:pos="32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Lockheed Martin and Department of War sign multiyear framework agreements to increase munitions production</w:t>
      </w:r>
    </w:p>
    <w:p>
      <w:pPr>
        <w:spacing w:after="0" w:line="13" w:lineRule="exact"/>
        <w:rPr>
          <w:rFonts w:ascii="Arial" w:cs="Arial" w:eastAsia="Arial" w:hAnsi="Arial"/>
          <w:sz w:val="20"/>
          <w:szCs w:val="20"/>
          <w:b w:val="1"/>
          <w:bCs w:val="1"/>
          <w:color w:val="auto"/>
        </w:rPr>
      </w:pPr>
    </w:p>
    <w:p>
      <w:pPr>
        <w:ind w:left="320" w:hanging="312"/>
        <w:spacing w:after="0"/>
        <w:tabs>
          <w:tab w:leader="none" w:pos="32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Sales of $18.0 billion</w:t>
      </w:r>
    </w:p>
    <w:p>
      <w:pPr>
        <w:ind w:left="320" w:hanging="312"/>
        <w:spacing w:after="0"/>
        <w:tabs>
          <w:tab w:leader="none" w:pos="32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Net earnings of $1.5 billion, or $6.44 per share</w:t>
      </w:r>
    </w:p>
    <w:p>
      <w:pPr>
        <w:spacing w:after="0" w:line="13" w:lineRule="exact"/>
        <w:rPr>
          <w:rFonts w:ascii="Arial" w:cs="Arial" w:eastAsia="Arial" w:hAnsi="Arial"/>
          <w:sz w:val="20"/>
          <w:szCs w:val="20"/>
          <w:b w:val="1"/>
          <w:bCs w:val="1"/>
          <w:color w:val="auto"/>
        </w:rPr>
      </w:pPr>
    </w:p>
    <w:p>
      <w:pPr>
        <w:ind w:left="320" w:hanging="312"/>
        <w:spacing w:after="0"/>
        <w:tabs>
          <w:tab w:leader="none" w:pos="32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Cash from operations of $220 million and free cash flow of $(291) million</w:t>
      </w:r>
    </w:p>
    <w:p>
      <w:pPr>
        <w:spacing w:after="0" w:line="13" w:lineRule="exact"/>
        <w:rPr>
          <w:rFonts w:ascii="Arial" w:cs="Arial" w:eastAsia="Arial" w:hAnsi="Arial"/>
          <w:sz w:val="20"/>
          <w:szCs w:val="20"/>
          <w:b w:val="1"/>
          <w:bCs w:val="1"/>
          <w:color w:val="auto"/>
        </w:rPr>
      </w:pPr>
    </w:p>
    <w:p>
      <w:pPr>
        <w:ind w:left="320" w:hanging="312"/>
        <w:spacing w:after="0"/>
        <w:tabs>
          <w:tab w:leader="none" w:pos="32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Reaffirms 2026 financial outlook</w:t>
      </w:r>
    </w:p>
    <w:p>
      <w:pPr>
        <w:spacing w:after="0" w:line="223" w:lineRule="exact"/>
        <w:rPr>
          <w:sz w:val="20"/>
          <w:szCs w:val="20"/>
          <w:color w:val="auto"/>
        </w:rPr>
      </w:pPr>
    </w:p>
    <w:p>
      <w:pPr>
        <w:ind w:right="40"/>
        <w:spacing w:after="0" w:line="241" w:lineRule="auto"/>
        <w:rPr>
          <w:sz w:val="20"/>
          <w:szCs w:val="20"/>
          <w:color w:val="auto"/>
        </w:rPr>
      </w:pPr>
      <w:r>
        <w:rPr>
          <w:rFonts w:ascii="Arial" w:cs="Arial" w:eastAsia="Arial" w:hAnsi="Arial"/>
          <w:sz w:val="20"/>
          <w:szCs w:val="20"/>
          <w:b w:val="1"/>
          <w:bCs w:val="1"/>
          <w:color w:val="auto"/>
        </w:rPr>
        <w:t xml:space="preserve">BETHESDA, Md., </w:t>
      </w:r>
      <w:r>
        <w:rPr>
          <w:rFonts w:ascii="Arial" w:cs="Arial" w:eastAsia="Arial" w:hAnsi="Arial"/>
          <w:sz w:val="20"/>
          <w:szCs w:val="20"/>
          <w:color w:val="auto"/>
        </w:rPr>
        <w:t>April 23, 2026 – Lockheed Martin Corporation [NYSE: LMT] today reported first quarter 2026 sales of $18.0</w:t>
      </w:r>
      <w:r>
        <w:rPr>
          <w:rFonts w:ascii="Arial" w:cs="Arial" w:eastAsia="Arial" w:hAnsi="Arial"/>
          <w:sz w:val="20"/>
          <w:szCs w:val="20"/>
          <w:b w:val="1"/>
          <w:bCs w:val="1"/>
          <w:color w:val="auto"/>
        </w:rPr>
        <w:t xml:space="preserve"> </w:t>
      </w:r>
      <w:r>
        <w:rPr>
          <w:rFonts w:ascii="Arial" w:cs="Arial" w:eastAsia="Arial" w:hAnsi="Arial"/>
          <w:sz w:val="20"/>
          <w:szCs w:val="20"/>
          <w:color w:val="auto"/>
        </w:rPr>
        <w:t>billion, compared to $18.0 billion in the first quarter of 2025. Net earnings in the first quarter of 2026 were $1.5 billion, or $6.44 per share, compared to $1.7 billion, or $7.28 per share, in the first quarter of 2025. Cash from operations was $220 million in the first quarter of 2026, compared to $1.4 billion in the first quarter of 2025. Free cash flow was $(291) million in the first quarter of 2026, compared to $955 million in the first quarter of 2025.</w:t>
      </w:r>
    </w:p>
    <w:p>
      <w:pPr>
        <w:spacing w:after="0" w:line="143" w:lineRule="exact"/>
        <w:rPr>
          <w:sz w:val="20"/>
          <w:szCs w:val="20"/>
          <w:color w:val="auto"/>
        </w:rPr>
      </w:pPr>
    </w:p>
    <w:p>
      <w:pPr>
        <w:ind w:right="40"/>
        <w:spacing w:after="0" w:line="236" w:lineRule="auto"/>
        <w:rPr>
          <w:sz w:val="20"/>
          <w:szCs w:val="20"/>
          <w:color w:val="auto"/>
        </w:rPr>
      </w:pPr>
      <w:r>
        <w:rPr>
          <w:rFonts w:ascii="Arial" w:cs="Arial" w:eastAsia="Arial" w:hAnsi="Arial"/>
          <w:sz w:val="20"/>
          <w:szCs w:val="20"/>
          <w:color w:val="auto"/>
        </w:rPr>
        <w:t>“Lockheed Martin’s superior capabilities in delivering advanced defense technology and systems and in space exploration have been proven again and again in 2026. Our Orion spacecraft safely carried the crew farther from Earth than ever before during NASA’s historic Artemis II mission, concluding with a precisely executed re-entry and splashdown. Our superior fifth generation fighter jets, the F-35 and F-22, continue to operate with great effectiveness in contested and difficult missions. Additionally, our layered missile defense architecture, including phased array radars, Aegis integrated command and control system, and the THAAD and advanced Patriot Missile interceptors, protected both military assets and civilians,” said Lockheed Martin Chairman, President and CEO Jim Taiclet.</w:t>
      </w:r>
    </w:p>
    <w:p>
      <w:pPr>
        <w:spacing w:after="0" w:line="145" w:lineRule="exact"/>
        <w:rPr>
          <w:sz w:val="20"/>
          <w:szCs w:val="20"/>
          <w:color w:val="auto"/>
        </w:rPr>
      </w:pPr>
    </w:p>
    <w:p>
      <w:pPr>
        <w:ind w:right="360"/>
        <w:spacing w:after="0" w:line="236" w:lineRule="auto"/>
        <w:rPr>
          <w:sz w:val="20"/>
          <w:szCs w:val="20"/>
          <w:color w:val="auto"/>
        </w:rPr>
      </w:pPr>
      <w:r>
        <w:rPr>
          <w:rFonts w:ascii="Arial" w:cs="Arial" w:eastAsia="Arial" w:hAnsi="Arial"/>
          <w:sz w:val="20"/>
          <w:szCs w:val="20"/>
          <w:color w:val="auto"/>
        </w:rPr>
        <w:t>“Given the high level of demand for many of these systems, we also pioneered a number of commercially inspired, long term business arrangements with U.S. government leadership. In the first quarter, we signed several framework agreements to accelerate and scale munitions production, including advanced Patriot Missile, THAAD, and PrSM. We anticipate that these groundbreaking agreements will benefit both industry and the government and serve as the example for future contracting initiatives. The multi-year demand commitments defined in these framework agreements will in turn support strategic investments in production infrastructure, bolster our supply chain, and enhance our workforce to increase production rates of these critical systems by 3-4 times current rates,” continued Taiclet.</w:t>
      </w:r>
    </w:p>
    <w:p>
      <w:pPr>
        <w:spacing w:after="0" w:line="145" w:lineRule="exact"/>
        <w:rPr>
          <w:sz w:val="20"/>
          <w:szCs w:val="20"/>
          <w:color w:val="auto"/>
        </w:rPr>
      </w:pPr>
    </w:p>
    <w:p>
      <w:pPr>
        <w:ind w:right="60"/>
        <w:spacing w:after="0"/>
        <w:rPr>
          <w:sz w:val="20"/>
          <w:szCs w:val="20"/>
          <w:color w:val="auto"/>
        </w:rPr>
      </w:pPr>
      <w:r>
        <w:rPr>
          <w:rFonts w:ascii="Arial" w:cs="Arial" w:eastAsia="Arial" w:hAnsi="Arial"/>
          <w:sz w:val="20"/>
          <w:szCs w:val="20"/>
          <w:color w:val="auto"/>
        </w:rPr>
        <w:t>“Our first quarter revenue of more than $18 billion, segment operating profit of $1.8 billion, and substantial backlog were a result of both strong customer demand, our continued commitment to operational performance and focused risk management. We reaffirm our 2026 full year guidance with anticipated sales and operating profit growth of approximately 5% and 25% year-over-year, respectively, and expected free cash flow between $6.5 and $6.8 billion.”</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931"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u w:val="single" w:color="auto"/>
          <w:color w:val="auto"/>
        </w:rPr>
        <w:t>Summary Financial Results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the company's summary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149465" cy="35490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3549015"/>
                    </a:xfrm>
                    <a:prstGeom prst="rect">
                      <a:avLst/>
                    </a:prstGeom>
                    <a:noFill/>
                  </pic:spPr>
                </pic:pic>
              </a:graphicData>
            </a:graphic>
          </wp:anchor>
        </w:drawing>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820" w:type="dxa"/>
            <w:vAlign w:val="bottom"/>
          </w:tcPr>
          <w:p>
            <w:pPr>
              <w:ind w:left="300"/>
              <w:spacing w:after="0"/>
              <w:rPr>
                <w:sz w:val="20"/>
                <w:szCs w:val="20"/>
                <w:color w:val="auto"/>
              </w:rPr>
            </w:pPr>
            <w:r>
              <w:rPr>
                <w:rFonts w:ascii="Arial" w:cs="Arial" w:eastAsia="Arial" w:hAnsi="Arial"/>
                <w:sz w:val="14"/>
                <w:szCs w:val="14"/>
                <w:color w:val="auto"/>
              </w:rPr>
              <w:t>(in millions, except per share data)</w:t>
            </w:r>
          </w:p>
        </w:tc>
        <w:tc>
          <w:tcPr>
            <w:tcW w:w="240" w:type="dxa"/>
            <w:vAlign w:val="bottom"/>
          </w:tcPr>
          <w:p>
            <w:pPr>
              <w:spacing w:after="0"/>
              <w:rPr>
                <w:sz w:val="20"/>
                <w:szCs w:val="20"/>
                <w:color w:val="auto"/>
              </w:rPr>
            </w:pPr>
          </w:p>
        </w:tc>
        <w:tc>
          <w:tcPr>
            <w:tcW w:w="3180" w:type="dxa"/>
            <w:vAlign w:val="bottom"/>
            <w:gridSpan w:val="5"/>
          </w:tcPr>
          <w:p>
            <w:pPr>
              <w:ind w:left="740"/>
              <w:spacing w:after="0"/>
              <w:rPr>
                <w:sz w:val="20"/>
                <w:szCs w:val="20"/>
                <w:color w:val="auto"/>
              </w:rPr>
            </w:pPr>
            <w:r>
              <w:rPr>
                <w:rFonts w:ascii="Arial" w:cs="Arial" w:eastAsia="Arial" w:hAnsi="Arial"/>
                <w:sz w:val="18"/>
                <w:szCs w:val="18"/>
                <w:b w:val="1"/>
                <w:bCs w:val="1"/>
                <w:color w:val="auto"/>
              </w:rPr>
              <w:t>Quarters Ended</w:t>
            </w:r>
          </w:p>
        </w:tc>
      </w:tr>
      <w:tr>
        <w:trPr>
          <w:trHeight w:val="177"/>
        </w:trPr>
        <w:tc>
          <w:tcPr>
            <w:tcW w:w="78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gridSpan w:val="2"/>
          </w:tcPr>
          <w:p>
            <w:pPr>
              <w:ind w:left="140"/>
              <w:spacing w:after="0" w:line="177" w:lineRule="exact"/>
              <w:rPr>
                <w:sz w:val="20"/>
                <w:szCs w:val="20"/>
                <w:color w:val="auto"/>
              </w:rPr>
            </w:pPr>
            <w:r>
              <w:rPr>
                <w:rFonts w:ascii="Arial" w:cs="Arial" w:eastAsia="Arial" w:hAnsi="Arial"/>
                <w:sz w:val="18"/>
                <w:szCs w:val="18"/>
                <w:b w:val="1"/>
                <w:bCs w:val="1"/>
                <w:color w:val="auto"/>
              </w:rPr>
              <w:t>March 29,</w:t>
            </w:r>
          </w:p>
        </w:tc>
        <w:tc>
          <w:tcPr>
            <w:tcW w:w="26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ind w:right="290"/>
              <w:spacing w:after="0" w:line="177" w:lineRule="exact"/>
              <w:rPr>
                <w:sz w:val="20"/>
                <w:szCs w:val="20"/>
                <w:color w:val="auto"/>
              </w:rPr>
            </w:pPr>
            <w:r>
              <w:rPr>
                <w:rFonts w:ascii="Arial" w:cs="Arial" w:eastAsia="Arial" w:hAnsi="Arial"/>
                <w:sz w:val="18"/>
                <w:szCs w:val="18"/>
                <w:b w:val="1"/>
                <w:bCs w:val="1"/>
                <w:color w:val="auto"/>
              </w:rPr>
              <w:t>March 30,</w:t>
            </w:r>
          </w:p>
        </w:tc>
        <w:tc>
          <w:tcPr>
            <w:tcW w:w="100" w:type="dxa"/>
            <w:vAlign w:val="bottom"/>
          </w:tcPr>
          <w:p>
            <w:pPr>
              <w:spacing w:after="0"/>
              <w:rPr>
                <w:sz w:val="15"/>
                <w:szCs w:val="15"/>
                <w:color w:val="auto"/>
              </w:rPr>
            </w:pPr>
          </w:p>
        </w:tc>
      </w:tr>
      <w:tr>
        <w:trPr>
          <w:trHeight w:val="235"/>
        </w:trPr>
        <w:tc>
          <w:tcPr>
            <w:tcW w:w="78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2026</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r>
      <w:tr>
        <w:trPr>
          <w:trHeight w:val="248"/>
        </w:trPr>
        <w:tc>
          <w:tcPr>
            <w:tcW w:w="78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b w:val="1"/>
                <w:bCs w:val="1"/>
                <w:color w:val="auto"/>
              </w:rPr>
              <w:t>Sales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18,021</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17,963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63"/>
        </w:trPr>
        <w:tc>
          <w:tcPr>
            <w:tcW w:w="7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9"/>
        </w:trPr>
        <w:tc>
          <w:tcPr>
            <w:tcW w:w="7820" w:type="dxa"/>
            <w:vAlign w:val="bottom"/>
            <w:shd w:val="clear" w:color="auto" w:fill="CCEEFF"/>
          </w:tcPr>
          <w:p>
            <w:pPr>
              <w:ind w:left="300"/>
              <w:spacing w:after="0" w:line="230" w:lineRule="exact"/>
              <w:rPr>
                <w:sz w:val="20"/>
                <w:szCs w:val="20"/>
                <w:color w:val="auto"/>
              </w:rPr>
            </w:pPr>
            <w:r>
              <w:rPr>
                <w:rFonts w:ascii="Arial" w:cs="Arial" w:eastAsia="Arial" w:hAnsi="Arial"/>
                <w:sz w:val="18"/>
                <w:szCs w:val="18"/>
                <w:b w:val="1"/>
                <w:bCs w:val="1"/>
                <w:color w:val="auto"/>
              </w:rPr>
              <w:t>Business segment operating profit</w:t>
            </w:r>
            <w:r>
              <w:rPr>
                <w:rFonts w:ascii="Arial" w:cs="Arial" w:eastAsia="Arial" w:hAnsi="Arial"/>
                <w:sz w:val="23"/>
                <w:szCs w:val="23"/>
                <w:b w:val="1"/>
                <w:bCs w:val="1"/>
                <w:color w:val="auto"/>
                <w:vertAlign w:val="superscript"/>
              </w:rPr>
              <w:t>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1,823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2,085</w:t>
            </w:r>
          </w:p>
        </w:tc>
        <w:tc>
          <w:tcPr>
            <w:tcW w:w="100" w:type="dxa"/>
            <w:vAlign w:val="bottom"/>
            <w:shd w:val="clear" w:color="auto" w:fill="CCEEFF"/>
          </w:tcPr>
          <w:p>
            <w:pPr>
              <w:spacing w:after="0"/>
              <w:rPr>
                <w:sz w:val="19"/>
                <w:szCs w:val="19"/>
                <w:color w:val="auto"/>
              </w:rPr>
            </w:pPr>
          </w:p>
        </w:tc>
      </w:tr>
      <w:tr>
        <w:trPr>
          <w:trHeight w:val="229"/>
        </w:trPr>
        <w:tc>
          <w:tcPr>
            <w:tcW w:w="7820" w:type="dxa"/>
            <w:vAlign w:val="bottom"/>
          </w:tcPr>
          <w:p>
            <w:pPr>
              <w:ind w:left="420"/>
              <w:spacing w:after="0"/>
              <w:rPr>
                <w:sz w:val="20"/>
                <w:szCs w:val="20"/>
                <w:color w:val="auto"/>
              </w:rPr>
            </w:pPr>
            <w:r>
              <w:rPr>
                <w:rFonts w:ascii="Arial" w:cs="Arial" w:eastAsia="Arial" w:hAnsi="Arial"/>
                <w:sz w:val="18"/>
                <w:szCs w:val="18"/>
                <w:color w:val="auto"/>
              </w:rPr>
              <w:t>Unallocated items</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8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FAS/CAS pension operating adjustment</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00" w:type="dxa"/>
            <w:vAlign w:val="bottom"/>
            <w:shd w:val="clear" w:color="auto" w:fill="CCEEFF"/>
          </w:tcPr>
          <w:p>
            <w:pPr>
              <w:spacing w:after="0"/>
              <w:rPr>
                <w:sz w:val="19"/>
                <w:szCs w:val="19"/>
                <w:color w:val="auto"/>
              </w:rPr>
            </w:pPr>
          </w:p>
        </w:tc>
      </w:tr>
      <w:tr>
        <w:trPr>
          <w:trHeight w:val="229"/>
        </w:trPr>
        <w:tc>
          <w:tcPr>
            <w:tcW w:w="7820" w:type="dxa"/>
            <w:vAlign w:val="bottom"/>
          </w:tcPr>
          <w:p>
            <w:pPr>
              <w:ind w:left="500"/>
              <w:spacing w:after="0"/>
              <w:rPr>
                <w:sz w:val="20"/>
                <w:szCs w:val="20"/>
                <w:color w:val="auto"/>
              </w:rPr>
            </w:pPr>
            <w:r>
              <w:rPr>
                <w:rFonts w:ascii="Arial" w:cs="Arial" w:eastAsia="Arial" w:hAnsi="Arial"/>
                <w:sz w:val="18"/>
                <w:szCs w:val="18"/>
                <w:color w:val="auto"/>
              </w:rPr>
              <w:t>Intangible asset amortization expense</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(50)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r>
      <w:tr>
        <w:trPr>
          <w:trHeight w:val="229"/>
        </w:trPr>
        <w:tc>
          <w:tcPr>
            <w:tcW w:w="7820" w:type="dxa"/>
            <w:vAlign w:val="bottom"/>
            <w:shd w:val="clear" w:color="auto" w:fill="CCEEFF"/>
          </w:tcPr>
          <w:p>
            <w:pPr>
              <w:ind w:left="500"/>
              <w:spacing w:after="0" w:line="230" w:lineRule="exact"/>
              <w:rPr>
                <w:sz w:val="20"/>
                <w:szCs w:val="20"/>
                <w:color w:val="auto"/>
              </w:rPr>
            </w:pPr>
            <w:r>
              <w:rPr>
                <w:rFonts w:ascii="Arial" w:cs="Arial" w:eastAsia="Arial" w:hAnsi="Arial"/>
                <w:sz w:val="18"/>
                <w:szCs w:val="18"/>
                <w:color w:val="auto"/>
              </w:rPr>
              <w:t>Other, net</w:t>
            </w:r>
            <w:r>
              <w:rPr>
                <w:rFonts w:ascii="Arial" w:cs="Arial" w:eastAsia="Arial" w:hAnsi="Arial"/>
                <w:sz w:val="23"/>
                <w:szCs w:val="23"/>
                <w:color w:val="auto"/>
                <w:vertAlign w:val="superscript"/>
              </w:rPr>
              <w:t>2</w:t>
            </w: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r>
      <w:tr>
        <w:trPr>
          <w:trHeight w:val="223"/>
        </w:trPr>
        <w:tc>
          <w:tcPr>
            <w:tcW w:w="782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Total unallocated items</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240</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tcPr>
          <w:p>
            <w:pPr>
              <w:spacing w:after="0"/>
              <w:rPr>
                <w:sz w:val="19"/>
                <w:szCs w:val="19"/>
                <w:color w:val="auto"/>
              </w:rPr>
            </w:pPr>
          </w:p>
        </w:tc>
      </w:tr>
      <w:tr>
        <w:trPr>
          <w:trHeight w:val="248"/>
        </w:trPr>
        <w:tc>
          <w:tcPr>
            <w:tcW w:w="78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b w:val="1"/>
                <w:bCs w:val="1"/>
                <w:color w:val="auto"/>
              </w:rPr>
              <w:t>Consolidated operating profit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2,063</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63"/>
        </w:trPr>
        <w:tc>
          <w:tcPr>
            <w:tcW w:w="78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r>
      <w:tr>
        <w:trPr>
          <w:trHeight w:val="248"/>
        </w:trPr>
        <w:tc>
          <w:tcPr>
            <w:tcW w:w="78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b w:val="1"/>
                <w:bCs w:val="1"/>
                <w:color w:val="auto"/>
              </w:rPr>
              <w:t>Net earnings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1,488</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63"/>
        </w:trPr>
        <w:tc>
          <w:tcPr>
            <w:tcW w:w="7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8"/>
        </w:trPr>
        <w:tc>
          <w:tcPr>
            <w:tcW w:w="7820" w:type="dxa"/>
            <w:vAlign w:val="bottom"/>
            <w:tcBorders>
              <w:bottom w:val="single" w:sz="8" w:color="CCEEFF"/>
            </w:tcBorders>
            <w:shd w:val="clear" w:color="auto" w:fill="CCEEFF"/>
          </w:tcPr>
          <w:p>
            <w:pPr>
              <w:ind w:left="300"/>
              <w:spacing w:after="0" w:line="202" w:lineRule="exact"/>
              <w:rPr>
                <w:sz w:val="20"/>
                <w:szCs w:val="20"/>
                <w:color w:val="auto"/>
              </w:rPr>
            </w:pPr>
            <w:r>
              <w:rPr>
                <w:rFonts w:ascii="Arial" w:cs="Arial" w:eastAsia="Arial" w:hAnsi="Arial"/>
                <w:sz w:val="18"/>
                <w:szCs w:val="18"/>
                <w:b w:val="1"/>
                <w:bCs w:val="1"/>
                <w:color w:val="auto"/>
              </w:rPr>
              <w:t>Diluted earnings per share</w:t>
            </w:r>
          </w:p>
        </w:tc>
        <w:tc>
          <w:tcPr>
            <w:tcW w:w="24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6.44</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7.28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63"/>
        </w:trPr>
        <w:tc>
          <w:tcPr>
            <w:tcW w:w="7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9"/>
        </w:trPr>
        <w:tc>
          <w:tcPr>
            <w:tcW w:w="782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Cash from operations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100" w:type="dxa"/>
            <w:vAlign w:val="bottom"/>
            <w:shd w:val="clear" w:color="auto" w:fill="CCEEFF"/>
          </w:tcPr>
          <w:p>
            <w:pPr>
              <w:spacing w:after="0"/>
              <w:rPr>
                <w:sz w:val="19"/>
                <w:szCs w:val="19"/>
                <w:color w:val="auto"/>
              </w:rPr>
            </w:pPr>
          </w:p>
        </w:tc>
      </w:tr>
      <w:tr>
        <w:trPr>
          <w:trHeight w:val="230"/>
        </w:trPr>
        <w:tc>
          <w:tcPr>
            <w:tcW w:w="782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Capital expenditures</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(511)</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Borders>
              <w:bottom w:val="single" w:sz="8" w:color="CCEEFF"/>
            </w:tcBorders>
          </w:tcPr>
          <w:p>
            <w:pPr>
              <w:spacing w:after="0"/>
              <w:rPr>
                <w:sz w:val="19"/>
                <w:szCs w:val="19"/>
                <w:color w:val="auto"/>
              </w:rPr>
            </w:pPr>
          </w:p>
        </w:tc>
      </w:tr>
      <w:tr>
        <w:trPr>
          <w:trHeight w:val="248"/>
        </w:trPr>
        <w:tc>
          <w:tcPr>
            <w:tcW w:w="7820" w:type="dxa"/>
            <w:vAlign w:val="bottom"/>
            <w:tcBorders>
              <w:bottom w:val="single" w:sz="8" w:color="CCEEFF"/>
            </w:tcBorders>
            <w:shd w:val="clear" w:color="auto" w:fill="CCEEFF"/>
          </w:tcPr>
          <w:p>
            <w:pPr>
              <w:ind w:left="300"/>
              <w:spacing w:after="0" w:line="223" w:lineRule="exact"/>
              <w:rPr>
                <w:sz w:val="20"/>
                <w:szCs w:val="20"/>
                <w:color w:val="auto"/>
              </w:rPr>
            </w:pPr>
            <w:r>
              <w:rPr>
                <w:rFonts w:ascii="Arial" w:cs="Arial" w:eastAsia="Arial" w:hAnsi="Arial"/>
                <w:sz w:val="18"/>
                <w:szCs w:val="18"/>
                <w:b w:val="1"/>
                <w:bCs w:val="1"/>
                <w:color w:val="auto"/>
              </w:rPr>
              <w:t>Free cash flow</w:t>
            </w:r>
            <w:r>
              <w:rPr>
                <w:rFonts w:ascii="Arial" w:cs="Arial" w:eastAsia="Arial" w:hAnsi="Arial"/>
                <w:sz w:val="23"/>
                <w:szCs w:val="23"/>
                <w:b w:val="1"/>
                <w:bCs w:val="1"/>
                <w:color w:val="auto"/>
                <w:vertAlign w:val="superscript"/>
              </w:rPr>
              <w:t>1</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(291)</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31" w:lineRule="exact"/>
        <w:rPr>
          <w:sz w:val="20"/>
          <w:szCs w:val="20"/>
          <w:color w:val="auto"/>
        </w:rPr>
      </w:pPr>
    </w:p>
    <w:p>
      <w:pPr>
        <w:ind w:left="300" w:right="360" w:hanging="208"/>
        <w:spacing w:after="0" w:line="204" w:lineRule="auto"/>
        <w:tabs>
          <w:tab w:leader="none" w:pos="300" w:val="left"/>
        </w:tabs>
        <w:numPr>
          <w:ilvl w:val="0"/>
          <w:numId w:val="3"/>
        </w:numPr>
        <w:rPr>
          <w:rFonts w:ascii="Arial" w:cs="Arial" w:eastAsia="Arial" w:hAnsi="Arial"/>
          <w:sz w:val="22"/>
          <w:szCs w:val="22"/>
          <w:color w:val="auto"/>
          <w:vertAlign w:val="superscript"/>
        </w:rPr>
      </w:pPr>
      <w:r>
        <w:rPr>
          <w:rFonts w:ascii="Arial" w:cs="Arial" w:eastAsia="Arial" w:hAnsi="Arial"/>
          <w:sz w:val="14"/>
          <w:szCs w:val="14"/>
          <w:color w:val="auto"/>
        </w:rPr>
        <w:t>Business segment operating profit and free cash flow are non-GAAP measures. See the "Use of Non-GAAP Financial Measures" section of this news release for more information.</w:t>
      </w:r>
    </w:p>
    <w:p>
      <w:pPr>
        <w:spacing w:after="0" w:line="26" w:lineRule="exact"/>
        <w:rPr>
          <w:sz w:val="20"/>
          <w:szCs w:val="20"/>
          <w:color w:val="auto"/>
        </w:rPr>
      </w:pPr>
    </w:p>
    <w:p>
      <w:pPr>
        <w:ind w:left="300" w:right="120" w:hanging="208"/>
        <w:spacing w:after="0" w:line="204" w:lineRule="auto"/>
        <w:tabs>
          <w:tab w:leader="none" w:pos="300" w:val="left"/>
        </w:tabs>
        <w:numPr>
          <w:ilvl w:val="0"/>
          <w:numId w:val="4"/>
        </w:numPr>
        <w:rPr>
          <w:rFonts w:ascii="Arial" w:cs="Arial" w:eastAsia="Arial" w:hAnsi="Arial"/>
          <w:sz w:val="22"/>
          <w:szCs w:val="22"/>
          <w:color w:val="auto"/>
          <w:vertAlign w:val="superscript"/>
        </w:rPr>
      </w:pPr>
      <w:r>
        <w:rPr>
          <w:rFonts w:ascii="Arial" w:cs="Arial" w:eastAsia="Arial" w:hAnsi="Arial"/>
          <w:sz w:val="14"/>
          <w:szCs w:val="14"/>
          <w:color w:val="auto"/>
        </w:rPr>
        <w:t>Other, net for the quarter ended March 29, 2026 included net losses of $44 million ($33 million, or $0.14 per share, after-tax) due to changes in fair value of net assets and liabilities for deferred compensation plans, compared to net gains of $29 million ($22 million, or $0.09 per share, after-tax) for the quarter ended March 30, 2025.</w:t>
      </w:r>
    </w:p>
    <w:p>
      <w:pPr>
        <w:spacing w:after="0" w:line="297" w:lineRule="exact"/>
        <w:rPr>
          <w:sz w:val="20"/>
          <w:szCs w:val="20"/>
          <w:color w:val="auto"/>
        </w:rPr>
      </w:pPr>
    </w:p>
    <w:p>
      <w:pPr>
        <w:jc w:val="both"/>
        <w:ind w:right="180"/>
        <w:spacing w:after="0" w:line="269" w:lineRule="auto"/>
        <w:rPr>
          <w:sz w:val="20"/>
          <w:szCs w:val="20"/>
          <w:color w:val="auto"/>
        </w:rPr>
      </w:pPr>
      <w:r>
        <w:rPr>
          <w:rFonts w:ascii="Arial" w:cs="Arial" w:eastAsia="Arial" w:hAnsi="Arial"/>
          <w:sz w:val="20"/>
          <w:szCs w:val="20"/>
          <w:color w:val="auto"/>
        </w:rPr>
        <w:t>Cash from operations in the quarter ended March 29, 2026 was $220 million with free cash flow of $(291) million compared to $1.4 billion with $955 million of free cash flow in the quarter ended March 30, 2025. The decrease in cash from operations was primarily due to higher working capital largely as a result of timing of billing activities.</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color w:val="auto"/>
        </w:rPr>
        <w:t>The company's cash activities in the quarter ended March 29, 2026, included the following:</w:t>
      </w:r>
    </w:p>
    <w:p>
      <w:pPr>
        <w:spacing w:after="0" w:line="148" w:lineRule="exact"/>
        <w:rPr>
          <w:sz w:val="20"/>
          <w:szCs w:val="20"/>
          <w:color w:val="auto"/>
        </w:rPr>
      </w:pPr>
    </w:p>
    <w:p>
      <w:pPr>
        <w:ind w:left="640" w:hanging="308"/>
        <w:spacing w:after="0"/>
        <w:tabs>
          <w:tab w:leader="none" w:pos="640" w:val="left"/>
        </w:tabs>
        <w:numPr>
          <w:ilvl w:val="0"/>
          <w:numId w:val="5"/>
        </w:numPr>
        <w:rPr>
          <w:rFonts w:ascii="Arial" w:cs="Arial" w:eastAsia="Arial" w:hAnsi="Arial"/>
          <w:sz w:val="20"/>
          <w:szCs w:val="20"/>
          <w:color w:val="212529"/>
        </w:rPr>
      </w:pPr>
      <w:r>
        <w:rPr>
          <w:rFonts w:ascii="Arial" w:cs="Arial" w:eastAsia="Arial" w:hAnsi="Arial"/>
          <w:sz w:val="20"/>
          <w:szCs w:val="20"/>
          <w:color w:val="212529"/>
        </w:rPr>
        <w:t xml:space="preserve">capital expenditures of </w:t>
      </w:r>
      <w:r>
        <w:rPr>
          <w:rFonts w:ascii="Arial" w:cs="Arial" w:eastAsia="Arial" w:hAnsi="Arial"/>
          <w:sz w:val="20"/>
          <w:szCs w:val="20"/>
          <w:color w:val="000000"/>
        </w:rPr>
        <w:t>$511 million</w:t>
      </w:r>
      <w:r>
        <w:rPr>
          <w:rFonts w:ascii="Arial" w:cs="Arial" w:eastAsia="Arial" w:hAnsi="Arial"/>
          <w:sz w:val="20"/>
          <w:szCs w:val="20"/>
          <w:color w:val="212529"/>
        </w:rPr>
        <w:t>;</w:t>
      </w:r>
    </w:p>
    <w:p>
      <w:pPr>
        <w:spacing w:after="0" w:line="17" w:lineRule="exact"/>
        <w:rPr>
          <w:rFonts w:ascii="Arial" w:cs="Arial" w:eastAsia="Arial" w:hAnsi="Arial"/>
          <w:sz w:val="20"/>
          <w:szCs w:val="20"/>
          <w:color w:val="212529"/>
        </w:rPr>
      </w:pPr>
    </w:p>
    <w:p>
      <w:pPr>
        <w:ind w:left="640" w:hanging="308"/>
        <w:spacing w:after="0"/>
        <w:tabs>
          <w:tab w:leader="none" w:pos="640" w:val="left"/>
        </w:tabs>
        <w:numPr>
          <w:ilvl w:val="0"/>
          <w:numId w:val="5"/>
        </w:numPr>
        <w:rPr>
          <w:rFonts w:ascii="Arial" w:cs="Arial" w:eastAsia="Arial" w:hAnsi="Arial"/>
          <w:sz w:val="20"/>
          <w:szCs w:val="20"/>
          <w:color w:val="212529"/>
        </w:rPr>
      </w:pPr>
      <w:r>
        <w:rPr>
          <w:rFonts w:ascii="Arial" w:cs="Arial" w:eastAsia="Arial" w:hAnsi="Arial"/>
          <w:sz w:val="20"/>
          <w:szCs w:val="20"/>
          <w:color w:val="auto"/>
        </w:rPr>
        <w:t>independent research and development of $458 million;</w:t>
      </w:r>
    </w:p>
    <w:p>
      <w:pPr>
        <w:spacing w:after="0" w:line="13" w:lineRule="exact"/>
        <w:rPr>
          <w:rFonts w:ascii="Arial" w:cs="Arial" w:eastAsia="Arial" w:hAnsi="Arial"/>
          <w:sz w:val="20"/>
          <w:szCs w:val="20"/>
          <w:color w:val="212529"/>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cash dividends of $816 million; and</w:t>
      </w:r>
    </w:p>
    <w:p>
      <w:pPr>
        <w:spacing w:after="0" w:line="13" w:lineRule="exact"/>
        <w:rPr>
          <w:rFonts w:ascii="Arial" w:cs="Arial" w:eastAsia="Arial" w:hAnsi="Arial"/>
          <w:sz w:val="20"/>
          <w:szCs w:val="20"/>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scheduled long-term debt repayments of $1.0 billion.</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845"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u w:val="single" w:color="auto"/>
          <w:color w:val="auto"/>
        </w:rPr>
        <w:t>2026 Financial Outlook</w:t>
      </w:r>
    </w:p>
    <w:p>
      <w:pPr>
        <w:spacing w:after="0" w:line="164" w:lineRule="exact"/>
        <w:rPr>
          <w:sz w:val="20"/>
          <w:szCs w:val="20"/>
          <w:color w:val="auto"/>
        </w:rPr>
      </w:pPr>
    </w:p>
    <w:p>
      <w:pPr>
        <w:ind w:right="80"/>
        <w:spacing w:after="0" w:line="254" w:lineRule="auto"/>
        <w:rPr>
          <w:sz w:val="20"/>
          <w:szCs w:val="20"/>
          <w:color w:val="auto"/>
        </w:rPr>
      </w:pPr>
      <w:r>
        <w:rPr>
          <w:rFonts w:ascii="Arial" w:cs="Arial" w:eastAsia="Arial" w:hAnsi="Arial"/>
          <w:sz w:val="20"/>
          <w:szCs w:val="20"/>
          <w:color w:val="auto"/>
        </w:rPr>
        <w:t>The company’s financial outlook and other sections of this news release contain forward-looking statements, which reflect the company's judgment based on the information available at the time of this news release. It is the company's practice not to incorporate adjustments into its financial outlook for future gains or losses related to changes in valuations of the company's net assets and liabilities for deferred compensation plans or early-stage company investments, pension annuity contracts or discretionary contributions, financing transactions, changes in law, or new accounting standards until such items have been consummated, enacted or adopted. Actual results may differ materially from those projected. For additional factors that may impact the company's actual results, refer to the “Forward-Looking Statements” section in this 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7149465" cy="25800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80005"/>
                    </a:xfrm>
                    <a:prstGeom prst="rect">
                      <a:avLst/>
                    </a:prstGeom>
                    <a:noFill/>
                  </pic:spPr>
                </pic:pic>
              </a:graphicData>
            </a:graphic>
          </wp:anchor>
        </w:drawing>
      </w:r>
    </w:p>
    <w:p>
      <w:pPr>
        <w:sectPr>
          <w:pgSz w:w="11900" w:h="16838" w:orient="portrait"/>
          <w:cols w:equalWidth="0" w:num="1">
            <w:col w:w="11240"/>
          </w:cols>
          <w:pgMar w:left="320" w:top="912" w:right="339" w:bottom="1440" w:gutter="0" w:footer="0" w:header="0"/>
        </w:sectPr>
      </w:pPr>
    </w:p>
    <w:p>
      <w:pPr>
        <w:spacing w:after="0" w:line="280" w:lineRule="exact"/>
        <w:rPr>
          <w:sz w:val="20"/>
          <w:szCs w:val="20"/>
          <w:color w:val="auto"/>
        </w:rPr>
      </w:pPr>
    </w:p>
    <w:p>
      <w:pPr>
        <w:ind w:left="220"/>
        <w:spacing w:after="0"/>
        <w:rPr>
          <w:sz w:val="20"/>
          <w:szCs w:val="20"/>
          <w:color w:val="auto"/>
        </w:rPr>
      </w:pPr>
      <w:r>
        <w:rPr>
          <w:rFonts w:ascii="Arial" w:cs="Arial" w:eastAsia="Arial" w:hAnsi="Arial"/>
          <w:sz w:val="14"/>
          <w:szCs w:val="14"/>
          <w:color w:val="auto"/>
        </w:rPr>
        <w:t>(in millions, except per share data)</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2026 Outlook</w:t>
      </w:r>
    </w:p>
    <w:p>
      <w:pPr>
        <w:spacing w:after="0" w:line="210" w:lineRule="exact"/>
        <w:rPr>
          <w:sz w:val="20"/>
          <w:szCs w:val="20"/>
          <w:color w:val="auto"/>
        </w:rPr>
      </w:pPr>
    </w:p>
    <w:p>
      <w:pPr>
        <w:sectPr>
          <w:pgSz w:w="11900" w:h="16838" w:orient="portrait"/>
          <w:cols w:equalWidth="0" w:num="2">
            <w:col w:w="8680" w:space="720"/>
            <w:col w:w="1840"/>
          </w:cols>
          <w:pgMar w:left="320" w:top="912" w:right="339" w:bottom="1440" w:gutter="0" w:footer="0" w:header="0"/>
          <w:type w:val="continuous"/>
        </w:sectPr>
      </w:pP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8900" w:type="dxa"/>
            <w:vAlign w:val="bottom"/>
            <w:shd w:val="clear" w:color="auto" w:fill="CCEEFF"/>
          </w:tcPr>
          <w:p>
            <w:pPr>
              <w:ind w:left="220"/>
              <w:spacing w:after="0"/>
              <w:rPr>
                <w:sz w:val="20"/>
                <w:szCs w:val="20"/>
                <w:color w:val="auto"/>
              </w:rPr>
            </w:pPr>
            <w:r>
              <w:rPr>
                <w:rFonts w:ascii="Arial" w:cs="Arial" w:eastAsia="Arial" w:hAnsi="Arial"/>
                <w:sz w:val="20"/>
                <w:szCs w:val="20"/>
                <w:color w:val="auto"/>
              </w:rPr>
              <w:t>Sales</w:t>
            </w:r>
          </w:p>
        </w:tc>
        <w:tc>
          <w:tcPr>
            <w:tcW w:w="1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$77,500</w:t>
            </w:r>
          </w:p>
        </w:tc>
        <w:tc>
          <w:tcPr>
            <w:tcW w:w="1180" w:type="dxa"/>
            <w:vAlign w:val="bottom"/>
            <w:shd w:val="clear" w:color="auto" w:fill="CCEEFF"/>
          </w:tcPr>
          <w:p>
            <w:pPr>
              <w:ind w:left="40"/>
              <w:spacing w:after="0"/>
              <w:rPr>
                <w:sz w:val="20"/>
                <w:szCs w:val="20"/>
                <w:color w:val="auto"/>
              </w:rPr>
            </w:pPr>
            <w:r>
              <w:rPr>
                <w:rFonts w:ascii="Arial" w:cs="Arial" w:eastAsia="Arial" w:hAnsi="Arial"/>
                <w:sz w:val="20"/>
                <w:szCs w:val="20"/>
                <w:color w:val="auto"/>
              </w:rPr>
              <w:t>- $80,000</w:t>
            </w:r>
          </w:p>
        </w:tc>
        <w:tc>
          <w:tcPr>
            <w:tcW w:w="100" w:type="dxa"/>
            <w:vAlign w:val="bottom"/>
            <w:shd w:val="clear" w:color="auto" w:fill="CCEEFF"/>
          </w:tcPr>
          <w:p>
            <w:pPr>
              <w:spacing w:after="0"/>
              <w:rPr>
                <w:sz w:val="22"/>
                <w:szCs w:val="22"/>
                <w:color w:val="auto"/>
              </w:rPr>
            </w:pPr>
          </w:p>
        </w:tc>
      </w:tr>
      <w:tr>
        <w:trPr>
          <w:trHeight w:val="230"/>
        </w:trPr>
        <w:tc>
          <w:tcPr>
            <w:tcW w:w="89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7"/>
        </w:trPr>
        <w:tc>
          <w:tcPr>
            <w:tcW w:w="8900" w:type="dxa"/>
            <w:vAlign w:val="bottom"/>
            <w:shd w:val="clear" w:color="auto" w:fill="CCEEFF"/>
          </w:tcPr>
          <w:p>
            <w:pPr>
              <w:ind w:left="220"/>
              <w:spacing w:after="0" w:line="257" w:lineRule="exact"/>
              <w:rPr>
                <w:sz w:val="20"/>
                <w:szCs w:val="20"/>
                <w:color w:val="auto"/>
              </w:rPr>
            </w:pPr>
            <w:r>
              <w:rPr>
                <w:rFonts w:ascii="Arial" w:cs="Arial" w:eastAsia="Arial" w:hAnsi="Arial"/>
                <w:sz w:val="20"/>
                <w:szCs w:val="20"/>
                <w:color w:val="auto"/>
              </w:rPr>
              <w:t>Business segment operating profit</w:t>
            </w:r>
            <w:r>
              <w:rPr>
                <w:rFonts w:ascii="Arial" w:cs="Arial" w:eastAsia="Arial" w:hAnsi="Arial"/>
                <w:sz w:val="25"/>
                <w:szCs w:val="25"/>
                <w:color w:val="auto"/>
                <w:vertAlign w:val="superscript"/>
              </w:rPr>
              <w:t>1</w:t>
            </w:r>
          </w:p>
        </w:tc>
        <w:tc>
          <w:tcPr>
            <w:tcW w:w="1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$8,425</w:t>
            </w:r>
          </w:p>
        </w:tc>
        <w:tc>
          <w:tcPr>
            <w:tcW w:w="1180" w:type="dxa"/>
            <w:vAlign w:val="bottom"/>
            <w:shd w:val="clear" w:color="auto" w:fill="CCEEFF"/>
          </w:tcPr>
          <w:p>
            <w:pPr>
              <w:ind w:left="40"/>
              <w:spacing w:after="0"/>
              <w:rPr>
                <w:sz w:val="20"/>
                <w:szCs w:val="20"/>
                <w:color w:val="auto"/>
              </w:rPr>
            </w:pPr>
            <w:r>
              <w:rPr>
                <w:rFonts w:ascii="Arial" w:cs="Arial" w:eastAsia="Arial" w:hAnsi="Arial"/>
                <w:sz w:val="20"/>
                <w:szCs w:val="20"/>
                <w:color w:val="auto"/>
              </w:rPr>
              <w:t>- $8,675</w:t>
            </w:r>
          </w:p>
        </w:tc>
        <w:tc>
          <w:tcPr>
            <w:tcW w:w="100" w:type="dxa"/>
            <w:vAlign w:val="bottom"/>
            <w:shd w:val="clear" w:color="auto" w:fill="CCEEFF"/>
          </w:tcPr>
          <w:p>
            <w:pPr>
              <w:spacing w:after="0"/>
              <w:rPr>
                <w:sz w:val="22"/>
                <w:szCs w:val="22"/>
                <w:color w:val="auto"/>
              </w:rPr>
            </w:pPr>
          </w:p>
        </w:tc>
      </w:tr>
      <w:tr>
        <w:trPr>
          <w:trHeight w:val="270"/>
        </w:trPr>
        <w:tc>
          <w:tcPr>
            <w:tcW w:w="8900" w:type="dxa"/>
            <w:vAlign w:val="bottom"/>
          </w:tcPr>
          <w:p>
            <w:pPr>
              <w:spacing w:after="0"/>
              <w:rPr>
                <w:sz w:val="23"/>
                <w:szCs w:val="23"/>
                <w:color w:val="auto"/>
              </w:rPr>
            </w:pPr>
          </w:p>
        </w:tc>
        <w:tc>
          <w:tcPr>
            <w:tcW w:w="2240" w:type="dxa"/>
            <w:vAlign w:val="bottom"/>
            <w:gridSpan w:val="2"/>
          </w:tcPr>
          <w:p>
            <w:pPr>
              <w:spacing w:after="0"/>
              <w:rPr>
                <w:sz w:val="23"/>
                <w:szCs w:val="23"/>
                <w:color w:val="auto"/>
              </w:rPr>
            </w:pPr>
          </w:p>
        </w:tc>
        <w:tc>
          <w:tcPr>
            <w:tcW w:w="100" w:type="dxa"/>
            <w:vAlign w:val="bottom"/>
          </w:tcPr>
          <w:p>
            <w:pPr>
              <w:spacing w:after="0"/>
              <w:rPr>
                <w:sz w:val="23"/>
                <w:szCs w:val="23"/>
                <w:color w:val="auto"/>
              </w:rPr>
            </w:pPr>
          </w:p>
        </w:tc>
      </w:tr>
      <w:tr>
        <w:trPr>
          <w:trHeight w:val="256"/>
        </w:trPr>
        <w:tc>
          <w:tcPr>
            <w:tcW w:w="8900" w:type="dxa"/>
            <w:vAlign w:val="bottom"/>
            <w:shd w:val="clear" w:color="auto" w:fill="CCEEFF"/>
          </w:tcPr>
          <w:p>
            <w:pPr>
              <w:ind w:left="220"/>
              <w:spacing w:after="0"/>
              <w:rPr>
                <w:sz w:val="20"/>
                <w:szCs w:val="20"/>
                <w:color w:val="auto"/>
              </w:rPr>
            </w:pPr>
            <w:r>
              <w:rPr>
                <w:rFonts w:ascii="Arial" w:cs="Arial" w:eastAsia="Arial" w:hAnsi="Arial"/>
                <w:sz w:val="20"/>
                <w:szCs w:val="20"/>
                <w:color w:val="auto"/>
              </w:rPr>
              <w:t>Total FAS/CAS pension adjustment</w:t>
            </w:r>
          </w:p>
        </w:tc>
        <w:tc>
          <w:tcPr>
            <w:tcW w:w="2240" w:type="dxa"/>
            <w:vAlign w:val="bottom"/>
            <w:gridSpan w:val="2"/>
            <w:shd w:val="clear" w:color="auto" w:fill="CCEEFF"/>
          </w:tcPr>
          <w:p>
            <w:pPr>
              <w:jc w:val="right"/>
              <w:ind w:right="661"/>
              <w:spacing w:after="0"/>
              <w:rPr>
                <w:sz w:val="20"/>
                <w:szCs w:val="20"/>
                <w:color w:val="auto"/>
              </w:rPr>
            </w:pPr>
            <w:r>
              <w:rPr>
                <w:rFonts w:ascii="Arial" w:cs="Arial" w:eastAsia="Arial" w:hAnsi="Arial"/>
                <w:sz w:val="20"/>
                <w:szCs w:val="20"/>
                <w:color w:val="auto"/>
              </w:rPr>
              <w:t>~$1,365</w:t>
            </w:r>
          </w:p>
        </w:tc>
        <w:tc>
          <w:tcPr>
            <w:tcW w:w="100" w:type="dxa"/>
            <w:vAlign w:val="bottom"/>
            <w:shd w:val="clear" w:color="auto" w:fill="CCEEFF"/>
          </w:tcPr>
          <w:p>
            <w:pPr>
              <w:spacing w:after="0"/>
              <w:rPr>
                <w:sz w:val="22"/>
                <w:szCs w:val="22"/>
                <w:color w:val="auto"/>
              </w:rPr>
            </w:pPr>
          </w:p>
        </w:tc>
      </w:tr>
      <w:tr>
        <w:trPr>
          <w:trHeight w:val="270"/>
        </w:trPr>
        <w:tc>
          <w:tcPr>
            <w:tcW w:w="89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7"/>
        </w:trPr>
        <w:tc>
          <w:tcPr>
            <w:tcW w:w="8900" w:type="dxa"/>
            <w:vAlign w:val="bottom"/>
            <w:shd w:val="clear" w:color="auto" w:fill="CCEEFF"/>
          </w:tcPr>
          <w:p>
            <w:pPr>
              <w:ind w:left="220"/>
              <w:spacing w:after="0"/>
              <w:rPr>
                <w:sz w:val="20"/>
                <w:szCs w:val="20"/>
                <w:color w:val="auto"/>
              </w:rPr>
            </w:pPr>
            <w:r>
              <w:rPr>
                <w:rFonts w:ascii="Arial" w:cs="Arial" w:eastAsia="Arial" w:hAnsi="Arial"/>
                <w:sz w:val="20"/>
                <w:szCs w:val="20"/>
                <w:color w:val="auto"/>
              </w:rPr>
              <w:t>Diluted earnings per share</w:t>
            </w:r>
          </w:p>
        </w:tc>
        <w:tc>
          <w:tcPr>
            <w:tcW w:w="1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$29.35</w:t>
            </w:r>
          </w:p>
        </w:tc>
        <w:tc>
          <w:tcPr>
            <w:tcW w:w="1180" w:type="dxa"/>
            <w:vAlign w:val="bottom"/>
            <w:shd w:val="clear" w:color="auto" w:fill="CCEEFF"/>
          </w:tcPr>
          <w:p>
            <w:pPr>
              <w:ind w:left="40"/>
              <w:spacing w:after="0"/>
              <w:rPr>
                <w:sz w:val="20"/>
                <w:szCs w:val="20"/>
                <w:color w:val="auto"/>
              </w:rPr>
            </w:pPr>
            <w:r>
              <w:rPr>
                <w:rFonts w:ascii="Arial" w:cs="Arial" w:eastAsia="Arial" w:hAnsi="Arial"/>
                <w:sz w:val="20"/>
                <w:szCs w:val="20"/>
                <w:color w:val="auto"/>
              </w:rPr>
              <w:t>- $30.25</w:t>
            </w:r>
          </w:p>
        </w:tc>
        <w:tc>
          <w:tcPr>
            <w:tcW w:w="100" w:type="dxa"/>
            <w:vAlign w:val="bottom"/>
            <w:shd w:val="clear" w:color="auto" w:fill="CCEEFF"/>
          </w:tcPr>
          <w:p>
            <w:pPr>
              <w:spacing w:after="0"/>
              <w:rPr>
                <w:sz w:val="22"/>
                <w:szCs w:val="22"/>
                <w:color w:val="auto"/>
              </w:rPr>
            </w:pPr>
          </w:p>
        </w:tc>
      </w:tr>
      <w:tr>
        <w:trPr>
          <w:trHeight w:val="230"/>
        </w:trPr>
        <w:tc>
          <w:tcPr>
            <w:tcW w:w="89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6"/>
        </w:trPr>
        <w:tc>
          <w:tcPr>
            <w:tcW w:w="8900" w:type="dxa"/>
            <w:vAlign w:val="bottom"/>
            <w:shd w:val="clear" w:color="auto" w:fill="CCEEFF"/>
          </w:tcPr>
          <w:p>
            <w:pPr>
              <w:ind w:left="220"/>
              <w:spacing w:after="0"/>
              <w:rPr>
                <w:sz w:val="20"/>
                <w:szCs w:val="20"/>
                <w:color w:val="auto"/>
              </w:rPr>
            </w:pPr>
            <w:r>
              <w:rPr>
                <w:rFonts w:ascii="Arial" w:cs="Arial" w:eastAsia="Arial" w:hAnsi="Arial"/>
                <w:sz w:val="20"/>
                <w:szCs w:val="20"/>
                <w:color w:val="auto"/>
              </w:rPr>
              <w:t>Cash from operations</w:t>
            </w:r>
          </w:p>
        </w:tc>
        <w:tc>
          <w:tcPr>
            <w:tcW w:w="1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$9,150</w:t>
            </w:r>
          </w:p>
        </w:tc>
        <w:tc>
          <w:tcPr>
            <w:tcW w:w="1180" w:type="dxa"/>
            <w:vAlign w:val="bottom"/>
            <w:shd w:val="clear" w:color="auto" w:fill="CCEEFF"/>
          </w:tcPr>
          <w:p>
            <w:pPr>
              <w:ind w:left="40"/>
              <w:spacing w:after="0"/>
              <w:rPr>
                <w:sz w:val="20"/>
                <w:szCs w:val="20"/>
                <w:color w:val="auto"/>
              </w:rPr>
            </w:pPr>
            <w:r>
              <w:rPr>
                <w:rFonts w:ascii="Arial" w:cs="Arial" w:eastAsia="Arial" w:hAnsi="Arial"/>
                <w:sz w:val="20"/>
                <w:szCs w:val="20"/>
                <w:color w:val="auto"/>
              </w:rPr>
              <w:t>- $9,450</w:t>
            </w:r>
          </w:p>
        </w:tc>
        <w:tc>
          <w:tcPr>
            <w:tcW w:w="100" w:type="dxa"/>
            <w:vAlign w:val="bottom"/>
            <w:shd w:val="clear" w:color="auto" w:fill="CCEEFF"/>
          </w:tcPr>
          <w:p>
            <w:pPr>
              <w:spacing w:after="0"/>
              <w:rPr>
                <w:sz w:val="22"/>
                <w:szCs w:val="22"/>
                <w:color w:val="auto"/>
              </w:rPr>
            </w:pPr>
          </w:p>
        </w:tc>
      </w:tr>
      <w:tr>
        <w:trPr>
          <w:trHeight w:val="257"/>
        </w:trPr>
        <w:tc>
          <w:tcPr>
            <w:tcW w:w="8900" w:type="dxa"/>
            <w:vAlign w:val="bottom"/>
            <w:tcBorders>
              <w:bottom w:val="single" w:sz="8" w:color="CCEEFF"/>
            </w:tcBorders>
          </w:tcPr>
          <w:p>
            <w:pPr>
              <w:ind w:left="340"/>
              <w:spacing w:after="0"/>
              <w:rPr>
                <w:sz w:val="20"/>
                <w:szCs w:val="20"/>
                <w:color w:val="auto"/>
              </w:rPr>
            </w:pPr>
            <w:r>
              <w:rPr>
                <w:rFonts w:ascii="Arial" w:cs="Arial" w:eastAsia="Arial" w:hAnsi="Arial"/>
                <w:sz w:val="20"/>
                <w:szCs w:val="20"/>
                <w:color w:val="auto"/>
              </w:rPr>
              <w:t>Capital expenditures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$2,500</w:t>
            </w:r>
          </w:p>
        </w:tc>
        <w:tc>
          <w:tcPr>
            <w:tcW w:w="118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 $2,800</w:t>
            </w:r>
          </w:p>
        </w:tc>
        <w:tc>
          <w:tcPr>
            <w:tcW w:w="100" w:type="dxa"/>
            <w:vAlign w:val="bottom"/>
            <w:tcBorders>
              <w:bottom w:val="single" w:sz="8" w:color="CCEEFF"/>
            </w:tcBorders>
          </w:tcPr>
          <w:p>
            <w:pPr>
              <w:spacing w:after="0"/>
              <w:rPr>
                <w:sz w:val="22"/>
                <w:szCs w:val="22"/>
                <w:color w:val="auto"/>
              </w:rPr>
            </w:pPr>
          </w:p>
        </w:tc>
      </w:tr>
      <w:tr>
        <w:trPr>
          <w:trHeight w:val="250"/>
        </w:trPr>
        <w:tc>
          <w:tcPr>
            <w:tcW w:w="8900" w:type="dxa"/>
            <w:vAlign w:val="bottom"/>
            <w:shd w:val="clear" w:color="auto" w:fill="CCEEFF"/>
          </w:tcPr>
          <w:p>
            <w:pPr>
              <w:ind w:left="220"/>
              <w:spacing w:after="0" w:line="250" w:lineRule="exact"/>
              <w:rPr>
                <w:sz w:val="20"/>
                <w:szCs w:val="20"/>
                <w:color w:val="auto"/>
              </w:rPr>
            </w:pPr>
            <w:r>
              <w:rPr>
                <w:rFonts w:ascii="Arial" w:cs="Arial" w:eastAsia="Arial" w:hAnsi="Arial"/>
                <w:sz w:val="20"/>
                <w:szCs w:val="20"/>
                <w:color w:val="auto"/>
              </w:rPr>
              <w:t>Free cash flow</w:t>
            </w:r>
            <w:r>
              <w:rPr>
                <w:rFonts w:ascii="Arial" w:cs="Arial" w:eastAsia="Arial" w:hAnsi="Arial"/>
                <w:sz w:val="25"/>
                <w:szCs w:val="25"/>
                <w:color w:val="auto"/>
                <w:vertAlign w:val="superscript"/>
              </w:rPr>
              <w:t>1</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$6,500</w:t>
            </w:r>
          </w:p>
        </w:tc>
        <w:tc>
          <w:tcPr>
            <w:tcW w:w="1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 $6,800</w:t>
            </w:r>
          </w:p>
        </w:tc>
        <w:tc>
          <w:tcPr>
            <w:tcW w:w="100" w:type="dxa"/>
            <w:vAlign w:val="bottom"/>
            <w:shd w:val="clear" w:color="auto" w:fill="CCEEFF"/>
          </w:tcPr>
          <w:p>
            <w:pPr>
              <w:spacing w:after="0"/>
              <w:rPr>
                <w:sz w:val="21"/>
                <w:szCs w:val="21"/>
                <w:color w:val="auto"/>
              </w:rPr>
            </w:pPr>
          </w:p>
        </w:tc>
      </w:tr>
    </w:tbl>
    <w:p>
      <w:pPr>
        <w:spacing w:after="0" w:line="193" w:lineRule="exact"/>
        <w:rPr>
          <w:sz w:val="20"/>
          <w:szCs w:val="20"/>
          <w:color w:val="auto"/>
        </w:rPr>
      </w:pPr>
    </w:p>
    <w:p>
      <w:pPr>
        <w:ind w:left="220" w:right="420" w:hanging="134"/>
        <w:spacing w:after="0" w:line="196" w:lineRule="auto"/>
        <w:tabs>
          <w:tab w:leader="none" w:pos="220" w:val="left"/>
        </w:tabs>
        <w:numPr>
          <w:ilvl w:val="0"/>
          <w:numId w:val="6"/>
        </w:numPr>
        <w:rPr>
          <w:rFonts w:ascii="Arial" w:cs="Arial" w:eastAsia="Arial" w:hAnsi="Arial"/>
          <w:sz w:val="22"/>
          <w:szCs w:val="22"/>
          <w:color w:val="auto"/>
          <w:vertAlign w:val="superscript"/>
        </w:rPr>
      </w:pPr>
      <w:r>
        <w:rPr>
          <w:rFonts w:ascii="Arial" w:cs="Arial" w:eastAsia="Arial" w:hAnsi="Arial"/>
          <w:sz w:val="14"/>
          <w:szCs w:val="14"/>
          <w:color w:val="auto"/>
        </w:rPr>
        <w:t>Business segment operating profit and free cash flow are non-GAAP measures. See the "Use of Non-GAAP Financial Measures" section of this news release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912"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20"/>
          <w:szCs w:val="20"/>
          <w:b w:val="1"/>
          <w:bCs w:val="1"/>
          <w:u w:val="single" w:color="auto"/>
          <w:color w:val="auto"/>
        </w:rPr>
        <w:t>Segment Results</w:t>
      </w:r>
    </w:p>
    <w:p>
      <w:pPr>
        <w:spacing w:after="0" w:line="191" w:lineRule="exact"/>
        <w:rPr>
          <w:sz w:val="20"/>
          <w:szCs w:val="20"/>
          <w:color w:val="auto"/>
        </w:rPr>
      </w:pPr>
    </w:p>
    <w:p>
      <w:pPr>
        <w:ind w:right="60"/>
        <w:spacing w:after="0" w:line="259" w:lineRule="auto"/>
        <w:rPr>
          <w:sz w:val="20"/>
          <w:szCs w:val="20"/>
          <w:color w:val="auto"/>
        </w:rPr>
      </w:pPr>
      <w:r>
        <w:rPr>
          <w:rFonts w:ascii="Arial" w:cs="Arial" w:eastAsia="Arial" w:hAnsi="Arial"/>
          <w:sz w:val="20"/>
          <w:szCs w:val="20"/>
          <w:color w:val="auto"/>
        </w:rPr>
        <w:t>The company operates in four business segments organized based on the nature of products and services offered: Aeronautics, Missiles and Fire Control (MFC), Rotary and Mission Systems (RMS) and Space. The following table presents summary operating results of the company's business segments and reconciles these amounts to the company's consolidated financial results.</w:t>
      </w:r>
    </w:p>
    <w:p>
      <w:pPr>
        <w:spacing w:after="0" w:line="170"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7820" w:type="dxa"/>
            <w:vAlign w:val="bottom"/>
            <w:tcBorders>
              <w:top w:val="single" w:sz="8" w:color="auto"/>
              <w:left w:val="single" w:sz="8" w:color="auto"/>
            </w:tcBorders>
          </w:tcPr>
          <w:p>
            <w:pPr>
              <w:ind w:left="280"/>
              <w:spacing w:after="0"/>
              <w:rPr>
                <w:sz w:val="20"/>
                <w:szCs w:val="20"/>
                <w:color w:val="auto"/>
              </w:rPr>
            </w:pPr>
            <w:r>
              <w:rPr>
                <w:rFonts w:ascii="Arial" w:cs="Arial" w:eastAsia="Arial" w:hAnsi="Arial"/>
                <w:sz w:val="14"/>
                <w:szCs w:val="14"/>
                <w:color w:val="auto"/>
              </w:rPr>
              <w:t>(in millions)</w:t>
            </w:r>
          </w:p>
        </w:tc>
        <w:tc>
          <w:tcPr>
            <w:tcW w:w="240" w:type="dxa"/>
            <w:vAlign w:val="bottom"/>
            <w:tcBorders>
              <w:top w:val="single" w:sz="8" w:color="auto"/>
            </w:tcBorders>
          </w:tcPr>
          <w:p>
            <w:pPr>
              <w:spacing w:after="0"/>
              <w:rPr>
                <w:sz w:val="22"/>
                <w:szCs w:val="22"/>
                <w:color w:val="auto"/>
              </w:rPr>
            </w:pPr>
          </w:p>
        </w:tc>
        <w:tc>
          <w:tcPr>
            <w:tcW w:w="3200" w:type="dxa"/>
            <w:vAlign w:val="bottom"/>
            <w:tcBorders>
              <w:top w:val="single" w:sz="8" w:color="auto"/>
              <w:right w:val="single" w:sz="8" w:color="auto"/>
            </w:tcBorders>
            <w:gridSpan w:val="5"/>
          </w:tcPr>
          <w:p>
            <w:pPr>
              <w:ind w:left="740"/>
              <w:spacing w:after="0"/>
              <w:rPr>
                <w:sz w:val="20"/>
                <w:szCs w:val="20"/>
                <w:color w:val="auto"/>
              </w:rPr>
            </w:pPr>
            <w:r>
              <w:rPr>
                <w:rFonts w:ascii="Arial" w:cs="Arial" w:eastAsia="Arial" w:hAnsi="Arial"/>
                <w:sz w:val="18"/>
                <w:szCs w:val="18"/>
                <w:b w:val="1"/>
                <w:bCs w:val="1"/>
                <w:color w:val="auto"/>
              </w:rPr>
              <w:t>Quarters Ended</w:t>
            </w:r>
          </w:p>
        </w:tc>
      </w:tr>
      <w:tr>
        <w:trPr>
          <w:trHeight w:val="169"/>
        </w:trPr>
        <w:tc>
          <w:tcPr>
            <w:tcW w:w="7820" w:type="dxa"/>
            <w:vAlign w:val="bottom"/>
            <w:tcBorders>
              <w:left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gridSpan w:val="2"/>
          </w:tcPr>
          <w:p>
            <w:pPr>
              <w:ind w:left="140"/>
              <w:spacing w:after="0" w:line="169" w:lineRule="exact"/>
              <w:rPr>
                <w:sz w:val="20"/>
                <w:szCs w:val="20"/>
                <w:color w:val="auto"/>
              </w:rPr>
            </w:pPr>
            <w:r>
              <w:rPr>
                <w:rFonts w:ascii="Arial" w:cs="Arial" w:eastAsia="Arial" w:hAnsi="Arial"/>
                <w:sz w:val="18"/>
                <w:szCs w:val="18"/>
                <w:b w:val="1"/>
                <w:bCs w:val="1"/>
                <w:color w:val="auto"/>
              </w:rPr>
              <w:t>March 29,</w:t>
            </w:r>
          </w:p>
        </w:tc>
        <w:tc>
          <w:tcPr>
            <w:tcW w:w="26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290"/>
              <w:spacing w:after="0" w:line="169" w:lineRule="exact"/>
              <w:rPr>
                <w:sz w:val="20"/>
                <w:szCs w:val="20"/>
                <w:color w:val="auto"/>
              </w:rPr>
            </w:pPr>
            <w:r>
              <w:rPr>
                <w:rFonts w:ascii="Arial" w:cs="Arial" w:eastAsia="Arial" w:hAnsi="Arial"/>
                <w:sz w:val="18"/>
                <w:szCs w:val="18"/>
                <w:b w:val="1"/>
                <w:bCs w:val="1"/>
                <w:color w:val="auto"/>
              </w:rPr>
              <w:t>March 30,</w:t>
            </w:r>
          </w:p>
        </w:tc>
        <w:tc>
          <w:tcPr>
            <w:tcW w:w="120" w:type="dxa"/>
            <w:vAlign w:val="bottom"/>
            <w:tcBorders>
              <w:right w:val="single" w:sz="8" w:color="auto"/>
            </w:tcBorders>
          </w:tcPr>
          <w:p>
            <w:pPr>
              <w:spacing w:after="0"/>
              <w:rPr>
                <w:sz w:val="14"/>
                <w:szCs w:val="14"/>
                <w:color w:val="auto"/>
              </w:rPr>
            </w:pPr>
          </w:p>
        </w:tc>
      </w:tr>
      <w:tr>
        <w:trPr>
          <w:trHeight w:val="243"/>
        </w:trPr>
        <w:tc>
          <w:tcPr>
            <w:tcW w:w="7820" w:type="dxa"/>
            <w:vAlign w:val="bottom"/>
            <w:tcBorders>
              <w:left w:val="single" w:sz="8" w:color="auto"/>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2026</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2025</w:t>
            </w:r>
          </w:p>
        </w:tc>
        <w:tc>
          <w:tcPr>
            <w:tcW w:w="120" w:type="dxa"/>
            <w:vAlign w:val="bottom"/>
            <w:tcBorders>
              <w:bottom w:val="single" w:sz="8" w:color="CCEEFF"/>
              <w:right w:val="single" w:sz="8" w:color="auto"/>
            </w:tcBorders>
          </w:tcPr>
          <w:p>
            <w:pPr>
              <w:spacing w:after="0"/>
              <w:rPr>
                <w:sz w:val="21"/>
                <w:szCs w:val="21"/>
                <w:color w:val="auto"/>
              </w:rPr>
            </w:pPr>
          </w:p>
        </w:tc>
      </w:tr>
      <w:tr>
        <w:trPr>
          <w:trHeight w:val="210"/>
        </w:trPr>
        <w:tc>
          <w:tcPr>
            <w:tcW w:w="7820" w:type="dxa"/>
            <w:vAlign w:val="bottom"/>
            <w:tcBorders>
              <w:left w:val="single" w:sz="8" w:color="auto"/>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Sales</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r>
      <w:tr>
        <w:trPr>
          <w:trHeight w:val="229"/>
        </w:trPr>
        <w:tc>
          <w:tcPr>
            <w:tcW w:w="7820" w:type="dxa"/>
            <w:vAlign w:val="bottom"/>
            <w:tcBorders>
              <w:left w:val="single" w:sz="8" w:color="auto"/>
            </w:tcBorders>
          </w:tcPr>
          <w:p>
            <w:pPr>
              <w:ind w:left="400"/>
              <w:spacing w:after="0"/>
              <w:rPr>
                <w:sz w:val="20"/>
                <w:szCs w:val="20"/>
                <w:color w:val="auto"/>
              </w:rPr>
            </w:pPr>
            <w:r>
              <w:rPr>
                <w:rFonts w:ascii="Arial" w:cs="Arial" w:eastAsia="Arial" w:hAnsi="Arial"/>
                <w:sz w:val="18"/>
                <w:szCs w:val="18"/>
                <w:color w:val="auto"/>
              </w:rPr>
              <w:t>Aeronautics</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6,953</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7,057</w:t>
            </w:r>
          </w:p>
        </w:tc>
        <w:tc>
          <w:tcPr>
            <w:tcW w:w="120" w:type="dxa"/>
            <w:vAlign w:val="bottom"/>
            <w:tcBorders>
              <w:right w:val="single" w:sz="8" w:color="auto"/>
            </w:tcBorders>
          </w:tcPr>
          <w:p>
            <w:pPr>
              <w:spacing w:after="0"/>
              <w:rPr>
                <w:sz w:val="19"/>
                <w:szCs w:val="19"/>
                <w:color w:val="auto"/>
              </w:rPr>
            </w:pPr>
          </w:p>
        </w:tc>
      </w:tr>
      <w:tr>
        <w:trPr>
          <w:trHeight w:val="229"/>
        </w:trPr>
        <w:tc>
          <w:tcPr>
            <w:tcW w:w="7820" w:type="dxa"/>
            <w:vAlign w:val="bottom"/>
            <w:tcBorders>
              <w:left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Missiles and Fire Control</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3,649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3,373</w:t>
            </w:r>
          </w:p>
        </w:tc>
        <w:tc>
          <w:tcPr>
            <w:tcW w:w="120" w:type="dxa"/>
            <w:vAlign w:val="bottom"/>
            <w:tcBorders>
              <w:right w:val="single" w:sz="8" w:color="auto"/>
            </w:tcBorders>
            <w:shd w:val="clear" w:color="auto" w:fill="CCEEFF"/>
          </w:tcPr>
          <w:p>
            <w:pPr>
              <w:spacing w:after="0"/>
              <w:rPr>
                <w:sz w:val="19"/>
                <w:szCs w:val="19"/>
                <w:color w:val="auto"/>
              </w:rPr>
            </w:pPr>
          </w:p>
        </w:tc>
      </w:tr>
      <w:tr>
        <w:trPr>
          <w:trHeight w:val="230"/>
        </w:trPr>
        <w:tc>
          <w:tcPr>
            <w:tcW w:w="7820" w:type="dxa"/>
            <w:vAlign w:val="bottom"/>
            <w:tcBorders>
              <w:left w:val="single" w:sz="8" w:color="auto"/>
            </w:tcBorders>
          </w:tcPr>
          <w:p>
            <w:pPr>
              <w:ind w:left="400"/>
              <w:spacing w:after="0"/>
              <w:rPr>
                <w:sz w:val="20"/>
                <w:szCs w:val="20"/>
                <w:color w:val="auto"/>
              </w:rPr>
            </w:pPr>
            <w:r>
              <w:rPr>
                <w:rFonts w:ascii="Arial" w:cs="Arial" w:eastAsia="Arial" w:hAnsi="Arial"/>
                <w:sz w:val="18"/>
                <w:szCs w:val="18"/>
                <w:color w:val="auto"/>
              </w:rPr>
              <w:t>Rotary and Mission Systems</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3,991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4,328</w:t>
            </w:r>
          </w:p>
        </w:tc>
        <w:tc>
          <w:tcPr>
            <w:tcW w:w="120" w:type="dxa"/>
            <w:vAlign w:val="bottom"/>
            <w:tcBorders>
              <w:right w:val="single" w:sz="8" w:color="auto"/>
            </w:tcBorders>
          </w:tcPr>
          <w:p>
            <w:pPr>
              <w:spacing w:after="0"/>
              <w:rPr>
                <w:sz w:val="19"/>
                <w:szCs w:val="19"/>
                <w:color w:val="auto"/>
              </w:rPr>
            </w:pPr>
          </w:p>
        </w:tc>
      </w:tr>
      <w:tr>
        <w:trPr>
          <w:trHeight w:val="229"/>
        </w:trPr>
        <w:tc>
          <w:tcPr>
            <w:tcW w:w="7820" w:type="dxa"/>
            <w:vAlign w:val="bottom"/>
            <w:tcBorders>
              <w:left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Space</w:t>
            </w: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3,428</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3,205</w:t>
            </w:r>
          </w:p>
        </w:tc>
        <w:tc>
          <w:tcPr>
            <w:tcW w:w="120" w:type="dxa"/>
            <w:vAlign w:val="bottom"/>
            <w:tcBorders>
              <w:right w:val="single" w:sz="8" w:color="auto"/>
            </w:tcBorders>
            <w:shd w:val="clear" w:color="auto" w:fill="CCEEFF"/>
          </w:tcPr>
          <w:p>
            <w:pPr>
              <w:spacing w:after="0"/>
              <w:rPr>
                <w:sz w:val="19"/>
                <w:szCs w:val="19"/>
                <w:color w:val="auto"/>
              </w:rPr>
            </w:pPr>
          </w:p>
        </w:tc>
      </w:tr>
      <w:tr>
        <w:trPr>
          <w:trHeight w:val="223"/>
        </w:trPr>
        <w:tc>
          <w:tcPr>
            <w:tcW w:w="7820" w:type="dxa"/>
            <w:vAlign w:val="bottom"/>
            <w:tcBorders>
              <w:left w:val="single" w:sz="8" w:color="auto"/>
            </w:tcBorders>
          </w:tcPr>
          <w:p>
            <w:pPr>
              <w:ind w:left="280"/>
              <w:spacing w:after="0"/>
              <w:rPr>
                <w:sz w:val="20"/>
                <w:szCs w:val="20"/>
                <w:color w:val="auto"/>
              </w:rPr>
            </w:pPr>
            <w:r>
              <w:rPr>
                <w:rFonts w:ascii="Arial" w:cs="Arial" w:eastAsia="Arial" w:hAnsi="Arial"/>
                <w:sz w:val="18"/>
                <w:szCs w:val="18"/>
                <w:b w:val="1"/>
                <w:bCs w:val="1"/>
                <w:color w:val="auto"/>
              </w:rPr>
              <w:t>Total sales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18,021</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17,963</w:t>
            </w:r>
          </w:p>
        </w:tc>
        <w:tc>
          <w:tcPr>
            <w:tcW w:w="120" w:type="dxa"/>
            <w:vAlign w:val="bottom"/>
            <w:tcBorders>
              <w:right w:val="single" w:sz="8" w:color="auto"/>
            </w:tcBorders>
          </w:tcPr>
          <w:p>
            <w:pPr>
              <w:spacing w:after="0"/>
              <w:rPr>
                <w:sz w:val="19"/>
                <w:szCs w:val="19"/>
                <w:color w:val="auto"/>
              </w:rPr>
            </w:pPr>
          </w:p>
        </w:tc>
      </w:tr>
      <w:tr>
        <w:trPr>
          <w:trHeight w:val="20"/>
        </w:trPr>
        <w:tc>
          <w:tcPr>
            <w:tcW w:w="7820" w:type="dxa"/>
            <w:vAlign w:val="bottom"/>
            <w:tcBorders>
              <w:left w:val="single" w:sz="8" w:color="auto"/>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r>
      <w:tr>
        <w:trPr>
          <w:trHeight w:val="237"/>
        </w:trPr>
        <w:tc>
          <w:tcPr>
            <w:tcW w:w="7820" w:type="dxa"/>
            <w:vAlign w:val="bottom"/>
            <w:tcBorders>
              <w:left w:val="single" w:sz="8" w:color="auto"/>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r>
      <w:tr>
        <w:trPr>
          <w:trHeight w:val="229"/>
        </w:trPr>
        <w:tc>
          <w:tcPr>
            <w:tcW w:w="7820" w:type="dxa"/>
            <w:vAlign w:val="bottom"/>
            <w:tcBorders>
              <w:left w:val="single" w:sz="8" w:color="auto"/>
            </w:tcBorders>
          </w:tcPr>
          <w:p>
            <w:pPr>
              <w:ind w:left="280"/>
              <w:spacing w:after="0"/>
              <w:rPr>
                <w:sz w:val="20"/>
                <w:szCs w:val="20"/>
                <w:color w:val="auto"/>
              </w:rPr>
            </w:pPr>
            <w:r>
              <w:rPr>
                <w:rFonts w:ascii="Arial" w:cs="Arial" w:eastAsia="Arial" w:hAnsi="Arial"/>
                <w:sz w:val="18"/>
                <w:szCs w:val="18"/>
                <w:b w:val="1"/>
                <w:bCs w:val="1"/>
                <w:color w:val="auto"/>
              </w:rPr>
              <w:t>Operating profit</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r>
      <w:tr>
        <w:trPr>
          <w:trHeight w:val="230"/>
        </w:trPr>
        <w:tc>
          <w:tcPr>
            <w:tcW w:w="7820" w:type="dxa"/>
            <w:vAlign w:val="bottom"/>
            <w:tcBorders>
              <w:left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Aeronautics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20" w:type="dxa"/>
            <w:vAlign w:val="bottom"/>
            <w:tcBorders>
              <w:right w:val="single" w:sz="8" w:color="auto"/>
            </w:tcBorders>
            <w:shd w:val="clear" w:color="auto" w:fill="CCEEFF"/>
          </w:tcPr>
          <w:p>
            <w:pPr>
              <w:spacing w:after="0"/>
              <w:rPr>
                <w:sz w:val="19"/>
                <w:szCs w:val="19"/>
                <w:color w:val="auto"/>
              </w:rPr>
            </w:pPr>
          </w:p>
        </w:tc>
      </w:tr>
      <w:tr>
        <w:trPr>
          <w:trHeight w:val="229"/>
        </w:trPr>
        <w:tc>
          <w:tcPr>
            <w:tcW w:w="7820" w:type="dxa"/>
            <w:vAlign w:val="bottom"/>
            <w:tcBorders>
              <w:left w:val="single" w:sz="8" w:color="auto"/>
            </w:tcBorders>
          </w:tcPr>
          <w:p>
            <w:pPr>
              <w:ind w:left="400"/>
              <w:spacing w:after="0"/>
              <w:rPr>
                <w:sz w:val="20"/>
                <w:szCs w:val="20"/>
                <w:color w:val="auto"/>
              </w:rPr>
            </w:pPr>
            <w:r>
              <w:rPr>
                <w:rFonts w:ascii="Arial" w:cs="Arial" w:eastAsia="Arial" w:hAnsi="Arial"/>
                <w:sz w:val="18"/>
                <w:szCs w:val="18"/>
                <w:color w:val="auto"/>
              </w:rPr>
              <w:t>Missiles and Fire Control</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465</w:t>
            </w:r>
          </w:p>
        </w:tc>
        <w:tc>
          <w:tcPr>
            <w:tcW w:w="120" w:type="dxa"/>
            <w:vAlign w:val="bottom"/>
            <w:tcBorders>
              <w:right w:val="single" w:sz="8" w:color="auto"/>
            </w:tcBorders>
          </w:tcPr>
          <w:p>
            <w:pPr>
              <w:spacing w:after="0"/>
              <w:rPr>
                <w:sz w:val="19"/>
                <w:szCs w:val="19"/>
                <w:color w:val="auto"/>
              </w:rPr>
            </w:pPr>
          </w:p>
        </w:tc>
      </w:tr>
      <w:tr>
        <w:trPr>
          <w:trHeight w:val="230"/>
        </w:trPr>
        <w:tc>
          <w:tcPr>
            <w:tcW w:w="7820" w:type="dxa"/>
            <w:vAlign w:val="bottom"/>
            <w:tcBorders>
              <w:left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Rotary and Mission Systems</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20" w:type="dxa"/>
            <w:vAlign w:val="bottom"/>
            <w:tcBorders>
              <w:right w:val="single" w:sz="8" w:color="auto"/>
            </w:tcBorders>
            <w:shd w:val="clear" w:color="auto" w:fill="CCEEFF"/>
          </w:tcPr>
          <w:p>
            <w:pPr>
              <w:spacing w:after="0"/>
              <w:rPr>
                <w:sz w:val="19"/>
                <w:szCs w:val="19"/>
                <w:color w:val="auto"/>
              </w:rPr>
            </w:pPr>
          </w:p>
        </w:tc>
      </w:tr>
      <w:tr>
        <w:trPr>
          <w:trHeight w:val="229"/>
        </w:trPr>
        <w:tc>
          <w:tcPr>
            <w:tcW w:w="7820" w:type="dxa"/>
            <w:vAlign w:val="bottom"/>
            <w:tcBorders>
              <w:left w:val="single" w:sz="8" w:color="auto"/>
              <w:bottom w:val="single" w:sz="8" w:color="CCEEFF"/>
            </w:tcBorders>
          </w:tcPr>
          <w:p>
            <w:pPr>
              <w:ind w:left="400"/>
              <w:spacing w:after="0"/>
              <w:rPr>
                <w:sz w:val="20"/>
                <w:szCs w:val="20"/>
                <w:color w:val="auto"/>
              </w:rPr>
            </w:pPr>
            <w:r>
              <w:rPr>
                <w:rFonts w:ascii="Arial" w:cs="Arial" w:eastAsia="Arial" w:hAnsi="Arial"/>
                <w:sz w:val="18"/>
                <w:szCs w:val="18"/>
                <w:color w:val="auto"/>
              </w:rPr>
              <w:t>Space</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281</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120" w:type="dxa"/>
            <w:vAlign w:val="bottom"/>
            <w:tcBorders>
              <w:bottom w:val="single" w:sz="8" w:color="CCEEFF"/>
              <w:right w:val="single" w:sz="8" w:color="auto"/>
            </w:tcBorders>
          </w:tcPr>
          <w:p>
            <w:pPr>
              <w:spacing w:after="0"/>
              <w:rPr>
                <w:sz w:val="19"/>
                <w:szCs w:val="19"/>
                <w:color w:val="auto"/>
              </w:rPr>
            </w:pPr>
          </w:p>
        </w:tc>
      </w:tr>
      <w:tr>
        <w:trPr>
          <w:trHeight w:val="223"/>
        </w:trPr>
        <w:tc>
          <w:tcPr>
            <w:tcW w:w="7820" w:type="dxa"/>
            <w:vAlign w:val="bottom"/>
            <w:tcBorders>
              <w:left w:val="single" w:sz="8" w:color="auto"/>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Total business segment operating profit</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1,823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2,085</w:t>
            </w:r>
          </w:p>
        </w:tc>
        <w:tc>
          <w:tcPr>
            <w:tcW w:w="120" w:type="dxa"/>
            <w:vAlign w:val="bottom"/>
            <w:tcBorders>
              <w:right w:val="single" w:sz="8" w:color="auto"/>
            </w:tcBorders>
            <w:shd w:val="clear" w:color="auto" w:fill="CCEEFF"/>
          </w:tcPr>
          <w:p>
            <w:pPr>
              <w:spacing w:after="0"/>
              <w:rPr>
                <w:sz w:val="19"/>
                <w:szCs w:val="19"/>
                <w:color w:val="auto"/>
              </w:rPr>
            </w:pPr>
          </w:p>
        </w:tc>
      </w:tr>
      <w:tr>
        <w:trPr>
          <w:trHeight w:val="229"/>
        </w:trPr>
        <w:tc>
          <w:tcPr>
            <w:tcW w:w="7820" w:type="dxa"/>
            <w:vAlign w:val="bottom"/>
            <w:tcBorders>
              <w:left w:val="single" w:sz="8" w:color="auto"/>
            </w:tcBorders>
          </w:tcPr>
          <w:p>
            <w:pPr>
              <w:ind w:left="400"/>
              <w:spacing w:after="0"/>
              <w:rPr>
                <w:sz w:val="20"/>
                <w:szCs w:val="20"/>
                <w:color w:val="auto"/>
              </w:rPr>
            </w:pPr>
            <w:r>
              <w:rPr>
                <w:rFonts w:ascii="Arial" w:cs="Arial" w:eastAsia="Arial" w:hAnsi="Arial"/>
                <w:sz w:val="18"/>
                <w:szCs w:val="18"/>
                <w:color w:val="auto"/>
              </w:rPr>
              <w:t>Unallocated items</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r>
      <w:tr>
        <w:trPr>
          <w:trHeight w:val="230"/>
        </w:trPr>
        <w:tc>
          <w:tcPr>
            <w:tcW w:w="7820" w:type="dxa"/>
            <w:vAlign w:val="bottom"/>
            <w:tcBorders>
              <w:left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FAS/CAS operating adjustment</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20" w:type="dxa"/>
            <w:vAlign w:val="bottom"/>
            <w:tcBorders>
              <w:right w:val="single" w:sz="8" w:color="auto"/>
            </w:tcBorders>
            <w:shd w:val="clear" w:color="auto" w:fill="CCEEFF"/>
          </w:tcPr>
          <w:p>
            <w:pPr>
              <w:spacing w:after="0"/>
              <w:rPr>
                <w:sz w:val="19"/>
                <w:szCs w:val="19"/>
                <w:color w:val="auto"/>
              </w:rPr>
            </w:pPr>
          </w:p>
        </w:tc>
      </w:tr>
      <w:tr>
        <w:trPr>
          <w:trHeight w:val="229"/>
        </w:trPr>
        <w:tc>
          <w:tcPr>
            <w:tcW w:w="7820" w:type="dxa"/>
            <w:vAlign w:val="bottom"/>
            <w:tcBorders>
              <w:left w:val="single" w:sz="8" w:color="auto"/>
            </w:tcBorders>
          </w:tcPr>
          <w:p>
            <w:pPr>
              <w:ind w:left="600"/>
              <w:spacing w:after="0"/>
              <w:rPr>
                <w:sz w:val="20"/>
                <w:szCs w:val="20"/>
                <w:color w:val="auto"/>
              </w:rPr>
            </w:pPr>
            <w:r>
              <w:rPr>
                <w:rFonts w:ascii="Arial" w:cs="Arial" w:eastAsia="Arial" w:hAnsi="Arial"/>
                <w:sz w:val="18"/>
                <w:szCs w:val="18"/>
                <w:color w:val="auto"/>
              </w:rPr>
              <w:t>Intangible asset amortization expense</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(50)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right w:val="single" w:sz="8" w:color="auto"/>
            </w:tcBorders>
          </w:tcPr>
          <w:p>
            <w:pPr>
              <w:spacing w:after="0"/>
              <w:rPr>
                <w:sz w:val="19"/>
                <w:szCs w:val="19"/>
                <w:color w:val="auto"/>
              </w:rPr>
            </w:pPr>
          </w:p>
        </w:tc>
      </w:tr>
      <w:tr>
        <w:trPr>
          <w:trHeight w:val="230"/>
        </w:trPr>
        <w:tc>
          <w:tcPr>
            <w:tcW w:w="7820" w:type="dxa"/>
            <w:vAlign w:val="bottom"/>
            <w:tcBorders>
              <w:left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right w:val="single" w:sz="8" w:color="auto"/>
            </w:tcBorders>
            <w:shd w:val="clear" w:color="auto" w:fill="CCEEFF"/>
          </w:tcPr>
          <w:p>
            <w:pPr>
              <w:spacing w:after="0"/>
              <w:rPr>
                <w:sz w:val="19"/>
                <w:szCs w:val="19"/>
                <w:color w:val="auto"/>
              </w:rPr>
            </w:pPr>
          </w:p>
        </w:tc>
      </w:tr>
      <w:tr>
        <w:trPr>
          <w:trHeight w:val="223"/>
        </w:trPr>
        <w:tc>
          <w:tcPr>
            <w:tcW w:w="7820" w:type="dxa"/>
            <w:vAlign w:val="bottom"/>
            <w:tcBorders>
              <w:left w:val="single" w:sz="8" w:color="auto"/>
              <w:bottom w:val="single" w:sz="8" w:color="CCEEFF"/>
            </w:tcBorders>
          </w:tcPr>
          <w:p>
            <w:pPr>
              <w:ind w:left="400"/>
              <w:spacing w:after="0"/>
              <w:rPr>
                <w:sz w:val="20"/>
                <w:szCs w:val="20"/>
                <w:color w:val="auto"/>
              </w:rPr>
            </w:pPr>
            <w:r>
              <w:rPr>
                <w:rFonts w:ascii="Arial" w:cs="Arial" w:eastAsia="Arial" w:hAnsi="Arial"/>
                <w:sz w:val="18"/>
                <w:szCs w:val="18"/>
                <w:color w:val="auto"/>
              </w:rPr>
              <w:t>Total unallocated items</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240</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120" w:type="dxa"/>
            <w:vAlign w:val="bottom"/>
            <w:tcBorders>
              <w:bottom w:val="single" w:sz="8" w:color="CCEEFF"/>
              <w:right w:val="single" w:sz="8" w:color="auto"/>
            </w:tcBorders>
          </w:tcPr>
          <w:p>
            <w:pPr>
              <w:spacing w:after="0"/>
              <w:rPr>
                <w:sz w:val="19"/>
                <w:szCs w:val="19"/>
                <w:color w:val="auto"/>
              </w:rPr>
            </w:pPr>
          </w:p>
        </w:tc>
      </w:tr>
      <w:tr>
        <w:trPr>
          <w:trHeight w:val="248"/>
        </w:trPr>
        <w:tc>
          <w:tcPr>
            <w:tcW w:w="7820" w:type="dxa"/>
            <w:vAlign w:val="bottom"/>
            <w:tcBorders>
              <w:left w:val="single" w:sz="8" w:color="auto"/>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Total consolidated operating profit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2,063</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r>
      <w:tr>
        <w:trPr>
          <w:trHeight w:val="20"/>
        </w:trPr>
        <w:tc>
          <w:tcPr>
            <w:tcW w:w="7820" w:type="dxa"/>
            <w:vAlign w:val="bottom"/>
            <w:tcBorders>
              <w:top w:val="single" w:sz="8" w:color="CCEEFF"/>
              <w:left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r>
      <w:tr>
        <w:trPr>
          <w:trHeight w:val="143"/>
        </w:trPr>
        <w:tc>
          <w:tcPr>
            <w:tcW w:w="7820" w:type="dxa"/>
            <w:vAlign w:val="bottom"/>
            <w:tcBorders>
              <w:left w:val="single" w:sz="8" w:color="auto"/>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r>
    </w:tbl>
    <w:p>
      <w:pPr>
        <w:spacing w:after="0" w:line="275" w:lineRule="exact"/>
        <w:rPr>
          <w:sz w:val="20"/>
          <w:szCs w:val="20"/>
          <w:color w:val="auto"/>
        </w:rPr>
      </w:pPr>
    </w:p>
    <w:p>
      <w:pPr>
        <w:ind w:right="120"/>
        <w:spacing w:after="0" w:line="239" w:lineRule="auto"/>
        <w:rPr>
          <w:sz w:val="20"/>
          <w:szCs w:val="20"/>
          <w:color w:val="auto"/>
        </w:rPr>
      </w:pPr>
      <w:r>
        <w:rPr>
          <w:rFonts w:ascii="Arial" w:cs="Arial" w:eastAsia="Arial" w:hAnsi="Arial"/>
          <w:sz w:val="19"/>
          <w:szCs w:val="19"/>
          <w:color w:val="auto"/>
        </w:rPr>
        <w:t>For information on factors impacting comparability of the company's segment sales, operating profit and operating margins, see “Management’s Discussion and Analysis of Financial Condition and Results of Operations” in the company’s Annual Report on</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Form 10-K for the year ended Dec. 31, 2025.</w:t>
      </w:r>
    </w:p>
    <w:p>
      <w:pPr>
        <w:spacing w:after="0" w:line="144" w:lineRule="exact"/>
        <w:rPr>
          <w:sz w:val="20"/>
          <w:szCs w:val="20"/>
          <w:color w:val="auto"/>
        </w:rPr>
      </w:pPr>
    </w:p>
    <w:p>
      <w:pPr>
        <w:ind w:right="480"/>
        <w:spacing w:after="0" w:line="257" w:lineRule="auto"/>
        <w:rPr>
          <w:sz w:val="20"/>
          <w:szCs w:val="20"/>
          <w:color w:val="auto"/>
        </w:rPr>
      </w:pPr>
      <w:r>
        <w:rPr>
          <w:rFonts w:ascii="Arial" w:cs="Arial" w:eastAsia="Arial" w:hAnsi="Arial"/>
          <w:sz w:val="20"/>
          <w:szCs w:val="20"/>
          <w:color w:val="auto"/>
        </w:rPr>
        <w:t>Total sales during the quarter ended March 29, 2026 was comparable to the same period in 2025. Higher sales at MFC and Space were offset by lower sales at RMS and Aeronautics.</w:t>
      </w:r>
    </w:p>
    <w:p>
      <w:pPr>
        <w:spacing w:after="0" w:line="115" w:lineRule="exact"/>
        <w:rPr>
          <w:sz w:val="20"/>
          <w:szCs w:val="20"/>
          <w:color w:val="auto"/>
        </w:rPr>
      </w:pPr>
    </w:p>
    <w:p>
      <w:pPr>
        <w:ind w:right="480"/>
        <w:spacing w:after="0" w:line="239" w:lineRule="auto"/>
        <w:rPr>
          <w:sz w:val="20"/>
          <w:szCs w:val="20"/>
          <w:color w:val="auto"/>
        </w:rPr>
      </w:pPr>
      <w:r>
        <w:rPr>
          <w:rFonts w:ascii="Arial" w:cs="Arial" w:eastAsia="Arial" w:hAnsi="Arial"/>
          <w:sz w:val="19"/>
          <w:szCs w:val="19"/>
          <w:color w:val="auto"/>
        </w:rPr>
        <w:t>Total business segment operating profit decreased $262 million, or 13% primarily due to lower net profit booking rate adjustments at Aeronautics in the first quarter of 2026 and the absence of favorable performance in the first quarter of 2025</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upon completion on certain commercial civil space programs at Space and a classified program at Aeronautics.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60"/>
          </w:cols>
          <w:pgMar w:left="320" w:top="885" w:right="31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auto"/>
        </w:rPr>
        <w:t>Aeronautics</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7640" w:type="dxa"/>
            <w:vAlign w:val="bottom"/>
            <w:tcBorders>
              <w:top w:val="single" w:sz="8" w:color="auto"/>
              <w:left w:val="single" w:sz="8" w:color="auto"/>
            </w:tcBorders>
          </w:tcPr>
          <w:p>
            <w:pPr>
              <w:ind w:left="340"/>
              <w:spacing w:after="0"/>
              <w:rPr>
                <w:sz w:val="20"/>
                <w:szCs w:val="20"/>
                <w:color w:val="auto"/>
              </w:rPr>
            </w:pPr>
            <w:r>
              <w:rPr>
                <w:rFonts w:ascii="Arial" w:cs="Arial" w:eastAsia="Arial" w:hAnsi="Arial"/>
                <w:sz w:val="14"/>
                <w:szCs w:val="14"/>
                <w:color w:val="auto"/>
              </w:rPr>
              <w:t>(in millions)</w:t>
            </w:r>
          </w:p>
        </w:tc>
        <w:tc>
          <w:tcPr>
            <w:tcW w:w="280" w:type="dxa"/>
            <w:vAlign w:val="bottom"/>
            <w:tcBorders>
              <w:top w:val="single" w:sz="8" w:color="auto"/>
            </w:tcBorders>
          </w:tcPr>
          <w:p>
            <w:pPr>
              <w:spacing w:after="0"/>
              <w:rPr>
                <w:sz w:val="22"/>
                <w:szCs w:val="22"/>
                <w:color w:val="auto"/>
              </w:rPr>
            </w:pPr>
          </w:p>
        </w:tc>
        <w:tc>
          <w:tcPr>
            <w:tcW w:w="3340" w:type="dxa"/>
            <w:vAlign w:val="bottom"/>
            <w:tcBorders>
              <w:top w:val="single" w:sz="8" w:color="auto"/>
              <w:right w:val="single" w:sz="8" w:color="auto"/>
            </w:tcBorders>
            <w:gridSpan w:val="5"/>
          </w:tcPr>
          <w:p>
            <w:pPr>
              <w:ind w:left="780"/>
              <w:spacing w:after="0"/>
              <w:rPr>
                <w:sz w:val="20"/>
                <w:szCs w:val="20"/>
                <w:color w:val="auto"/>
              </w:rPr>
            </w:pPr>
            <w:r>
              <w:rPr>
                <w:rFonts w:ascii="Arial" w:cs="Arial" w:eastAsia="Arial" w:hAnsi="Arial"/>
                <w:sz w:val="18"/>
                <w:szCs w:val="18"/>
                <w:b w:val="1"/>
                <w:bCs w:val="1"/>
                <w:color w:val="auto"/>
              </w:rPr>
              <w:t>Quarters Ended</w:t>
            </w:r>
          </w:p>
        </w:tc>
      </w:tr>
      <w:tr>
        <w:trPr>
          <w:trHeight w:val="169"/>
        </w:trPr>
        <w:tc>
          <w:tcPr>
            <w:tcW w:w="7640" w:type="dxa"/>
            <w:vAlign w:val="bottom"/>
            <w:tcBorders>
              <w:left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gridSpan w:val="2"/>
          </w:tcPr>
          <w:p>
            <w:pPr>
              <w:ind w:left="160"/>
              <w:spacing w:after="0" w:line="169" w:lineRule="exact"/>
              <w:rPr>
                <w:sz w:val="20"/>
                <w:szCs w:val="20"/>
                <w:color w:val="auto"/>
              </w:rPr>
            </w:pPr>
            <w:r>
              <w:rPr>
                <w:rFonts w:ascii="Arial" w:cs="Arial" w:eastAsia="Arial" w:hAnsi="Arial"/>
                <w:sz w:val="18"/>
                <w:szCs w:val="18"/>
                <w:b w:val="1"/>
                <w:bCs w:val="1"/>
                <w:color w:val="auto"/>
              </w:rPr>
              <w:t>March 29,</w:t>
            </w:r>
          </w:p>
        </w:tc>
        <w:tc>
          <w:tcPr>
            <w:tcW w:w="28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ind w:right="345"/>
              <w:spacing w:after="0" w:line="169" w:lineRule="exact"/>
              <w:rPr>
                <w:sz w:val="20"/>
                <w:szCs w:val="20"/>
                <w:color w:val="auto"/>
              </w:rPr>
            </w:pPr>
            <w:r>
              <w:rPr>
                <w:rFonts w:ascii="Arial" w:cs="Arial" w:eastAsia="Arial" w:hAnsi="Arial"/>
                <w:sz w:val="18"/>
                <w:szCs w:val="18"/>
                <w:b w:val="1"/>
                <w:bCs w:val="1"/>
                <w:color w:val="auto"/>
              </w:rPr>
              <w:t>March 30,</w:t>
            </w:r>
          </w:p>
        </w:tc>
        <w:tc>
          <w:tcPr>
            <w:tcW w:w="120" w:type="dxa"/>
            <w:vAlign w:val="bottom"/>
            <w:tcBorders>
              <w:right w:val="single" w:sz="8" w:color="auto"/>
            </w:tcBorders>
          </w:tcPr>
          <w:p>
            <w:pPr>
              <w:spacing w:after="0"/>
              <w:rPr>
                <w:sz w:val="14"/>
                <w:szCs w:val="14"/>
                <w:color w:val="auto"/>
              </w:rPr>
            </w:pPr>
          </w:p>
        </w:tc>
      </w:tr>
      <w:tr>
        <w:trPr>
          <w:trHeight w:val="243"/>
        </w:trPr>
        <w:tc>
          <w:tcPr>
            <w:tcW w:w="7640" w:type="dxa"/>
            <w:vAlign w:val="bottom"/>
            <w:tcBorders>
              <w:left w:val="single" w:sz="8" w:color="auto"/>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66"/>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65"/>
              <w:spacing w:after="0"/>
              <w:rPr>
                <w:sz w:val="20"/>
                <w:szCs w:val="20"/>
                <w:color w:val="auto"/>
              </w:rPr>
            </w:pPr>
            <w:r>
              <w:rPr>
                <w:rFonts w:ascii="Arial" w:cs="Arial" w:eastAsia="Arial" w:hAnsi="Arial"/>
                <w:sz w:val="18"/>
                <w:szCs w:val="18"/>
                <w:b w:val="1"/>
                <w:bCs w:val="1"/>
                <w:color w:val="auto"/>
              </w:rPr>
              <w:t>2025</w:t>
            </w:r>
          </w:p>
        </w:tc>
        <w:tc>
          <w:tcPr>
            <w:tcW w:w="120" w:type="dxa"/>
            <w:vAlign w:val="bottom"/>
            <w:tcBorders>
              <w:bottom w:val="single" w:sz="8" w:color="CCEEFF"/>
              <w:right w:val="single" w:sz="8" w:color="auto"/>
            </w:tcBorders>
          </w:tcPr>
          <w:p>
            <w:pPr>
              <w:spacing w:after="0"/>
              <w:rPr>
                <w:sz w:val="21"/>
                <w:szCs w:val="21"/>
                <w:color w:val="auto"/>
              </w:rPr>
            </w:pPr>
          </w:p>
        </w:tc>
      </w:tr>
      <w:tr>
        <w:trPr>
          <w:trHeight w:val="250"/>
        </w:trPr>
        <w:tc>
          <w:tcPr>
            <w:tcW w:w="7640" w:type="dxa"/>
            <w:vAlign w:val="bottom"/>
            <w:tcBorders>
              <w:left w:val="single" w:sz="8" w:color="auto"/>
            </w:tcBorders>
            <w:shd w:val="clear" w:color="auto" w:fill="CCEEFF"/>
          </w:tcPr>
          <w:p>
            <w:pPr>
              <w:ind w:left="340"/>
              <w:spacing w:after="0"/>
              <w:rPr>
                <w:sz w:val="20"/>
                <w:szCs w:val="20"/>
                <w:color w:val="auto"/>
              </w:rPr>
            </w:pPr>
            <w:r>
              <w:rPr>
                <w:rFonts w:ascii="Arial" w:cs="Arial" w:eastAsia="Arial" w:hAnsi="Arial"/>
                <w:sz w:val="20"/>
                <w:szCs w:val="20"/>
                <w:b w:val="1"/>
                <w:bCs w:val="1"/>
                <w:color w:val="auto"/>
              </w:rPr>
              <w:t>Sales</w:t>
            </w:r>
          </w:p>
        </w:tc>
        <w:tc>
          <w:tcPr>
            <w:tcW w:w="280" w:type="dxa"/>
            <w:vAlign w:val="bottom"/>
            <w:shd w:val="clear" w:color="auto" w:fill="CCEEFF"/>
          </w:tcPr>
          <w:p>
            <w:pPr>
              <w:jc w:val="right"/>
              <w:ind w:right="61"/>
              <w:spacing w:after="0"/>
              <w:rPr>
                <w:sz w:val="20"/>
                <w:szCs w:val="20"/>
                <w:color w:val="auto"/>
              </w:rPr>
            </w:pPr>
            <w:r>
              <w:rPr>
                <w:rFonts w:ascii="Arial" w:cs="Arial" w:eastAsia="Arial" w:hAnsi="Arial"/>
                <w:sz w:val="20"/>
                <w:szCs w:val="20"/>
                <w:b w:val="1"/>
                <w:bCs w:val="1"/>
                <w:color w:val="auto"/>
                <w:w w:val="89"/>
              </w:rPr>
              <w:t>$</w:t>
            </w:r>
          </w:p>
        </w:tc>
        <w:tc>
          <w:tcPr>
            <w:tcW w:w="1420" w:type="dxa"/>
            <w:vAlign w:val="bottom"/>
            <w:shd w:val="clear" w:color="auto" w:fill="CCEEFF"/>
          </w:tcPr>
          <w:p>
            <w:pPr>
              <w:jc w:val="right"/>
              <w:ind w:right="166"/>
              <w:spacing w:after="0"/>
              <w:rPr>
                <w:sz w:val="20"/>
                <w:szCs w:val="20"/>
                <w:color w:val="auto"/>
              </w:rPr>
            </w:pPr>
            <w:r>
              <w:rPr>
                <w:rFonts w:ascii="Arial" w:cs="Arial" w:eastAsia="Arial" w:hAnsi="Arial"/>
                <w:sz w:val="20"/>
                <w:szCs w:val="20"/>
                <w:b w:val="1"/>
                <w:bCs w:val="1"/>
                <w:color w:val="auto"/>
              </w:rPr>
              <w:t>6,953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1420" w:type="dxa"/>
            <w:vAlign w:val="bottom"/>
            <w:shd w:val="clear" w:color="auto" w:fill="CCEEFF"/>
          </w:tcPr>
          <w:p>
            <w:pPr>
              <w:jc w:val="right"/>
              <w:ind w:right="165"/>
              <w:spacing w:after="0"/>
              <w:rPr>
                <w:sz w:val="20"/>
                <w:szCs w:val="20"/>
                <w:color w:val="auto"/>
              </w:rPr>
            </w:pPr>
            <w:r>
              <w:rPr>
                <w:rFonts w:ascii="Arial" w:cs="Arial" w:eastAsia="Arial" w:hAnsi="Arial"/>
                <w:sz w:val="20"/>
                <w:szCs w:val="20"/>
                <w:color w:val="auto"/>
              </w:rPr>
              <w:t>7,057</w:t>
            </w:r>
          </w:p>
        </w:tc>
        <w:tc>
          <w:tcPr>
            <w:tcW w:w="120" w:type="dxa"/>
            <w:vAlign w:val="bottom"/>
            <w:tcBorders>
              <w:right w:val="single" w:sz="8" w:color="auto"/>
            </w:tcBorders>
            <w:shd w:val="clear" w:color="auto" w:fill="CCEEFF"/>
          </w:tcPr>
          <w:p>
            <w:pPr>
              <w:spacing w:after="0"/>
              <w:rPr>
                <w:sz w:val="21"/>
                <w:szCs w:val="21"/>
                <w:color w:val="auto"/>
              </w:rPr>
            </w:pPr>
          </w:p>
        </w:tc>
      </w:tr>
      <w:tr>
        <w:trPr>
          <w:trHeight w:val="257"/>
        </w:trPr>
        <w:tc>
          <w:tcPr>
            <w:tcW w:w="7640" w:type="dxa"/>
            <w:vAlign w:val="bottom"/>
            <w:tcBorders>
              <w:left w:val="single" w:sz="8" w:color="auto"/>
            </w:tcBorders>
          </w:tcPr>
          <w:p>
            <w:pPr>
              <w:ind w:left="340"/>
              <w:spacing w:after="0"/>
              <w:rPr>
                <w:sz w:val="20"/>
                <w:szCs w:val="20"/>
                <w:color w:val="auto"/>
              </w:rPr>
            </w:pPr>
            <w:r>
              <w:rPr>
                <w:rFonts w:ascii="Arial" w:cs="Arial" w:eastAsia="Arial" w:hAnsi="Arial"/>
                <w:sz w:val="20"/>
                <w:szCs w:val="20"/>
                <w:b w:val="1"/>
                <w:bCs w:val="1"/>
                <w:color w:val="auto"/>
              </w:rPr>
              <w:t>Operating profit</w:t>
            </w:r>
          </w:p>
        </w:tc>
        <w:tc>
          <w:tcPr>
            <w:tcW w:w="280" w:type="dxa"/>
            <w:vAlign w:val="bottom"/>
          </w:tcPr>
          <w:p>
            <w:pPr>
              <w:spacing w:after="0"/>
              <w:rPr>
                <w:sz w:val="22"/>
                <w:szCs w:val="22"/>
                <w:color w:val="auto"/>
              </w:rPr>
            </w:pPr>
          </w:p>
        </w:tc>
        <w:tc>
          <w:tcPr>
            <w:tcW w:w="1420" w:type="dxa"/>
            <w:vAlign w:val="bottom"/>
          </w:tcPr>
          <w:p>
            <w:pPr>
              <w:jc w:val="right"/>
              <w:ind w:right="166"/>
              <w:spacing w:after="0"/>
              <w:rPr>
                <w:sz w:val="20"/>
                <w:szCs w:val="20"/>
                <w:color w:val="auto"/>
              </w:rPr>
            </w:pPr>
            <w:r>
              <w:rPr>
                <w:rFonts w:ascii="Arial" w:cs="Arial" w:eastAsia="Arial" w:hAnsi="Arial"/>
                <w:sz w:val="20"/>
                <w:szCs w:val="20"/>
                <w:b w:val="1"/>
                <w:bCs w:val="1"/>
                <w:color w:val="auto"/>
              </w:rPr>
              <w:t>619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tcPr>
          <w:p>
            <w:pPr>
              <w:jc w:val="right"/>
              <w:ind w:right="165"/>
              <w:spacing w:after="0"/>
              <w:rPr>
                <w:sz w:val="20"/>
                <w:szCs w:val="20"/>
                <w:color w:val="auto"/>
              </w:rPr>
            </w:pPr>
            <w:r>
              <w:rPr>
                <w:rFonts w:ascii="Arial" w:cs="Arial" w:eastAsia="Arial" w:hAnsi="Arial"/>
                <w:sz w:val="20"/>
                <w:szCs w:val="20"/>
                <w:color w:val="auto"/>
              </w:rPr>
              <w:t>720</w:t>
            </w:r>
          </w:p>
        </w:tc>
        <w:tc>
          <w:tcPr>
            <w:tcW w:w="120" w:type="dxa"/>
            <w:vAlign w:val="bottom"/>
            <w:tcBorders>
              <w:right w:val="single" w:sz="8" w:color="auto"/>
            </w:tcBorders>
          </w:tcPr>
          <w:p>
            <w:pPr>
              <w:spacing w:after="0"/>
              <w:rPr>
                <w:sz w:val="22"/>
                <w:szCs w:val="22"/>
                <w:color w:val="auto"/>
              </w:rPr>
            </w:pPr>
          </w:p>
        </w:tc>
      </w:tr>
      <w:tr>
        <w:trPr>
          <w:trHeight w:val="263"/>
        </w:trPr>
        <w:tc>
          <w:tcPr>
            <w:tcW w:w="7640" w:type="dxa"/>
            <w:vAlign w:val="bottom"/>
            <w:tcBorders>
              <w:left w:val="single" w:sz="8" w:color="auto"/>
              <w:bottom w:val="single" w:sz="8" w:color="auto"/>
            </w:tcBorders>
            <w:shd w:val="clear" w:color="auto" w:fill="CCEEFF"/>
          </w:tcPr>
          <w:p>
            <w:pPr>
              <w:ind w:left="340"/>
              <w:spacing w:after="0"/>
              <w:rPr>
                <w:sz w:val="20"/>
                <w:szCs w:val="20"/>
                <w:color w:val="auto"/>
              </w:rPr>
            </w:pPr>
            <w:r>
              <w:rPr>
                <w:rFonts w:ascii="Arial" w:cs="Arial" w:eastAsia="Arial" w:hAnsi="Arial"/>
                <w:sz w:val="20"/>
                <w:szCs w:val="20"/>
                <w:b w:val="1"/>
                <w:bCs w:val="1"/>
                <w:color w:val="auto"/>
              </w:rPr>
              <w:t>Operating margin</w:t>
            </w:r>
          </w:p>
        </w:tc>
        <w:tc>
          <w:tcPr>
            <w:tcW w:w="28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b w:val="1"/>
                <w:bCs w:val="1"/>
                <w:color w:val="auto"/>
              </w:rPr>
              <w:t>8.9%</w:t>
            </w:r>
          </w:p>
        </w:tc>
        <w:tc>
          <w:tcPr>
            <w:tcW w:w="10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10.2%</w:t>
            </w:r>
          </w:p>
        </w:tc>
        <w:tc>
          <w:tcPr>
            <w:tcW w:w="120" w:type="dxa"/>
            <w:vAlign w:val="bottom"/>
            <w:tcBorders>
              <w:bottom w:val="single" w:sz="8" w:color="auto"/>
              <w:right w:val="single" w:sz="8" w:color="auto"/>
            </w:tcBorders>
            <w:shd w:val="clear" w:color="auto" w:fill="CCEEFF"/>
          </w:tcPr>
          <w:p>
            <w:pPr>
              <w:spacing w:after="0"/>
              <w:rPr>
                <w:sz w:val="22"/>
                <w:szCs w:val="22"/>
                <w:color w:val="auto"/>
              </w:rPr>
            </w:pPr>
          </w:p>
        </w:tc>
      </w:tr>
    </w:tbl>
    <w:p>
      <w:pPr>
        <w:spacing w:after="0" w:line="248" w:lineRule="exact"/>
        <w:rPr>
          <w:sz w:val="20"/>
          <w:szCs w:val="20"/>
          <w:color w:val="auto"/>
        </w:rPr>
      </w:pPr>
    </w:p>
    <w:p>
      <w:pPr>
        <w:ind w:right="40"/>
        <w:spacing w:after="0"/>
        <w:rPr>
          <w:sz w:val="20"/>
          <w:szCs w:val="20"/>
          <w:color w:val="auto"/>
        </w:rPr>
      </w:pPr>
      <w:r>
        <w:rPr>
          <w:rFonts w:ascii="Arial" w:cs="Arial" w:eastAsia="Arial" w:hAnsi="Arial"/>
          <w:sz w:val="20"/>
          <w:szCs w:val="20"/>
          <w:color w:val="auto"/>
        </w:rPr>
        <w:t>Sales during the quarter ended March 29, 2026 decreased $104 million, or 1%, compared to the same period in 2025. The decrease was primarily attributable to lower sales of approximately $325 million on classified programs due to lower volume; and approximately $ 145 million for the F-16 program due to the sales impact of unfavorable profit adjustments recognized in first quarter of 2026 and lower production volume. These decreases were partially offset by higher sales of approximately $325 million for the F-35 program due to higher volume on sustainment contracts.</w:t>
      </w:r>
    </w:p>
    <w:p>
      <w:pPr>
        <w:spacing w:after="0" w:line="200" w:lineRule="exact"/>
        <w:rPr>
          <w:sz w:val="20"/>
          <w:szCs w:val="20"/>
          <w:color w:val="auto"/>
        </w:rPr>
      </w:pPr>
    </w:p>
    <w:p>
      <w:pPr>
        <w:ind w:right="40"/>
        <w:spacing w:after="0" w:line="236" w:lineRule="auto"/>
        <w:rPr>
          <w:sz w:val="20"/>
          <w:szCs w:val="20"/>
          <w:color w:val="auto"/>
        </w:rPr>
      </w:pPr>
      <w:r>
        <w:rPr>
          <w:rFonts w:ascii="Arial" w:cs="Arial" w:eastAsia="Arial" w:hAnsi="Arial"/>
          <w:sz w:val="20"/>
          <w:szCs w:val="20"/>
          <w:color w:val="auto"/>
        </w:rPr>
        <w:t>Operating profit during the quarter ended March 29, 2026 decreased $101 million, or 14%, compared to the same period in 2025, primarily due to a $95 million decrease in profit booking rate adjustments. This decrease in profit book rate adjustments reflects $125 million of unfavorable profit adjustments on the F-16 program as a result of production performance and development delays; $55 million of net unfavorable profit adjustments on the C-130 program as a result of continued diminishing manufacturing source integration challenges and associated delivery delays; and the absence of an $ 80 million adjustment that occurred in the quarter ended March 30, 2025 resulting from favorable performance at completion on a classified program. These decreases in profit booking rate adjustments were partially offset by $130 million of higher favorable profit adjustments on the F-35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60"/>
          </w:cols>
          <w:pgMar w:left="320" w:top="926" w:right="31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t>Missiles and Fire Control</w:t>
      </w: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7600" w:type="dxa"/>
            <w:vAlign w:val="bottom"/>
            <w:tcBorders>
              <w:top w:val="single" w:sz="8" w:color="auto"/>
              <w:left w:val="single" w:sz="8" w:color="auto"/>
            </w:tcBorders>
          </w:tcPr>
          <w:p>
            <w:pPr>
              <w:ind w:left="340"/>
              <w:spacing w:after="0"/>
              <w:rPr>
                <w:sz w:val="20"/>
                <w:szCs w:val="20"/>
                <w:color w:val="auto"/>
              </w:rPr>
            </w:pPr>
            <w:r>
              <w:rPr>
                <w:rFonts w:ascii="Arial" w:cs="Arial" w:eastAsia="Arial" w:hAnsi="Arial"/>
                <w:sz w:val="14"/>
                <w:szCs w:val="14"/>
                <w:color w:val="auto"/>
              </w:rPr>
              <w:t>(in millions)</w:t>
            </w:r>
          </w:p>
        </w:tc>
        <w:tc>
          <w:tcPr>
            <w:tcW w:w="280" w:type="dxa"/>
            <w:vAlign w:val="bottom"/>
            <w:tcBorders>
              <w:top w:val="single" w:sz="8" w:color="auto"/>
            </w:tcBorders>
          </w:tcPr>
          <w:p>
            <w:pPr>
              <w:spacing w:after="0"/>
              <w:rPr>
                <w:sz w:val="22"/>
                <w:szCs w:val="22"/>
                <w:color w:val="auto"/>
              </w:rPr>
            </w:pPr>
          </w:p>
        </w:tc>
        <w:tc>
          <w:tcPr>
            <w:tcW w:w="3380" w:type="dxa"/>
            <w:vAlign w:val="bottom"/>
            <w:tcBorders>
              <w:top w:val="single" w:sz="8" w:color="auto"/>
              <w:right w:val="single" w:sz="8" w:color="auto"/>
            </w:tcBorders>
            <w:gridSpan w:val="5"/>
          </w:tcPr>
          <w:p>
            <w:pPr>
              <w:ind w:left="820"/>
              <w:spacing w:after="0"/>
              <w:rPr>
                <w:sz w:val="20"/>
                <w:szCs w:val="20"/>
                <w:color w:val="auto"/>
              </w:rPr>
            </w:pPr>
            <w:r>
              <w:rPr>
                <w:rFonts w:ascii="Arial" w:cs="Arial" w:eastAsia="Arial" w:hAnsi="Arial"/>
                <w:sz w:val="18"/>
                <w:szCs w:val="18"/>
                <w:b w:val="1"/>
                <w:bCs w:val="1"/>
                <w:color w:val="auto"/>
              </w:rPr>
              <w:t>Quarters Ended</w:t>
            </w:r>
          </w:p>
        </w:tc>
      </w:tr>
      <w:tr>
        <w:trPr>
          <w:trHeight w:val="169"/>
        </w:trPr>
        <w:tc>
          <w:tcPr>
            <w:tcW w:w="7600" w:type="dxa"/>
            <w:vAlign w:val="bottom"/>
            <w:tcBorders>
              <w:left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gridSpan w:val="2"/>
          </w:tcPr>
          <w:p>
            <w:pPr>
              <w:ind w:left="160"/>
              <w:spacing w:after="0" w:line="169" w:lineRule="exact"/>
              <w:rPr>
                <w:sz w:val="20"/>
                <w:szCs w:val="20"/>
                <w:color w:val="auto"/>
              </w:rPr>
            </w:pPr>
            <w:r>
              <w:rPr>
                <w:rFonts w:ascii="Arial" w:cs="Arial" w:eastAsia="Arial" w:hAnsi="Arial"/>
                <w:sz w:val="18"/>
                <w:szCs w:val="18"/>
                <w:b w:val="1"/>
                <w:bCs w:val="1"/>
                <w:color w:val="auto"/>
              </w:rPr>
              <w:t>March 29,</w:t>
            </w:r>
          </w:p>
        </w:tc>
        <w:tc>
          <w:tcPr>
            <w:tcW w:w="28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jc w:val="right"/>
              <w:ind w:right="345"/>
              <w:spacing w:after="0" w:line="169" w:lineRule="exact"/>
              <w:rPr>
                <w:sz w:val="20"/>
                <w:szCs w:val="20"/>
                <w:color w:val="auto"/>
              </w:rPr>
            </w:pPr>
            <w:r>
              <w:rPr>
                <w:rFonts w:ascii="Arial" w:cs="Arial" w:eastAsia="Arial" w:hAnsi="Arial"/>
                <w:sz w:val="18"/>
                <w:szCs w:val="18"/>
                <w:b w:val="1"/>
                <w:bCs w:val="1"/>
                <w:color w:val="auto"/>
              </w:rPr>
              <w:t>March 30,</w:t>
            </w:r>
          </w:p>
        </w:tc>
        <w:tc>
          <w:tcPr>
            <w:tcW w:w="120" w:type="dxa"/>
            <w:vAlign w:val="bottom"/>
            <w:tcBorders>
              <w:right w:val="single" w:sz="8" w:color="auto"/>
            </w:tcBorders>
          </w:tcPr>
          <w:p>
            <w:pPr>
              <w:spacing w:after="0"/>
              <w:rPr>
                <w:sz w:val="14"/>
                <w:szCs w:val="14"/>
                <w:color w:val="auto"/>
              </w:rPr>
            </w:pPr>
          </w:p>
        </w:tc>
      </w:tr>
      <w:tr>
        <w:trPr>
          <w:trHeight w:val="243"/>
        </w:trPr>
        <w:tc>
          <w:tcPr>
            <w:tcW w:w="7600" w:type="dxa"/>
            <w:vAlign w:val="bottom"/>
            <w:tcBorders>
              <w:left w:val="single" w:sz="8" w:color="auto"/>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46"/>
              <w:spacing w:after="0"/>
              <w:rPr>
                <w:sz w:val="20"/>
                <w:szCs w:val="20"/>
                <w:color w:val="auto"/>
              </w:rPr>
            </w:pPr>
            <w:r>
              <w:rPr>
                <w:rFonts w:ascii="Arial" w:cs="Arial" w:eastAsia="Arial" w:hAnsi="Arial"/>
                <w:sz w:val="18"/>
                <w:szCs w:val="18"/>
                <w:b w:val="1"/>
                <w:bCs w:val="1"/>
                <w:color w:val="auto"/>
              </w:rPr>
              <w:t>2026</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565"/>
              <w:spacing w:after="0"/>
              <w:rPr>
                <w:sz w:val="20"/>
                <w:szCs w:val="20"/>
                <w:color w:val="auto"/>
              </w:rPr>
            </w:pPr>
            <w:r>
              <w:rPr>
                <w:rFonts w:ascii="Arial" w:cs="Arial" w:eastAsia="Arial" w:hAnsi="Arial"/>
                <w:sz w:val="18"/>
                <w:szCs w:val="18"/>
                <w:b w:val="1"/>
                <w:bCs w:val="1"/>
                <w:color w:val="auto"/>
              </w:rPr>
              <w:t>2025</w:t>
            </w:r>
          </w:p>
        </w:tc>
        <w:tc>
          <w:tcPr>
            <w:tcW w:w="120" w:type="dxa"/>
            <w:vAlign w:val="bottom"/>
            <w:tcBorders>
              <w:bottom w:val="single" w:sz="8" w:color="CCEEFF"/>
              <w:right w:val="single" w:sz="8" w:color="auto"/>
            </w:tcBorders>
          </w:tcPr>
          <w:p>
            <w:pPr>
              <w:spacing w:after="0"/>
              <w:rPr>
                <w:sz w:val="21"/>
                <w:szCs w:val="21"/>
                <w:color w:val="auto"/>
              </w:rPr>
            </w:pPr>
          </w:p>
        </w:tc>
      </w:tr>
      <w:tr>
        <w:trPr>
          <w:trHeight w:val="250"/>
        </w:trPr>
        <w:tc>
          <w:tcPr>
            <w:tcW w:w="7600" w:type="dxa"/>
            <w:vAlign w:val="bottom"/>
            <w:tcBorders>
              <w:left w:val="single" w:sz="8" w:color="auto"/>
            </w:tcBorders>
            <w:shd w:val="clear" w:color="auto" w:fill="CCEEFF"/>
          </w:tcPr>
          <w:p>
            <w:pPr>
              <w:ind w:left="340"/>
              <w:spacing w:after="0"/>
              <w:rPr>
                <w:sz w:val="20"/>
                <w:szCs w:val="20"/>
                <w:color w:val="auto"/>
              </w:rPr>
            </w:pPr>
            <w:r>
              <w:rPr>
                <w:rFonts w:ascii="Arial" w:cs="Arial" w:eastAsia="Arial" w:hAnsi="Arial"/>
                <w:sz w:val="20"/>
                <w:szCs w:val="20"/>
                <w:b w:val="1"/>
                <w:bCs w:val="1"/>
                <w:color w:val="auto"/>
              </w:rPr>
              <w:t>Sales</w:t>
            </w:r>
          </w:p>
        </w:tc>
        <w:tc>
          <w:tcPr>
            <w:tcW w:w="280" w:type="dxa"/>
            <w:vAlign w:val="bottom"/>
            <w:shd w:val="clear" w:color="auto" w:fill="CCEEFF"/>
          </w:tcPr>
          <w:p>
            <w:pPr>
              <w:jc w:val="right"/>
              <w:ind w:right="61"/>
              <w:spacing w:after="0"/>
              <w:rPr>
                <w:sz w:val="20"/>
                <w:szCs w:val="20"/>
                <w:color w:val="auto"/>
              </w:rPr>
            </w:pPr>
            <w:r>
              <w:rPr>
                <w:rFonts w:ascii="Arial" w:cs="Arial" w:eastAsia="Arial" w:hAnsi="Arial"/>
                <w:sz w:val="20"/>
                <w:szCs w:val="20"/>
                <w:b w:val="1"/>
                <w:bCs w:val="1"/>
                <w:color w:val="auto"/>
                <w:w w:val="89"/>
              </w:rPr>
              <w:t>$</w:t>
            </w:r>
          </w:p>
        </w:tc>
        <w:tc>
          <w:tcPr>
            <w:tcW w:w="1420" w:type="dxa"/>
            <w:vAlign w:val="bottom"/>
            <w:shd w:val="clear" w:color="auto" w:fill="CCEEFF"/>
          </w:tcPr>
          <w:p>
            <w:pPr>
              <w:jc w:val="right"/>
              <w:ind w:right="146"/>
              <w:spacing w:after="0"/>
              <w:rPr>
                <w:sz w:val="20"/>
                <w:szCs w:val="20"/>
                <w:color w:val="auto"/>
              </w:rPr>
            </w:pPr>
            <w:r>
              <w:rPr>
                <w:rFonts w:ascii="Arial" w:cs="Arial" w:eastAsia="Arial" w:hAnsi="Arial"/>
                <w:sz w:val="20"/>
                <w:szCs w:val="20"/>
                <w:b w:val="1"/>
                <w:bCs w:val="1"/>
                <w:color w:val="auto"/>
              </w:rPr>
              <w:t>3,649</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1440" w:type="dxa"/>
            <w:vAlign w:val="bottom"/>
            <w:shd w:val="clear" w:color="auto" w:fill="CCEEFF"/>
          </w:tcPr>
          <w:p>
            <w:pPr>
              <w:jc w:val="right"/>
              <w:ind w:right="165"/>
              <w:spacing w:after="0"/>
              <w:rPr>
                <w:sz w:val="20"/>
                <w:szCs w:val="20"/>
                <w:color w:val="auto"/>
              </w:rPr>
            </w:pPr>
            <w:r>
              <w:rPr>
                <w:rFonts w:ascii="Arial" w:cs="Arial" w:eastAsia="Arial" w:hAnsi="Arial"/>
                <w:sz w:val="20"/>
                <w:szCs w:val="20"/>
                <w:color w:val="auto"/>
              </w:rPr>
              <w:t>3,373</w:t>
            </w:r>
          </w:p>
        </w:tc>
        <w:tc>
          <w:tcPr>
            <w:tcW w:w="120" w:type="dxa"/>
            <w:vAlign w:val="bottom"/>
            <w:tcBorders>
              <w:right w:val="single" w:sz="8" w:color="auto"/>
            </w:tcBorders>
            <w:shd w:val="clear" w:color="auto" w:fill="CCEEFF"/>
          </w:tcPr>
          <w:p>
            <w:pPr>
              <w:spacing w:after="0"/>
              <w:rPr>
                <w:sz w:val="21"/>
                <w:szCs w:val="21"/>
                <w:color w:val="auto"/>
              </w:rPr>
            </w:pPr>
          </w:p>
        </w:tc>
      </w:tr>
      <w:tr>
        <w:trPr>
          <w:trHeight w:val="256"/>
        </w:trPr>
        <w:tc>
          <w:tcPr>
            <w:tcW w:w="7600" w:type="dxa"/>
            <w:vAlign w:val="bottom"/>
            <w:tcBorders>
              <w:left w:val="single" w:sz="8" w:color="auto"/>
            </w:tcBorders>
          </w:tcPr>
          <w:p>
            <w:pPr>
              <w:ind w:left="340"/>
              <w:spacing w:after="0"/>
              <w:rPr>
                <w:sz w:val="20"/>
                <w:szCs w:val="20"/>
                <w:color w:val="auto"/>
              </w:rPr>
            </w:pPr>
            <w:r>
              <w:rPr>
                <w:rFonts w:ascii="Arial" w:cs="Arial" w:eastAsia="Arial" w:hAnsi="Arial"/>
                <w:sz w:val="20"/>
                <w:szCs w:val="20"/>
                <w:b w:val="1"/>
                <w:bCs w:val="1"/>
                <w:color w:val="auto"/>
              </w:rPr>
              <w:t>Operating profit</w:t>
            </w:r>
          </w:p>
        </w:tc>
        <w:tc>
          <w:tcPr>
            <w:tcW w:w="280" w:type="dxa"/>
            <w:vAlign w:val="bottom"/>
          </w:tcPr>
          <w:p>
            <w:pPr>
              <w:spacing w:after="0"/>
              <w:rPr>
                <w:sz w:val="22"/>
                <w:szCs w:val="22"/>
                <w:color w:val="auto"/>
              </w:rPr>
            </w:pPr>
          </w:p>
        </w:tc>
        <w:tc>
          <w:tcPr>
            <w:tcW w:w="1420" w:type="dxa"/>
            <w:vAlign w:val="bottom"/>
          </w:tcPr>
          <w:p>
            <w:pPr>
              <w:jc w:val="right"/>
              <w:ind w:right="146"/>
              <w:spacing w:after="0"/>
              <w:rPr>
                <w:sz w:val="20"/>
                <w:szCs w:val="20"/>
                <w:color w:val="auto"/>
              </w:rPr>
            </w:pPr>
            <w:r>
              <w:rPr>
                <w:rFonts w:ascii="Arial" w:cs="Arial" w:eastAsia="Arial" w:hAnsi="Arial"/>
                <w:sz w:val="20"/>
                <w:szCs w:val="20"/>
                <w:b w:val="1"/>
                <w:bCs w:val="1"/>
                <w:color w:val="auto"/>
              </w:rPr>
              <w:t>500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40" w:type="dxa"/>
            <w:vAlign w:val="bottom"/>
          </w:tcPr>
          <w:p>
            <w:pPr>
              <w:jc w:val="right"/>
              <w:ind w:right="165"/>
              <w:spacing w:after="0"/>
              <w:rPr>
                <w:sz w:val="20"/>
                <w:szCs w:val="20"/>
                <w:color w:val="auto"/>
              </w:rPr>
            </w:pPr>
            <w:r>
              <w:rPr>
                <w:rFonts w:ascii="Arial" w:cs="Arial" w:eastAsia="Arial" w:hAnsi="Arial"/>
                <w:sz w:val="20"/>
                <w:szCs w:val="20"/>
                <w:color w:val="auto"/>
              </w:rPr>
              <w:t>465</w:t>
            </w:r>
          </w:p>
        </w:tc>
        <w:tc>
          <w:tcPr>
            <w:tcW w:w="120" w:type="dxa"/>
            <w:vAlign w:val="bottom"/>
            <w:tcBorders>
              <w:right w:val="single" w:sz="8" w:color="auto"/>
            </w:tcBorders>
          </w:tcPr>
          <w:p>
            <w:pPr>
              <w:spacing w:after="0"/>
              <w:rPr>
                <w:sz w:val="22"/>
                <w:szCs w:val="22"/>
                <w:color w:val="auto"/>
              </w:rPr>
            </w:pPr>
          </w:p>
        </w:tc>
      </w:tr>
      <w:tr>
        <w:trPr>
          <w:trHeight w:val="264"/>
        </w:trPr>
        <w:tc>
          <w:tcPr>
            <w:tcW w:w="7600" w:type="dxa"/>
            <w:vAlign w:val="bottom"/>
            <w:tcBorders>
              <w:left w:val="single" w:sz="8" w:color="auto"/>
              <w:bottom w:val="single" w:sz="8" w:color="auto"/>
            </w:tcBorders>
            <w:shd w:val="clear" w:color="auto" w:fill="CCEEFF"/>
          </w:tcPr>
          <w:p>
            <w:pPr>
              <w:ind w:left="340"/>
              <w:spacing w:after="0"/>
              <w:rPr>
                <w:sz w:val="20"/>
                <w:szCs w:val="20"/>
                <w:color w:val="auto"/>
              </w:rPr>
            </w:pPr>
            <w:r>
              <w:rPr>
                <w:rFonts w:ascii="Arial" w:cs="Arial" w:eastAsia="Arial" w:hAnsi="Arial"/>
                <w:sz w:val="20"/>
                <w:szCs w:val="20"/>
                <w:b w:val="1"/>
                <w:bCs w:val="1"/>
                <w:color w:val="auto"/>
              </w:rPr>
              <w:t>Operating margin</w:t>
            </w:r>
          </w:p>
        </w:tc>
        <w:tc>
          <w:tcPr>
            <w:tcW w:w="28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b w:val="1"/>
                <w:bCs w:val="1"/>
                <w:color w:val="auto"/>
              </w:rPr>
              <w:t>13.7%</w:t>
            </w:r>
          </w:p>
        </w:tc>
        <w:tc>
          <w:tcPr>
            <w:tcW w:w="12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13.8%</w:t>
            </w:r>
          </w:p>
        </w:tc>
        <w:tc>
          <w:tcPr>
            <w:tcW w:w="120" w:type="dxa"/>
            <w:vAlign w:val="bottom"/>
            <w:tcBorders>
              <w:bottom w:val="single" w:sz="8" w:color="auto"/>
              <w:right w:val="single" w:sz="8" w:color="auto"/>
            </w:tcBorders>
            <w:shd w:val="clear" w:color="auto" w:fill="CCEEFF"/>
          </w:tcPr>
          <w:p>
            <w:pPr>
              <w:spacing w:after="0"/>
              <w:rPr>
                <w:sz w:val="22"/>
                <w:szCs w:val="22"/>
                <w:color w:val="auto"/>
              </w:rPr>
            </w:pPr>
          </w:p>
        </w:tc>
      </w:tr>
    </w:tbl>
    <w:p>
      <w:pPr>
        <w:spacing w:after="0" w:line="248" w:lineRule="exact"/>
        <w:rPr>
          <w:sz w:val="20"/>
          <w:szCs w:val="20"/>
          <w:color w:val="auto"/>
        </w:rPr>
      </w:pPr>
    </w:p>
    <w:p>
      <w:pPr>
        <w:ind w:right="20"/>
        <w:spacing w:after="0"/>
        <w:rPr>
          <w:sz w:val="20"/>
          <w:szCs w:val="20"/>
          <w:color w:val="auto"/>
        </w:rPr>
      </w:pPr>
      <w:r>
        <w:rPr>
          <w:rFonts w:ascii="Arial" w:cs="Arial" w:eastAsia="Arial" w:hAnsi="Arial"/>
          <w:sz w:val="20"/>
          <w:szCs w:val="20"/>
          <w:color w:val="auto"/>
        </w:rPr>
        <w:t>Sales during the quarter ended March 29, 2026 increased $ 276 million, or 8%, compared to the same period in 2025. This increase was primarily attributable to production ramp-up of $190 million at integrated air and missile defense programs (existing contracts on PAC-3) and $75 million at tactical and strike missile programs (Joint Air-to-Surface Standoff Missile (JASSM), Long Range Anti-Ship Missile (LRASM) and Precision Strike Missile (PrSM)).</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color w:val="auto"/>
        </w:rPr>
        <w:t>Operating profit during the quarter ended March 29, 2026 increased $35 million, or 8%, compared to the same period in 2025.</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This increase was primarily attributable to higher sales volume previously described.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60"/>
          </w:cols>
          <w:pgMar w:left="320" w:top="926" w:right="319" w:bottom="1440" w:gutter="0" w:footer="0" w:header="0"/>
        </w:sectPr>
      </w:pPr>
    </w:p>
    <w:bookmarkStart w:id="9" w:name="page10"/>
    <w:bookmarkEnd w:id="9"/>
    <w:p>
      <w:pPr>
        <w:spacing w:after="0"/>
        <w:rPr>
          <w:sz w:val="20"/>
          <w:szCs w:val="20"/>
          <w:color w:val="auto"/>
        </w:rPr>
      </w:pPr>
      <w:r>
        <w:rPr>
          <w:rFonts w:ascii="Arial" w:cs="Arial" w:eastAsia="Arial" w:hAnsi="Arial"/>
          <w:sz w:val="20"/>
          <w:szCs w:val="20"/>
          <w:b w:val="1"/>
          <w:bCs w:val="1"/>
          <w:color w:val="auto"/>
        </w:rPr>
        <w:t>Rotary and Mission Systems</w:t>
      </w:r>
    </w:p>
    <w:p>
      <w:pPr>
        <w:spacing w:after="0" w:line="191" w:lineRule="exact"/>
        <w:rPr>
          <w:sz w:val="20"/>
          <w:szCs w:val="20"/>
          <w:color w:val="auto"/>
        </w:rPr>
      </w:pPr>
    </w:p>
    <w:p>
      <w:pPr>
        <w:ind w:right="140"/>
        <w:spacing w:after="0" w:line="228" w:lineRule="exact"/>
        <w:rPr>
          <w:sz w:val="20"/>
          <w:szCs w:val="20"/>
          <w:color w:val="auto"/>
        </w:rPr>
      </w:pPr>
      <w:r>
        <w:rPr>
          <w:rFonts w:ascii="Arial" w:cs="Arial" w:eastAsia="Arial" w:hAnsi="Arial"/>
          <w:sz w:val="20"/>
          <w:szCs w:val="20"/>
          <w:color w:val="auto"/>
        </w:rPr>
        <w:t>Effective January 2026, the Integrated Warfare Systems and Sensors (IWSS) and C6ISR lines of business within RMS were restructured and renamed Sensors, Effectors &amp; Mission Systems (SEMS) and Mission Integrated Command and Control (MIC2). This includes realignment of various programs, such as Aegis and River-Class Destroyer (RCD) moving from what was historically IWSS to MIC2, which more closely aligns with C6ISR. SEMS and MIC2 will therefore incorporate an updated mix of existing program portfolios designed to accelerate mission</w:t>
      </w:r>
      <w:r>
        <w:rPr>
          <w:rFonts w:ascii="MS PGothic" w:cs="MS PGothic" w:eastAsia="MS PGothic" w:hAnsi="MS PGothic"/>
          <w:sz w:val="20"/>
          <w:szCs w:val="20"/>
          <w:color w:val="auto"/>
        </w:rPr>
        <w:t>‑</w:t>
      </w:r>
      <w:r>
        <w:rPr>
          <w:rFonts w:ascii="Arial" w:cs="Arial" w:eastAsia="Arial" w:hAnsi="Arial"/>
          <w:sz w:val="20"/>
          <w:szCs w:val="20"/>
          <w:color w:val="auto"/>
        </w:rPr>
        <w:t>focused solutions and enhance the company's customers’ experience.</w:t>
      </w:r>
    </w:p>
    <w:p>
      <w:pPr>
        <w:spacing w:after="0" w:line="380"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7600" w:type="dxa"/>
            <w:vAlign w:val="bottom"/>
            <w:tcBorders>
              <w:top w:val="single" w:sz="8" w:color="auto"/>
              <w:left w:val="single" w:sz="8" w:color="auto"/>
            </w:tcBorders>
          </w:tcPr>
          <w:p>
            <w:pPr>
              <w:ind w:left="340"/>
              <w:spacing w:after="0"/>
              <w:rPr>
                <w:sz w:val="20"/>
                <w:szCs w:val="20"/>
                <w:color w:val="auto"/>
              </w:rPr>
            </w:pPr>
            <w:r>
              <w:rPr>
                <w:rFonts w:ascii="Arial" w:cs="Arial" w:eastAsia="Arial" w:hAnsi="Arial"/>
                <w:sz w:val="14"/>
                <w:szCs w:val="14"/>
                <w:color w:val="auto"/>
              </w:rPr>
              <w:t>(in millions)</w:t>
            </w:r>
          </w:p>
        </w:tc>
        <w:tc>
          <w:tcPr>
            <w:tcW w:w="280" w:type="dxa"/>
            <w:vAlign w:val="bottom"/>
            <w:tcBorders>
              <w:top w:val="single" w:sz="8" w:color="auto"/>
            </w:tcBorders>
          </w:tcPr>
          <w:p>
            <w:pPr>
              <w:spacing w:after="0"/>
              <w:rPr>
                <w:sz w:val="22"/>
                <w:szCs w:val="22"/>
                <w:color w:val="auto"/>
              </w:rPr>
            </w:pPr>
          </w:p>
        </w:tc>
        <w:tc>
          <w:tcPr>
            <w:tcW w:w="3380" w:type="dxa"/>
            <w:vAlign w:val="bottom"/>
            <w:tcBorders>
              <w:top w:val="single" w:sz="8" w:color="auto"/>
              <w:right w:val="single" w:sz="8" w:color="auto"/>
            </w:tcBorders>
            <w:gridSpan w:val="5"/>
          </w:tcPr>
          <w:p>
            <w:pPr>
              <w:ind w:left="820"/>
              <w:spacing w:after="0"/>
              <w:rPr>
                <w:sz w:val="20"/>
                <w:szCs w:val="20"/>
                <w:color w:val="auto"/>
              </w:rPr>
            </w:pPr>
            <w:r>
              <w:rPr>
                <w:rFonts w:ascii="Arial" w:cs="Arial" w:eastAsia="Arial" w:hAnsi="Arial"/>
                <w:sz w:val="18"/>
                <w:szCs w:val="18"/>
                <w:b w:val="1"/>
                <w:bCs w:val="1"/>
                <w:color w:val="auto"/>
              </w:rPr>
              <w:t>Quarters Ended</w:t>
            </w:r>
          </w:p>
        </w:tc>
      </w:tr>
      <w:tr>
        <w:trPr>
          <w:trHeight w:val="169"/>
        </w:trPr>
        <w:tc>
          <w:tcPr>
            <w:tcW w:w="7600" w:type="dxa"/>
            <w:vAlign w:val="bottom"/>
            <w:tcBorders>
              <w:left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gridSpan w:val="2"/>
          </w:tcPr>
          <w:p>
            <w:pPr>
              <w:ind w:left="160"/>
              <w:spacing w:after="0" w:line="169" w:lineRule="exact"/>
              <w:rPr>
                <w:sz w:val="20"/>
                <w:szCs w:val="20"/>
                <w:color w:val="auto"/>
              </w:rPr>
            </w:pPr>
            <w:r>
              <w:rPr>
                <w:rFonts w:ascii="Arial" w:cs="Arial" w:eastAsia="Arial" w:hAnsi="Arial"/>
                <w:sz w:val="18"/>
                <w:szCs w:val="18"/>
                <w:b w:val="1"/>
                <w:bCs w:val="1"/>
                <w:color w:val="auto"/>
              </w:rPr>
              <w:t>March 29,</w:t>
            </w:r>
          </w:p>
        </w:tc>
        <w:tc>
          <w:tcPr>
            <w:tcW w:w="28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jc w:val="right"/>
              <w:ind w:right="345"/>
              <w:spacing w:after="0" w:line="169" w:lineRule="exact"/>
              <w:rPr>
                <w:sz w:val="20"/>
                <w:szCs w:val="20"/>
                <w:color w:val="auto"/>
              </w:rPr>
            </w:pPr>
            <w:r>
              <w:rPr>
                <w:rFonts w:ascii="Arial" w:cs="Arial" w:eastAsia="Arial" w:hAnsi="Arial"/>
                <w:sz w:val="18"/>
                <w:szCs w:val="18"/>
                <w:b w:val="1"/>
                <w:bCs w:val="1"/>
                <w:color w:val="auto"/>
              </w:rPr>
              <w:t>March 30,</w:t>
            </w:r>
          </w:p>
        </w:tc>
        <w:tc>
          <w:tcPr>
            <w:tcW w:w="120" w:type="dxa"/>
            <w:vAlign w:val="bottom"/>
            <w:tcBorders>
              <w:right w:val="single" w:sz="8" w:color="auto"/>
            </w:tcBorders>
          </w:tcPr>
          <w:p>
            <w:pPr>
              <w:spacing w:after="0"/>
              <w:rPr>
                <w:sz w:val="14"/>
                <w:szCs w:val="14"/>
                <w:color w:val="auto"/>
              </w:rPr>
            </w:pPr>
          </w:p>
        </w:tc>
      </w:tr>
      <w:tr>
        <w:trPr>
          <w:trHeight w:val="243"/>
        </w:trPr>
        <w:tc>
          <w:tcPr>
            <w:tcW w:w="7600" w:type="dxa"/>
            <w:vAlign w:val="bottom"/>
            <w:tcBorders>
              <w:left w:val="single" w:sz="8" w:color="auto"/>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46"/>
              <w:spacing w:after="0"/>
              <w:rPr>
                <w:sz w:val="20"/>
                <w:szCs w:val="20"/>
                <w:color w:val="auto"/>
              </w:rPr>
            </w:pPr>
            <w:r>
              <w:rPr>
                <w:rFonts w:ascii="Arial" w:cs="Arial" w:eastAsia="Arial" w:hAnsi="Arial"/>
                <w:sz w:val="18"/>
                <w:szCs w:val="18"/>
                <w:b w:val="1"/>
                <w:bCs w:val="1"/>
                <w:color w:val="auto"/>
              </w:rPr>
              <w:t>2026</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565"/>
              <w:spacing w:after="0"/>
              <w:rPr>
                <w:sz w:val="20"/>
                <w:szCs w:val="20"/>
                <w:color w:val="auto"/>
              </w:rPr>
            </w:pPr>
            <w:r>
              <w:rPr>
                <w:rFonts w:ascii="Arial" w:cs="Arial" w:eastAsia="Arial" w:hAnsi="Arial"/>
                <w:sz w:val="18"/>
                <w:szCs w:val="18"/>
                <w:b w:val="1"/>
                <w:bCs w:val="1"/>
                <w:color w:val="auto"/>
              </w:rPr>
              <w:t>2025</w:t>
            </w:r>
          </w:p>
        </w:tc>
        <w:tc>
          <w:tcPr>
            <w:tcW w:w="120" w:type="dxa"/>
            <w:vAlign w:val="bottom"/>
            <w:tcBorders>
              <w:bottom w:val="single" w:sz="8" w:color="CCEEFF"/>
              <w:right w:val="single" w:sz="8" w:color="auto"/>
            </w:tcBorders>
          </w:tcPr>
          <w:p>
            <w:pPr>
              <w:spacing w:after="0"/>
              <w:rPr>
                <w:sz w:val="21"/>
                <w:szCs w:val="21"/>
                <w:color w:val="auto"/>
              </w:rPr>
            </w:pPr>
          </w:p>
        </w:tc>
      </w:tr>
      <w:tr>
        <w:trPr>
          <w:trHeight w:val="250"/>
        </w:trPr>
        <w:tc>
          <w:tcPr>
            <w:tcW w:w="7600" w:type="dxa"/>
            <w:vAlign w:val="bottom"/>
            <w:tcBorders>
              <w:left w:val="single" w:sz="8" w:color="auto"/>
            </w:tcBorders>
            <w:shd w:val="clear" w:color="auto" w:fill="CCEEFF"/>
          </w:tcPr>
          <w:p>
            <w:pPr>
              <w:ind w:left="340"/>
              <w:spacing w:after="0"/>
              <w:rPr>
                <w:sz w:val="20"/>
                <w:szCs w:val="20"/>
                <w:color w:val="auto"/>
              </w:rPr>
            </w:pPr>
            <w:r>
              <w:rPr>
                <w:rFonts w:ascii="Arial" w:cs="Arial" w:eastAsia="Arial" w:hAnsi="Arial"/>
                <w:sz w:val="20"/>
                <w:szCs w:val="20"/>
                <w:b w:val="1"/>
                <w:bCs w:val="1"/>
                <w:color w:val="auto"/>
              </w:rPr>
              <w:t>Sales</w:t>
            </w:r>
          </w:p>
        </w:tc>
        <w:tc>
          <w:tcPr>
            <w:tcW w:w="280" w:type="dxa"/>
            <w:vAlign w:val="bottom"/>
            <w:shd w:val="clear" w:color="auto" w:fill="CCEEFF"/>
          </w:tcPr>
          <w:p>
            <w:pPr>
              <w:jc w:val="right"/>
              <w:ind w:right="61"/>
              <w:spacing w:after="0"/>
              <w:rPr>
                <w:sz w:val="20"/>
                <w:szCs w:val="20"/>
                <w:color w:val="auto"/>
              </w:rPr>
            </w:pPr>
            <w:r>
              <w:rPr>
                <w:rFonts w:ascii="Arial" w:cs="Arial" w:eastAsia="Arial" w:hAnsi="Arial"/>
                <w:sz w:val="20"/>
                <w:szCs w:val="20"/>
                <w:b w:val="1"/>
                <w:bCs w:val="1"/>
                <w:color w:val="auto"/>
                <w:w w:val="89"/>
              </w:rPr>
              <w:t>$</w:t>
            </w:r>
          </w:p>
        </w:tc>
        <w:tc>
          <w:tcPr>
            <w:tcW w:w="1420" w:type="dxa"/>
            <w:vAlign w:val="bottom"/>
            <w:shd w:val="clear" w:color="auto" w:fill="CCEEFF"/>
          </w:tcPr>
          <w:p>
            <w:pPr>
              <w:jc w:val="right"/>
              <w:ind w:right="146"/>
              <w:spacing w:after="0"/>
              <w:rPr>
                <w:sz w:val="20"/>
                <w:szCs w:val="20"/>
                <w:color w:val="auto"/>
              </w:rPr>
            </w:pPr>
            <w:r>
              <w:rPr>
                <w:rFonts w:ascii="Arial" w:cs="Arial" w:eastAsia="Arial" w:hAnsi="Arial"/>
                <w:sz w:val="20"/>
                <w:szCs w:val="20"/>
                <w:b w:val="1"/>
                <w:bCs w:val="1"/>
                <w:color w:val="auto"/>
              </w:rPr>
              <w:t>3,991</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1440" w:type="dxa"/>
            <w:vAlign w:val="bottom"/>
            <w:shd w:val="clear" w:color="auto" w:fill="CCEEFF"/>
          </w:tcPr>
          <w:p>
            <w:pPr>
              <w:jc w:val="right"/>
              <w:ind w:right="165"/>
              <w:spacing w:after="0"/>
              <w:rPr>
                <w:sz w:val="20"/>
                <w:szCs w:val="20"/>
                <w:color w:val="auto"/>
              </w:rPr>
            </w:pPr>
            <w:r>
              <w:rPr>
                <w:rFonts w:ascii="Arial" w:cs="Arial" w:eastAsia="Arial" w:hAnsi="Arial"/>
                <w:sz w:val="20"/>
                <w:szCs w:val="20"/>
                <w:color w:val="auto"/>
              </w:rPr>
              <w:t>4,328</w:t>
            </w:r>
          </w:p>
        </w:tc>
        <w:tc>
          <w:tcPr>
            <w:tcW w:w="120" w:type="dxa"/>
            <w:vAlign w:val="bottom"/>
            <w:tcBorders>
              <w:right w:val="single" w:sz="8" w:color="auto"/>
            </w:tcBorders>
            <w:shd w:val="clear" w:color="auto" w:fill="CCEEFF"/>
          </w:tcPr>
          <w:p>
            <w:pPr>
              <w:spacing w:after="0"/>
              <w:rPr>
                <w:sz w:val="21"/>
                <w:szCs w:val="21"/>
                <w:color w:val="auto"/>
              </w:rPr>
            </w:pPr>
          </w:p>
        </w:tc>
      </w:tr>
      <w:tr>
        <w:trPr>
          <w:trHeight w:val="257"/>
        </w:trPr>
        <w:tc>
          <w:tcPr>
            <w:tcW w:w="7600" w:type="dxa"/>
            <w:vAlign w:val="bottom"/>
            <w:tcBorders>
              <w:left w:val="single" w:sz="8" w:color="auto"/>
            </w:tcBorders>
          </w:tcPr>
          <w:p>
            <w:pPr>
              <w:ind w:left="340"/>
              <w:spacing w:after="0"/>
              <w:rPr>
                <w:sz w:val="20"/>
                <w:szCs w:val="20"/>
                <w:color w:val="auto"/>
              </w:rPr>
            </w:pPr>
            <w:r>
              <w:rPr>
                <w:rFonts w:ascii="Arial" w:cs="Arial" w:eastAsia="Arial" w:hAnsi="Arial"/>
                <w:sz w:val="20"/>
                <w:szCs w:val="20"/>
                <w:b w:val="1"/>
                <w:bCs w:val="1"/>
                <w:color w:val="auto"/>
              </w:rPr>
              <w:t>Operating profit</w:t>
            </w:r>
          </w:p>
        </w:tc>
        <w:tc>
          <w:tcPr>
            <w:tcW w:w="280" w:type="dxa"/>
            <w:vAlign w:val="bottom"/>
          </w:tcPr>
          <w:p>
            <w:pPr>
              <w:spacing w:after="0"/>
              <w:rPr>
                <w:sz w:val="22"/>
                <w:szCs w:val="22"/>
                <w:color w:val="auto"/>
              </w:rPr>
            </w:pPr>
          </w:p>
        </w:tc>
        <w:tc>
          <w:tcPr>
            <w:tcW w:w="1420" w:type="dxa"/>
            <w:vAlign w:val="bottom"/>
          </w:tcPr>
          <w:p>
            <w:pPr>
              <w:jc w:val="right"/>
              <w:ind w:right="146"/>
              <w:spacing w:after="0"/>
              <w:rPr>
                <w:sz w:val="20"/>
                <w:szCs w:val="20"/>
                <w:color w:val="auto"/>
              </w:rPr>
            </w:pPr>
            <w:r>
              <w:rPr>
                <w:rFonts w:ascii="Arial" w:cs="Arial" w:eastAsia="Arial" w:hAnsi="Arial"/>
                <w:sz w:val="20"/>
                <w:szCs w:val="20"/>
                <w:b w:val="1"/>
                <w:bCs w:val="1"/>
                <w:color w:val="auto"/>
              </w:rPr>
              <w:t>423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40" w:type="dxa"/>
            <w:vAlign w:val="bottom"/>
          </w:tcPr>
          <w:p>
            <w:pPr>
              <w:jc w:val="right"/>
              <w:ind w:right="165"/>
              <w:spacing w:after="0"/>
              <w:rPr>
                <w:sz w:val="20"/>
                <w:szCs w:val="20"/>
                <w:color w:val="auto"/>
              </w:rPr>
            </w:pPr>
            <w:r>
              <w:rPr>
                <w:rFonts w:ascii="Arial" w:cs="Arial" w:eastAsia="Arial" w:hAnsi="Arial"/>
                <w:sz w:val="20"/>
                <w:szCs w:val="20"/>
                <w:color w:val="auto"/>
              </w:rPr>
              <w:t>521</w:t>
            </w:r>
          </w:p>
        </w:tc>
        <w:tc>
          <w:tcPr>
            <w:tcW w:w="120" w:type="dxa"/>
            <w:vAlign w:val="bottom"/>
            <w:tcBorders>
              <w:right w:val="single" w:sz="8" w:color="auto"/>
            </w:tcBorders>
          </w:tcPr>
          <w:p>
            <w:pPr>
              <w:spacing w:after="0"/>
              <w:rPr>
                <w:sz w:val="22"/>
                <w:szCs w:val="22"/>
                <w:color w:val="auto"/>
              </w:rPr>
            </w:pPr>
          </w:p>
        </w:tc>
      </w:tr>
      <w:tr>
        <w:trPr>
          <w:trHeight w:val="263"/>
        </w:trPr>
        <w:tc>
          <w:tcPr>
            <w:tcW w:w="7600" w:type="dxa"/>
            <w:vAlign w:val="bottom"/>
            <w:tcBorders>
              <w:left w:val="single" w:sz="8" w:color="auto"/>
              <w:bottom w:val="single" w:sz="8" w:color="auto"/>
            </w:tcBorders>
            <w:shd w:val="clear" w:color="auto" w:fill="CCEEFF"/>
          </w:tcPr>
          <w:p>
            <w:pPr>
              <w:ind w:left="340"/>
              <w:spacing w:after="0"/>
              <w:rPr>
                <w:sz w:val="20"/>
                <w:szCs w:val="20"/>
                <w:color w:val="auto"/>
              </w:rPr>
            </w:pPr>
            <w:r>
              <w:rPr>
                <w:rFonts w:ascii="Arial" w:cs="Arial" w:eastAsia="Arial" w:hAnsi="Arial"/>
                <w:sz w:val="20"/>
                <w:szCs w:val="20"/>
                <w:b w:val="1"/>
                <w:bCs w:val="1"/>
                <w:color w:val="auto"/>
              </w:rPr>
              <w:t>Operating margin</w:t>
            </w:r>
          </w:p>
        </w:tc>
        <w:tc>
          <w:tcPr>
            <w:tcW w:w="28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b w:val="1"/>
                <w:bCs w:val="1"/>
                <w:color w:val="auto"/>
              </w:rPr>
              <w:t>10.6%</w:t>
            </w:r>
          </w:p>
        </w:tc>
        <w:tc>
          <w:tcPr>
            <w:tcW w:w="12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12.0%</w:t>
            </w:r>
          </w:p>
        </w:tc>
        <w:tc>
          <w:tcPr>
            <w:tcW w:w="120" w:type="dxa"/>
            <w:vAlign w:val="bottom"/>
            <w:tcBorders>
              <w:bottom w:val="single" w:sz="8" w:color="auto"/>
              <w:right w:val="single" w:sz="8" w:color="auto"/>
            </w:tcBorders>
            <w:shd w:val="clear" w:color="auto" w:fill="CCEEFF"/>
          </w:tcPr>
          <w:p>
            <w:pPr>
              <w:spacing w:after="0"/>
              <w:rPr>
                <w:sz w:val="22"/>
                <w:szCs w:val="22"/>
                <w:color w:val="auto"/>
              </w:rPr>
            </w:pPr>
          </w:p>
        </w:tc>
      </w:tr>
    </w:tbl>
    <w:p>
      <w:pPr>
        <w:spacing w:after="0" w:line="248" w:lineRule="exact"/>
        <w:rPr>
          <w:sz w:val="20"/>
          <w:szCs w:val="20"/>
          <w:color w:val="auto"/>
        </w:rPr>
      </w:pPr>
    </w:p>
    <w:p>
      <w:pPr>
        <w:ind w:right="80"/>
        <w:spacing w:after="0"/>
        <w:rPr>
          <w:sz w:val="20"/>
          <w:szCs w:val="20"/>
          <w:color w:val="auto"/>
        </w:rPr>
      </w:pPr>
      <w:r>
        <w:rPr>
          <w:rFonts w:ascii="Arial" w:cs="Arial" w:eastAsia="Arial" w:hAnsi="Arial"/>
          <w:sz w:val="20"/>
          <w:szCs w:val="20"/>
          <w:color w:val="auto"/>
        </w:rPr>
        <w:t>Sales during the quarter ended March 29, 2026 decreased $337 million, or 8% compared to the same period in 2025. The decrease was primarily attributable to lower net sales of $170 million on SEMS programs due to lower volume on radar programs; and $110 million on Sikorsky helicopter programs (CH-53K, Seahawk and Black Hawk) primarily due to lower volume and the sales impact of unfavorable profit adjustments recognized in the quarter ended March 29, 2026.</w:t>
      </w:r>
    </w:p>
    <w:p>
      <w:pPr>
        <w:spacing w:after="0" w:line="147" w:lineRule="exact"/>
        <w:rPr>
          <w:sz w:val="20"/>
          <w:szCs w:val="20"/>
          <w:color w:val="auto"/>
        </w:rPr>
      </w:pPr>
    </w:p>
    <w:p>
      <w:pPr>
        <w:ind w:right="80"/>
        <w:spacing w:after="0"/>
        <w:rPr>
          <w:sz w:val="20"/>
          <w:szCs w:val="20"/>
          <w:color w:val="auto"/>
        </w:rPr>
      </w:pPr>
      <w:r>
        <w:rPr>
          <w:rFonts w:ascii="Arial" w:cs="Arial" w:eastAsia="Arial" w:hAnsi="Arial"/>
          <w:sz w:val="20"/>
          <w:szCs w:val="20"/>
          <w:color w:val="auto"/>
        </w:rPr>
        <w:t>Operating profit during the quarter ended March 29, 2026 decreased $98 million, or 19%, compared to the same period in 2025. This was primarily attributable to a $50 million decrease in profit booking rate adjustments largely driven by unfavorable profit adjustments on the CH-53K and Seahawk programs; and the absence of a $50 million cost recovery related to an intellectual property license arrangement that occurred in the quarter ended March 30, 2025.</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60"/>
          </w:cols>
          <w:pgMar w:left="320" w:top="926" w:right="319" w:bottom="1440" w:gutter="0" w:footer="0" w:header="0"/>
        </w:sectPr>
      </w:pPr>
    </w:p>
    <w:bookmarkStart w:id="10" w:name="page11"/>
    <w:bookmarkEnd w:id="10"/>
    <w:p>
      <w:pPr>
        <w:spacing w:after="0"/>
        <w:rPr>
          <w:sz w:val="20"/>
          <w:szCs w:val="20"/>
          <w:color w:val="auto"/>
        </w:rPr>
      </w:pPr>
      <w:r>
        <w:rPr>
          <w:rFonts w:ascii="Arial" w:cs="Arial" w:eastAsia="Arial" w:hAnsi="Arial"/>
          <w:sz w:val="20"/>
          <w:szCs w:val="20"/>
          <w:b w:val="1"/>
          <w:bCs w:val="1"/>
          <w:color w:val="auto"/>
        </w:rPr>
        <w:t>Space</w:t>
      </w:r>
    </w:p>
    <w:p>
      <w:pPr>
        <w:spacing w:after="0" w:line="260"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7600" w:type="dxa"/>
            <w:vAlign w:val="bottom"/>
            <w:tcBorders>
              <w:top w:val="single" w:sz="8" w:color="auto"/>
              <w:left w:val="single" w:sz="8" w:color="auto"/>
            </w:tcBorders>
          </w:tcPr>
          <w:p>
            <w:pPr>
              <w:ind w:left="280"/>
              <w:spacing w:after="0"/>
              <w:rPr>
                <w:sz w:val="20"/>
                <w:szCs w:val="20"/>
                <w:color w:val="auto"/>
              </w:rPr>
            </w:pPr>
            <w:r>
              <w:rPr>
                <w:rFonts w:ascii="Arial" w:cs="Arial" w:eastAsia="Arial" w:hAnsi="Arial"/>
                <w:sz w:val="14"/>
                <w:szCs w:val="14"/>
                <w:color w:val="auto"/>
              </w:rPr>
              <w:t>(in millions)</w:t>
            </w:r>
          </w:p>
        </w:tc>
        <w:tc>
          <w:tcPr>
            <w:tcW w:w="280" w:type="dxa"/>
            <w:vAlign w:val="bottom"/>
            <w:tcBorders>
              <w:top w:val="single" w:sz="8" w:color="auto"/>
            </w:tcBorders>
          </w:tcPr>
          <w:p>
            <w:pPr>
              <w:spacing w:after="0"/>
              <w:rPr>
                <w:sz w:val="22"/>
                <w:szCs w:val="22"/>
                <w:color w:val="auto"/>
              </w:rPr>
            </w:pPr>
          </w:p>
        </w:tc>
        <w:tc>
          <w:tcPr>
            <w:tcW w:w="3380" w:type="dxa"/>
            <w:vAlign w:val="bottom"/>
            <w:tcBorders>
              <w:top w:val="single" w:sz="8" w:color="auto"/>
              <w:right w:val="single" w:sz="8" w:color="auto"/>
            </w:tcBorders>
            <w:gridSpan w:val="5"/>
          </w:tcPr>
          <w:p>
            <w:pPr>
              <w:ind w:left="820"/>
              <w:spacing w:after="0"/>
              <w:rPr>
                <w:sz w:val="20"/>
                <w:szCs w:val="20"/>
                <w:color w:val="auto"/>
              </w:rPr>
            </w:pPr>
            <w:r>
              <w:rPr>
                <w:rFonts w:ascii="Arial" w:cs="Arial" w:eastAsia="Arial" w:hAnsi="Arial"/>
                <w:sz w:val="18"/>
                <w:szCs w:val="18"/>
                <w:b w:val="1"/>
                <w:bCs w:val="1"/>
                <w:color w:val="auto"/>
              </w:rPr>
              <w:t>Quarters Ended</w:t>
            </w:r>
          </w:p>
        </w:tc>
      </w:tr>
      <w:tr>
        <w:trPr>
          <w:trHeight w:val="169"/>
        </w:trPr>
        <w:tc>
          <w:tcPr>
            <w:tcW w:w="7600" w:type="dxa"/>
            <w:vAlign w:val="bottom"/>
            <w:tcBorders>
              <w:left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gridSpan w:val="2"/>
          </w:tcPr>
          <w:p>
            <w:pPr>
              <w:ind w:left="160"/>
              <w:spacing w:after="0" w:line="169" w:lineRule="exact"/>
              <w:rPr>
                <w:sz w:val="20"/>
                <w:szCs w:val="20"/>
                <w:color w:val="auto"/>
              </w:rPr>
            </w:pPr>
            <w:r>
              <w:rPr>
                <w:rFonts w:ascii="Arial" w:cs="Arial" w:eastAsia="Arial" w:hAnsi="Arial"/>
                <w:sz w:val="18"/>
                <w:szCs w:val="18"/>
                <w:b w:val="1"/>
                <w:bCs w:val="1"/>
                <w:color w:val="auto"/>
              </w:rPr>
              <w:t>March 29,</w:t>
            </w:r>
          </w:p>
        </w:tc>
        <w:tc>
          <w:tcPr>
            <w:tcW w:w="28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jc w:val="right"/>
              <w:ind w:right="345"/>
              <w:spacing w:after="0" w:line="169" w:lineRule="exact"/>
              <w:rPr>
                <w:sz w:val="20"/>
                <w:szCs w:val="20"/>
                <w:color w:val="auto"/>
              </w:rPr>
            </w:pPr>
            <w:r>
              <w:rPr>
                <w:rFonts w:ascii="Arial" w:cs="Arial" w:eastAsia="Arial" w:hAnsi="Arial"/>
                <w:sz w:val="18"/>
                <w:szCs w:val="18"/>
                <w:b w:val="1"/>
                <w:bCs w:val="1"/>
                <w:color w:val="auto"/>
              </w:rPr>
              <w:t>March 30,</w:t>
            </w:r>
          </w:p>
        </w:tc>
        <w:tc>
          <w:tcPr>
            <w:tcW w:w="120" w:type="dxa"/>
            <w:vAlign w:val="bottom"/>
            <w:tcBorders>
              <w:right w:val="single" w:sz="8" w:color="auto"/>
            </w:tcBorders>
          </w:tcPr>
          <w:p>
            <w:pPr>
              <w:spacing w:after="0"/>
              <w:rPr>
                <w:sz w:val="14"/>
                <w:szCs w:val="14"/>
                <w:color w:val="auto"/>
              </w:rPr>
            </w:pPr>
          </w:p>
        </w:tc>
      </w:tr>
      <w:tr>
        <w:trPr>
          <w:trHeight w:val="243"/>
        </w:trPr>
        <w:tc>
          <w:tcPr>
            <w:tcW w:w="7600" w:type="dxa"/>
            <w:vAlign w:val="bottom"/>
            <w:tcBorders>
              <w:left w:val="single" w:sz="8" w:color="auto"/>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46"/>
              <w:spacing w:after="0"/>
              <w:rPr>
                <w:sz w:val="20"/>
                <w:szCs w:val="20"/>
                <w:color w:val="auto"/>
              </w:rPr>
            </w:pPr>
            <w:r>
              <w:rPr>
                <w:rFonts w:ascii="Arial" w:cs="Arial" w:eastAsia="Arial" w:hAnsi="Arial"/>
                <w:sz w:val="18"/>
                <w:szCs w:val="18"/>
                <w:b w:val="1"/>
                <w:bCs w:val="1"/>
                <w:color w:val="auto"/>
              </w:rPr>
              <w:t>2026</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565"/>
              <w:spacing w:after="0"/>
              <w:rPr>
                <w:sz w:val="20"/>
                <w:szCs w:val="20"/>
                <w:color w:val="auto"/>
              </w:rPr>
            </w:pPr>
            <w:r>
              <w:rPr>
                <w:rFonts w:ascii="Arial" w:cs="Arial" w:eastAsia="Arial" w:hAnsi="Arial"/>
                <w:sz w:val="18"/>
                <w:szCs w:val="18"/>
                <w:b w:val="1"/>
                <w:bCs w:val="1"/>
                <w:color w:val="auto"/>
              </w:rPr>
              <w:t>2025</w:t>
            </w:r>
          </w:p>
        </w:tc>
        <w:tc>
          <w:tcPr>
            <w:tcW w:w="120" w:type="dxa"/>
            <w:vAlign w:val="bottom"/>
            <w:tcBorders>
              <w:bottom w:val="single" w:sz="8" w:color="CCEEFF"/>
              <w:right w:val="single" w:sz="8" w:color="auto"/>
            </w:tcBorders>
          </w:tcPr>
          <w:p>
            <w:pPr>
              <w:spacing w:after="0"/>
              <w:rPr>
                <w:sz w:val="21"/>
                <w:szCs w:val="21"/>
                <w:color w:val="auto"/>
              </w:rPr>
            </w:pPr>
          </w:p>
        </w:tc>
      </w:tr>
      <w:tr>
        <w:trPr>
          <w:trHeight w:val="250"/>
        </w:trPr>
        <w:tc>
          <w:tcPr>
            <w:tcW w:w="7600" w:type="dxa"/>
            <w:vAlign w:val="bottom"/>
            <w:tcBorders>
              <w:left w:val="single" w:sz="8" w:color="auto"/>
            </w:tcBorders>
            <w:shd w:val="clear" w:color="auto" w:fill="CCEEFF"/>
          </w:tcPr>
          <w:p>
            <w:pPr>
              <w:ind w:left="280"/>
              <w:spacing w:after="0"/>
              <w:rPr>
                <w:sz w:val="20"/>
                <w:szCs w:val="20"/>
                <w:color w:val="auto"/>
              </w:rPr>
            </w:pPr>
            <w:r>
              <w:rPr>
                <w:rFonts w:ascii="Arial" w:cs="Arial" w:eastAsia="Arial" w:hAnsi="Arial"/>
                <w:sz w:val="20"/>
                <w:szCs w:val="20"/>
                <w:b w:val="1"/>
                <w:bCs w:val="1"/>
                <w:color w:val="auto"/>
              </w:rPr>
              <w:t>Sales</w:t>
            </w:r>
          </w:p>
        </w:tc>
        <w:tc>
          <w:tcPr>
            <w:tcW w:w="280" w:type="dxa"/>
            <w:vAlign w:val="bottom"/>
            <w:shd w:val="clear" w:color="auto" w:fill="CCEEFF"/>
          </w:tcPr>
          <w:p>
            <w:pPr>
              <w:jc w:val="right"/>
              <w:ind w:right="61"/>
              <w:spacing w:after="0"/>
              <w:rPr>
                <w:sz w:val="20"/>
                <w:szCs w:val="20"/>
                <w:color w:val="auto"/>
              </w:rPr>
            </w:pPr>
            <w:r>
              <w:rPr>
                <w:rFonts w:ascii="Arial" w:cs="Arial" w:eastAsia="Arial" w:hAnsi="Arial"/>
                <w:sz w:val="20"/>
                <w:szCs w:val="20"/>
                <w:b w:val="1"/>
                <w:bCs w:val="1"/>
                <w:color w:val="auto"/>
                <w:w w:val="89"/>
              </w:rPr>
              <w:t>$</w:t>
            </w:r>
          </w:p>
        </w:tc>
        <w:tc>
          <w:tcPr>
            <w:tcW w:w="1420" w:type="dxa"/>
            <w:vAlign w:val="bottom"/>
            <w:shd w:val="clear" w:color="auto" w:fill="CCEEFF"/>
          </w:tcPr>
          <w:p>
            <w:pPr>
              <w:jc w:val="right"/>
              <w:ind w:right="146"/>
              <w:spacing w:after="0"/>
              <w:rPr>
                <w:sz w:val="20"/>
                <w:szCs w:val="20"/>
                <w:color w:val="auto"/>
              </w:rPr>
            </w:pPr>
            <w:r>
              <w:rPr>
                <w:rFonts w:ascii="Arial" w:cs="Arial" w:eastAsia="Arial" w:hAnsi="Arial"/>
                <w:sz w:val="20"/>
                <w:szCs w:val="20"/>
                <w:b w:val="1"/>
                <w:bCs w:val="1"/>
                <w:color w:val="auto"/>
              </w:rPr>
              <w:t>3,428</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1440" w:type="dxa"/>
            <w:vAlign w:val="bottom"/>
            <w:shd w:val="clear" w:color="auto" w:fill="CCEEFF"/>
          </w:tcPr>
          <w:p>
            <w:pPr>
              <w:jc w:val="right"/>
              <w:ind w:right="165"/>
              <w:spacing w:after="0"/>
              <w:rPr>
                <w:sz w:val="20"/>
                <w:szCs w:val="20"/>
                <w:color w:val="auto"/>
              </w:rPr>
            </w:pPr>
            <w:r>
              <w:rPr>
                <w:rFonts w:ascii="Arial" w:cs="Arial" w:eastAsia="Arial" w:hAnsi="Arial"/>
                <w:sz w:val="20"/>
                <w:szCs w:val="20"/>
                <w:color w:val="auto"/>
              </w:rPr>
              <w:t>3,205</w:t>
            </w:r>
          </w:p>
        </w:tc>
        <w:tc>
          <w:tcPr>
            <w:tcW w:w="120" w:type="dxa"/>
            <w:vAlign w:val="bottom"/>
            <w:tcBorders>
              <w:right w:val="single" w:sz="8" w:color="auto"/>
            </w:tcBorders>
            <w:shd w:val="clear" w:color="auto" w:fill="CCEEFF"/>
          </w:tcPr>
          <w:p>
            <w:pPr>
              <w:spacing w:after="0"/>
              <w:rPr>
                <w:sz w:val="21"/>
                <w:szCs w:val="21"/>
                <w:color w:val="auto"/>
              </w:rPr>
            </w:pPr>
          </w:p>
        </w:tc>
      </w:tr>
      <w:tr>
        <w:trPr>
          <w:trHeight w:val="256"/>
        </w:trPr>
        <w:tc>
          <w:tcPr>
            <w:tcW w:w="7600" w:type="dxa"/>
            <w:vAlign w:val="bottom"/>
            <w:tcBorders>
              <w:left w:val="single" w:sz="8" w:color="auto"/>
            </w:tcBorders>
          </w:tcPr>
          <w:p>
            <w:pPr>
              <w:ind w:left="280"/>
              <w:spacing w:after="0"/>
              <w:rPr>
                <w:sz w:val="20"/>
                <w:szCs w:val="20"/>
                <w:color w:val="auto"/>
              </w:rPr>
            </w:pPr>
            <w:r>
              <w:rPr>
                <w:rFonts w:ascii="Arial" w:cs="Arial" w:eastAsia="Arial" w:hAnsi="Arial"/>
                <w:sz w:val="20"/>
                <w:szCs w:val="20"/>
                <w:b w:val="1"/>
                <w:bCs w:val="1"/>
                <w:color w:val="auto"/>
              </w:rPr>
              <w:t>Operating profit</w:t>
            </w:r>
          </w:p>
        </w:tc>
        <w:tc>
          <w:tcPr>
            <w:tcW w:w="280" w:type="dxa"/>
            <w:vAlign w:val="bottom"/>
          </w:tcPr>
          <w:p>
            <w:pPr>
              <w:spacing w:after="0"/>
              <w:rPr>
                <w:sz w:val="22"/>
                <w:szCs w:val="22"/>
                <w:color w:val="auto"/>
              </w:rPr>
            </w:pPr>
          </w:p>
        </w:tc>
        <w:tc>
          <w:tcPr>
            <w:tcW w:w="1420" w:type="dxa"/>
            <w:vAlign w:val="bottom"/>
          </w:tcPr>
          <w:p>
            <w:pPr>
              <w:jc w:val="right"/>
              <w:ind w:right="146"/>
              <w:spacing w:after="0"/>
              <w:rPr>
                <w:sz w:val="20"/>
                <w:szCs w:val="20"/>
                <w:color w:val="auto"/>
              </w:rPr>
            </w:pPr>
            <w:r>
              <w:rPr>
                <w:rFonts w:ascii="Arial" w:cs="Arial" w:eastAsia="Arial" w:hAnsi="Arial"/>
                <w:sz w:val="20"/>
                <w:szCs w:val="20"/>
                <w:b w:val="1"/>
                <w:bCs w:val="1"/>
                <w:color w:val="auto"/>
              </w:rPr>
              <w:t>281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40" w:type="dxa"/>
            <w:vAlign w:val="bottom"/>
          </w:tcPr>
          <w:p>
            <w:pPr>
              <w:jc w:val="right"/>
              <w:ind w:right="165"/>
              <w:spacing w:after="0"/>
              <w:rPr>
                <w:sz w:val="20"/>
                <w:szCs w:val="20"/>
                <w:color w:val="auto"/>
              </w:rPr>
            </w:pPr>
            <w:r>
              <w:rPr>
                <w:rFonts w:ascii="Arial" w:cs="Arial" w:eastAsia="Arial" w:hAnsi="Arial"/>
                <w:sz w:val="20"/>
                <w:szCs w:val="20"/>
                <w:color w:val="auto"/>
              </w:rPr>
              <w:t>379</w:t>
            </w:r>
          </w:p>
        </w:tc>
        <w:tc>
          <w:tcPr>
            <w:tcW w:w="120" w:type="dxa"/>
            <w:vAlign w:val="bottom"/>
            <w:tcBorders>
              <w:right w:val="single" w:sz="8" w:color="auto"/>
            </w:tcBorders>
          </w:tcPr>
          <w:p>
            <w:pPr>
              <w:spacing w:after="0"/>
              <w:rPr>
                <w:sz w:val="22"/>
                <w:szCs w:val="22"/>
                <w:color w:val="auto"/>
              </w:rPr>
            </w:pPr>
          </w:p>
        </w:tc>
      </w:tr>
      <w:tr>
        <w:trPr>
          <w:trHeight w:val="263"/>
        </w:trPr>
        <w:tc>
          <w:tcPr>
            <w:tcW w:w="7600" w:type="dxa"/>
            <w:vAlign w:val="bottom"/>
            <w:tcBorders>
              <w:left w:val="single" w:sz="8" w:color="auto"/>
              <w:bottom w:val="single" w:sz="8" w:color="auto"/>
            </w:tcBorders>
            <w:shd w:val="clear" w:color="auto" w:fill="CCEEFF"/>
          </w:tcPr>
          <w:p>
            <w:pPr>
              <w:ind w:left="280"/>
              <w:spacing w:after="0"/>
              <w:rPr>
                <w:sz w:val="20"/>
                <w:szCs w:val="20"/>
                <w:color w:val="auto"/>
              </w:rPr>
            </w:pPr>
            <w:r>
              <w:rPr>
                <w:rFonts w:ascii="Arial" w:cs="Arial" w:eastAsia="Arial" w:hAnsi="Arial"/>
                <w:sz w:val="20"/>
                <w:szCs w:val="20"/>
                <w:b w:val="1"/>
                <w:bCs w:val="1"/>
                <w:color w:val="auto"/>
              </w:rPr>
              <w:t>Operating margin</w:t>
            </w:r>
          </w:p>
        </w:tc>
        <w:tc>
          <w:tcPr>
            <w:tcW w:w="28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b w:val="1"/>
                <w:bCs w:val="1"/>
                <w:color w:val="auto"/>
              </w:rPr>
              <w:t>8.2%</w:t>
            </w:r>
          </w:p>
        </w:tc>
        <w:tc>
          <w:tcPr>
            <w:tcW w:w="12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11.8%</w:t>
            </w:r>
          </w:p>
        </w:tc>
        <w:tc>
          <w:tcPr>
            <w:tcW w:w="120" w:type="dxa"/>
            <w:vAlign w:val="bottom"/>
            <w:tcBorders>
              <w:bottom w:val="single" w:sz="8" w:color="auto"/>
              <w:right w:val="single" w:sz="8" w:color="auto"/>
            </w:tcBorders>
            <w:shd w:val="clear" w:color="auto" w:fill="CCEEFF"/>
          </w:tcPr>
          <w:p>
            <w:pPr>
              <w:spacing w:after="0"/>
              <w:rPr>
                <w:sz w:val="22"/>
                <w:szCs w:val="22"/>
                <w:color w:val="auto"/>
              </w:rPr>
            </w:pPr>
          </w:p>
        </w:tc>
      </w:tr>
    </w:tbl>
    <w:p>
      <w:pPr>
        <w:spacing w:after="0" w:line="248" w:lineRule="exact"/>
        <w:rPr>
          <w:sz w:val="20"/>
          <w:szCs w:val="20"/>
          <w:color w:val="auto"/>
        </w:rPr>
      </w:pPr>
    </w:p>
    <w:p>
      <w:pPr>
        <w:ind w:right="40"/>
        <w:spacing w:after="0" w:line="241" w:lineRule="auto"/>
        <w:rPr>
          <w:sz w:val="20"/>
          <w:szCs w:val="20"/>
          <w:color w:val="auto"/>
        </w:rPr>
      </w:pPr>
      <w:r>
        <w:rPr>
          <w:rFonts w:ascii="Arial" w:cs="Arial" w:eastAsia="Arial" w:hAnsi="Arial"/>
          <w:sz w:val="20"/>
          <w:szCs w:val="20"/>
          <w:color w:val="auto"/>
        </w:rPr>
        <w:t>Sales during the quarter ended March 29, 2026 increased $223 million, or 7%, compared to the same period in 2025. This increase was primarily attributable to higher sales volume of $245 million for strategic and missile defense programs on the FBM and Next Generation Interceptor (NGI) programs.</w:t>
      </w:r>
    </w:p>
    <w:p>
      <w:pPr>
        <w:spacing w:after="0" w:line="144" w:lineRule="exact"/>
        <w:rPr>
          <w:sz w:val="20"/>
          <w:szCs w:val="20"/>
          <w:color w:val="auto"/>
        </w:rPr>
      </w:pPr>
    </w:p>
    <w:p>
      <w:pPr>
        <w:ind w:right="80"/>
        <w:spacing w:after="0"/>
        <w:rPr>
          <w:sz w:val="20"/>
          <w:szCs w:val="20"/>
          <w:color w:val="auto"/>
        </w:rPr>
      </w:pPr>
      <w:r>
        <w:rPr>
          <w:rFonts w:ascii="Arial" w:cs="Arial" w:eastAsia="Arial" w:hAnsi="Arial"/>
          <w:sz w:val="20"/>
          <w:szCs w:val="20"/>
          <w:color w:val="auto"/>
        </w:rPr>
        <w:t>Operating profit during the quarter ended March 29, 2026 decreased $98 million, or 26%, compared to the same period in 2025. This decrease was primarily attributable to a $125 million decrease in profit booking rate adjustments driven by favorable performance at completion on certain commercial civil space programs for the quarter ended March 30, 2025; partially offset by an increase from higher sales volume previously described.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60"/>
          </w:cols>
          <w:pgMar w:left="320" w:top="926" w:right="319" w:bottom="1440" w:gutter="0" w:footer="0" w:header="0"/>
        </w:sectPr>
      </w:pPr>
    </w:p>
    <w:bookmarkStart w:id="11" w:name="page12"/>
    <w:bookmarkEnd w:id="11"/>
    <w:p>
      <w:pPr>
        <w:spacing w:after="0"/>
        <w:rPr>
          <w:sz w:val="20"/>
          <w:szCs w:val="20"/>
          <w:color w:val="auto"/>
        </w:rPr>
      </w:pPr>
      <w:r>
        <w:rPr>
          <w:rFonts w:ascii="Arial" w:cs="Arial" w:eastAsia="Arial" w:hAnsi="Arial"/>
          <w:sz w:val="20"/>
          <w:szCs w:val="20"/>
          <w:b w:val="1"/>
          <w:bCs w:val="1"/>
          <w:u w:val="single" w:color="auto"/>
          <w:color w:val="auto"/>
        </w:rPr>
        <w:t>Income Taxes</w:t>
      </w:r>
    </w:p>
    <w:p>
      <w:pPr>
        <w:spacing w:after="0" w:line="258" w:lineRule="exact"/>
        <w:rPr>
          <w:sz w:val="20"/>
          <w:szCs w:val="20"/>
          <w:color w:val="auto"/>
        </w:rPr>
      </w:pPr>
    </w:p>
    <w:p>
      <w:pPr>
        <w:ind w:right="100"/>
        <w:spacing w:after="0"/>
        <w:rPr>
          <w:sz w:val="20"/>
          <w:szCs w:val="20"/>
          <w:color w:val="auto"/>
        </w:rPr>
      </w:pPr>
      <w:r>
        <w:rPr>
          <w:rFonts w:ascii="Arial" w:cs="Arial" w:eastAsia="Arial" w:hAnsi="Arial"/>
          <w:sz w:val="20"/>
          <w:szCs w:val="20"/>
          <w:color w:val="auto"/>
        </w:rPr>
        <w:t>The company's effective income tax rates were 16.1% and 15.9% for the quarters ended March 29, 2026 and March 30, 2025. The rates for all periods benefited from the tax deductions for foreign derived deduction eligible income (formerly known as foreign derived intangible income), research and development tax credits, dividends paid to the company's defined contribution plans with an employee stock ownership plan feature and employee equity awards.</w:t>
      </w:r>
    </w:p>
    <w:p>
      <w:pPr>
        <w:spacing w:after="0" w:line="201" w:lineRule="exact"/>
        <w:rPr>
          <w:sz w:val="20"/>
          <w:szCs w:val="20"/>
          <w:color w:val="auto"/>
        </w:rPr>
      </w:pPr>
    </w:p>
    <w:p>
      <w:pPr>
        <w:jc w:val="both"/>
        <w:ind w:right="20"/>
        <w:spacing w:after="0" w:line="248" w:lineRule="auto"/>
        <w:rPr>
          <w:sz w:val="20"/>
          <w:szCs w:val="20"/>
          <w:color w:val="auto"/>
        </w:rPr>
      </w:pPr>
      <w:r>
        <w:rPr>
          <w:rFonts w:ascii="Arial" w:cs="Arial" w:eastAsia="Arial" w:hAnsi="Arial"/>
          <w:sz w:val="20"/>
          <w:szCs w:val="20"/>
          <w:color w:val="auto"/>
        </w:rPr>
        <w:t>On February 18, 2026, the U.S. Department of Treasury issued Notice 2026-7 (the Notice) providing additional interim guidance regarding the application of the CAMT. The company is continuing to evaluate the impacts of the One Big Beautiful Bill Act and the Notice and there could be additional impacts to its financial results or cash flows.</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Use of Non-GAAP Financial Measures</w:t>
      </w:r>
    </w:p>
    <w:p>
      <w:pPr>
        <w:spacing w:after="0" w:line="191" w:lineRule="exact"/>
        <w:rPr>
          <w:sz w:val="20"/>
          <w:szCs w:val="20"/>
          <w:color w:val="auto"/>
        </w:rPr>
      </w:pPr>
    </w:p>
    <w:p>
      <w:pPr>
        <w:ind w:right="20"/>
        <w:spacing w:after="0" w:line="260" w:lineRule="auto"/>
        <w:rPr>
          <w:sz w:val="20"/>
          <w:szCs w:val="20"/>
          <w:color w:val="auto"/>
        </w:rPr>
      </w:pPr>
      <w:r>
        <w:rPr>
          <w:rFonts w:ascii="Arial" w:cs="Arial" w:eastAsia="Arial" w:hAnsi="Arial"/>
          <w:sz w:val="19"/>
          <w:szCs w:val="19"/>
          <w:color w:val="auto"/>
        </w:rPr>
        <w:t>This news release contains the following non-generally accepted accounting principles (non-GAAP) financial measures (as defined by U.S. Securities and Exchange Commission (SEC) Regulation G). While management believes that these non-GAAP financial measures may be useful in evaluating the financial performance of the company, this information should be considered supplemental to, and not a substitute for, financial information prepared in accordance with GAAP. In addition, the company's definitions for non-GAAP financial measures may differ from similarly titled measures used by other companies or analysts.</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segment operating profit</w:t>
      </w:r>
    </w:p>
    <w:p>
      <w:pPr>
        <w:spacing w:after="0" w:line="191" w:lineRule="exact"/>
        <w:rPr>
          <w:sz w:val="20"/>
          <w:szCs w:val="20"/>
          <w:color w:val="auto"/>
        </w:rPr>
      </w:pPr>
    </w:p>
    <w:p>
      <w:pPr>
        <w:spacing w:after="0" w:line="247" w:lineRule="auto"/>
        <w:rPr>
          <w:sz w:val="20"/>
          <w:szCs w:val="20"/>
          <w:color w:val="auto"/>
        </w:rPr>
      </w:pPr>
      <w:r>
        <w:rPr>
          <w:rFonts w:ascii="Arial" w:cs="Arial" w:eastAsia="Arial" w:hAnsi="Arial"/>
          <w:sz w:val="20"/>
          <w:szCs w:val="20"/>
          <w:color w:val="auto"/>
        </w:rPr>
        <w:t>Business segment operating profit represents operating profit from the company's business segments before unallocated income and expense. This measure is used by the company's senior management in evaluating the performance of its business segments and is a performance goal in the company's annual incentive plan. Business segment operating margin is calculated by dividing business segment operating profit by sales. The table below reconciles the non-GAAP measure business segment operating profit with the most directly comparable GAAP financial measure, consolidated operating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149465" cy="13455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345565"/>
                    </a:xfrm>
                    <a:prstGeom prst="rect">
                      <a:avLst/>
                    </a:prstGeom>
                    <a:noFill/>
                  </pic:spPr>
                </pic:pic>
              </a:graphicData>
            </a:graphic>
          </wp:anchor>
        </w:drawing>
      </w:r>
    </w:p>
    <w:p>
      <w:pPr>
        <w:sectPr>
          <w:pgSz w:w="11900" w:h="16838" w:orient="portrait"/>
          <w:cols w:equalWidth="0" w:num="1">
            <w:col w:w="11180"/>
          </w:cols>
          <w:pgMar w:left="320" w:top="926" w:right="399" w:bottom="1440" w:gutter="0" w:footer="0" w:header="0"/>
        </w:sectPr>
      </w:pPr>
    </w:p>
    <w:p>
      <w:pPr>
        <w:spacing w:after="0" w:line="273" w:lineRule="exact"/>
        <w:rPr>
          <w:sz w:val="20"/>
          <w:szCs w:val="20"/>
          <w:color w:val="auto"/>
        </w:rPr>
      </w:pPr>
    </w:p>
    <w:p>
      <w:pPr>
        <w:ind w:left="300"/>
        <w:spacing w:after="0"/>
        <w:rPr>
          <w:sz w:val="20"/>
          <w:szCs w:val="20"/>
          <w:color w:val="auto"/>
        </w:rPr>
      </w:pPr>
      <w:r>
        <w:rPr>
          <w:rFonts w:ascii="Arial" w:cs="Arial" w:eastAsia="Arial" w:hAnsi="Arial"/>
          <w:sz w:val="14"/>
          <w:szCs w:val="14"/>
          <w:color w:val="auto"/>
        </w:rPr>
        <w:t>(in millions)</w:t>
      </w:r>
    </w:p>
    <w:p>
      <w:pPr>
        <w:spacing w:after="0" w:line="41" w:lineRule="exact"/>
        <w:rPr>
          <w:sz w:val="20"/>
          <w:szCs w:val="20"/>
          <w:color w:val="auto"/>
        </w:rPr>
      </w:pPr>
    </w:p>
    <w:p>
      <w:pPr>
        <w:ind w:left="300"/>
        <w:spacing w:after="0"/>
        <w:rPr>
          <w:sz w:val="20"/>
          <w:szCs w:val="20"/>
          <w:color w:val="auto"/>
        </w:rPr>
      </w:pPr>
      <w:r>
        <w:rPr>
          <w:rFonts w:ascii="Arial" w:cs="Arial" w:eastAsia="Arial" w:hAnsi="Arial"/>
          <w:sz w:val="19"/>
          <w:szCs w:val="19"/>
          <w:b w:val="1"/>
          <w:bCs w:val="1"/>
          <w:color w:val="auto"/>
        </w:rPr>
        <w:t>Business segment operating profit (non-GAAP)</w:t>
      </w:r>
    </w:p>
    <w:p>
      <w:pPr>
        <w:spacing w:after="0" w:line="27" w:lineRule="exact"/>
        <w:rPr>
          <w:sz w:val="20"/>
          <w:szCs w:val="20"/>
          <w:color w:val="auto"/>
        </w:rPr>
      </w:pPr>
    </w:p>
    <w:p>
      <w:pPr>
        <w:ind w:left="500"/>
        <w:spacing w:after="0"/>
        <w:rPr>
          <w:sz w:val="20"/>
          <w:szCs w:val="20"/>
          <w:color w:val="auto"/>
        </w:rPr>
      </w:pPr>
      <w:r>
        <w:rPr>
          <w:rFonts w:ascii="Arial" w:cs="Arial" w:eastAsia="Arial" w:hAnsi="Arial"/>
          <w:sz w:val="20"/>
          <w:szCs w:val="20"/>
          <w:color w:val="auto"/>
        </w:rPr>
        <w:t>FAS/CAS operating adjustment</w:t>
      </w:r>
      <w:r>
        <w:rPr>
          <w:rFonts w:ascii="Arial" w:cs="Arial" w:eastAsia="Arial" w:hAnsi="Arial"/>
          <w:sz w:val="25"/>
          <w:szCs w:val="25"/>
          <w:color w:val="auto"/>
          <w:vertAlign w:val="superscript"/>
        </w:rPr>
        <w:t>1</w:t>
      </w:r>
    </w:p>
    <w:p>
      <w:pPr>
        <w:ind w:left="500"/>
        <w:spacing w:after="0"/>
        <w:rPr>
          <w:sz w:val="20"/>
          <w:szCs w:val="20"/>
          <w:color w:val="auto"/>
        </w:rPr>
      </w:pPr>
      <w:r>
        <w:rPr>
          <w:rFonts w:ascii="Arial" w:cs="Arial" w:eastAsia="Arial" w:hAnsi="Arial"/>
          <w:sz w:val="20"/>
          <w:szCs w:val="20"/>
          <w:color w:val="auto"/>
        </w:rPr>
        <w:t>Intangible asset amortization expense</w:t>
      </w:r>
    </w:p>
    <w:p>
      <w:pPr>
        <w:spacing w:after="0" w:line="13" w:lineRule="exact"/>
        <w:rPr>
          <w:sz w:val="20"/>
          <w:szCs w:val="20"/>
          <w:color w:val="auto"/>
        </w:rPr>
      </w:pPr>
    </w:p>
    <w:p>
      <w:pPr>
        <w:ind w:left="500"/>
        <w:spacing w:after="0"/>
        <w:rPr>
          <w:sz w:val="20"/>
          <w:szCs w:val="20"/>
          <w:color w:val="auto"/>
        </w:rPr>
      </w:pPr>
      <w:r>
        <w:rPr>
          <w:rFonts w:ascii="Arial" w:cs="Arial" w:eastAsia="Arial" w:hAnsi="Arial"/>
          <w:sz w:val="20"/>
          <w:szCs w:val="20"/>
          <w:color w:val="auto"/>
        </w:rPr>
        <w:t>Other, net</w:t>
      </w:r>
    </w:p>
    <w:p>
      <w:pPr>
        <w:spacing w:after="0" w:line="60"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auto"/>
        </w:rPr>
        <w:t>Consolidated operating profit (GAAP)</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680"/>
        <w:spacing w:after="0"/>
        <w:rPr>
          <w:sz w:val="20"/>
          <w:szCs w:val="20"/>
          <w:color w:val="auto"/>
        </w:rPr>
      </w:pPr>
      <w:r>
        <w:rPr>
          <w:rFonts w:ascii="Arial" w:cs="Arial" w:eastAsia="Arial" w:hAnsi="Arial"/>
          <w:sz w:val="20"/>
          <w:szCs w:val="20"/>
          <w:b w:val="1"/>
          <w:bCs w:val="1"/>
          <w:color w:val="auto"/>
        </w:rPr>
        <w:t>2026 Outlook</w:t>
      </w:r>
    </w:p>
    <w:p>
      <w:pPr>
        <w:spacing w:after="0" w:line="43" w:lineRule="exact"/>
        <w:rPr>
          <w:sz w:val="20"/>
          <w:szCs w:val="20"/>
          <w:color w:val="auto"/>
        </w:rPr>
      </w:pPr>
    </w:p>
    <w:p>
      <w:pPr>
        <w:jc w:val="center"/>
        <w:ind w:right="680"/>
        <w:spacing w:after="0"/>
        <w:rPr>
          <w:sz w:val="20"/>
          <w:szCs w:val="20"/>
          <w:color w:val="auto"/>
        </w:rPr>
      </w:pPr>
      <w:r>
        <w:rPr>
          <w:rFonts w:ascii="Arial" w:cs="Arial" w:eastAsia="Arial" w:hAnsi="Arial"/>
          <w:sz w:val="19"/>
          <w:szCs w:val="19"/>
          <w:color w:val="auto"/>
        </w:rPr>
        <w:t>$8,425 - $8,675</w:t>
      </w:r>
    </w:p>
    <w:p>
      <w:pPr>
        <w:spacing w:after="0" w:line="42" w:lineRule="exact"/>
        <w:rPr>
          <w:sz w:val="20"/>
          <w:szCs w:val="20"/>
          <w:color w:val="auto"/>
        </w:rPr>
      </w:pPr>
    </w:p>
    <w:p>
      <w:pPr>
        <w:jc w:val="center"/>
        <w:ind w:right="680"/>
        <w:spacing w:after="0"/>
        <w:rPr>
          <w:sz w:val="20"/>
          <w:szCs w:val="20"/>
          <w:color w:val="auto"/>
        </w:rPr>
      </w:pPr>
      <w:r>
        <w:rPr>
          <w:rFonts w:ascii="Arial" w:cs="Arial" w:eastAsia="Arial" w:hAnsi="Arial"/>
          <w:sz w:val="20"/>
          <w:szCs w:val="20"/>
          <w:color w:val="auto"/>
        </w:rPr>
        <w:t>~1,685</w:t>
      </w:r>
    </w:p>
    <w:p>
      <w:pPr>
        <w:spacing w:after="0" w:line="27" w:lineRule="exact"/>
        <w:rPr>
          <w:sz w:val="20"/>
          <w:szCs w:val="20"/>
          <w:color w:val="auto"/>
        </w:rPr>
      </w:pPr>
    </w:p>
    <w:p>
      <w:pPr>
        <w:jc w:val="center"/>
        <w:ind w:right="680"/>
        <w:spacing w:after="0"/>
        <w:rPr>
          <w:sz w:val="20"/>
          <w:szCs w:val="20"/>
          <w:color w:val="auto"/>
        </w:rPr>
      </w:pPr>
      <w:r>
        <w:rPr>
          <w:rFonts w:ascii="Arial" w:cs="Arial" w:eastAsia="Arial" w:hAnsi="Arial"/>
          <w:sz w:val="20"/>
          <w:szCs w:val="20"/>
          <w:color w:val="auto"/>
        </w:rPr>
        <w:t>~(200)</w:t>
      </w:r>
    </w:p>
    <w:p>
      <w:pPr>
        <w:spacing w:after="0" w:line="27" w:lineRule="exact"/>
        <w:rPr>
          <w:sz w:val="20"/>
          <w:szCs w:val="20"/>
          <w:color w:val="auto"/>
        </w:rPr>
      </w:pPr>
    </w:p>
    <w:p>
      <w:pPr>
        <w:jc w:val="center"/>
        <w:ind w:right="680"/>
        <w:spacing w:after="0"/>
        <w:rPr>
          <w:sz w:val="20"/>
          <w:szCs w:val="20"/>
          <w:color w:val="auto"/>
        </w:rPr>
      </w:pPr>
      <w:r>
        <w:rPr>
          <w:rFonts w:ascii="Arial" w:cs="Arial" w:eastAsia="Arial" w:hAnsi="Arial"/>
          <w:sz w:val="20"/>
          <w:szCs w:val="20"/>
          <w:color w:val="auto"/>
        </w:rPr>
        <w:t>~(475)</w:t>
      </w:r>
    </w:p>
    <w:p>
      <w:pPr>
        <w:spacing w:after="0" w:line="35" w:lineRule="exact"/>
        <w:rPr>
          <w:sz w:val="20"/>
          <w:szCs w:val="20"/>
          <w:color w:val="auto"/>
        </w:rPr>
      </w:pPr>
    </w:p>
    <w:p>
      <w:pPr>
        <w:jc w:val="center"/>
        <w:ind w:right="680"/>
        <w:spacing w:after="0"/>
        <w:rPr>
          <w:sz w:val="20"/>
          <w:szCs w:val="20"/>
          <w:color w:val="auto"/>
        </w:rPr>
      </w:pPr>
      <w:r>
        <w:rPr>
          <w:rFonts w:ascii="Arial" w:cs="Arial" w:eastAsia="Arial" w:hAnsi="Arial"/>
          <w:sz w:val="19"/>
          <w:szCs w:val="19"/>
          <w:color w:val="auto"/>
        </w:rPr>
        <w:t>$9,435 - $9,685</w:t>
      </w:r>
    </w:p>
    <w:p>
      <w:pPr>
        <w:spacing w:after="0" w:line="131" w:lineRule="exact"/>
        <w:rPr>
          <w:sz w:val="20"/>
          <w:szCs w:val="20"/>
          <w:color w:val="auto"/>
        </w:rPr>
      </w:pPr>
    </w:p>
    <w:p>
      <w:pPr>
        <w:sectPr>
          <w:pgSz w:w="11900" w:h="16838" w:orient="portrait"/>
          <w:cols w:equalWidth="0" w:num="2">
            <w:col w:w="8380" w:space="720"/>
            <w:col w:w="2080"/>
          </w:cols>
          <w:pgMar w:left="320" w:top="926" w:right="399" w:bottom="1440" w:gutter="0" w:footer="0" w:header="0"/>
          <w:type w:val="continuous"/>
        </w:sectPr>
      </w:pPr>
    </w:p>
    <w:p>
      <w:pPr>
        <w:ind w:left="300" w:right="440" w:hanging="100"/>
        <w:spacing w:after="0" w:line="204" w:lineRule="auto"/>
        <w:tabs>
          <w:tab w:leader="none" w:pos="300" w:val="left"/>
        </w:tabs>
        <w:numPr>
          <w:ilvl w:val="0"/>
          <w:numId w:val="7"/>
        </w:numPr>
        <w:rPr>
          <w:rFonts w:ascii="Arial" w:cs="Arial" w:eastAsia="Arial" w:hAnsi="Arial"/>
          <w:sz w:val="22"/>
          <w:szCs w:val="22"/>
          <w:color w:val="auto"/>
          <w:vertAlign w:val="superscript"/>
        </w:rPr>
      </w:pPr>
      <w:r>
        <w:rPr>
          <w:rFonts w:ascii="Arial" w:cs="Arial" w:eastAsia="Arial" w:hAnsi="Arial"/>
          <w:sz w:val="14"/>
          <w:szCs w:val="14"/>
          <w:color w:val="auto"/>
        </w:rPr>
        <w:t>Reflects the amount by which total CAS pension cost of $1.7 billion exceeds FAS pension service cost and excludes non-service FAS pension expense. Refer to the supplemental table "Selected Financial Data" included in this news release for a detail of the FAS/CAS operating adjustment.</w:t>
      </w:r>
    </w:p>
    <w:p>
      <w:pPr>
        <w:spacing w:after="0" w:line="3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Free cash flow</w:t>
      </w:r>
    </w:p>
    <w:p>
      <w:pPr>
        <w:spacing w:after="0" w:line="258" w:lineRule="exact"/>
        <w:rPr>
          <w:sz w:val="20"/>
          <w:szCs w:val="20"/>
          <w:color w:val="auto"/>
        </w:rPr>
      </w:pPr>
    </w:p>
    <w:p>
      <w:pPr>
        <w:ind w:right="140"/>
        <w:spacing w:after="0" w:line="251" w:lineRule="auto"/>
        <w:rPr>
          <w:sz w:val="20"/>
          <w:szCs w:val="20"/>
          <w:color w:val="auto"/>
        </w:rPr>
      </w:pPr>
      <w:r>
        <w:rPr>
          <w:rFonts w:ascii="Arial" w:cs="Arial" w:eastAsia="Arial" w:hAnsi="Arial"/>
          <w:sz w:val="20"/>
          <w:szCs w:val="20"/>
          <w:color w:val="auto"/>
        </w:rPr>
        <w:t>Free cash flow is a non-GAAP financial measure that the company defines as cash from operations less capital expenditures. The company's capital expenditures are comprised of equipment and facilities infrastructure and information technology (inclusive of costs for the development or purchase of internal-use software that are capitalized). The company uses free cash flow to evaluate its business performance and overall liquidity. While management believes that free cash flow as a non-GAAP financial measure may be useful in evaluating the company's financial performance, it should be considered supplemental to, and not a substitute for, financial information prepared in accordance with GAAP and may not be comparable to similarly titled measures used by other companies.</w:t>
      </w:r>
    </w:p>
    <w:p>
      <w:pPr>
        <w:spacing w:after="0" w:line="200" w:lineRule="exact"/>
        <w:rPr>
          <w:sz w:val="20"/>
          <w:szCs w:val="20"/>
          <w:color w:val="auto"/>
        </w:rPr>
      </w:pP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80"/>
          </w:cols>
          <w:pgMar w:left="320" w:top="926" w:right="39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20"/>
          <w:szCs w:val="20"/>
          <w:b w:val="1"/>
          <w:bCs w:val="1"/>
          <w:u w:val="single" w:color="auto"/>
          <w:color w:val="auto"/>
        </w:rPr>
        <w:t>Webcast and Conference Call Information</w:t>
      </w:r>
    </w:p>
    <w:p>
      <w:pPr>
        <w:spacing w:after="0" w:line="258" w:lineRule="exact"/>
        <w:rPr>
          <w:sz w:val="20"/>
          <w:szCs w:val="20"/>
          <w:color w:val="auto"/>
        </w:rPr>
      </w:pPr>
    </w:p>
    <w:p>
      <w:pPr>
        <w:ind w:right="280"/>
        <w:spacing w:after="0" w:line="262" w:lineRule="auto"/>
        <w:rPr>
          <w:sz w:val="20"/>
          <w:szCs w:val="20"/>
          <w:color w:val="auto"/>
        </w:rPr>
      </w:pPr>
      <w:r>
        <w:rPr>
          <w:rFonts w:ascii="Arial" w:cs="Arial" w:eastAsia="Arial" w:hAnsi="Arial"/>
          <w:sz w:val="20"/>
          <w:szCs w:val="20"/>
          <w:color w:val="auto"/>
        </w:rPr>
        <w:t xml:space="preserve">Lockheed Martin Corporation will webcast live the earnings results conference call (listen-only mode) on Thursday, April 23, 2026, at 8:30 a.m. ET on the Lockheed Martin Investor Relations website at </w:t>
      </w:r>
      <w:r>
        <w:rPr>
          <w:rFonts w:ascii="Arial" w:cs="Arial" w:eastAsia="Arial" w:hAnsi="Arial"/>
          <w:sz w:val="20"/>
          <w:szCs w:val="20"/>
          <w:u w:val="single" w:color="auto"/>
          <w:color w:val="0000FF"/>
        </w:rPr>
        <w:t>www.lockheedmartin.com/investor</w:t>
      </w:r>
      <w:r>
        <w:rPr>
          <w:rFonts w:ascii="Arial" w:cs="Arial" w:eastAsia="Arial" w:hAnsi="Arial"/>
          <w:sz w:val="20"/>
          <w:szCs w:val="20"/>
          <w:color w:val="auto"/>
        </w:rPr>
        <w:t xml:space="preserve">. The accompanying presentation slides and relevant financial charts are also available at </w:t>
      </w:r>
      <w:r>
        <w:rPr>
          <w:rFonts w:ascii="Arial" w:cs="Arial" w:eastAsia="Arial" w:hAnsi="Arial"/>
          <w:sz w:val="20"/>
          <w:szCs w:val="20"/>
          <w:u w:val="single" w:color="auto"/>
          <w:color w:val="0000FF"/>
        </w:rPr>
        <w:t>www.lockheedmartin.com/investor</w:t>
      </w:r>
      <w:r>
        <w:rPr>
          <w:rFonts w:ascii="Arial" w:cs="Arial" w:eastAsia="Arial" w:hAnsi="Arial"/>
          <w:sz w:val="20"/>
          <w:szCs w:val="20"/>
          <w:color w:val="auto"/>
        </w:rPr>
        <w:t>.</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For additional information, visit the company’s website: </w:t>
      </w:r>
      <w:r>
        <w:rPr>
          <w:rFonts w:ascii="Arial" w:cs="Arial" w:eastAsia="Arial" w:hAnsi="Arial"/>
          <w:sz w:val="20"/>
          <w:szCs w:val="20"/>
          <w:u w:val="single" w:color="auto"/>
          <w:color w:val="0000FF"/>
        </w:rPr>
        <w:t>www.lockheedmartin.com</w:t>
      </w:r>
      <w:r>
        <w:rPr>
          <w:rFonts w:ascii="Arial" w:cs="Arial" w:eastAsia="Arial" w:hAnsi="Arial"/>
          <w:sz w:val="20"/>
          <w:szCs w:val="20"/>
          <w:color w:val="auto"/>
        </w:rPr>
        <w:t>.</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Lockheed Martin</w:t>
      </w:r>
    </w:p>
    <w:p>
      <w:pPr>
        <w:spacing w:after="0" w:line="245"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Lockheed Martin is a global defense technology company driving innovation and advancing scientific discovery. Our all-domain mission solutions and 21st Century Security</w:t>
      </w:r>
      <w:r>
        <w:rPr>
          <w:rFonts w:ascii="Arial" w:cs="Arial" w:eastAsia="Arial" w:hAnsi="Arial"/>
          <w:sz w:val="24"/>
          <w:szCs w:val="24"/>
          <w:color w:val="auto"/>
        </w:rPr>
        <w:t>®</w:t>
      </w:r>
      <w:r>
        <w:rPr>
          <w:rFonts w:ascii="Arial" w:cs="Arial" w:eastAsia="Arial" w:hAnsi="Arial"/>
          <w:sz w:val="20"/>
          <w:szCs w:val="20"/>
          <w:color w:val="auto"/>
        </w:rPr>
        <w:t xml:space="preserve"> vision accelerate the delivery of transformative technologies to ensure those we serve always stay ahead of ready. More information at </w:t>
      </w:r>
      <w:r>
        <w:rPr>
          <w:rFonts w:ascii="Arial" w:cs="Arial" w:eastAsia="Arial" w:hAnsi="Arial"/>
          <w:sz w:val="20"/>
          <w:szCs w:val="20"/>
          <w:u w:val="single" w:color="auto"/>
          <w:color w:val="0000FF"/>
        </w:rPr>
        <w:t>www.lockheedmartin.com</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 # #</w:t>
      </w:r>
    </w:p>
    <w:p>
      <w:pPr>
        <w:spacing w:after="0" w:line="241" w:lineRule="exact"/>
        <w:rPr>
          <w:sz w:val="20"/>
          <w:szCs w:val="20"/>
          <w:color w:val="auto"/>
        </w:rPr>
      </w:pPr>
    </w:p>
    <w:p>
      <w:pPr>
        <w:jc w:val="center"/>
        <w:ind w:right="-159"/>
        <w:spacing w:after="0"/>
        <w:rPr>
          <w:sz w:val="20"/>
          <w:szCs w:val="20"/>
          <w:color w:val="auto"/>
        </w:rPr>
      </w:pPr>
      <w:r>
        <w:rPr>
          <w:rFonts w:ascii="Arial" w:cs="Arial" w:eastAsia="Arial" w:hAnsi="Arial"/>
          <w:sz w:val="20"/>
          <w:szCs w:val="20"/>
          <w:b w:val="1"/>
          <w:bCs w:val="1"/>
          <w:color w:val="auto"/>
        </w:rPr>
        <w:t>Media Contacts:</w:t>
      </w:r>
    </w:p>
    <w:p>
      <w:pPr>
        <w:spacing w:after="0" w:line="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Corporate Communications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 xml:space="preserve">+1 301-214-3030, </w:t>
      </w:r>
      <w:r>
        <w:rPr>
          <w:rFonts w:ascii="Arial" w:cs="Arial" w:eastAsia="Arial" w:hAnsi="Arial"/>
          <w:sz w:val="18"/>
          <w:szCs w:val="18"/>
          <w:u w:val="single" w:color="auto"/>
          <w:color w:val="0000FF"/>
        </w:rPr>
        <w:t>media.relations@lmco.com</w:t>
      </w:r>
    </w:p>
    <w:p>
      <w:pPr>
        <w:spacing w:after="0" w:line="216" w:lineRule="exact"/>
        <w:rPr>
          <w:sz w:val="20"/>
          <w:szCs w:val="20"/>
          <w:color w:val="auto"/>
        </w:rPr>
      </w:pPr>
    </w:p>
    <w:p>
      <w:pPr>
        <w:ind w:left="4280"/>
        <w:spacing w:after="0"/>
        <w:rPr>
          <w:sz w:val="20"/>
          <w:szCs w:val="20"/>
          <w:color w:val="auto"/>
        </w:rPr>
      </w:pPr>
      <w:r>
        <w:rPr>
          <w:rFonts w:ascii="Arial" w:cs="Arial" w:eastAsia="Arial" w:hAnsi="Arial"/>
          <w:sz w:val="20"/>
          <w:szCs w:val="20"/>
          <w:b w:val="1"/>
          <w:bCs w:val="1"/>
          <w:color w:val="auto"/>
        </w:rPr>
        <w:t>Investor Relations Contacts:</w:t>
      </w:r>
    </w:p>
    <w:p>
      <w:pPr>
        <w:spacing w:after="0" w:line="22"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Mark Kvasnak, Vice President, Investor Relations</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Jessica Serafin, Director, Investor Relations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 xml:space="preserve">+1 301-897-6800, </w:t>
      </w:r>
      <w:r>
        <w:rPr>
          <w:rFonts w:ascii="Arial" w:cs="Arial" w:eastAsia="Arial" w:hAnsi="Arial"/>
          <w:sz w:val="18"/>
          <w:szCs w:val="18"/>
          <w:u w:val="single" w:color="auto"/>
          <w:color w:val="0000FF"/>
        </w:rPr>
        <w:t>investor.relations@lmco.com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80"/>
          </w:cols>
          <w:pgMar w:left="320" w:top="926" w:right="499" w:bottom="1440" w:gutter="0" w:footer="0" w:header="0"/>
        </w:sectPr>
      </w:pPr>
    </w:p>
    <w:bookmarkStart w:id="13" w:name="page14"/>
    <w:bookmarkEnd w:id="13"/>
    <w:p>
      <w:pPr>
        <w:spacing w:after="0"/>
        <w:rPr>
          <w:sz w:val="20"/>
          <w:szCs w:val="20"/>
          <w:color w:val="auto"/>
        </w:rPr>
      </w:pPr>
      <w:r>
        <w:rPr>
          <w:rFonts w:ascii="Arial" w:cs="Arial" w:eastAsia="Arial" w:hAnsi="Arial"/>
          <w:sz w:val="20"/>
          <w:szCs w:val="20"/>
          <w:b w:val="1"/>
          <w:bCs w:val="1"/>
          <w:u w:val="single" w:color="auto"/>
          <w:color w:val="auto"/>
        </w:rPr>
        <w:t>Forward-Looking Statements</w:t>
      </w:r>
    </w:p>
    <w:p>
      <w:pPr>
        <w:spacing w:after="0" w:line="245" w:lineRule="exact"/>
        <w:rPr>
          <w:sz w:val="20"/>
          <w:szCs w:val="20"/>
          <w:color w:val="auto"/>
        </w:rPr>
      </w:pPr>
    </w:p>
    <w:p>
      <w:pPr>
        <w:ind w:right="160"/>
        <w:spacing w:after="0" w:line="258" w:lineRule="auto"/>
        <w:rPr>
          <w:sz w:val="20"/>
          <w:szCs w:val="20"/>
          <w:color w:val="auto"/>
        </w:rPr>
      </w:pPr>
      <w:r>
        <w:rPr>
          <w:rFonts w:ascii="Arial" w:cs="Arial" w:eastAsia="Arial" w:hAnsi="Arial"/>
          <w:sz w:val="20"/>
          <w:szCs w:val="20"/>
          <w:color w:val="auto"/>
        </w:rPr>
        <w:t>This news release contains statements that, to the extent they are not recitations of historical fact, constitute forward-looking statements within the meaning of the federal securities laws, and are based on Lockheed Martin’s current expectations and assumptions. The words “believe,” “estimate,” “anticipate,” “project,” “intend,” “expect,” “plan,” “outlook,” “scheduled,” “forecast” and similar expressions are intended to identify forward-looking statements. These statements are not guarantees of future performance and are subject to risks and uncertainties. Actual results may differ materially due to factors such as:</w:t>
      </w:r>
    </w:p>
    <w:p>
      <w:pPr>
        <w:spacing w:after="0" w:line="195" w:lineRule="exact"/>
        <w:rPr>
          <w:sz w:val="20"/>
          <w:szCs w:val="20"/>
          <w:color w:val="auto"/>
        </w:rPr>
      </w:pPr>
    </w:p>
    <w:p>
      <w:pPr>
        <w:ind w:left="460" w:right="60" w:hanging="331"/>
        <w:spacing w:after="0" w:line="255" w:lineRule="auto"/>
        <w:tabs>
          <w:tab w:leader="none" w:pos="448"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company's reliance on contracts with the U.S. Government, which are dependent on U.S. Government funding and can be terminated for convenience, and the company's ability to negotiate favorable contract terms;</w:t>
      </w:r>
    </w:p>
    <w:p>
      <w:pPr>
        <w:spacing w:after="0" w:line="1" w:lineRule="exact"/>
        <w:rPr>
          <w:rFonts w:ascii="Arial" w:cs="Arial" w:eastAsia="Arial" w:hAnsi="Arial"/>
          <w:sz w:val="20"/>
          <w:szCs w:val="20"/>
          <w:color w:val="auto"/>
        </w:rPr>
      </w:pPr>
    </w:p>
    <w:p>
      <w:pPr>
        <w:ind w:left="460" w:right="160" w:hanging="331"/>
        <w:spacing w:after="0" w:line="246" w:lineRule="auto"/>
        <w:tabs>
          <w:tab w:leader="none" w:pos="448" w:val="left"/>
        </w:tabs>
        <w:numPr>
          <w:ilvl w:val="0"/>
          <w:numId w:val="8"/>
        </w:numPr>
        <w:rPr>
          <w:rFonts w:ascii="Arial" w:cs="Arial" w:eastAsia="Arial" w:hAnsi="Arial"/>
          <w:sz w:val="20"/>
          <w:szCs w:val="20"/>
          <w:color w:val="auto"/>
        </w:rPr>
      </w:pPr>
      <w:r>
        <w:rPr>
          <w:rFonts w:ascii="Arial" w:cs="Arial" w:eastAsia="Arial" w:hAnsi="Arial"/>
          <w:sz w:val="20"/>
          <w:szCs w:val="20"/>
          <w:color w:val="auto"/>
        </w:rPr>
        <w:t>budget uncertainty, the risk of future budget cuts, the impact of continuing resolution funding mechanisms, the debt ceiling and government shutdowns, and changing funding and acquisition priorities;</w:t>
      </w:r>
    </w:p>
    <w:p>
      <w:pPr>
        <w:spacing w:after="0" w:line="1" w:lineRule="exact"/>
        <w:rPr>
          <w:rFonts w:ascii="Arial" w:cs="Arial" w:eastAsia="Arial" w:hAnsi="Arial"/>
          <w:sz w:val="20"/>
          <w:szCs w:val="20"/>
          <w:color w:val="auto"/>
        </w:rPr>
      </w:pPr>
    </w:p>
    <w:p>
      <w:pPr>
        <w:ind w:left="460" w:right="220" w:hanging="331"/>
        <w:spacing w:after="0" w:line="246" w:lineRule="auto"/>
        <w:tabs>
          <w:tab w:leader="none" w:pos="425" w:val="left"/>
        </w:tabs>
        <w:numPr>
          <w:ilvl w:val="0"/>
          <w:numId w:val="8"/>
        </w:numPr>
        <w:rPr>
          <w:rFonts w:ascii="Arial" w:cs="Arial" w:eastAsia="Arial" w:hAnsi="Arial"/>
          <w:sz w:val="20"/>
          <w:szCs w:val="20"/>
          <w:color w:val="auto"/>
        </w:rPr>
      </w:pPr>
      <w:r>
        <w:rPr>
          <w:rFonts w:ascii="Arial" w:cs="Arial" w:eastAsia="Arial" w:hAnsi="Arial"/>
          <w:sz w:val="20"/>
          <w:szCs w:val="20"/>
          <w:color w:val="auto"/>
        </w:rPr>
        <w:t>risks related to the development, production, sustainment, performance, schedule, cost and requirements of complex and technologically advanced programs, including the F-35 program;</w:t>
      </w:r>
    </w:p>
    <w:p>
      <w:pPr>
        <w:spacing w:after="0" w:line="1" w:lineRule="exact"/>
        <w:rPr>
          <w:rFonts w:ascii="Arial" w:cs="Arial" w:eastAsia="Arial" w:hAnsi="Arial"/>
          <w:sz w:val="20"/>
          <w:szCs w:val="20"/>
          <w:color w:val="auto"/>
        </w:rPr>
      </w:pPr>
    </w:p>
    <w:p>
      <w:pPr>
        <w:ind w:left="460" w:right="820" w:hanging="331"/>
        <w:spacing w:after="0" w:line="266" w:lineRule="auto"/>
        <w:tabs>
          <w:tab w:leader="none" w:pos="425" w:val="left"/>
        </w:tabs>
        <w:numPr>
          <w:ilvl w:val="0"/>
          <w:numId w:val="8"/>
        </w:numPr>
        <w:rPr>
          <w:rFonts w:ascii="Arial" w:cs="Arial" w:eastAsia="Arial" w:hAnsi="Arial"/>
          <w:sz w:val="19"/>
          <w:szCs w:val="19"/>
          <w:color w:val="auto"/>
        </w:rPr>
      </w:pPr>
      <w:r>
        <w:rPr>
          <w:rFonts w:ascii="Arial" w:cs="Arial" w:eastAsia="Arial" w:hAnsi="Arial"/>
          <w:sz w:val="19"/>
          <w:szCs w:val="19"/>
          <w:color w:val="auto"/>
        </w:rPr>
        <w:t>planned production rates and orders for significant programs, compliance with stringent performance and reliability standards, and materials availability, including government furnished equipment and rare earth minerals;</w:t>
      </w:r>
    </w:p>
    <w:p>
      <w:pPr>
        <w:spacing w:after="0" w:line="1" w:lineRule="exact"/>
        <w:rPr>
          <w:rFonts w:ascii="Arial" w:cs="Arial" w:eastAsia="Arial" w:hAnsi="Arial"/>
          <w:sz w:val="19"/>
          <w:szCs w:val="19"/>
          <w:color w:val="auto"/>
        </w:rPr>
      </w:pPr>
    </w:p>
    <w:p>
      <w:pPr>
        <w:ind w:left="460" w:right="640" w:hanging="331"/>
        <w:spacing w:after="0" w:line="230" w:lineRule="auto"/>
        <w:tabs>
          <w:tab w:leader="none" w:pos="448"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timing of contract awards or contract definitization, decisions by government customers to impose contract terms following undefinitized contract actions, achievement of performance milestones, customer acceptance of product deliveries, and receipt of customer payments;</w:t>
      </w:r>
    </w:p>
    <w:p>
      <w:pPr>
        <w:ind w:left="460" w:right="40" w:hanging="331"/>
        <w:spacing w:after="0" w:line="248" w:lineRule="auto"/>
        <w:tabs>
          <w:tab w:leader="none" w:pos="448"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company's ability to recover costs under U.S. Government contracts, the mix of fixed-price and cost-reimbursable contracts and the risks inherent in preparing estimates for fixed-price contracts (particularly for complex and technologically advanced programs);</w:t>
      </w:r>
    </w:p>
    <w:p>
      <w:pPr>
        <w:spacing w:after="0" w:line="2" w:lineRule="exact"/>
        <w:rPr>
          <w:rFonts w:ascii="Arial" w:cs="Arial" w:eastAsia="Arial" w:hAnsi="Arial"/>
          <w:sz w:val="20"/>
          <w:szCs w:val="20"/>
          <w:color w:val="auto"/>
        </w:rPr>
      </w:pPr>
    </w:p>
    <w:p>
      <w:pPr>
        <w:ind w:left="460" w:hanging="331"/>
        <w:spacing w:after="0" w:line="246" w:lineRule="auto"/>
        <w:tabs>
          <w:tab w:leader="none" w:pos="425" w:val="left"/>
        </w:tabs>
        <w:numPr>
          <w:ilvl w:val="0"/>
          <w:numId w:val="8"/>
        </w:numPr>
        <w:rPr>
          <w:rFonts w:ascii="Arial" w:cs="Arial" w:eastAsia="Arial" w:hAnsi="Arial"/>
          <w:sz w:val="20"/>
          <w:szCs w:val="20"/>
          <w:color w:val="auto"/>
        </w:rPr>
      </w:pPr>
      <w:r>
        <w:rPr>
          <w:rFonts w:ascii="Arial" w:cs="Arial" w:eastAsia="Arial" w:hAnsi="Arial"/>
          <w:sz w:val="20"/>
          <w:szCs w:val="20"/>
          <w:color w:val="auto"/>
        </w:rPr>
        <w:t>customer procurement and other policies, laws, regulations and executive actions that affect the company and its industry, programs, future opportunities, and financial performance, including those relating to mission priorities, competing domestic and international spending, contracting terms (such as fixed-price requirements), acquisition process reforms, treatment of contractor performance issues, and contractor access to competitive opportunities;</w:t>
      </w:r>
    </w:p>
    <w:p>
      <w:pPr>
        <w:spacing w:after="0" w:line="2" w:lineRule="exact"/>
        <w:rPr>
          <w:rFonts w:ascii="Arial" w:cs="Arial" w:eastAsia="Arial" w:hAnsi="Arial"/>
          <w:sz w:val="20"/>
          <w:szCs w:val="20"/>
          <w:color w:val="auto"/>
        </w:rPr>
      </w:pPr>
    </w:p>
    <w:p>
      <w:pPr>
        <w:ind w:left="460" w:right="280" w:hanging="331"/>
        <w:spacing w:after="0" w:line="246" w:lineRule="auto"/>
        <w:tabs>
          <w:tab w:leader="none" w:pos="425" w:val="left"/>
        </w:tabs>
        <w:numPr>
          <w:ilvl w:val="0"/>
          <w:numId w:val="8"/>
        </w:numPr>
        <w:rPr>
          <w:rFonts w:ascii="Arial" w:cs="Arial" w:eastAsia="Arial" w:hAnsi="Arial"/>
          <w:sz w:val="20"/>
          <w:szCs w:val="20"/>
          <w:color w:val="auto"/>
        </w:rPr>
      </w:pPr>
      <w:r>
        <w:rPr>
          <w:rFonts w:ascii="Arial" w:cs="Arial" w:eastAsia="Arial" w:hAnsi="Arial"/>
          <w:sz w:val="20"/>
          <w:szCs w:val="20"/>
          <w:color w:val="auto"/>
        </w:rPr>
        <w:t>performance and/or financial viability of key suppliers, teammates, joint ventures (including United Launch Alliance), joint venture partners, subcontractors and customers;</w:t>
      </w:r>
    </w:p>
    <w:p>
      <w:pPr>
        <w:spacing w:after="0" w:line="1" w:lineRule="exact"/>
        <w:rPr>
          <w:rFonts w:ascii="Arial" w:cs="Arial" w:eastAsia="Arial" w:hAnsi="Arial"/>
          <w:sz w:val="20"/>
          <w:szCs w:val="20"/>
          <w:color w:val="auto"/>
        </w:rPr>
      </w:pPr>
    </w:p>
    <w:p>
      <w:pPr>
        <w:ind w:left="440" w:hanging="311"/>
        <w:spacing w:after="0"/>
        <w:tabs>
          <w:tab w:leader="none" w:pos="440" w:val="left"/>
        </w:tabs>
        <w:numPr>
          <w:ilvl w:val="0"/>
          <w:numId w:val="8"/>
        </w:numPr>
        <w:rPr>
          <w:rFonts w:ascii="Arial" w:cs="Arial" w:eastAsia="Arial" w:hAnsi="Arial"/>
          <w:sz w:val="20"/>
          <w:szCs w:val="20"/>
          <w:color w:val="auto"/>
        </w:rPr>
      </w:pPr>
      <w:r>
        <w:rPr>
          <w:rFonts w:ascii="Arial" w:cs="Arial" w:eastAsia="Arial" w:hAnsi="Arial"/>
          <w:sz w:val="20"/>
          <w:szCs w:val="20"/>
          <w:color w:val="auto"/>
        </w:rPr>
        <w:t>changes in economic, capital market and political conditions in the U.S. and globally;</w:t>
      </w:r>
    </w:p>
    <w:p>
      <w:pPr>
        <w:spacing w:after="0" w:line="13" w:lineRule="exact"/>
        <w:rPr>
          <w:rFonts w:ascii="Arial" w:cs="Arial" w:eastAsia="Arial" w:hAnsi="Arial"/>
          <w:sz w:val="20"/>
          <w:szCs w:val="20"/>
          <w:color w:val="auto"/>
        </w:rPr>
      </w:pPr>
    </w:p>
    <w:p>
      <w:pPr>
        <w:ind w:left="420" w:hanging="291"/>
        <w:spacing w:after="0"/>
        <w:tabs>
          <w:tab w:leader="none" w:pos="42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impact of inflation and other cost pressures;</w:t>
      </w:r>
    </w:p>
    <w:p>
      <w:pPr>
        <w:ind w:left="460" w:right="180" w:hanging="331"/>
        <w:spacing w:after="0" w:line="246" w:lineRule="auto"/>
        <w:tabs>
          <w:tab w:leader="none" w:pos="448" w:val="left"/>
        </w:tabs>
        <w:numPr>
          <w:ilvl w:val="0"/>
          <w:numId w:val="8"/>
        </w:numPr>
        <w:rPr>
          <w:rFonts w:ascii="Arial" w:cs="Arial" w:eastAsia="Arial" w:hAnsi="Arial"/>
          <w:sz w:val="20"/>
          <w:szCs w:val="20"/>
          <w:color w:val="auto"/>
        </w:rPr>
      </w:pPr>
      <w:r>
        <w:rPr>
          <w:rFonts w:ascii="Arial" w:cs="Arial" w:eastAsia="Arial" w:hAnsi="Arial"/>
          <w:sz w:val="20"/>
          <w:szCs w:val="20"/>
          <w:color w:val="auto"/>
        </w:rPr>
        <w:t>government actions that restrict or prevent the sale or delivery of the company's products (such as delays in approvals for exports requiring Congressional notification);</w:t>
      </w:r>
    </w:p>
    <w:p>
      <w:pPr>
        <w:spacing w:after="0" w:line="1" w:lineRule="exact"/>
        <w:rPr>
          <w:rFonts w:ascii="Arial" w:cs="Arial" w:eastAsia="Arial" w:hAnsi="Arial"/>
          <w:sz w:val="20"/>
          <w:szCs w:val="20"/>
          <w:color w:val="auto"/>
        </w:rPr>
      </w:pPr>
    </w:p>
    <w:p>
      <w:pPr>
        <w:ind w:left="460" w:right="580" w:hanging="331"/>
        <w:spacing w:after="0" w:line="232" w:lineRule="auto"/>
        <w:tabs>
          <w:tab w:leader="none" w:pos="425" w:val="left"/>
        </w:tabs>
        <w:numPr>
          <w:ilvl w:val="0"/>
          <w:numId w:val="8"/>
        </w:numPr>
        <w:rPr>
          <w:rFonts w:ascii="Arial" w:cs="Arial" w:eastAsia="Arial" w:hAnsi="Arial"/>
          <w:sz w:val="20"/>
          <w:szCs w:val="20"/>
          <w:color w:val="auto"/>
        </w:rPr>
      </w:pPr>
      <w:r>
        <w:rPr>
          <w:rFonts w:ascii="Arial" w:cs="Arial" w:eastAsia="Arial" w:hAnsi="Arial"/>
          <w:sz w:val="20"/>
          <w:szCs w:val="20"/>
          <w:color w:val="auto"/>
        </w:rPr>
        <w:t>foreign policy and international trade actions taken by governments such as tariffs, sanctions, embargoes, export and import controls, buying preferences, and other trade restrictions;</w:t>
      </w:r>
    </w:p>
    <w:p>
      <w:pPr>
        <w:ind w:left="460" w:right="220" w:hanging="331"/>
        <w:spacing w:after="0" w:line="253" w:lineRule="auto"/>
        <w:tabs>
          <w:tab w:leader="none" w:pos="425"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company's success expanding into and doing business in adjacent markets and internationally and the risks posed by international sales, including potential effects from fluctuations in currency exchange rates;</w:t>
      </w:r>
    </w:p>
    <w:p>
      <w:pPr>
        <w:spacing w:after="0" w:line="1" w:lineRule="exact"/>
        <w:rPr>
          <w:rFonts w:ascii="Arial" w:cs="Arial" w:eastAsia="Arial" w:hAnsi="Arial"/>
          <w:sz w:val="20"/>
          <w:szCs w:val="20"/>
          <w:color w:val="auto"/>
        </w:rPr>
      </w:pPr>
    </w:p>
    <w:p>
      <w:pPr>
        <w:ind w:left="420" w:hanging="291"/>
        <w:spacing w:after="0"/>
        <w:tabs>
          <w:tab w:leader="none" w:pos="420" w:val="left"/>
        </w:tabs>
        <w:numPr>
          <w:ilvl w:val="0"/>
          <w:numId w:val="8"/>
        </w:numPr>
        <w:rPr>
          <w:rFonts w:ascii="Arial" w:cs="Arial" w:eastAsia="Arial" w:hAnsi="Arial"/>
          <w:sz w:val="20"/>
          <w:szCs w:val="20"/>
          <w:color w:val="auto"/>
        </w:rPr>
      </w:pPr>
      <w:r>
        <w:rPr>
          <w:rFonts w:ascii="Arial" w:cs="Arial" w:eastAsia="Arial" w:hAnsi="Arial"/>
          <w:sz w:val="20"/>
          <w:szCs w:val="20"/>
          <w:color w:val="auto"/>
        </w:rPr>
        <w:t>changes in non-U.S. national priorities and government budgets and planned orders;</w:t>
      </w:r>
    </w:p>
    <w:p>
      <w:pPr>
        <w:ind w:left="420" w:hanging="291"/>
        <w:spacing w:after="0"/>
        <w:tabs>
          <w:tab w:leader="none" w:pos="42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competitive environment for the company's products and services;</w:t>
      </w:r>
    </w:p>
    <w:p>
      <w:pPr>
        <w:spacing w:after="0" w:line="13" w:lineRule="exact"/>
        <w:rPr>
          <w:rFonts w:ascii="Arial" w:cs="Arial" w:eastAsia="Arial" w:hAnsi="Arial"/>
          <w:sz w:val="20"/>
          <w:szCs w:val="20"/>
          <w:color w:val="auto"/>
        </w:rPr>
      </w:pPr>
    </w:p>
    <w:p>
      <w:pPr>
        <w:ind w:left="460" w:right="60" w:hanging="331"/>
        <w:spacing w:after="0" w:line="246" w:lineRule="auto"/>
        <w:tabs>
          <w:tab w:leader="none" w:pos="425"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company's ability to develop and commercialize new technologies and products, including emerging digital and network technologies and capabilities;</w:t>
      </w:r>
    </w:p>
    <w:p>
      <w:pPr>
        <w:spacing w:after="0" w:line="1" w:lineRule="exact"/>
        <w:rPr>
          <w:rFonts w:ascii="Arial" w:cs="Arial" w:eastAsia="Arial" w:hAnsi="Arial"/>
          <w:sz w:val="20"/>
          <w:szCs w:val="20"/>
          <w:color w:val="auto"/>
        </w:rPr>
      </w:pPr>
    </w:p>
    <w:p>
      <w:pPr>
        <w:ind w:left="440" w:hanging="311"/>
        <w:spacing w:after="0"/>
        <w:tabs>
          <w:tab w:leader="none" w:pos="44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company's ability to benefit fully from or adequately protect its intellectual property rights;</w:t>
      </w:r>
    </w:p>
    <w:p>
      <w:pPr>
        <w:ind w:left="460" w:right="740" w:hanging="331"/>
        <w:spacing w:after="0" w:line="253" w:lineRule="auto"/>
        <w:tabs>
          <w:tab w:leader="none" w:pos="425"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company's ability to attract and retain a highly skilled workforce and the impact of work stoppages or other labor disruptions;</w:t>
      </w:r>
    </w:p>
    <w:p>
      <w:pPr>
        <w:spacing w:after="0" w:line="1" w:lineRule="exact"/>
        <w:rPr>
          <w:rFonts w:ascii="Arial" w:cs="Arial" w:eastAsia="Arial" w:hAnsi="Arial"/>
          <w:sz w:val="20"/>
          <w:szCs w:val="20"/>
          <w:color w:val="auto"/>
        </w:rPr>
      </w:pPr>
    </w:p>
    <w:p>
      <w:pPr>
        <w:ind w:left="420" w:hanging="291"/>
        <w:spacing w:after="0"/>
        <w:tabs>
          <w:tab w:leader="none" w:pos="420" w:val="left"/>
        </w:tabs>
        <w:numPr>
          <w:ilvl w:val="0"/>
          <w:numId w:val="8"/>
        </w:numPr>
        <w:rPr>
          <w:rFonts w:ascii="Arial" w:cs="Arial" w:eastAsia="Arial" w:hAnsi="Arial"/>
          <w:sz w:val="20"/>
          <w:szCs w:val="20"/>
          <w:color w:val="auto"/>
        </w:rPr>
      </w:pPr>
      <w:r>
        <w:rPr>
          <w:rFonts w:ascii="Arial" w:cs="Arial" w:eastAsia="Arial" w:hAnsi="Arial"/>
          <w:sz w:val="20"/>
          <w:szCs w:val="20"/>
          <w:color w:val="auto"/>
        </w:rPr>
        <w:t>cyber or other security threats or other disruptions faced by the company or its suppliers;</w:t>
      </w:r>
    </w:p>
    <w:p>
      <w:pPr>
        <w:ind w:left="460" w:right="680" w:hanging="331"/>
        <w:spacing w:after="0" w:line="293" w:lineRule="auto"/>
        <w:tabs>
          <w:tab w:leader="none" w:pos="425" w:val="left"/>
        </w:tabs>
        <w:numPr>
          <w:ilvl w:val="0"/>
          <w:numId w:val="8"/>
        </w:numPr>
        <w:rPr>
          <w:rFonts w:ascii="Arial" w:cs="Arial" w:eastAsia="Arial" w:hAnsi="Arial"/>
          <w:sz w:val="19"/>
          <w:szCs w:val="19"/>
          <w:color w:val="auto"/>
        </w:rPr>
      </w:pPr>
      <w:r>
        <w:rPr>
          <w:rFonts w:ascii="Arial" w:cs="Arial" w:eastAsia="Arial" w:hAnsi="Arial"/>
          <w:sz w:val="19"/>
          <w:szCs w:val="19"/>
          <w:color w:val="auto"/>
        </w:rPr>
        <w:t>the company's ability to implement and continue, and the timing and impact of, capitalization changes such as share repurchases, dividend payments and financing transactions, including as a result of presidential executive orders;</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926" w:right="339" w:bottom="1440" w:gutter="0" w:footer="0" w:header="0"/>
        </w:sectPr>
      </w:pPr>
    </w:p>
    <w:bookmarkStart w:id="14" w:name="page15"/>
    <w:bookmarkEnd w:id="14"/>
    <w:p>
      <w:pPr>
        <w:ind w:left="420" w:hanging="291"/>
        <w:spacing w:after="0"/>
        <w:tabs>
          <w:tab w:leader="none" w:pos="420" w:val="left"/>
        </w:tabs>
        <w:numPr>
          <w:ilvl w:val="0"/>
          <w:numId w:val="9"/>
        </w:numPr>
        <w:rPr>
          <w:rFonts w:ascii="Arial" w:cs="Arial" w:eastAsia="Arial" w:hAnsi="Arial"/>
          <w:sz w:val="20"/>
          <w:szCs w:val="20"/>
          <w:color w:val="auto"/>
        </w:rPr>
      </w:pPr>
      <w:r>
        <w:rPr>
          <w:rFonts w:ascii="Arial" w:cs="Arial" w:eastAsia="Arial" w:hAnsi="Arial"/>
          <w:sz w:val="20"/>
          <w:szCs w:val="20"/>
          <w:color w:val="auto"/>
        </w:rPr>
        <w:t>the accuracy of the company's estimates and projections;</w:t>
      </w:r>
    </w:p>
    <w:p>
      <w:pPr>
        <w:spacing w:after="0" w:line="31" w:lineRule="exact"/>
        <w:rPr>
          <w:rFonts w:ascii="Arial" w:cs="Arial" w:eastAsia="Arial" w:hAnsi="Arial"/>
          <w:sz w:val="20"/>
          <w:szCs w:val="20"/>
          <w:color w:val="auto"/>
        </w:rPr>
      </w:pPr>
    </w:p>
    <w:p>
      <w:pPr>
        <w:ind w:left="460" w:right="640" w:hanging="331"/>
        <w:spacing w:after="0" w:line="225" w:lineRule="auto"/>
        <w:tabs>
          <w:tab w:leader="none" w:pos="425" w:val="left"/>
        </w:tabs>
        <w:numPr>
          <w:ilvl w:val="0"/>
          <w:numId w:val="9"/>
        </w:numPr>
        <w:rPr>
          <w:rFonts w:ascii="Arial" w:cs="Arial" w:eastAsia="Arial" w:hAnsi="Arial"/>
          <w:sz w:val="20"/>
          <w:szCs w:val="20"/>
          <w:color w:val="auto"/>
        </w:rPr>
      </w:pPr>
      <w:r>
        <w:rPr>
          <w:rFonts w:ascii="Arial" w:cs="Arial" w:eastAsia="Arial" w:hAnsi="Arial"/>
          <w:sz w:val="20"/>
          <w:szCs w:val="20"/>
          <w:color w:val="auto"/>
        </w:rPr>
        <w:t>changes in pension plan assumptions and actual returns on pension assets; cash funding requirements and pension annuity contracts and associated charges;</w:t>
      </w:r>
    </w:p>
    <w:p>
      <w:pPr>
        <w:ind w:left="460" w:right="600" w:hanging="331"/>
        <w:spacing w:after="0" w:line="253" w:lineRule="auto"/>
        <w:tabs>
          <w:tab w:leader="none" w:pos="425" w:val="left"/>
        </w:tabs>
        <w:numPr>
          <w:ilvl w:val="0"/>
          <w:numId w:val="9"/>
        </w:numPr>
        <w:rPr>
          <w:rFonts w:ascii="Arial" w:cs="Arial" w:eastAsia="Arial" w:hAnsi="Arial"/>
          <w:sz w:val="20"/>
          <w:szCs w:val="20"/>
          <w:color w:val="auto"/>
        </w:rPr>
      </w:pPr>
      <w:r>
        <w:rPr>
          <w:rFonts w:ascii="Arial" w:cs="Arial" w:eastAsia="Arial" w:hAnsi="Arial"/>
          <w:sz w:val="20"/>
          <w:szCs w:val="20"/>
          <w:color w:val="auto"/>
        </w:rPr>
        <w:t>realizing the anticipated benefits of acquisitions or divestitures, investments, joint ventures, teaming arrangements or internal reorganizations, and market volatility affecting the fair value of investments that are marked to market;</w:t>
      </w:r>
    </w:p>
    <w:p>
      <w:pPr>
        <w:spacing w:after="0" w:line="1" w:lineRule="exact"/>
        <w:rPr>
          <w:rFonts w:ascii="Arial" w:cs="Arial" w:eastAsia="Arial" w:hAnsi="Arial"/>
          <w:sz w:val="20"/>
          <w:szCs w:val="20"/>
          <w:color w:val="auto"/>
        </w:rPr>
      </w:pPr>
    </w:p>
    <w:p>
      <w:pPr>
        <w:ind w:left="460" w:right="560" w:hanging="331"/>
        <w:spacing w:after="0" w:line="246" w:lineRule="auto"/>
        <w:tabs>
          <w:tab w:leader="none" w:pos="425" w:val="left"/>
        </w:tabs>
        <w:numPr>
          <w:ilvl w:val="0"/>
          <w:numId w:val="9"/>
        </w:numPr>
        <w:rPr>
          <w:rFonts w:ascii="Arial" w:cs="Arial" w:eastAsia="Arial" w:hAnsi="Arial"/>
          <w:sz w:val="20"/>
          <w:szCs w:val="20"/>
          <w:color w:val="auto"/>
        </w:rPr>
      </w:pPr>
      <w:r>
        <w:rPr>
          <w:rFonts w:ascii="Arial" w:cs="Arial" w:eastAsia="Arial" w:hAnsi="Arial"/>
          <w:sz w:val="20"/>
          <w:szCs w:val="20"/>
          <w:color w:val="auto"/>
        </w:rPr>
        <w:t>the company's efforts to fund and increase production capabilities and the efficiency of its operations and improve the affordability of its products and services, including through digital transformation and cost reduction initiatives;</w:t>
      </w:r>
    </w:p>
    <w:p>
      <w:pPr>
        <w:spacing w:after="0" w:line="1" w:lineRule="exact"/>
        <w:rPr>
          <w:rFonts w:ascii="Arial" w:cs="Arial" w:eastAsia="Arial" w:hAnsi="Arial"/>
          <w:sz w:val="20"/>
          <w:szCs w:val="20"/>
          <w:color w:val="auto"/>
        </w:rPr>
      </w:pPr>
    </w:p>
    <w:p>
      <w:pPr>
        <w:ind w:left="420" w:hanging="291"/>
        <w:spacing w:after="0"/>
        <w:tabs>
          <w:tab w:leader="none" w:pos="420" w:val="left"/>
        </w:tabs>
        <w:numPr>
          <w:ilvl w:val="0"/>
          <w:numId w:val="9"/>
        </w:numPr>
        <w:rPr>
          <w:rFonts w:ascii="Arial" w:cs="Arial" w:eastAsia="Arial" w:hAnsi="Arial"/>
          <w:sz w:val="20"/>
          <w:szCs w:val="20"/>
          <w:color w:val="auto"/>
        </w:rPr>
      </w:pPr>
      <w:r>
        <w:rPr>
          <w:rFonts w:ascii="Arial" w:cs="Arial" w:eastAsia="Arial" w:hAnsi="Arial"/>
          <w:sz w:val="20"/>
          <w:szCs w:val="20"/>
          <w:color w:val="auto"/>
        </w:rPr>
        <w:t>the risk of an impairment of the company's assets, including the potential impairment of goodwill and intangibles;</w:t>
      </w:r>
    </w:p>
    <w:p>
      <w:pPr>
        <w:ind w:left="420" w:hanging="291"/>
        <w:spacing w:after="0"/>
        <w:tabs>
          <w:tab w:leader="none" w:pos="420" w:val="left"/>
        </w:tabs>
        <w:numPr>
          <w:ilvl w:val="0"/>
          <w:numId w:val="9"/>
        </w:numPr>
        <w:rPr>
          <w:rFonts w:ascii="Arial" w:cs="Arial" w:eastAsia="Arial" w:hAnsi="Arial"/>
          <w:sz w:val="20"/>
          <w:szCs w:val="20"/>
          <w:color w:val="auto"/>
        </w:rPr>
      </w:pPr>
      <w:r>
        <w:rPr>
          <w:rFonts w:ascii="Arial" w:cs="Arial" w:eastAsia="Arial" w:hAnsi="Arial"/>
          <w:sz w:val="20"/>
          <w:szCs w:val="20"/>
          <w:color w:val="auto"/>
        </w:rPr>
        <w:t>the availability and adequacy of the company's insurance and indemnities;</w:t>
      </w:r>
    </w:p>
    <w:p>
      <w:pPr>
        <w:spacing w:after="0" w:line="13" w:lineRule="exact"/>
        <w:rPr>
          <w:rFonts w:ascii="Arial" w:cs="Arial" w:eastAsia="Arial" w:hAnsi="Arial"/>
          <w:sz w:val="20"/>
          <w:szCs w:val="20"/>
          <w:color w:val="auto"/>
        </w:rPr>
      </w:pPr>
    </w:p>
    <w:p>
      <w:pPr>
        <w:ind w:left="420" w:hanging="291"/>
        <w:spacing w:after="0"/>
        <w:tabs>
          <w:tab w:leader="none" w:pos="420" w:val="left"/>
        </w:tabs>
        <w:numPr>
          <w:ilvl w:val="0"/>
          <w:numId w:val="9"/>
        </w:numPr>
        <w:rPr>
          <w:rFonts w:ascii="Arial" w:cs="Arial" w:eastAsia="Arial" w:hAnsi="Arial"/>
          <w:sz w:val="20"/>
          <w:szCs w:val="20"/>
          <w:color w:val="auto"/>
        </w:rPr>
      </w:pPr>
      <w:r>
        <w:rPr>
          <w:rFonts w:ascii="Arial" w:cs="Arial" w:eastAsia="Arial" w:hAnsi="Arial"/>
          <w:sz w:val="20"/>
          <w:szCs w:val="20"/>
          <w:color w:val="auto"/>
        </w:rPr>
        <w:t>compliance with laws, regulations, policies, and customer requirements relating to environmental matters;</w:t>
      </w:r>
    </w:p>
    <w:p>
      <w:pPr>
        <w:spacing w:after="0" w:line="13" w:lineRule="exact"/>
        <w:rPr>
          <w:rFonts w:ascii="Arial" w:cs="Arial" w:eastAsia="Arial" w:hAnsi="Arial"/>
          <w:sz w:val="20"/>
          <w:szCs w:val="20"/>
          <w:color w:val="auto"/>
        </w:rPr>
      </w:pPr>
    </w:p>
    <w:p>
      <w:pPr>
        <w:ind w:left="460" w:right="300" w:hanging="331"/>
        <w:spacing w:after="0" w:line="246" w:lineRule="auto"/>
        <w:tabs>
          <w:tab w:leader="none" w:pos="425" w:val="left"/>
        </w:tabs>
        <w:numPr>
          <w:ilvl w:val="0"/>
          <w:numId w:val="9"/>
        </w:numPr>
        <w:rPr>
          <w:rFonts w:ascii="Arial" w:cs="Arial" w:eastAsia="Arial" w:hAnsi="Arial"/>
          <w:sz w:val="20"/>
          <w:szCs w:val="20"/>
          <w:color w:val="auto"/>
        </w:rPr>
      </w:pPr>
      <w:r>
        <w:rPr>
          <w:rFonts w:ascii="Arial" w:cs="Arial" w:eastAsia="Arial" w:hAnsi="Arial"/>
          <w:sz w:val="20"/>
          <w:szCs w:val="20"/>
          <w:color w:val="auto"/>
        </w:rPr>
        <w:t>the impact of public health crises, natural disasters and other severe weather conditions on the company's business and financial results, including supply chain disruptions and delays, employee absences, and program delays;</w:t>
      </w:r>
    </w:p>
    <w:p>
      <w:pPr>
        <w:spacing w:after="0" w:line="1" w:lineRule="exact"/>
        <w:rPr>
          <w:rFonts w:ascii="Arial" w:cs="Arial" w:eastAsia="Arial" w:hAnsi="Arial"/>
          <w:sz w:val="20"/>
          <w:szCs w:val="20"/>
          <w:color w:val="auto"/>
        </w:rPr>
      </w:pPr>
    </w:p>
    <w:p>
      <w:pPr>
        <w:ind w:left="460" w:right="780" w:hanging="331"/>
        <w:spacing w:after="0" w:line="246" w:lineRule="auto"/>
        <w:tabs>
          <w:tab w:leader="none" w:pos="425" w:val="left"/>
        </w:tabs>
        <w:numPr>
          <w:ilvl w:val="0"/>
          <w:numId w:val="9"/>
        </w:numPr>
        <w:rPr>
          <w:rFonts w:ascii="Arial" w:cs="Arial" w:eastAsia="Arial" w:hAnsi="Arial"/>
          <w:sz w:val="20"/>
          <w:szCs w:val="20"/>
          <w:color w:val="auto"/>
        </w:rPr>
      </w:pPr>
      <w:r>
        <w:rPr>
          <w:rFonts w:ascii="Arial" w:cs="Arial" w:eastAsia="Arial" w:hAnsi="Arial"/>
          <w:sz w:val="20"/>
          <w:szCs w:val="20"/>
          <w:color w:val="auto"/>
        </w:rPr>
        <w:t>changes in accounting, U.S. or foreign tax, export or other laws, regulations, and policies and their interpretation or application, and changes in the amount or reevaluation of uncertain tax positions; and</w:t>
      </w:r>
    </w:p>
    <w:p>
      <w:pPr>
        <w:spacing w:after="0" w:line="1" w:lineRule="exact"/>
        <w:rPr>
          <w:rFonts w:ascii="Arial" w:cs="Arial" w:eastAsia="Arial" w:hAnsi="Arial"/>
          <w:sz w:val="20"/>
          <w:szCs w:val="20"/>
          <w:color w:val="auto"/>
        </w:rPr>
      </w:pPr>
    </w:p>
    <w:p>
      <w:pPr>
        <w:ind w:left="460" w:right="180" w:hanging="331"/>
        <w:spacing w:after="0" w:line="253" w:lineRule="auto"/>
        <w:tabs>
          <w:tab w:leader="none" w:pos="425" w:val="left"/>
        </w:tabs>
        <w:numPr>
          <w:ilvl w:val="0"/>
          <w:numId w:val="9"/>
        </w:numPr>
        <w:rPr>
          <w:rFonts w:ascii="Arial" w:cs="Arial" w:eastAsia="Arial" w:hAnsi="Arial"/>
          <w:sz w:val="20"/>
          <w:szCs w:val="20"/>
          <w:color w:val="auto"/>
        </w:rPr>
      </w:pPr>
      <w:r>
        <w:rPr>
          <w:rFonts w:ascii="Arial" w:cs="Arial" w:eastAsia="Arial" w:hAnsi="Arial"/>
          <w:sz w:val="20"/>
          <w:szCs w:val="20"/>
          <w:color w:val="auto"/>
        </w:rPr>
        <w:t>the outcome of legal proceedings, bid protests, environmental remediation efforts, audits, administrative reviews, government investigations or government allegations that the company has failed to comply with law, other contingencies and U.S. Government identification of deficiencies in its business systems.</w:t>
      </w:r>
    </w:p>
    <w:p>
      <w:pPr>
        <w:spacing w:after="0" w:line="213" w:lineRule="exact"/>
        <w:rPr>
          <w:sz w:val="20"/>
          <w:szCs w:val="20"/>
          <w:color w:val="auto"/>
        </w:rPr>
      </w:pPr>
    </w:p>
    <w:p>
      <w:pPr>
        <w:ind w:right="40"/>
        <w:spacing w:after="0" w:line="251" w:lineRule="auto"/>
        <w:rPr>
          <w:sz w:val="20"/>
          <w:szCs w:val="20"/>
          <w:color w:val="auto"/>
        </w:rPr>
      </w:pPr>
      <w:r>
        <w:rPr>
          <w:rFonts w:ascii="Arial" w:cs="Arial" w:eastAsia="Arial" w:hAnsi="Arial"/>
          <w:sz w:val="20"/>
          <w:szCs w:val="20"/>
          <w:color w:val="auto"/>
        </w:rPr>
        <w:t>These are only some of the factors that may affect the forward-looking statements contained in this news release. For a discussion identifying additional important factors that could cause actual results to differ materially from those anticipated in the forward-looking statements, see the company’s filings with the U.S. Securities and Exchange Commission including, but not limited to, “Management’s Discussion and Analysis of Financial Condition and Results of Operations” and “Risk Factors” in the company’s most recent Annual Report on Form 10-K and subsequent quarterly reports on Form 10-Q. The company’s filings may be accessed through the Investor Relations page of its website, www.lockheedmartin.com/investor, or through the website maintained by the SEC at www.sec.gov.</w:t>
      </w:r>
    </w:p>
    <w:p>
      <w:pPr>
        <w:spacing w:after="0" w:line="220" w:lineRule="exact"/>
        <w:rPr>
          <w:sz w:val="20"/>
          <w:szCs w:val="20"/>
          <w:color w:val="auto"/>
        </w:rPr>
      </w:pPr>
    </w:p>
    <w:p>
      <w:pPr>
        <w:spacing w:after="0" w:line="251" w:lineRule="auto"/>
        <w:rPr>
          <w:sz w:val="20"/>
          <w:szCs w:val="20"/>
          <w:color w:val="auto"/>
        </w:rPr>
      </w:pPr>
      <w:r>
        <w:rPr>
          <w:rFonts w:ascii="Arial" w:cs="Arial" w:eastAsia="Arial" w:hAnsi="Arial"/>
          <w:sz w:val="20"/>
          <w:szCs w:val="20"/>
          <w:color w:val="auto"/>
        </w:rPr>
        <w:t>The company’s actual financial results likely will be different from those projected due to the inherent nature of projections. Given these uncertainties, forward-looking statements should not be relied on in making investment decisions. The forward-looking statements contained in this news release speak only as of the date of its issuance. Except where required by applicable law, the company expressly disclaims a duty to provide updates to forward-looking statements after the date of this news release to reflect subsequent events, changed circumstances, changes in expectations, or the estimates and assumptions associated with them. The forward-looking statements in this news release are intended to be subject to the safe harbor protection provided by the federal securities laws.</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320" w:top="928" w:right="359" w:bottom="1440" w:gutter="0" w:footer="0" w:header="0"/>
        </w:sectPr>
      </w:pPr>
    </w:p>
    <w:bookmarkStart w:id="15" w:name="page16"/>
    <w:bookmarkEnd w:id="15"/>
    <w:p>
      <w:pPr>
        <w:spacing w:after="0"/>
        <w:rPr>
          <w:sz w:val="20"/>
          <w:szCs w:val="20"/>
          <w:color w:val="auto"/>
        </w:rPr>
      </w:pPr>
      <w:r>
        <w:rPr>
          <w:rFonts w:ascii="Arial" w:cs="Arial" w:eastAsia="Arial" w:hAnsi="Arial"/>
          <w:sz w:val="20"/>
          <w:szCs w:val="20"/>
          <w:b w:val="1"/>
          <w:bCs w:val="1"/>
          <w:color w:val="auto"/>
        </w:rPr>
        <w:t>Lockheed Martin Corporation</w:t>
      </w:r>
    </w:p>
    <w:p>
      <w:pPr>
        <w:spacing w:after="0" w:line="219" w:lineRule="auto"/>
        <w:rPr>
          <w:sz w:val="20"/>
          <w:szCs w:val="20"/>
          <w:color w:val="auto"/>
        </w:rPr>
      </w:pPr>
      <w:r>
        <w:rPr>
          <w:rFonts w:ascii="Arial" w:cs="Arial" w:eastAsia="Arial" w:hAnsi="Arial"/>
          <w:sz w:val="20"/>
          <w:szCs w:val="20"/>
          <w:b w:val="1"/>
          <w:bCs w:val="1"/>
          <w:color w:val="auto"/>
        </w:rPr>
        <w:t>Consolidated Statements of Earnings</w:t>
      </w:r>
      <w:r>
        <w:rPr>
          <w:rFonts w:ascii="Arial" w:cs="Arial" w:eastAsia="Arial" w:hAnsi="Arial"/>
          <w:sz w:val="25"/>
          <w:szCs w:val="25"/>
          <w:b w:val="1"/>
          <w:bCs w:val="1"/>
          <w:color w:val="auto"/>
          <w:vertAlign w:val="superscript"/>
        </w:rPr>
        <w:t>1</w:t>
      </w:r>
    </w:p>
    <w:p>
      <w:pPr>
        <w:spacing w:after="0"/>
        <w:rPr>
          <w:sz w:val="20"/>
          <w:szCs w:val="20"/>
          <w:color w:val="auto"/>
        </w:rPr>
      </w:pPr>
      <w:r>
        <w:rPr>
          <w:rFonts w:ascii="Arial" w:cs="Arial" w:eastAsia="Arial" w:hAnsi="Arial"/>
          <w:sz w:val="20"/>
          <w:szCs w:val="20"/>
          <w:b w:val="1"/>
          <w:bCs w:val="1"/>
          <w:color w:val="auto"/>
        </w:rPr>
        <w:t>(unaudited; in millions, except per share data)</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7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4"/>
          </w:tcPr>
          <w:p>
            <w:pPr>
              <w:jc w:val="right"/>
              <w:ind w:right="970"/>
              <w:spacing w:after="0"/>
              <w:rPr>
                <w:sz w:val="20"/>
                <w:szCs w:val="20"/>
                <w:color w:val="auto"/>
              </w:rPr>
            </w:pPr>
            <w:r>
              <w:rPr>
                <w:rFonts w:ascii="Arial" w:cs="Arial" w:eastAsia="Arial" w:hAnsi="Arial"/>
                <w:sz w:val="18"/>
                <w:szCs w:val="18"/>
                <w:b w:val="1"/>
                <w:bCs w:val="1"/>
                <w:color w:val="auto"/>
              </w:rPr>
              <w:t>Quarters Ended</w:t>
            </w:r>
          </w:p>
        </w:tc>
        <w:tc>
          <w:tcPr>
            <w:tcW w:w="0" w:type="dxa"/>
            <w:vAlign w:val="bottom"/>
          </w:tcPr>
          <w:p>
            <w:pPr>
              <w:spacing w:after="0"/>
              <w:rPr>
                <w:sz w:val="1"/>
                <w:szCs w:val="1"/>
                <w:color w:val="auto"/>
              </w:rPr>
            </w:pPr>
          </w:p>
        </w:tc>
      </w:tr>
      <w:tr>
        <w:trPr>
          <w:trHeight w:val="169"/>
        </w:trPr>
        <w:tc>
          <w:tcPr>
            <w:tcW w:w="7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gridSpan w:val="2"/>
          </w:tcPr>
          <w:p>
            <w:pPr>
              <w:ind w:left="140"/>
              <w:spacing w:after="0" w:line="169" w:lineRule="exact"/>
              <w:rPr>
                <w:sz w:val="20"/>
                <w:szCs w:val="20"/>
                <w:color w:val="auto"/>
              </w:rPr>
            </w:pPr>
            <w:r>
              <w:rPr>
                <w:rFonts w:ascii="Arial" w:cs="Arial" w:eastAsia="Arial" w:hAnsi="Arial"/>
                <w:sz w:val="18"/>
                <w:szCs w:val="18"/>
                <w:b w:val="1"/>
                <w:bCs w:val="1"/>
                <w:color w:val="auto"/>
              </w:rPr>
              <w:t>March 29,</w:t>
            </w:r>
          </w:p>
        </w:tc>
        <w:tc>
          <w:tcPr>
            <w:tcW w:w="260" w:type="dxa"/>
            <w:vAlign w:val="bottom"/>
          </w:tcPr>
          <w:p>
            <w:pPr>
              <w:spacing w:after="0"/>
              <w:rPr>
                <w:sz w:val="14"/>
                <w:szCs w:val="14"/>
                <w:color w:val="auto"/>
              </w:rPr>
            </w:pPr>
          </w:p>
        </w:tc>
        <w:tc>
          <w:tcPr>
            <w:tcW w:w="1420" w:type="dxa"/>
            <w:vAlign w:val="bottom"/>
          </w:tcPr>
          <w:p>
            <w:pPr>
              <w:jc w:val="right"/>
              <w:ind w:right="330"/>
              <w:spacing w:after="0" w:line="169" w:lineRule="exact"/>
              <w:rPr>
                <w:sz w:val="20"/>
                <w:szCs w:val="20"/>
                <w:color w:val="auto"/>
              </w:rPr>
            </w:pPr>
            <w:r>
              <w:rPr>
                <w:rFonts w:ascii="Arial" w:cs="Arial" w:eastAsia="Arial" w:hAnsi="Arial"/>
                <w:sz w:val="18"/>
                <w:szCs w:val="18"/>
                <w:b w:val="1"/>
                <w:bCs w:val="1"/>
                <w:color w:val="auto"/>
              </w:rPr>
              <w:t>March 30,</w:t>
            </w:r>
          </w:p>
        </w:tc>
        <w:tc>
          <w:tcPr>
            <w:tcW w:w="0" w:type="dxa"/>
            <w:vAlign w:val="bottom"/>
          </w:tcPr>
          <w:p>
            <w:pPr>
              <w:spacing w:after="0"/>
              <w:rPr>
                <w:sz w:val="1"/>
                <w:szCs w:val="1"/>
                <w:color w:val="auto"/>
              </w:rPr>
            </w:pPr>
          </w:p>
        </w:tc>
      </w:tr>
      <w:tr>
        <w:trPr>
          <w:trHeight w:val="243"/>
        </w:trPr>
        <w:tc>
          <w:tcPr>
            <w:tcW w:w="776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2026</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223"/>
        </w:trPr>
        <w:tc>
          <w:tcPr>
            <w:tcW w:w="776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Sales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4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18,021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17,963</w:t>
            </w:r>
          </w:p>
        </w:tc>
        <w:tc>
          <w:tcPr>
            <w:tcW w:w="0" w:type="dxa"/>
            <w:vAlign w:val="bottom"/>
          </w:tcPr>
          <w:p>
            <w:pPr>
              <w:spacing w:after="0"/>
              <w:rPr>
                <w:sz w:val="1"/>
                <w:szCs w:val="1"/>
                <w:color w:val="auto"/>
              </w:rPr>
            </w:pPr>
          </w:p>
        </w:tc>
      </w:tr>
      <w:tr>
        <w:trPr>
          <w:trHeight w:val="229"/>
        </w:trPr>
        <w:tc>
          <w:tcPr>
            <w:tcW w:w="77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Operating costs and expenses</w:t>
            </w: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(15,943)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(15,640)</w:t>
            </w:r>
          </w:p>
        </w:tc>
        <w:tc>
          <w:tcPr>
            <w:tcW w:w="0" w:type="dxa"/>
            <w:vAlign w:val="bottom"/>
          </w:tcPr>
          <w:p>
            <w:pPr>
              <w:spacing w:after="0"/>
              <w:rPr>
                <w:sz w:val="1"/>
                <w:szCs w:val="1"/>
                <w:color w:val="auto"/>
              </w:rPr>
            </w:pPr>
          </w:p>
        </w:tc>
      </w:tr>
      <w:tr>
        <w:trPr>
          <w:trHeight w:val="223"/>
        </w:trPr>
        <w:tc>
          <w:tcPr>
            <w:tcW w:w="7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2,078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2,323</w:t>
            </w:r>
          </w:p>
        </w:tc>
        <w:tc>
          <w:tcPr>
            <w:tcW w:w="0" w:type="dxa"/>
            <w:vAlign w:val="bottom"/>
          </w:tcPr>
          <w:p>
            <w:pPr>
              <w:spacing w:after="0"/>
              <w:rPr>
                <w:sz w:val="1"/>
                <w:szCs w:val="1"/>
                <w:color w:val="auto"/>
              </w:rPr>
            </w:pPr>
          </w:p>
        </w:tc>
      </w:tr>
      <w:tr>
        <w:trPr>
          <w:trHeight w:val="229"/>
        </w:trPr>
        <w:tc>
          <w:tcPr>
            <w:tcW w:w="77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(expense) income, net</w:t>
            </w: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3"/>
        </w:trPr>
        <w:tc>
          <w:tcPr>
            <w:tcW w:w="776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Operating profit</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2,063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2,372</w:t>
            </w:r>
          </w:p>
        </w:tc>
        <w:tc>
          <w:tcPr>
            <w:tcW w:w="0" w:type="dxa"/>
            <w:vAlign w:val="bottom"/>
          </w:tcPr>
          <w:p>
            <w:pPr>
              <w:spacing w:after="0"/>
              <w:rPr>
                <w:sz w:val="1"/>
                <w:szCs w:val="1"/>
                <w:color w:val="auto"/>
              </w:rPr>
            </w:pPr>
          </w:p>
        </w:tc>
      </w:tr>
      <w:tr>
        <w:trPr>
          <w:trHeight w:val="229"/>
        </w:trPr>
        <w:tc>
          <w:tcPr>
            <w:tcW w:w="776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1400" w:type="dxa"/>
            <w:vAlign w:val="bottom"/>
          </w:tcPr>
          <w:p>
            <w:pPr>
              <w:jc w:val="right"/>
              <w:ind w:right="90"/>
              <w:spacing w:after="0"/>
              <w:rPr>
                <w:sz w:val="20"/>
                <w:szCs w:val="20"/>
                <w:color w:val="auto"/>
              </w:rPr>
            </w:pPr>
            <w:r>
              <w:rPr>
                <w:rFonts w:ascii="Arial" w:cs="Arial" w:eastAsia="Arial" w:hAnsi="Arial"/>
                <w:sz w:val="18"/>
                <w:szCs w:val="18"/>
                <w:b w:val="1"/>
                <w:bCs w:val="1"/>
                <w:color w:val="auto"/>
              </w:rPr>
              <w:t>(269)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Non-service FAS pension expense</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(80)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9"/>
        </w:trPr>
        <w:tc>
          <w:tcPr>
            <w:tcW w:w="77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non-operating income, net</w:t>
            </w: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60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7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Earnings before income taxes</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1,774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2,036</w:t>
            </w:r>
          </w:p>
        </w:tc>
        <w:tc>
          <w:tcPr>
            <w:tcW w:w="0" w:type="dxa"/>
            <w:vAlign w:val="bottom"/>
          </w:tcPr>
          <w:p>
            <w:pPr>
              <w:spacing w:after="0"/>
              <w:rPr>
                <w:sz w:val="1"/>
                <w:szCs w:val="1"/>
                <w:color w:val="auto"/>
              </w:rPr>
            </w:pPr>
          </w:p>
        </w:tc>
      </w:tr>
      <w:tr>
        <w:trPr>
          <w:trHeight w:val="229"/>
        </w:trPr>
        <w:tc>
          <w:tcPr>
            <w:tcW w:w="77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(286)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48"/>
        </w:trPr>
        <w:tc>
          <w:tcPr>
            <w:tcW w:w="77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Net earnings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1,488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1,712</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760" w:type="dxa"/>
            <w:vAlign w:val="bottom"/>
          </w:tcPr>
          <w:p>
            <w:pPr>
              <w:ind w:left="360"/>
              <w:spacing w:after="0" w:line="203" w:lineRule="exact"/>
              <w:rPr>
                <w:sz w:val="20"/>
                <w:szCs w:val="20"/>
                <w:color w:val="auto"/>
              </w:rPr>
            </w:pPr>
            <w:r>
              <w:rPr>
                <w:rFonts w:ascii="Arial" w:cs="Arial" w:eastAsia="Arial" w:hAnsi="Arial"/>
                <w:sz w:val="18"/>
                <w:szCs w:val="18"/>
                <w:color w:val="auto"/>
              </w:rPr>
              <w:t>Effective tax rate</w:t>
            </w: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16.1%</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
        </w:trPr>
        <w:tc>
          <w:tcPr>
            <w:tcW w:w="77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77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40"/>
              <w:spacing w:after="0"/>
              <w:rPr>
                <w:sz w:val="20"/>
                <w:szCs w:val="20"/>
                <w:color w:val="auto"/>
              </w:rPr>
            </w:pPr>
            <w:r>
              <w:rPr>
                <w:rFonts w:ascii="Arial" w:cs="Arial" w:eastAsia="Arial" w:hAnsi="Arial"/>
                <w:sz w:val="18"/>
                <w:szCs w:val="18"/>
                <w:b w:val="1"/>
                <w:bCs w:val="1"/>
                <w:color w:val="auto"/>
              </w:rPr>
              <w:t>Earnings per common share</w:t>
            </w: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4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6.47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29"/>
        </w:trPr>
        <w:tc>
          <w:tcPr>
            <w:tcW w:w="7760" w:type="dxa"/>
            <w:vAlign w:val="bottom"/>
          </w:tcPr>
          <w:p>
            <w:pPr>
              <w:ind w:left="36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Pr>
          <w:p>
            <w:pPr>
              <w:jc w:val="right"/>
              <w:ind w:right="150"/>
              <w:spacing w:after="0"/>
              <w:rPr>
                <w:sz w:val="20"/>
                <w:szCs w:val="20"/>
                <w:color w:val="auto"/>
              </w:rPr>
            </w:pPr>
            <w:r>
              <w:rPr>
                <w:rFonts w:ascii="Arial" w:cs="Arial" w:eastAsia="Arial" w:hAnsi="Arial"/>
                <w:sz w:val="18"/>
                <w:szCs w:val="18"/>
                <w:b w:val="1"/>
                <w:bCs w:val="1"/>
                <w:color w:val="auto"/>
              </w:rPr>
              <w:t>6.44</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149"/>
        </w:trPr>
        <w:tc>
          <w:tcPr>
            <w:tcW w:w="77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40"/>
              <w:spacing w:after="0"/>
              <w:rPr>
                <w:sz w:val="20"/>
                <w:szCs w:val="20"/>
                <w:color w:val="auto"/>
              </w:rPr>
            </w:pPr>
            <w:r>
              <w:rPr>
                <w:rFonts w:ascii="Arial" w:cs="Arial" w:eastAsia="Arial" w:hAnsi="Arial"/>
                <w:sz w:val="18"/>
                <w:szCs w:val="18"/>
                <w:b w:val="1"/>
                <w:bCs w:val="1"/>
                <w:color w:val="auto"/>
              </w:rPr>
              <w:t>Weighted average shares outstanding</w:t>
            </w: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229.9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234.4</w:t>
            </w:r>
          </w:p>
        </w:tc>
        <w:tc>
          <w:tcPr>
            <w:tcW w:w="0" w:type="dxa"/>
            <w:vAlign w:val="bottom"/>
          </w:tcPr>
          <w:p>
            <w:pPr>
              <w:spacing w:after="0"/>
              <w:rPr>
                <w:sz w:val="1"/>
                <w:szCs w:val="1"/>
                <w:color w:val="auto"/>
              </w:rPr>
            </w:pPr>
          </w:p>
        </w:tc>
      </w:tr>
      <w:tr>
        <w:trPr>
          <w:trHeight w:val="229"/>
        </w:trPr>
        <w:tc>
          <w:tcPr>
            <w:tcW w:w="7760" w:type="dxa"/>
            <w:vAlign w:val="bottom"/>
          </w:tcPr>
          <w:p>
            <w:pPr>
              <w:ind w:left="36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19"/>
                <w:szCs w:val="19"/>
                <w:color w:val="auto"/>
              </w:rPr>
            </w:pPr>
          </w:p>
        </w:tc>
        <w:tc>
          <w:tcPr>
            <w:tcW w:w="1400" w:type="dxa"/>
            <w:vAlign w:val="bottom"/>
          </w:tcPr>
          <w:p>
            <w:pPr>
              <w:jc w:val="right"/>
              <w:ind w:right="150"/>
              <w:spacing w:after="0"/>
              <w:rPr>
                <w:sz w:val="20"/>
                <w:szCs w:val="20"/>
                <w:color w:val="auto"/>
              </w:rPr>
            </w:pPr>
            <w:r>
              <w:rPr>
                <w:rFonts w:ascii="Arial" w:cs="Arial" w:eastAsia="Arial" w:hAnsi="Arial"/>
                <w:sz w:val="18"/>
                <w:szCs w:val="18"/>
                <w:b w:val="1"/>
                <w:bCs w:val="1"/>
                <w:color w:val="auto"/>
              </w:rPr>
              <w:t>231.1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235.3</w:t>
            </w:r>
          </w:p>
        </w:tc>
        <w:tc>
          <w:tcPr>
            <w:tcW w:w="0" w:type="dxa"/>
            <w:vAlign w:val="bottom"/>
          </w:tcPr>
          <w:p>
            <w:pPr>
              <w:spacing w:after="0"/>
              <w:rPr>
                <w:sz w:val="1"/>
                <w:szCs w:val="1"/>
                <w:color w:val="auto"/>
              </w:rPr>
            </w:pPr>
          </w:p>
        </w:tc>
      </w:tr>
      <w:tr>
        <w:trPr>
          <w:trHeight w:val="149"/>
        </w:trPr>
        <w:tc>
          <w:tcPr>
            <w:tcW w:w="77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760" w:type="dxa"/>
            <w:vAlign w:val="bottom"/>
          </w:tcPr>
          <w:p>
            <w:pPr>
              <w:ind w:left="240"/>
              <w:spacing w:after="0" w:line="176" w:lineRule="exact"/>
              <w:rPr>
                <w:sz w:val="20"/>
                <w:szCs w:val="20"/>
                <w:color w:val="auto"/>
              </w:rPr>
            </w:pPr>
            <w:r>
              <w:rPr>
                <w:rFonts w:ascii="Arial" w:cs="Arial" w:eastAsia="Arial" w:hAnsi="Arial"/>
                <w:sz w:val="18"/>
                <w:szCs w:val="18"/>
                <w:color w:val="auto"/>
              </w:rPr>
              <w:t>Common shares reported in stockholders’</w:t>
            </w:r>
          </w:p>
        </w:tc>
        <w:tc>
          <w:tcPr>
            <w:tcW w:w="280" w:type="dxa"/>
            <w:vAlign w:val="bottom"/>
          </w:tcPr>
          <w:p>
            <w:pPr>
              <w:spacing w:after="0"/>
              <w:rPr>
                <w:sz w:val="15"/>
                <w:szCs w:val="15"/>
                <w:color w:val="auto"/>
              </w:rPr>
            </w:pPr>
          </w:p>
        </w:tc>
        <w:tc>
          <w:tcPr>
            <w:tcW w:w="140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230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vMerge w:val="restart"/>
          </w:tcPr>
          <w:p>
            <w:pPr>
              <w:jc w:val="right"/>
              <w:ind w:right="15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55"/>
        </w:trPr>
        <w:tc>
          <w:tcPr>
            <w:tcW w:w="7760" w:type="dxa"/>
            <w:vAlign w:val="bottom"/>
          </w:tcPr>
          <w:p>
            <w:pPr>
              <w:ind w:left="340"/>
              <w:spacing w:after="0"/>
              <w:rPr>
                <w:sz w:val="20"/>
                <w:szCs w:val="20"/>
                <w:color w:val="auto"/>
              </w:rPr>
            </w:pPr>
            <w:r>
              <w:rPr>
                <w:rFonts w:ascii="Arial" w:cs="Arial" w:eastAsia="Arial" w:hAnsi="Arial"/>
                <w:sz w:val="18"/>
                <w:szCs w:val="18"/>
                <w:color w:val="auto"/>
              </w:rPr>
              <w:t>equity at end of period</w:t>
            </w:r>
          </w:p>
        </w:tc>
        <w:tc>
          <w:tcPr>
            <w:tcW w:w="280" w:type="dxa"/>
            <w:vAlign w:val="bottom"/>
          </w:tcPr>
          <w:p>
            <w:pPr>
              <w:spacing w:after="0"/>
              <w:rPr>
                <w:sz w:val="22"/>
                <w:szCs w:val="22"/>
                <w:color w:val="auto"/>
              </w:rPr>
            </w:pPr>
          </w:p>
        </w:tc>
        <w:tc>
          <w:tcPr>
            <w:tcW w:w="140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240" w:right="200" w:hanging="214"/>
        <w:spacing w:after="0" w:line="214" w:lineRule="auto"/>
        <w:tabs>
          <w:tab w:leader="none" w:pos="240" w:val="left"/>
        </w:tabs>
        <w:numPr>
          <w:ilvl w:val="0"/>
          <w:numId w:val="10"/>
        </w:numPr>
        <w:rPr>
          <w:rFonts w:ascii="Arial" w:cs="Arial" w:eastAsia="Arial" w:hAnsi="Arial"/>
          <w:sz w:val="22"/>
          <w:szCs w:val="22"/>
          <w:color w:val="auto"/>
          <w:vertAlign w:val="superscript"/>
        </w:rPr>
      </w:pPr>
      <w:r>
        <w:rPr>
          <w:rFonts w:ascii="Arial" w:cs="Arial" w:eastAsia="Arial" w:hAnsi="Arial"/>
          <w:sz w:val="14"/>
          <w:szCs w:val="14"/>
          <w:color w:val="auto"/>
        </w:rPr>
        <w:t>The company closes its books and records on the last Sunday of the calendar quarter to align its financial closing with its business processes, which was on March 29, for the first quarter of 2026 and March 30, for the first quarter of 2025. The consolidated financial statements and tables of financial information included herein are labeled based on that convention. This practice only affects interim periods, as the company's fiscal year ends on Dec. 31.</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845" w:right="339" w:bottom="1440" w:gutter="0" w:footer="0" w:header="0"/>
        </w:sectPr>
      </w:pPr>
    </w:p>
    <w:bookmarkStart w:id="16" w:name="page17"/>
    <w:bookmarkEnd w:id="16"/>
    <w:p>
      <w:pPr>
        <w:spacing w:after="0"/>
        <w:rPr>
          <w:sz w:val="20"/>
          <w:szCs w:val="20"/>
          <w:color w:val="auto"/>
        </w:rPr>
      </w:pPr>
      <w:r>
        <w:rPr>
          <w:rFonts w:ascii="Arial" w:cs="Arial" w:eastAsia="Arial" w:hAnsi="Arial"/>
          <w:sz w:val="20"/>
          <w:szCs w:val="20"/>
          <w:b w:val="1"/>
          <w:bCs w:val="1"/>
          <w:color w:val="auto"/>
        </w:rPr>
        <w:t>Lockheed Martin Corporation</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Segment Summary Operating Results</w:t>
      </w:r>
    </w:p>
    <w:p>
      <w:pPr>
        <w:spacing w:after="0"/>
        <w:rPr>
          <w:sz w:val="20"/>
          <w:szCs w:val="20"/>
          <w:color w:val="auto"/>
        </w:rPr>
      </w:pPr>
      <w:r>
        <w:rPr>
          <w:rFonts w:ascii="Arial" w:cs="Arial" w:eastAsia="Arial" w:hAnsi="Arial"/>
          <w:sz w:val="20"/>
          <w:szCs w:val="20"/>
          <w:b w:val="1"/>
          <w:bCs w:val="1"/>
          <w:color w:val="auto"/>
        </w:rPr>
        <w:t>(unaudited; in millions)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4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b w:val="1"/>
                <w:bCs w:val="1"/>
                <w:color w:val="auto"/>
              </w:rPr>
              <w:t>Quarters Ended</w:t>
            </w:r>
          </w:p>
        </w:tc>
        <w:tc>
          <w:tcPr>
            <w:tcW w:w="980" w:type="dxa"/>
            <w:vAlign w:val="bottom"/>
            <w:gridSpan w:val="2"/>
            <w:vMerge w:val="restart"/>
          </w:tcPr>
          <w:p>
            <w:pPr>
              <w:jc w:val="center"/>
              <w:ind w:left="10"/>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169"/>
        </w:trPr>
        <w:tc>
          <w:tcPr>
            <w:tcW w:w="7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ind w:left="60"/>
              <w:spacing w:after="0" w:line="169" w:lineRule="exact"/>
              <w:rPr>
                <w:sz w:val="20"/>
                <w:szCs w:val="20"/>
                <w:color w:val="auto"/>
              </w:rPr>
            </w:pPr>
            <w:r>
              <w:rPr>
                <w:rFonts w:ascii="Arial" w:cs="Arial" w:eastAsia="Arial" w:hAnsi="Arial"/>
                <w:sz w:val="18"/>
                <w:szCs w:val="18"/>
                <w:b w:val="1"/>
                <w:bCs w:val="1"/>
                <w:color w:val="auto"/>
              </w:rPr>
              <w:t>March 29,</w:t>
            </w:r>
          </w:p>
        </w:tc>
        <w:tc>
          <w:tcPr>
            <w:tcW w:w="180" w:type="dxa"/>
            <w:vAlign w:val="bottom"/>
          </w:tcPr>
          <w:p>
            <w:pPr>
              <w:spacing w:after="0"/>
              <w:rPr>
                <w:sz w:val="14"/>
                <w:szCs w:val="14"/>
                <w:color w:val="auto"/>
              </w:rPr>
            </w:pPr>
          </w:p>
        </w:tc>
        <w:tc>
          <w:tcPr>
            <w:tcW w:w="1160" w:type="dxa"/>
            <w:vAlign w:val="bottom"/>
          </w:tcPr>
          <w:p>
            <w:pPr>
              <w:jc w:val="right"/>
              <w:ind w:right="170"/>
              <w:spacing w:after="0" w:line="169" w:lineRule="exact"/>
              <w:rPr>
                <w:sz w:val="20"/>
                <w:szCs w:val="20"/>
                <w:color w:val="auto"/>
              </w:rPr>
            </w:pPr>
            <w:r>
              <w:rPr>
                <w:rFonts w:ascii="Arial" w:cs="Arial" w:eastAsia="Arial" w:hAnsi="Arial"/>
                <w:sz w:val="18"/>
                <w:szCs w:val="18"/>
                <w:b w:val="1"/>
                <w:bCs w:val="1"/>
                <w:color w:val="auto"/>
              </w:rPr>
              <w:t>March 30,</w:t>
            </w: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74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2026</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2025</w:t>
            </w:r>
          </w:p>
        </w:tc>
        <w:tc>
          <w:tcPr>
            <w:tcW w:w="8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74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Sales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tcPr>
          <w:p>
            <w:pPr>
              <w:ind w:left="300"/>
              <w:spacing w:after="0"/>
              <w:rPr>
                <w:sz w:val="20"/>
                <w:szCs w:val="20"/>
                <w:color w:val="auto"/>
              </w:rPr>
            </w:pPr>
            <w:r>
              <w:rPr>
                <w:rFonts w:ascii="Arial" w:cs="Arial" w:eastAsia="Arial" w:hAnsi="Arial"/>
                <w:sz w:val="18"/>
                <w:szCs w:val="18"/>
                <w:color w:val="auto"/>
              </w:rPr>
              <w:t>Aeronautics</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ind w:right="150"/>
              <w:spacing w:after="0"/>
              <w:rPr>
                <w:sz w:val="20"/>
                <w:szCs w:val="20"/>
                <w:color w:val="auto"/>
              </w:rPr>
            </w:pPr>
            <w:r>
              <w:rPr>
                <w:rFonts w:ascii="Arial" w:cs="Arial" w:eastAsia="Arial" w:hAnsi="Arial"/>
                <w:sz w:val="18"/>
                <w:szCs w:val="18"/>
                <w:b w:val="1"/>
                <w:bCs w:val="1"/>
                <w:color w:val="auto"/>
              </w:rPr>
              <w:t>6,953</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7,057</w:t>
            </w: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Missiles and Fire Control</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3,649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3,373</w:t>
            </w:r>
          </w:p>
        </w:tc>
        <w:tc>
          <w:tcPr>
            <w:tcW w:w="9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29"/>
        </w:trPr>
        <w:tc>
          <w:tcPr>
            <w:tcW w:w="7480" w:type="dxa"/>
            <w:vAlign w:val="bottom"/>
          </w:tcPr>
          <w:p>
            <w:pPr>
              <w:ind w:left="300"/>
              <w:spacing w:after="0"/>
              <w:rPr>
                <w:sz w:val="20"/>
                <w:szCs w:val="20"/>
                <w:color w:val="auto"/>
              </w:rPr>
            </w:pPr>
            <w:r>
              <w:rPr>
                <w:rFonts w:ascii="Arial" w:cs="Arial" w:eastAsia="Arial" w:hAnsi="Arial"/>
                <w:sz w:val="18"/>
                <w:szCs w:val="18"/>
                <w:color w:val="auto"/>
              </w:rPr>
              <w:t>Rotary and Mission Systems</w:t>
            </w:r>
          </w:p>
        </w:tc>
        <w:tc>
          <w:tcPr>
            <w:tcW w:w="200" w:type="dxa"/>
            <w:vAlign w:val="bottom"/>
          </w:tcPr>
          <w:p>
            <w:pPr>
              <w:spacing w:after="0"/>
              <w:rPr>
                <w:sz w:val="19"/>
                <w:szCs w:val="19"/>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b w:val="1"/>
                <w:bCs w:val="1"/>
                <w:color w:val="auto"/>
              </w:rPr>
              <w:t>3,991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4,328</w:t>
            </w: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29"/>
        </w:trPr>
        <w:tc>
          <w:tcPr>
            <w:tcW w:w="74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Space</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3,428</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3,205</w:t>
            </w:r>
          </w:p>
        </w:tc>
        <w:tc>
          <w:tcPr>
            <w:tcW w:w="9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23"/>
        </w:trPr>
        <w:tc>
          <w:tcPr>
            <w:tcW w:w="7480" w:type="dxa"/>
            <w:vAlign w:val="bottom"/>
          </w:tcPr>
          <w:p>
            <w:pPr>
              <w:ind w:left="400"/>
              <w:spacing w:after="0"/>
              <w:rPr>
                <w:sz w:val="20"/>
                <w:szCs w:val="20"/>
                <w:color w:val="auto"/>
              </w:rPr>
            </w:pPr>
            <w:r>
              <w:rPr>
                <w:rFonts w:ascii="Arial" w:cs="Arial" w:eastAsia="Arial" w:hAnsi="Arial"/>
                <w:sz w:val="18"/>
                <w:szCs w:val="18"/>
                <w:b w:val="1"/>
                <w:bCs w:val="1"/>
                <w:color w:val="auto"/>
              </w:rPr>
              <w:t>Total sales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18,021</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17,963</w:t>
            </w:r>
          </w:p>
        </w:tc>
        <w:tc>
          <w:tcPr>
            <w:tcW w:w="8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4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80" w:type="dxa"/>
            <w:vAlign w:val="bottom"/>
          </w:tcPr>
          <w:p>
            <w:pPr>
              <w:ind w:left="180"/>
              <w:spacing w:after="0"/>
              <w:rPr>
                <w:sz w:val="20"/>
                <w:szCs w:val="20"/>
                <w:color w:val="auto"/>
              </w:rPr>
            </w:pPr>
            <w:r>
              <w:rPr>
                <w:rFonts w:ascii="Arial" w:cs="Arial" w:eastAsia="Arial" w:hAnsi="Arial"/>
                <w:sz w:val="18"/>
                <w:szCs w:val="18"/>
                <w:b w:val="1"/>
                <w:bCs w:val="1"/>
                <w:color w:val="auto"/>
              </w:rPr>
              <w:t>Operating profit</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Aeronautics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619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720</w:t>
            </w:r>
          </w:p>
        </w:tc>
        <w:tc>
          <w:tcPr>
            <w:tcW w:w="9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(14%)</w:t>
            </w:r>
          </w:p>
        </w:tc>
        <w:tc>
          <w:tcPr>
            <w:tcW w:w="0" w:type="dxa"/>
            <w:vAlign w:val="bottom"/>
          </w:tcPr>
          <w:p>
            <w:pPr>
              <w:spacing w:after="0"/>
              <w:rPr>
                <w:sz w:val="1"/>
                <w:szCs w:val="1"/>
                <w:color w:val="auto"/>
              </w:rPr>
            </w:pPr>
          </w:p>
        </w:tc>
      </w:tr>
      <w:tr>
        <w:trPr>
          <w:trHeight w:val="230"/>
        </w:trPr>
        <w:tc>
          <w:tcPr>
            <w:tcW w:w="7480" w:type="dxa"/>
            <w:vAlign w:val="bottom"/>
          </w:tcPr>
          <w:p>
            <w:pPr>
              <w:ind w:left="300"/>
              <w:spacing w:after="0"/>
              <w:rPr>
                <w:sz w:val="20"/>
                <w:szCs w:val="20"/>
                <w:color w:val="auto"/>
              </w:rPr>
            </w:pPr>
            <w:r>
              <w:rPr>
                <w:rFonts w:ascii="Arial" w:cs="Arial" w:eastAsia="Arial" w:hAnsi="Arial"/>
                <w:sz w:val="18"/>
                <w:szCs w:val="18"/>
                <w:color w:val="auto"/>
              </w:rPr>
              <w:t>Missiles and Fire Control</w:t>
            </w:r>
          </w:p>
        </w:tc>
        <w:tc>
          <w:tcPr>
            <w:tcW w:w="200" w:type="dxa"/>
            <w:vAlign w:val="bottom"/>
          </w:tcPr>
          <w:p>
            <w:pPr>
              <w:spacing w:after="0"/>
              <w:rPr>
                <w:sz w:val="19"/>
                <w:szCs w:val="19"/>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b w:val="1"/>
                <w:bCs w:val="1"/>
                <w:color w:val="auto"/>
              </w:rPr>
              <w:t>500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465</w:t>
            </w: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29"/>
        </w:trPr>
        <w:tc>
          <w:tcPr>
            <w:tcW w:w="74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Rotary and Mission Systems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423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521</w:t>
            </w:r>
          </w:p>
        </w:tc>
        <w:tc>
          <w:tcPr>
            <w:tcW w:w="9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(19%)</w:t>
            </w:r>
          </w:p>
        </w:tc>
        <w:tc>
          <w:tcPr>
            <w:tcW w:w="0" w:type="dxa"/>
            <w:vAlign w:val="bottom"/>
          </w:tcPr>
          <w:p>
            <w:pPr>
              <w:spacing w:after="0"/>
              <w:rPr>
                <w:sz w:val="1"/>
                <w:szCs w:val="1"/>
                <w:color w:val="auto"/>
              </w:rPr>
            </w:pPr>
          </w:p>
        </w:tc>
      </w:tr>
      <w:tr>
        <w:trPr>
          <w:trHeight w:val="229"/>
        </w:trPr>
        <w:tc>
          <w:tcPr>
            <w:tcW w:w="748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Space</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281</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379</w:t>
            </w:r>
          </w:p>
        </w:tc>
        <w:tc>
          <w:tcPr>
            <w:tcW w:w="98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99"/>
              </w:rPr>
              <w:t>(26%)</w:t>
            </w:r>
          </w:p>
        </w:tc>
        <w:tc>
          <w:tcPr>
            <w:tcW w:w="0" w:type="dxa"/>
            <w:vAlign w:val="bottom"/>
          </w:tcPr>
          <w:p>
            <w:pPr>
              <w:spacing w:after="0"/>
              <w:rPr>
                <w:sz w:val="1"/>
                <w:szCs w:val="1"/>
                <w:color w:val="auto"/>
              </w:rPr>
            </w:pPr>
          </w:p>
        </w:tc>
      </w:tr>
      <w:tr>
        <w:trPr>
          <w:trHeight w:val="223"/>
        </w:trPr>
        <w:tc>
          <w:tcPr>
            <w:tcW w:w="74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business segment operating profit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1,823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2,085</w:t>
            </w:r>
          </w:p>
        </w:tc>
        <w:tc>
          <w:tcPr>
            <w:tcW w:w="9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(13%)</w:t>
            </w:r>
          </w:p>
        </w:tc>
        <w:tc>
          <w:tcPr>
            <w:tcW w:w="0" w:type="dxa"/>
            <w:vAlign w:val="bottom"/>
          </w:tcPr>
          <w:p>
            <w:pPr>
              <w:spacing w:after="0"/>
              <w:rPr>
                <w:sz w:val="1"/>
                <w:szCs w:val="1"/>
                <w:color w:val="auto"/>
              </w:rPr>
            </w:pPr>
          </w:p>
        </w:tc>
      </w:tr>
      <w:tr>
        <w:trPr>
          <w:trHeight w:val="229"/>
        </w:trPr>
        <w:tc>
          <w:tcPr>
            <w:tcW w:w="7480" w:type="dxa"/>
            <w:vAlign w:val="bottom"/>
          </w:tcPr>
          <w:p>
            <w:pPr>
              <w:ind w:left="180"/>
              <w:spacing w:after="0"/>
              <w:rPr>
                <w:sz w:val="20"/>
                <w:szCs w:val="20"/>
                <w:color w:val="auto"/>
              </w:rPr>
            </w:pPr>
            <w:r>
              <w:rPr>
                <w:rFonts w:ascii="Arial" w:cs="Arial" w:eastAsia="Arial" w:hAnsi="Arial"/>
                <w:sz w:val="18"/>
                <w:szCs w:val="18"/>
                <w:b w:val="1"/>
                <w:bCs w:val="1"/>
                <w:color w:val="auto"/>
              </w:rPr>
              <w:t>Unallocated items</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FAS/CAS operating adjustment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421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379</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tcPr>
          <w:p>
            <w:pPr>
              <w:ind w:left="300"/>
              <w:spacing w:after="0"/>
              <w:rPr>
                <w:sz w:val="20"/>
                <w:szCs w:val="20"/>
                <w:color w:val="auto"/>
              </w:rPr>
            </w:pPr>
            <w:r>
              <w:rPr>
                <w:rFonts w:ascii="Arial" w:cs="Arial" w:eastAsia="Arial" w:hAnsi="Arial"/>
                <w:sz w:val="18"/>
                <w:szCs w:val="18"/>
                <w:color w:val="auto"/>
              </w:rPr>
              <w:t>Intangible asset amortization expense</w:t>
            </w:r>
          </w:p>
        </w:tc>
        <w:tc>
          <w:tcPr>
            <w:tcW w:w="200" w:type="dxa"/>
            <w:vAlign w:val="bottom"/>
          </w:tcPr>
          <w:p>
            <w:pPr>
              <w:spacing w:after="0"/>
              <w:rPr>
                <w:sz w:val="19"/>
                <w:szCs w:val="19"/>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b w:val="1"/>
                <w:bCs w:val="1"/>
                <w:color w:val="auto"/>
              </w:rPr>
              <w:t>(50)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Other, net</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(131)</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8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Total unallocated items</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240</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287</w:t>
            </w:r>
          </w:p>
        </w:tc>
        <w:tc>
          <w:tcPr>
            <w:tcW w:w="98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99"/>
              </w:rPr>
              <w:t>(16%)</w:t>
            </w:r>
          </w:p>
        </w:tc>
        <w:tc>
          <w:tcPr>
            <w:tcW w:w="0" w:type="dxa"/>
            <w:vAlign w:val="bottom"/>
          </w:tcPr>
          <w:p>
            <w:pPr>
              <w:spacing w:after="0"/>
              <w:rPr>
                <w:sz w:val="1"/>
                <w:szCs w:val="1"/>
                <w:color w:val="auto"/>
              </w:rPr>
            </w:pPr>
          </w:p>
        </w:tc>
      </w:tr>
      <w:tr>
        <w:trPr>
          <w:trHeight w:val="248"/>
        </w:trPr>
        <w:tc>
          <w:tcPr>
            <w:tcW w:w="74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b w:val="1"/>
                <w:bCs w:val="1"/>
                <w:color w:val="auto"/>
              </w:rPr>
              <w:t>Total consolidated operating profit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2,063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2,372</w:t>
            </w:r>
          </w:p>
        </w:tc>
        <w:tc>
          <w:tcPr>
            <w:tcW w:w="9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(13%)</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Operating margin</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tcPr>
          <w:p>
            <w:pPr>
              <w:ind w:left="300"/>
              <w:spacing w:after="0"/>
              <w:rPr>
                <w:sz w:val="20"/>
                <w:szCs w:val="20"/>
                <w:color w:val="auto"/>
              </w:rPr>
            </w:pPr>
            <w:r>
              <w:rPr>
                <w:rFonts w:ascii="Arial" w:cs="Arial" w:eastAsia="Arial" w:hAnsi="Arial"/>
                <w:sz w:val="18"/>
                <w:szCs w:val="18"/>
                <w:color w:val="auto"/>
              </w:rPr>
              <w:t>Aeronautics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8.9%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Missiles and Fire Control</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tcPr>
          <w:p>
            <w:pPr>
              <w:ind w:left="300"/>
              <w:spacing w:after="0"/>
              <w:rPr>
                <w:sz w:val="20"/>
                <w:szCs w:val="20"/>
                <w:color w:val="auto"/>
              </w:rPr>
            </w:pPr>
            <w:r>
              <w:rPr>
                <w:rFonts w:ascii="Arial" w:cs="Arial" w:eastAsia="Arial" w:hAnsi="Arial"/>
                <w:sz w:val="18"/>
                <w:szCs w:val="18"/>
                <w:color w:val="auto"/>
              </w:rPr>
              <w:t>Rotary and Mission Systems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10.6%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Space</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tcPr>
          <w:p>
            <w:pPr>
              <w:ind w:left="440"/>
              <w:spacing w:after="0"/>
              <w:rPr>
                <w:sz w:val="20"/>
                <w:szCs w:val="20"/>
                <w:color w:val="auto"/>
              </w:rPr>
            </w:pPr>
            <w:r>
              <w:rPr>
                <w:rFonts w:ascii="Arial" w:cs="Arial" w:eastAsia="Arial" w:hAnsi="Arial"/>
                <w:sz w:val="18"/>
                <w:szCs w:val="18"/>
                <w:b w:val="1"/>
                <w:bCs w:val="1"/>
                <w:color w:val="auto"/>
              </w:rPr>
              <w:t>Total business segment operating margin</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10.1%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11.6%</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4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7480" w:type="dxa"/>
            <w:vAlign w:val="bottom"/>
          </w:tcPr>
          <w:p>
            <w:pPr>
              <w:ind w:left="440"/>
              <w:spacing w:after="0"/>
              <w:rPr>
                <w:sz w:val="20"/>
                <w:szCs w:val="20"/>
                <w:color w:val="auto"/>
              </w:rPr>
            </w:pPr>
            <w:r>
              <w:rPr>
                <w:rFonts w:ascii="Arial" w:cs="Arial" w:eastAsia="Arial" w:hAnsi="Arial"/>
                <w:sz w:val="18"/>
                <w:szCs w:val="18"/>
                <w:b w:val="1"/>
                <w:bCs w:val="1"/>
                <w:color w:val="auto"/>
              </w:rPr>
              <w:t>Total consolidated operating margin</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11.4%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13.2%</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926" w:right="339" w:bottom="1440" w:gutter="0" w:footer="0" w:header="0"/>
        </w:sectPr>
      </w:pPr>
    </w:p>
    <w:bookmarkStart w:id="17" w:name="page18"/>
    <w:bookmarkEnd w:id="17"/>
    <w:p>
      <w:pPr>
        <w:spacing w:after="0"/>
        <w:rPr>
          <w:sz w:val="20"/>
          <w:szCs w:val="20"/>
          <w:color w:val="auto"/>
        </w:rPr>
      </w:pPr>
      <w:r>
        <w:rPr>
          <w:rFonts w:ascii="Arial" w:cs="Arial" w:eastAsia="Arial" w:hAnsi="Arial"/>
          <w:sz w:val="20"/>
          <w:szCs w:val="20"/>
          <w:b w:val="1"/>
          <w:bCs w:val="1"/>
          <w:color w:val="auto"/>
        </w:rPr>
        <w:t>Lockheed Martin Corporation</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Balance Sheets</w:t>
      </w:r>
    </w:p>
    <w:p>
      <w:pPr>
        <w:spacing w:after="0"/>
        <w:rPr>
          <w:sz w:val="20"/>
          <w:szCs w:val="20"/>
          <w:color w:val="auto"/>
        </w:rPr>
      </w:pPr>
      <w:r>
        <w:rPr>
          <w:rFonts w:ascii="Arial" w:cs="Arial" w:eastAsia="Arial" w:hAnsi="Arial"/>
          <w:sz w:val="20"/>
          <w:szCs w:val="20"/>
          <w:b w:val="1"/>
          <w:bCs w:val="1"/>
          <w:color w:val="auto"/>
        </w:rPr>
        <w:t>(in millions, except par value)</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29,</w:t>
            </w:r>
          </w:p>
        </w:tc>
        <w:tc>
          <w:tcPr>
            <w:tcW w:w="280" w:type="dxa"/>
            <w:vAlign w:val="bottom"/>
          </w:tcPr>
          <w:p>
            <w:pPr>
              <w:spacing w:after="0"/>
              <w:rPr>
                <w:sz w:val="17"/>
                <w:szCs w:val="17"/>
                <w:color w:val="auto"/>
              </w:rPr>
            </w:pPr>
          </w:p>
        </w:tc>
        <w:tc>
          <w:tcPr>
            <w:tcW w:w="1280" w:type="dxa"/>
            <w:vAlign w:val="bottom"/>
          </w:tcPr>
          <w:p>
            <w:pPr>
              <w:jc w:val="right"/>
              <w:ind w:right="350"/>
              <w:spacing w:after="0"/>
              <w:rPr>
                <w:sz w:val="20"/>
                <w:szCs w:val="20"/>
                <w:color w:val="auto"/>
              </w:rPr>
            </w:pPr>
            <w:r>
              <w:rPr>
                <w:rFonts w:ascii="Arial" w:cs="Arial" w:eastAsia="Arial" w:hAnsi="Arial"/>
                <w:sz w:val="18"/>
                <w:szCs w:val="18"/>
                <w:b w:val="1"/>
                <w:bCs w:val="1"/>
                <w:color w:val="auto"/>
              </w:rPr>
              <w:t>Dec. 31,</w:t>
            </w:r>
          </w:p>
        </w:tc>
      </w:tr>
      <w:tr>
        <w:trPr>
          <w:trHeight w:val="243"/>
        </w:trPr>
        <w:tc>
          <w:tcPr>
            <w:tcW w:w="80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2026</w:t>
            </w:r>
          </w:p>
        </w:tc>
        <w:tc>
          <w:tcPr>
            <w:tcW w:w="1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2025</w:t>
            </w:r>
          </w:p>
        </w:tc>
      </w:tr>
      <w:tr>
        <w:trPr>
          <w:trHeight w:val="223"/>
        </w:trPr>
        <w:tc>
          <w:tcPr>
            <w:tcW w:w="8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(unaudited)</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8000" w:type="dxa"/>
            <w:vAlign w:val="bottom"/>
          </w:tcPr>
          <w:p>
            <w:pPr>
              <w:ind w:left="280"/>
              <w:spacing w:after="0"/>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8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Current assets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8000" w:type="dxa"/>
            <w:vAlign w:val="bottom"/>
          </w:tcPr>
          <w:p>
            <w:pPr>
              <w:ind w:left="40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1,894</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4,121</w:t>
            </w:r>
          </w:p>
        </w:tc>
      </w:tr>
      <w:tr>
        <w:trPr>
          <w:trHeight w:val="229"/>
        </w:trPr>
        <w:tc>
          <w:tcPr>
            <w:tcW w:w="8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Receivables, net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2,322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3,901</w:t>
            </w:r>
          </w:p>
        </w:tc>
      </w:tr>
      <w:tr>
        <w:trPr>
          <w:trHeight w:val="230"/>
        </w:trPr>
        <w:tc>
          <w:tcPr>
            <w:tcW w:w="8000" w:type="dxa"/>
            <w:vAlign w:val="bottom"/>
          </w:tcPr>
          <w:p>
            <w:pPr>
              <w:ind w:left="400"/>
              <w:spacing w:after="0"/>
              <w:rPr>
                <w:sz w:val="20"/>
                <w:szCs w:val="20"/>
                <w:color w:val="auto"/>
              </w:rPr>
            </w:pPr>
            <w:r>
              <w:rPr>
                <w:rFonts w:ascii="Arial" w:cs="Arial" w:eastAsia="Arial" w:hAnsi="Arial"/>
                <w:sz w:val="18"/>
                <w:szCs w:val="18"/>
                <w:color w:val="auto"/>
              </w:rPr>
              <w:t>Contract assets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15,885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13,001</w:t>
            </w:r>
          </w:p>
        </w:tc>
      </w:tr>
      <w:tr>
        <w:trPr>
          <w:trHeight w:val="229"/>
        </w:trPr>
        <w:tc>
          <w:tcPr>
            <w:tcW w:w="8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4,251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3,524</w:t>
            </w:r>
          </w:p>
        </w:tc>
      </w:tr>
      <w:tr>
        <w:trPr>
          <w:trHeight w:val="229"/>
        </w:trPr>
        <w:tc>
          <w:tcPr>
            <w:tcW w:w="800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Other current assets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w:t>
            </w:r>
          </w:p>
        </w:tc>
      </w:tr>
      <w:tr>
        <w:trPr>
          <w:trHeight w:val="223"/>
        </w:trPr>
        <w:tc>
          <w:tcPr>
            <w:tcW w:w="80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25,080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25,362</w:t>
            </w:r>
          </w:p>
        </w:tc>
      </w:tr>
      <w:tr>
        <w:trPr>
          <w:trHeight w:val="257"/>
        </w:trPr>
        <w:tc>
          <w:tcPr>
            <w:tcW w:w="8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29"/>
        </w:trPr>
        <w:tc>
          <w:tcPr>
            <w:tcW w:w="8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11,283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11,292</w:t>
            </w:r>
          </w:p>
        </w:tc>
      </w:tr>
      <w:tr>
        <w:trPr>
          <w:trHeight w:val="230"/>
        </w:trPr>
        <w:tc>
          <w:tcPr>
            <w:tcW w:w="8000" w:type="dxa"/>
            <w:vAlign w:val="bottom"/>
          </w:tcPr>
          <w:p>
            <w:pPr>
              <w:ind w:left="28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11,306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11,314</w:t>
            </w:r>
          </w:p>
        </w:tc>
      </w:tr>
      <w:tr>
        <w:trPr>
          <w:trHeight w:val="229"/>
        </w:trPr>
        <w:tc>
          <w:tcPr>
            <w:tcW w:w="8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Intangible assets, net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1,837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w:t>
            </w:r>
          </w:p>
        </w:tc>
      </w:tr>
      <w:tr>
        <w:trPr>
          <w:trHeight w:val="229"/>
        </w:trPr>
        <w:tc>
          <w:tcPr>
            <w:tcW w:w="800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2,802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2,975</w:t>
            </w:r>
          </w:p>
        </w:tc>
      </w:tr>
      <w:tr>
        <w:trPr>
          <w:trHeight w:val="230"/>
        </w:trPr>
        <w:tc>
          <w:tcPr>
            <w:tcW w:w="8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noncurrent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6,930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7,010</w:t>
            </w:r>
          </w:p>
        </w:tc>
      </w:tr>
      <w:tr>
        <w:trPr>
          <w:trHeight w:val="223"/>
        </w:trPr>
        <w:tc>
          <w:tcPr>
            <w:tcW w:w="8000" w:type="dxa"/>
            <w:vAlign w:val="bottom"/>
          </w:tcPr>
          <w:p>
            <w:pPr>
              <w:ind w:left="48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59,238</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59,840</w:t>
            </w: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3"/>
        </w:trPr>
        <w:tc>
          <w:tcPr>
            <w:tcW w:w="8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8000" w:type="dxa"/>
            <w:vAlign w:val="bottom"/>
          </w:tcPr>
          <w:p>
            <w:pPr>
              <w:ind w:left="280"/>
              <w:spacing w:after="0"/>
              <w:rPr>
                <w:sz w:val="20"/>
                <w:szCs w:val="20"/>
                <w:color w:val="auto"/>
              </w:rPr>
            </w:pPr>
            <w:r>
              <w:rPr>
                <w:rFonts w:ascii="Arial" w:cs="Arial" w:eastAsia="Arial" w:hAnsi="Arial"/>
                <w:sz w:val="18"/>
                <w:szCs w:val="18"/>
                <w:b w:val="1"/>
                <w:bCs w:val="1"/>
                <w:color w:val="auto"/>
              </w:rPr>
              <w:t>Liabilities and equity</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8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8000" w:type="dxa"/>
            <w:vAlign w:val="bottom"/>
          </w:tcPr>
          <w:p>
            <w:pPr>
              <w:ind w:left="40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4,707</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3,630</w:t>
            </w:r>
          </w:p>
        </w:tc>
      </w:tr>
      <w:tr>
        <w:trPr>
          <w:trHeight w:val="230"/>
        </w:trPr>
        <w:tc>
          <w:tcPr>
            <w:tcW w:w="8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Salaries, benefits and payroll taxes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2,676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3,184</w:t>
            </w:r>
          </w:p>
        </w:tc>
      </w:tr>
      <w:tr>
        <w:trPr>
          <w:trHeight w:val="230"/>
        </w:trPr>
        <w:tc>
          <w:tcPr>
            <w:tcW w:w="8000" w:type="dxa"/>
            <w:vAlign w:val="bottom"/>
          </w:tcPr>
          <w:p>
            <w:pPr>
              <w:ind w:left="400"/>
              <w:spacing w:after="0"/>
              <w:rPr>
                <w:sz w:val="20"/>
                <w:szCs w:val="20"/>
                <w:color w:val="auto"/>
              </w:rPr>
            </w:pPr>
            <w:r>
              <w:rPr>
                <w:rFonts w:ascii="Arial" w:cs="Arial" w:eastAsia="Arial" w:hAnsi="Arial"/>
                <w:sz w:val="18"/>
                <w:szCs w:val="18"/>
                <w:color w:val="auto"/>
              </w:rPr>
              <w:t>Contract liabilities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10,735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11,440</w:t>
            </w:r>
          </w:p>
        </w:tc>
      </w:tr>
      <w:tr>
        <w:trPr>
          <w:trHeight w:val="229"/>
        </w:trPr>
        <w:tc>
          <w:tcPr>
            <w:tcW w:w="8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Current maturities of long-term debt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w:t>
            </w:r>
          </w:p>
        </w:tc>
      </w:tr>
      <w:tr>
        <w:trPr>
          <w:trHeight w:val="230"/>
        </w:trPr>
        <w:tc>
          <w:tcPr>
            <w:tcW w:w="800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Other current liabilities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3,804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3,913</w:t>
            </w:r>
          </w:p>
        </w:tc>
      </w:tr>
      <w:tr>
        <w:trPr>
          <w:trHeight w:val="223"/>
        </w:trPr>
        <w:tc>
          <w:tcPr>
            <w:tcW w:w="80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22,090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23,335</w:t>
            </w:r>
          </w:p>
        </w:tc>
      </w:tr>
      <w:tr>
        <w:trPr>
          <w:trHeight w:val="257"/>
        </w:trPr>
        <w:tc>
          <w:tcPr>
            <w:tcW w:w="8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30"/>
        </w:trPr>
        <w:tc>
          <w:tcPr>
            <w:tcW w:w="8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Long-term debt, net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20,529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20,532</w:t>
            </w:r>
          </w:p>
        </w:tc>
      </w:tr>
      <w:tr>
        <w:trPr>
          <w:trHeight w:val="229"/>
        </w:trPr>
        <w:tc>
          <w:tcPr>
            <w:tcW w:w="8000" w:type="dxa"/>
            <w:vAlign w:val="bottom"/>
          </w:tcPr>
          <w:p>
            <w:pPr>
              <w:ind w:left="280"/>
              <w:spacing w:after="0"/>
              <w:rPr>
                <w:sz w:val="20"/>
                <w:szCs w:val="20"/>
                <w:color w:val="auto"/>
              </w:rPr>
            </w:pPr>
            <w:r>
              <w:rPr>
                <w:rFonts w:ascii="Arial" w:cs="Arial" w:eastAsia="Arial" w:hAnsi="Arial"/>
                <w:sz w:val="18"/>
                <w:szCs w:val="18"/>
                <w:color w:val="auto"/>
              </w:rPr>
              <w:t>Accrued pension liabilities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3,923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3,915</w:t>
            </w:r>
          </w:p>
        </w:tc>
      </w:tr>
      <w:tr>
        <w:trPr>
          <w:trHeight w:val="230"/>
        </w:trPr>
        <w:tc>
          <w:tcPr>
            <w:tcW w:w="8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noncurrent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5,207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5,337</w:t>
            </w:r>
          </w:p>
        </w:tc>
      </w:tr>
      <w:tr>
        <w:trPr>
          <w:trHeight w:val="223"/>
        </w:trPr>
        <w:tc>
          <w:tcPr>
            <w:tcW w:w="8000" w:type="dxa"/>
            <w:vAlign w:val="bottom"/>
          </w:tcPr>
          <w:p>
            <w:pPr>
              <w:ind w:left="480"/>
              <w:spacing w:after="0"/>
              <w:rPr>
                <w:sz w:val="20"/>
                <w:szCs w:val="20"/>
                <w:color w:val="auto"/>
              </w:rPr>
            </w:pPr>
            <w:r>
              <w:rPr>
                <w:rFonts w:ascii="Arial" w:cs="Arial" w:eastAsia="Arial" w:hAnsi="Arial"/>
                <w:sz w:val="18"/>
                <w:szCs w:val="18"/>
                <w:color w:val="auto"/>
              </w:rPr>
              <w:t>Total liabilities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51,749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53,119</w:t>
            </w:r>
          </w:p>
        </w:tc>
      </w:tr>
      <w:tr>
        <w:trPr>
          <w:trHeight w:val="257"/>
        </w:trPr>
        <w:tc>
          <w:tcPr>
            <w:tcW w:w="80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30"/>
        </w:trPr>
        <w:tc>
          <w:tcPr>
            <w:tcW w:w="8000" w:type="dxa"/>
            <w:vAlign w:val="bottom"/>
          </w:tcPr>
          <w:p>
            <w:pPr>
              <w:ind w:left="280"/>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8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Common stock, $1 par value per share</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r>
      <w:tr>
        <w:trPr>
          <w:trHeight w:val="230"/>
        </w:trPr>
        <w:tc>
          <w:tcPr>
            <w:tcW w:w="8000" w:type="dxa"/>
            <w:vAlign w:val="bottom"/>
          </w:tcPr>
          <w:p>
            <w:pPr>
              <w:ind w:left="40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32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Retained earnings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14,723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14,034</w:t>
            </w:r>
          </w:p>
        </w:tc>
      </w:tr>
      <w:tr>
        <w:trPr>
          <w:trHeight w:val="230"/>
        </w:trPr>
        <w:tc>
          <w:tcPr>
            <w:tcW w:w="800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(7,496)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(7,542)</w:t>
            </w:r>
          </w:p>
        </w:tc>
      </w:tr>
      <w:tr>
        <w:trPr>
          <w:trHeight w:val="223"/>
        </w:trPr>
        <w:tc>
          <w:tcPr>
            <w:tcW w:w="80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7,489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6,721</w:t>
            </w:r>
          </w:p>
        </w:tc>
      </w:tr>
      <w:tr>
        <w:trPr>
          <w:trHeight w:val="223"/>
        </w:trPr>
        <w:tc>
          <w:tcPr>
            <w:tcW w:w="8000" w:type="dxa"/>
            <w:vAlign w:val="bottom"/>
          </w:tcPr>
          <w:p>
            <w:pPr>
              <w:ind w:left="480"/>
              <w:spacing w:after="0"/>
              <w:rPr>
                <w:sz w:val="20"/>
                <w:szCs w:val="20"/>
                <w:color w:val="auto"/>
              </w:rPr>
            </w:pPr>
            <w:r>
              <w:rPr>
                <w:rFonts w:ascii="Arial" w:cs="Arial" w:eastAsia="Arial" w:hAnsi="Arial"/>
                <w:sz w:val="18"/>
                <w:szCs w:val="18"/>
                <w:color w:val="auto"/>
              </w:rPr>
              <w:t>Total liabilities and equity</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59,238</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59,840</w:t>
            </w:r>
          </w:p>
        </w:tc>
      </w:tr>
      <w:tr>
        <w:trPr>
          <w:trHeight w:val="20"/>
        </w:trPr>
        <w:tc>
          <w:tcPr>
            <w:tcW w:w="8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764" w:right="339" w:bottom="1440" w:gutter="0" w:footer="0" w:header="0"/>
        </w:sectPr>
      </w:pPr>
    </w:p>
    <w:bookmarkStart w:id="18" w:name="page19"/>
    <w:bookmarkEnd w:id="18"/>
    <w:p>
      <w:pPr>
        <w:spacing w:after="0"/>
        <w:rPr>
          <w:sz w:val="20"/>
          <w:szCs w:val="20"/>
          <w:color w:val="auto"/>
        </w:rPr>
      </w:pPr>
      <w:r>
        <w:rPr>
          <w:rFonts w:ascii="Arial" w:cs="Arial" w:eastAsia="Arial" w:hAnsi="Arial"/>
          <w:sz w:val="20"/>
          <w:szCs w:val="20"/>
          <w:b w:val="1"/>
          <w:bCs w:val="1"/>
          <w:color w:val="auto"/>
        </w:rPr>
        <w:t>Lockheed Martin Corporation</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Statements of Cash Flows</w:t>
      </w:r>
    </w:p>
    <w:p>
      <w:pPr>
        <w:spacing w:after="0"/>
        <w:rPr>
          <w:sz w:val="20"/>
          <w:szCs w:val="20"/>
          <w:color w:val="auto"/>
        </w:rPr>
      </w:pPr>
      <w:r>
        <w:rPr>
          <w:rFonts w:ascii="Arial" w:cs="Arial" w:eastAsia="Arial" w:hAnsi="Arial"/>
          <w:sz w:val="20"/>
          <w:szCs w:val="20"/>
          <w:b w:val="1"/>
          <w:bCs w:val="1"/>
          <w:color w:val="auto"/>
        </w:rPr>
        <w:t>(unaudited; in millions)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4"/>
          </w:tcPr>
          <w:p>
            <w:pPr>
              <w:jc w:val="right"/>
              <w:ind w:right="870"/>
              <w:spacing w:after="0"/>
              <w:rPr>
                <w:sz w:val="20"/>
                <w:szCs w:val="20"/>
                <w:color w:val="auto"/>
              </w:rPr>
            </w:pPr>
            <w:r>
              <w:rPr>
                <w:rFonts w:ascii="Arial" w:cs="Arial" w:eastAsia="Arial" w:hAnsi="Arial"/>
                <w:sz w:val="18"/>
                <w:szCs w:val="18"/>
                <w:b w:val="1"/>
                <w:bCs w:val="1"/>
                <w:color w:val="auto"/>
              </w:rPr>
              <w:t>Quarters Ended</w:t>
            </w:r>
          </w:p>
        </w:tc>
      </w:tr>
      <w:tr>
        <w:trPr>
          <w:trHeight w:val="169"/>
        </w:trPr>
        <w:tc>
          <w:tcPr>
            <w:tcW w:w="7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ind w:left="140"/>
              <w:spacing w:after="0" w:line="169" w:lineRule="exact"/>
              <w:rPr>
                <w:sz w:val="20"/>
                <w:szCs w:val="20"/>
                <w:color w:val="auto"/>
              </w:rPr>
            </w:pPr>
            <w:r>
              <w:rPr>
                <w:rFonts w:ascii="Arial" w:cs="Arial" w:eastAsia="Arial" w:hAnsi="Arial"/>
                <w:sz w:val="18"/>
                <w:szCs w:val="18"/>
                <w:b w:val="1"/>
                <w:bCs w:val="1"/>
                <w:color w:val="auto"/>
              </w:rPr>
              <w:t>March 29,</w:t>
            </w:r>
          </w:p>
        </w:tc>
        <w:tc>
          <w:tcPr>
            <w:tcW w:w="240" w:type="dxa"/>
            <w:vAlign w:val="bottom"/>
          </w:tcPr>
          <w:p>
            <w:pPr>
              <w:spacing w:after="0"/>
              <w:rPr>
                <w:sz w:val="14"/>
                <w:szCs w:val="14"/>
                <w:color w:val="auto"/>
              </w:rPr>
            </w:pPr>
          </w:p>
        </w:tc>
        <w:tc>
          <w:tcPr>
            <w:tcW w:w="1320" w:type="dxa"/>
            <w:vAlign w:val="bottom"/>
          </w:tcPr>
          <w:p>
            <w:pPr>
              <w:jc w:val="right"/>
              <w:ind w:right="270"/>
              <w:spacing w:after="0" w:line="169" w:lineRule="exact"/>
              <w:rPr>
                <w:sz w:val="20"/>
                <w:szCs w:val="20"/>
                <w:color w:val="auto"/>
              </w:rPr>
            </w:pPr>
            <w:r>
              <w:rPr>
                <w:rFonts w:ascii="Arial" w:cs="Arial" w:eastAsia="Arial" w:hAnsi="Arial"/>
                <w:sz w:val="18"/>
                <w:szCs w:val="18"/>
                <w:b w:val="1"/>
                <w:bCs w:val="1"/>
                <w:color w:val="auto"/>
              </w:rPr>
              <w:t>March 30,</w:t>
            </w:r>
          </w:p>
        </w:tc>
      </w:tr>
      <w:tr>
        <w:trPr>
          <w:trHeight w:val="243"/>
        </w:trPr>
        <w:tc>
          <w:tcPr>
            <w:tcW w:w="79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2026</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2025</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Net earnings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1,488</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1,712</w:t>
            </w:r>
          </w:p>
        </w:tc>
      </w:tr>
      <w:tr>
        <w:trPr>
          <w:trHeight w:val="229"/>
        </w:trPr>
        <w:tc>
          <w:tcPr>
            <w:tcW w:w="7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798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398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397</w:t>
            </w:r>
          </w:p>
        </w:tc>
      </w:tr>
      <w:tr>
        <w:trPr>
          <w:trHeight w:val="230"/>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29"/>
        </w:trPr>
        <w:tc>
          <w:tcPr>
            <w:tcW w:w="7980" w:type="dxa"/>
            <w:vAlign w:val="bottom"/>
          </w:tcPr>
          <w:p>
            <w:pPr>
              <w:ind w:left="22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161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29"/>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Qualified defined benefit pension plans</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30"/>
        </w:trPr>
        <w:tc>
          <w:tcPr>
            <w:tcW w:w="7980" w:type="dxa"/>
            <w:vAlign w:val="bottom"/>
          </w:tcPr>
          <w:p>
            <w:pPr>
              <w:ind w:left="220"/>
              <w:spacing w:after="0"/>
              <w:rPr>
                <w:sz w:val="20"/>
                <w:szCs w:val="20"/>
                <w:color w:val="auto"/>
              </w:rPr>
            </w:pPr>
            <w:r>
              <w:rPr>
                <w:rFonts w:ascii="Arial" w:cs="Arial" w:eastAsia="Arial" w:hAnsi="Arial"/>
                <w:sz w:val="18"/>
                <w:szCs w:val="18"/>
                <w:color w:val="auto"/>
              </w:rPr>
              <w:t>Changes in assets and liabilities</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Receivables, net</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1,579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r>
      <w:tr>
        <w:trPr>
          <w:trHeight w:val="230"/>
        </w:trPr>
        <w:tc>
          <w:tcPr>
            <w:tcW w:w="7980" w:type="dxa"/>
            <w:vAlign w:val="bottom"/>
          </w:tcPr>
          <w:p>
            <w:pPr>
              <w:ind w:left="360"/>
              <w:spacing w:after="0"/>
              <w:rPr>
                <w:sz w:val="20"/>
                <w:szCs w:val="20"/>
                <w:color w:val="auto"/>
              </w:rPr>
            </w:pPr>
            <w:r>
              <w:rPr>
                <w:rFonts w:ascii="Arial" w:cs="Arial" w:eastAsia="Arial" w:hAnsi="Arial"/>
                <w:sz w:val="18"/>
                <w:szCs w:val="18"/>
                <w:color w:val="auto"/>
              </w:rPr>
              <w:t>Contract assets</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(2,884)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(1,720)</w:t>
            </w:r>
          </w:p>
        </w:tc>
      </w:tr>
      <w:tr>
        <w:trPr>
          <w:trHeight w:val="229"/>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29"/>
        </w:trPr>
        <w:tc>
          <w:tcPr>
            <w:tcW w:w="798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1,222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1,680</w:t>
            </w:r>
          </w:p>
        </w:tc>
      </w:tr>
      <w:tr>
        <w:trPr>
          <w:trHeight w:val="230"/>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Contract liabilities</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r>
      <w:tr>
        <w:trPr>
          <w:trHeight w:val="229"/>
        </w:trPr>
        <w:tc>
          <w:tcPr>
            <w:tcW w:w="7980" w:type="dxa"/>
            <w:vAlign w:val="bottom"/>
          </w:tcPr>
          <w:p>
            <w:pPr>
              <w:ind w:left="360"/>
              <w:spacing w:after="0"/>
              <w:rPr>
                <w:sz w:val="20"/>
                <w:szCs w:val="20"/>
                <w:color w:val="auto"/>
              </w:rPr>
            </w:pPr>
            <w:r>
              <w:rPr>
                <w:rFonts w:ascii="Arial" w:cs="Arial" w:eastAsia="Arial" w:hAnsi="Arial"/>
                <w:sz w:val="18"/>
                <w:szCs w:val="18"/>
                <w:color w:val="auto"/>
              </w:rPr>
              <w:t>Income taxes</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103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339</w:t>
            </w:r>
          </w:p>
        </w:tc>
      </w:tr>
      <w:tr>
        <w:trPr>
          <w:trHeight w:val="230"/>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(590)</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w:t>
            </w:r>
          </w:p>
        </w:tc>
      </w:tr>
      <w:tr>
        <w:trPr>
          <w:trHeight w:val="223"/>
        </w:trPr>
        <w:tc>
          <w:tcPr>
            <w:tcW w:w="7980" w:type="dxa"/>
            <w:vAlign w:val="bottom"/>
            <w:tcBorders>
              <w:bottom w:val="single" w:sz="8" w:color="CCEEFF"/>
            </w:tcBorders>
          </w:tcPr>
          <w:p>
            <w:pPr>
              <w:ind w:left="220"/>
              <w:spacing w:after="0"/>
              <w:rPr>
                <w:sz w:val="20"/>
                <w:szCs w:val="20"/>
                <w:color w:val="auto"/>
              </w:rPr>
            </w:pPr>
            <w:r>
              <w:rPr>
                <w:rFonts w:ascii="Arial" w:cs="Arial" w:eastAsia="Arial" w:hAnsi="Arial"/>
                <w:sz w:val="18"/>
                <w:szCs w:val="18"/>
                <w:b w:val="1"/>
                <w:bCs w:val="1"/>
                <w:color w:val="auto"/>
              </w:rPr>
              <w:t>Net cash provided by operating activities</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220</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1,409</w:t>
            </w:r>
          </w:p>
        </w:tc>
      </w:tr>
      <w:tr>
        <w:trPr>
          <w:trHeight w:val="250"/>
        </w:trPr>
        <w:tc>
          <w:tcPr>
            <w:tcW w:w="79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23"/>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Net cash used for investing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(541)</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r>
      <w:tr>
        <w:trPr>
          <w:trHeight w:val="196"/>
        </w:trPr>
        <w:tc>
          <w:tcPr>
            <w:tcW w:w="7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Repayments of long-term debt</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(1,000)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Repurchases of common stock</w:t>
            </w:r>
          </w:p>
        </w:tc>
        <w:tc>
          <w:tcPr>
            <w:tcW w:w="2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Dividends paid</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(816)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(796)</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23"/>
        </w:trPr>
        <w:tc>
          <w:tcPr>
            <w:tcW w:w="7980" w:type="dxa"/>
            <w:vAlign w:val="bottom"/>
            <w:tcBorders>
              <w:bottom w:val="single" w:sz="8" w:color="CCEEFF"/>
            </w:tcBorders>
          </w:tcPr>
          <w:p>
            <w:pPr>
              <w:ind w:left="220"/>
              <w:spacing w:after="0"/>
              <w:rPr>
                <w:sz w:val="20"/>
                <w:szCs w:val="20"/>
                <w:color w:val="auto"/>
              </w:rPr>
            </w:pPr>
            <w:r>
              <w:rPr>
                <w:rFonts w:ascii="Arial" w:cs="Arial" w:eastAsia="Arial" w:hAnsi="Arial"/>
                <w:sz w:val="18"/>
                <w:szCs w:val="18"/>
                <w:b w:val="1"/>
                <w:bCs w:val="1"/>
                <w:color w:val="auto"/>
              </w:rPr>
              <w:t>Net cash used for financing activities</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(1,906)</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(1,659)</w:t>
            </w:r>
          </w:p>
        </w:tc>
      </w:tr>
      <w:tr>
        <w:trPr>
          <w:trHeight w:val="196"/>
        </w:trPr>
        <w:tc>
          <w:tcPr>
            <w:tcW w:w="7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Net change in cash and cash equivalents</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(2,227)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(680)</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4,121</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2,483</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at end of period</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1,894</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1,803</w:t>
            </w:r>
          </w:p>
        </w:tc>
      </w:tr>
      <w:tr>
        <w:trPr>
          <w:trHeight w:val="20"/>
        </w:trPr>
        <w:tc>
          <w:tcPr>
            <w:tcW w:w="7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885" w:right="339" w:bottom="1440" w:gutter="0" w:footer="0" w:header="0"/>
        </w:sectPr>
      </w:pPr>
    </w:p>
    <w:bookmarkStart w:id="19" w:name="page20"/>
    <w:bookmarkEnd w:id="19"/>
    <w:p>
      <w:pPr>
        <w:spacing w:after="0"/>
        <w:rPr>
          <w:sz w:val="20"/>
          <w:szCs w:val="20"/>
          <w:color w:val="auto"/>
        </w:rPr>
      </w:pPr>
      <w:r>
        <w:rPr>
          <w:rFonts w:ascii="Arial" w:cs="Arial" w:eastAsia="Arial" w:hAnsi="Arial"/>
          <w:sz w:val="20"/>
          <w:szCs w:val="20"/>
          <w:b w:val="1"/>
          <w:bCs w:val="1"/>
          <w:color w:val="auto"/>
        </w:rPr>
        <w:t>Lockheed Martin Corporation</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Selected Financial Data</w:t>
      </w:r>
    </w:p>
    <w:p>
      <w:pPr>
        <w:spacing w:after="0"/>
        <w:rPr>
          <w:sz w:val="20"/>
          <w:szCs w:val="20"/>
          <w:color w:val="auto"/>
        </w:rPr>
      </w:pPr>
      <w:r>
        <w:rPr>
          <w:rFonts w:ascii="Arial" w:cs="Arial" w:eastAsia="Arial" w:hAnsi="Arial"/>
          <w:sz w:val="20"/>
          <w:szCs w:val="20"/>
          <w:b w:val="1"/>
          <w:bCs w:val="1"/>
          <w:color w:val="auto"/>
        </w:rPr>
        <w:t>(unaudited; in millions)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2026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jc w:val="right"/>
              <w:ind w:right="490"/>
              <w:spacing w:after="0"/>
              <w:rPr>
                <w:sz w:val="20"/>
                <w:szCs w:val="20"/>
                <w:color w:val="auto"/>
              </w:rPr>
            </w:pPr>
            <w:r>
              <w:rPr>
                <w:rFonts w:ascii="Arial" w:cs="Arial" w:eastAsia="Arial" w:hAnsi="Arial"/>
                <w:sz w:val="18"/>
                <w:szCs w:val="18"/>
                <w:b w:val="1"/>
                <w:bCs w:val="1"/>
                <w:color w:val="auto"/>
              </w:rPr>
              <w:t>2025</w:t>
            </w:r>
          </w:p>
        </w:tc>
      </w:tr>
      <w:tr>
        <w:trPr>
          <w:trHeight w:val="243"/>
        </w:trPr>
        <w:tc>
          <w:tcPr>
            <w:tcW w:w="8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gridSpan w:val="2"/>
          </w:tcPr>
          <w:p>
            <w:pPr>
              <w:ind w:left="160"/>
              <w:spacing w:after="0"/>
              <w:rPr>
                <w:sz w:val="20"/>
                <w:szCs w:val="20"/>
                <w:color w:val="auto"/>
              </w:rPr>
            </w:pPr>
            <w:r>
              <w:rPr>
                <w:rFonts w:ascii="Arial" w:cs="Arial" w:eastAsia="Arial" w:hAnsi="Arial"/>
                <w:sz w:val="18"/>
                <w:szCs w:val="18"/>
                <w:b w:val="1"/>
                <w:bCs w:val="1"/>
                <w:color w:val="auto"/>
              </w:rPr>
              <w:t>Outlook</w:t>
            </w:r>
          </w:p>
        </w:tc>
        <w:tc>
          <w:tcPr>
            <w:tcW w:w="300" w:type="dxa"/>
            <w:vAlign w:val="bottom"/>
          </w:tcPr>
          <w:p>
            <w:pPr>
              <w:spacing w:after="0"/>
              <w:rPr>
                <w:sz w:val="21"/>
                <w:szCs w:val="21"/>
                <w:color w:val="auto"/>
              </w:rPr>
            </w:pPr>
          </w:p>
        </w:tc>
        <w:tc>
          <w:tcPr>
            <w:tcW w:w="1240" w:type="dxa"/>
            <w:vAlign w:val="bottom"/>
          </w:tcPr>
          <w:p>
            <w:pPr>
              <w:jc w:val="right"/>
              <w:ind w:right="410"/>
              <w:spacing w:after="0"/>
              <w:rPr>
                <w:sz w:val="20"/>
                <w:szCs w:val="20"/>
                <w:color w:val="auto"/>
              </w:rPr>
            </w:pPr>
            <w:r>
              <w:rPr>
                <w:rFonts w:ascii="Arial" w:cs="Arial" w:eastAsia="Arial" w:hAnsi="Arial"/>
                <w:sz w:val="18"/>
                <w:szCs w:val="18"/>
                <w:b w:val="1"/>
                <w:bCs w:val="1"/>
                <w:color w:val="auto"/>
              </w:rPr>
              <w:t>Actual</w:t>
            </w:r>
          </w:p>
        </w:tc>
      </w:tr>
      <w:tr>
        <w:trPr>
          <w:trHeight w:val="209"/>
        </w:trPr>
        <w:tc>
          <w:tcPr>
            <w:tcW w:w="80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Total FAS pension expense and CAS cost</w:t>
            </w:r>
          </w:p>
        </w:tc>
        <w:tc>
          <w:tcPr>
            <w:tcW w:w="2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r>
      <w:tr>
        <w:trPr>
          <w:trHeight w:val="229"/>
        </w:trPr>
        <w:tc>
          <w:tcPr>
            <w:tcW w:w="8020" w:type="dxa"/>
            <w:vAlign w:val="bottom"/>
          </w:tcPr>
          <w:p>
            <w:pPr>
              <w:ind w:left="360"/>
              <w:spacing w:after="0"/>
              <w:rPr>
                <w:sz w:val="20"/>
                <w:szCs w:val="20"/>
                <w:color w:val="auto"/>
              </w:rPr>
            </w:pPr>
            <w:r>
              <w:rPr>
                <w:rFonts w:ascii="Arial" w:cs="Arial" w:eastAsia="Arial" w:hAnsi="Arial"/>
                <w:sz w:val="18"/>
                <w:szCs w:val="18"/>
                <w:color w:val="auto"/>
              </w:rPr>
              <w:t>FAS pension expense</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(370)</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(924)</w:t>
            </w:r>
          </w:p>
        </w:tc>
      </w:tr>
      <w:tr>
        <w:trPr>
          <w:trHeight w:val="230"/>
        </w:trPr>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CAS pension cost</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1,735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1,568</w:t>
            </w:r>
          </w:p>
        </w:tc>
      </w:tr>
      <w:tr>
        <w:trPr>
          <w:trHeight w:val="223"/>
        </w:trPr>
        <w:tc>
          <w:tcPr>
            <w:tcW w:w="8020" w:type="dxa"/>
            <w:vAlign w:val="bottom"/>
          </w:tcPr>
          <w:p>
            <w:pPr>
              <w:ind w:left="560"/>
              <w:spacing w:after="0"/>
              <w:rPr>
                <w:sz w:val="20"/>
                <w:szCs w:val="20"/>
                <w:color w:val="auto"/>
              </w:rPr>
            </w:pPr>
            <w:r>
              <w:rPr>
                <w:rFonts w:ascii="Arial" w:cs="Arial" w:eastAsia="Arial" w:hAnsi="Arial"/>
                <w:sz w:val="18"/>
                <w:szCs w:val="18"/>
                <w:color w:val="auto"/>
              </w:rPr>
              <w:t>Total FAS/CAS pension adjustment</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1,365</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644</w:t>
            </w:r>
          </w:p>
        </w:tc>
      </w:tr>
      <w:tr>
        <w:trPr>
          <w:trHeight w:val="230"/>
        </w:trPr>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pension settlement charge</w:t>
            </w: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r>
      <w:tr>
        <w:trPr>
          <w:trHeight w:val="223"/>
        </w:trPr>
        <w:tc>
          <w:tcPr>
            <w:tcW w:w="8020" w:type="dxa"/>
            <w:vAlign w:val="bottom"/>
          </w:tcPr>
          <w:p>
            <w:pPr>
              <w:ind w:left="660"/>
              <w:spacing w:after="0" w:line="223" w:lineRule="exact"/>
              <w:rPr>
                <w:sz w:val="20"/>
                <w:szCs w:val="20"/>
                <w:color w:val="auto"/>
              </w:rPr>
            </w:pPr>
            <w:r>
              <w:rPr>
                <w:rFonts w:ascii="Arial" w:cs="Arial" w:eastAsia="Arial" w:hAnsi="Arial"/>
                <w:sz w:val="18"/>
                <w:szCs w:val="18"/>
                <w:color w:val="auto"/>
              </w:rPr>
              <w:t>Total FAS/CAS pension adjustment - adjusted</w:t>
            </w:r>
            <w:r>
              <w:rPr>
                <w:rFonts w:ascii="Arial" w:cs="Arial" w:eastAsia="Arial" w:hAnsi="Arial"/>
                <w:sz w:val="23"/>
                <w:szCs w:val="23"/>
                <w:color w:val="auto"/>
                <w:vertAlign w:val="superscript"/>
              </w:rPr>
              <w:t>1</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1,365</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1,123</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37"/>
        </w:trPr>
        <w:tc>
          <w:tcPr>
            <w:tcW w:w="80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29"/>
        </w:trPr>
        <w:tc>
          <w:tcPr>
            <w:tcW w:w="8020" w:type="dxa"/>
            <w:vAlign w:val="bottom"/>
          </w:tcPr>
          <w:p>
            <w:pPr>
              <w:ind w:left="220"/>
              <w:spacing w:after="0"/>
              <w:rPr>
                <w:sz w:val="20"/>
                <w:szCs w:val="20"/>
                <w:color w:val="auto"/>
              </w:rPr>
            </w:pPr>
            <w:r>
              <w:rPr>
                <w:rFonts w:ascii="Arial" w:cs="Arial" w:eastAsia="Arial" w:hAnsi="Arial"/>
                <w:sz w:val="18"/>
                <w:szCs w:val="18"/>
                <w:b w:val="1"/>
                <w:bCs w:val="1"/>
                <w:color w:val="auto"/>
              </w:rPr>
              <w:t>Service and non-service cost reconciliation</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FAS pension service cost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80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Less: CAS pension cost</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1,735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1,568</w:t>
            </w:r>
          </w:p>
        </w:tc>
      </w:tr>
      <w:tr>
        <w:trPr>
          <w:trHeight w:val="223"/>
        </w:trPr>
        <w:tc>
          <w:tcPr>
            <w:tcW w:w="80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FAS/CAS pension operating adjustment</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1,685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w:t>
            </w:r>
          </w:p>
        </w:tc>
      </w:tr>
      <w:tr>
        <w:trPr>
          <w:trHeight w:val="230"/>
        </w:trPr>
        <w:tc>
          <w:tcPr>
            <w:tcW w:w="80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Non-service FAS pension expense</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w:t>
            </w:r>
          </w:p>
        </w:tc>
      </w:tr>
      <w:tr>
        <w:trPr>
          <w:trHeight w:val="223"/>
        </w:trPr>
        <w:tc>
          <w:tcPr>
            <w:tcW w:w="80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FAS/CAS pension adjustment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1,365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r>
      <w:tr>
        <w:trPr>
          <w:trHeight w:val="230"/>
        </w:trPr>
        <w:tc>
          <w:tcPr>
            <w:tcW w:w="8020" w:type="dxa"/>
            <w:vAlign w:val="bottom"/>
          </w:tcPr>
          <w:p>
            <w:pPr>
              <w:ind w:left="340"/>
              <w:spacing w:after="0"/>
              <w:rPr>
                <w:sz w:val="20"/>
                <w:szCs w:val="20"/>
                <w:color w:val="auto"/>
              </w:rPr>
            </w:pPr>
            <w:r>
              <w:rPr>
                <w:rFonts w:ascii="Arial" w:cs="Arial" w:eastAsia="Arial" w:hAnsi="Arial"/>
                <w:sz w:val="18"/>
                <w:szCs w:val="18"/>
                <w:color w:val="auto"/>
              </w:rPr>
              <w:t>Less: pension settlement charge</w:t>
            </w:r>
          </w:p>
        </w:tc>
        <w:tc>
          <w:tcPr>
            <w:tcW w:w="28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479</w:t>
            </w:r>
          </w:p>
        </w:tc>
      </w:tr>
      <w:tr>
        <w:trPr>
          <w:trHeight w:val="248"/>
        </w:trPr>
        <w:tc>
          <w:tcPr>
            <w:tcW w:w="8020" w:type="dxa"/>
            <w:vAlign w:val="bottom"/>
            <w:tcBorders>
              <w:top w:val="single" w:sz="8" w:color="CCEEFF"/>
              <w:bottom w:val="single" w:sz="8" w:color="CCEEFF"/>
            </w:tcBorders>
            <w:shd w:val="clear" w:color="auto" w:fill="CCEEFF"/>
          </w:tcPr>
          <w:p>
            <w:pPr>
              <w:ind w:left="560"/>
              <w:spacing w:after="0" w:line="223" w:lineRule="exact"/>
              <w:rPr>
                <w:sz w:val="20"/>
                <w:szCs w:val="20"/>
                <w:color w:val="auto"/>
              </w:rPr>
            </w:pPr>
            <w:r>
              <w:rPr>
                <w:rFonts w:ascii="Arial" w:cs="Arial" w:eastAsia="Arial" w:hAnsi="Arial"/>
                <w:sz w:val="18"/>
                <w:szCs w:val="18"/>
                <w:color w:val="auto"/>
              </w:rPr>
              <w:t>Total FAS/CAS pension adjustment - adjusted</w:t>
            </w:r>
            <w:r>
              <w:rPr>
                <w:rFonts w:ascii="Arial" w:cs="Arial" w:eastAsia="Arial" w:hAnsi="Arial"/>
                <w:sz w:val="23"/>
                <w:szCs w:val="23"/>
                <w:color w:val="auto"/>
                <w:vertAlign w:val="superscript"/>
              </w:rPr>
              <w:t>1</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220" w:right="2320" w:hanging="194"/>
        <w:spacing w:after="0" w:line="204" w:lineRule="auto"/>
        <w:tabs>
          <w:tab w:leader="none" w:pos="220" w:val="left"/>
        </w:tabs>
        <w:numPr>
          <w:ilvl w:val="0"/>
          <w:numId w:val="11"/>
        </w:numPr>
        <w:rPr>
          <w:rFonts w:ascii="Arial" w:cs="Arial" w:eastAsia="Arial" w:hAnsi="Arial"/>
          <w:sz w:val="22"/>
          <w:szCs w:val="22"/>
          <w:color w:val="auto"/>
          <w:vertAlign w:val="superscript"/>
        </w:rPr>
      </w:pPr>
      <w:r>
        <w:rPr>
          <w:rFonts w:ascii="Arial" w:cs="Arial" w:eastAsia="Arial" w:hAnsi="Arial"/>
          <w:sz w:val="14"/>
          <w:szCs w:val="14"/>
          <w:color w:val="auto"/>
        </w:rPr>
        <w:t>The cost components in the table above relate only to the company's qualified defined benefit pension plans. The company recognized a noncash, non-operating pretax settlement charge of $479 million in the fourth quarter of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320" w:top="885" w:right="359" w:bottom="1440" w:gutter="0" w:footer="0" w:header="0"/>
        </w:sectPr>
      </w:pPr>
    </w:p>
    <w:bookmarkStart w:id="20" w:name="page21"/>
    <w:bookmarkEnd w:id="20"/>
    <w:p>
      <w:pPr>
        <w:spacing w:after="0"/>
        <w:rPr>
          <w:sz w:val="20"/>
          <w:szCs w:val="20"/>
          <w:color w:val="auto"/>
        </w:rPr>
      </w:pPr>
      <w:r>
        <w:rPr>
          <w:rFonts w:ascii="Arial" w:cs="Arial" w:eastAsia="Arial" w:hAnsi="Arial"/>
          <w:sz w:val="20"/>
          <w:szCs w:val="20"/>
          <w:b w:val="1"/>
          <w:bCs w:val="1"/>
          <w:color w:val="auto"/>
        </w:rPr>
        <w:t>Lockheed Martin Corporation</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Financial and Operating Information</w:t>
      </w:r>
    </w:p>
    <w:p>
      <w:pPr>
        <w:spacing w:after="0"/>
        <w:rPr>
          <w:sz w:val="20"/>
          <w:szCs w:val="20"/>
          <w:color w:val="auto"/>
        </w:rPr>
      </w:pPr>
      <w:r>
        <w:rPr>
          <w:rFonts w:ascii="Arial" w:cs="Arial" w:eastAsia="Arial" w:hAnsi="Arial"/>
          <w:sz w:val="20"/>
          <w:szCs w:val="20"/>
          <w:b w:val="1"/>
          <w:bCs w:val="1"/>
          <w:color w:val="auto"/>
        </w:rPr>
        <w:t>(unaudited; in millions, except for aircraft deliveries and weeks)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80" w:type="dxa"/>
            <w:vAlign w:val="bottom"/>
            <w:gridSpan w:val="2"/>
            <w:vMerge w:val="restart"/>
          </w:tcPr>
          <w:p>
            <w:pPr>
              <w:ind w:left="220"/>
              <w:spacing w:after="0"/>
              <w:rPr>
                <w:sz w:val="20"/>
                <w:szCs w:val="20"/>
                <w:color w:val="auto"/>
              </w:rPr>
            </w:pPr>
            <w:r>
              <w:rPr>
                <w:rFonts w:ascii="Arial" w:cs="Arial" w:eastAsia="Arial" w:hAnsi="Arial"/>
                <w:sz w:val="18"/>
                <w:szCs w:val="18"/>
                <w:b w:val="1"/>
                <w:bCs w:val="1"/>
                <w:color w:val="auto"/>
              </w:rPr>
              <w:t>Backlog</w:t>
            </w:r>
          </w:p>
        </w:tc>
        <w:tc>
          <w:tcPr>
            <w:tcW w:w="220" w:type="dxa"/>
            <w:vAlign w:val="bottom"/>
          </w:tcPr>
          <w:p>
            <w:pPr>
              <w:spacing w:after="0"/>
              <w:rPr>
                <w:sz w:val="17"/>
                <w:szCs w:val="17"/>
                <w:color w:val="auto"/>
              </w:rPr>
            </w:pPr>
          </w:p>
        </w:tc>
        <w:tc>
          <w:tcPr>
            <w:tcW w:w="1460" w:type="dxa"/>
            <w:vAlign w:val="bottom"/>
            <w:gridSpan w:val="4"/>
          </w:tcPr>
          <w:p>
            <w:pPr>
              <w:ind w:left="140"/>
              <w:spacing w:after="0"/>
              <w:rPr>
                <w:sz w:val="20"/>
                <w:szCs w:val="20"/>
                <w:color w:val="auto"/>
              </w:rPr>
            </w:pPr>
            <w:r>
              <w:rPr>
                <w:rFonts w:ascii="Arial" w:cs="Arial" w:eastAsia="Arial" w:hAnsi="Arial"/>
                <w:sz w:val="18"/>
                <w:szCs w:val="18"/>
                <w:b w:val="1"/>
                <w:bCs w:val="1"/>
                <w:color w:val="auto"/>
              </w:rPr>
              <w:t>March 29,</w:t>
            </w:r>
          </w:p>
        </w:tc>
        <w:tc>
          <w:tcPr>
            <w:tcW w:w="240" w:type="dxa"/>
            <w:vAlign w:val="bottom"/>
          </w:tcPr>
          <w:p>
            <w:pPr>
              <w:spacing w:after="0"/>
              <w:rPr>
                <w:sz w:val="17"/>
                <w:szCs w:val="17"/>
                <w:color w:val="auto"/>
              </w:rPr>
            </w:pPr>
          </w:p>
        </w:tc>
        <w:tc>
          <w:tcPr>
            <w:tcW w:w="1340" w:type="dxa"/>
            <w:vAlign w:val="bottom"/>
          </w:tcPr>
          <w:p>
            <w:pPr>
              <w:jc w:val="center"/>
              <w:ind w:right="130"/>
              <w:spacing w:after="0"/>
              <w:rPr>
                <w:sz w:val="20"/>
                <w:szCs w:val="20"/>
                <w:color w:val="auto"/>
              </w:rPr>
            </w:pPr>
            <w:r>
              <w:rPr>
                <w:rFonts w:ascii="Arial" w:cs="Arial" w:eastAsia="Arial" w:hAnsi="Arial"/>
                <w:sz w:val="18"/>
                <w:szCs w:val="18"/>
                <w:b w:val="1"/>
                <w:bCs w:val="1"/>
                <w:color w:val="auto"/>
                <w:w w:val="99"/>
              </w:rPr>
              <w:t>Dec. 31,</w:t>
            </w:r>
          </w:p>
        </w:tc>
        <w:tc>
          <w:tcPr>
            <w:tcW w:w="0" w:type="dxa"/>
            <w:vAlign w:val="bottom"/>
          </w:tcPr>
          <w:p>
            <w:pPr>
              <w:spacing w:after="0"/>
              <w:rPr>
                <w:sz w:val="1"/>
                <w:szCs w:val="1"/>
                <w:color w:val="auto"/>
              </w:rPr>
            </w:pPr>
          </w:p>
        </w:tc>
      </w:tr>
      <w:tr>
        <w:trPr>
          <w:trHeight w:val="243"/>
        </w:trPr>
        <w:tc>
          <w:tcPr>
            <w:tcW w:w="7980" w:type="dxa"/>
            <w:vAlign w:val="bottom"/>
            <w:tcBorders>
              <w:bottom w:val="single" w:sz="8" w:color="CCEEFF"/>
            </w:tcBorders>
            <w:gridSpan w:val="2"/>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2026</w:t>
            </w: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9"/>
              </w:rPr>
              <w:t>2025</w:t>
            </w:r>
          </w:p>
        </w:tc>
        <w:tc>
          <w:tcPr>
            <w:tcW w:w="0" w:type="dxa"/>
            <w:vAlign w:val="bottom"/>
          </w:tcPr>
          <w:p>
            <w:pPr>
              <w:spacing w:after="0"/>
              <w:rPr>
                <w:sz w:val="1"/>
                <w:szCs w:val="1"/>
                <w:color w:val="auto"/>
              </w:rPr>
            </w:pPr>
          </w:p>
        </w:tc>
      </w:tr>
      <w:tr>
        <w:trPr>
          <w:trHeight w:val="223"/>
        </w:trPr>
        <w:tc>
          <w:tcPr>
            <w:tcW w:w="7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Aeronautics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55,032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59,435</w:t>
            </w:r>
          </w:p>
        </w:tc>
        <w:tc>
          <w:tcPr>
            <w:tcW w:w="0" w:type="dxa"/>
            <w:vAlign w:val="bottom"/>
          </w:tcPr>
          <w:p>
            <w:pPr>
              <w:spacing w:after="0"/>
              <w:rPr>
                <w:sz w:val="1"/>
                <w:szCs w:val="1"/>
                <w:color w:val="auto"/>
              </w:rPr>
            </w:pPr>
          </w:p>
        </w:tc>
      </w:tr>
      <w:tr>
        <w:trPr>
          <w:trHeight w:val="229"/>
        </w:trPr>
        <w:tc>
          <w:tcPr>
            <w:tcW w:w="7980" w:type="dxa"/>
            <w:vAlign w:val="bottom"/>
            <w:gridSpan w:val="2"/>
          </w:tcPr>
          <w:p>
            <w:pPr>
              <w:ind w:left="220"/>
              <w:spacing w:after="0"/>
              <w:rPr>
                <w:sz w:val="20"/>
                <w:szCs w:val="20"/>
                <w:color w:val="auto"/>
              </w:rPr>
            </w:pPr>
            <w:r>
              <w:rPr>
                <w:rFonts w:ascii="Arial" w:cs="Arial" w:eastAsia="Arial" w:hAnsi="Arial"/>
                <w:sz w:val="18"/>
                <w:szCs w:val="18"/>
                <w:color w:val="auto"/>
              </w:rPr>
              <w:t>Missiles and Fire Control</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46,565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46,650</w:t>
            </w:r>
          </w:p>
        </w:tc>
        <w:tc>
          <w:tcPr>
            <w:tcW w:w="0" w:type="dxa"/>
            <w:vAlign w:val="bottom"/>
          </w:tcPr>
          <w:p>
            <w:pPr>
              <w:spacing w:after="0"/>
              <w:rPr>
                <w:sz w:val="1"/>
                <w:szCs w:val="1"/>
                <w:color w:val="auto"/>
              </w:rPr>
            </w:pPr>
          </w:p>
        </w:tc>
      </w:tr>
      <w:tr>
        <w:trPr>
          <w:trHeight w:val="230"/>
        </w:trPr>
        <w:tc>
          <w:tcPr>
            <w:tcW w:w="7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Rotary and Mission Systems</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45,840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47,715</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Space</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38,990</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39,822</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Total backlog</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186,427</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193,622</w:t>
            </w: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79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6"/>
          </w:tcPr>
          <w:p>
            <w:pPr>
              <w:jc w:val="right"/>
              <w:ind w:right="890"/>
              <w:spacing w:after="0"/>
              <w:rPr>
                <w:sz w:val="20"/>
                <w:szCs w:val="20"/>
                <w:color w:val="auto"/>
              </w:rPr>
            </w:pPr>
            <w:r>
              <w:rPr>
                <w:rFonts w:ascii="Arial" w:cs="Arial" w:eastAsia="Arial" w:hAnsi="Arial"/>
                <w:sz w:val="18"/>
                <w:szCs w:val="18"/>
                <w:b w:val="1"/>
                <w:bCs w:val="1"/>
                <w:color w:val="auto"/>
              </w:rPr>
              <w:t>Quarters Ended</w:t>
            </w:r>
          </w:p>
        </w:tc>
        <w:tc>
          <w:tcPr>
            <w:tcW w:w="0" w:type="dxa"/>
            <w:vAlign w:val="bottom"/>
          </w:tcPr>
          <w:p>
            <w:pPr>
              <w:spacing w:after="0"/>
              <w:rPr>
                <w:sz w:val="1"/>
                <w:szCs w:val="1"/>
                <w:color w:val="auto"/>
              </w:rPr>
            </w:pPr>
          </w:p>
        </w:tc>
      </w:tr>
      <w:tr>
        <w:trPr>
          <w:trHeight w:val="177"/>
        </w:trPr>
        <w:tc>
          <w:tcPr>
            <w:tcW w:w="798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Aircraft Deliveries</w:t>
            </w:r>
          </w:p>
        </w:tc>
        <w:tc>
          <w:tcPr>
            <w:tcW w:w="220" w:type="dxa"/>
            <w:vAlign w:val="bottom"/>
          </w:tcPr>
          <w:p>
            <w:pPr>
              <w:spacing w:after="0"/>
              <w:rPr>
                <w:sz w:val="15"/>
                <w:szCs w:val="15"/>
                <w:color w:val="auto"/>
              </w:rPr>
            </w:pPr>
          </w:p>
        </w:tc>
        <w:tc>
          <w:tcPr>
            <w:tcW w:w="1460" w:type="dxa"/>
            <w:vAlign w:val="bottom"/>
            <w:gridSpan w:val="4"/>
          </w:tcPr>
          <w:p>
            <w:pPr>
              <w:ind w:left="100"/>
              <w:spacing w:after="0" w:line="177" w:lineRule="exact"/>
              <w:rPr>
                <w:sz w:val="20"/>
                <w:szCs w:val="20"/>
                <w:color w:val="auto"/>
              </w:rPr>
            </w:pPr>
            <w:r>
              <w:rPr>
                <w:rFonts w:ascii="Arial" w:cs="Arial" w:eastAsia="Arial" w:hAnsi="Arial"/>
                <w:sz w:val="18"/>
                <w:szCs w:val="18"/>
                <w:b w:val="1"/>
                <w:bCs w:val="1"/>
                <w:color w:val="auto"/>
              </w:rPr>
              <w:t>March 29,</w:t>
            </w:r>
          </w:p>
        </w:tc>
        <w:tc>
          <w:tcPr>
            <w:tcW w:w="240" w:type="dxa"/>
            <w:vAlign w:val="bottom"/>
          </w:tcPr>
          <w:p>
            <w:pPr>
              <w:spacing w:after="0"/>
              <w:rPr>
                <w:sz w:val="15"/>
                <w:szCs w:val="15"/>
                <w:color w:val="auto"/>
              </w:rPr>
            </w:pPr>
          </w:p>
        </w:tc>
        <w:tc>
          <w:tcPr>
            <w:tcW w:w="1340" w:type="dxa"/>
            <w:vAlign w:val="bottom"/>
          </w:tcPr>
          <w:p>
            <w:pPr>
              <w:jc w:val="center"/>
              <w:ind w:right="170"/>
              <w:spacing w:after="0" w:line="177" w:lineRule="exact"/>
              <w:rPr>
                <w:sz w:val="20"/>
                <w:szCs w:val="20"/>
                <w:color w:val="auto"/>
              </w:rPr>
            </w:pPr>
            <w:r>
              <w:rPr>
                <w:rFonts w:ascii="Arial" w:cs="Arial" w:eastAsia="Arial" w:hAnsi="Arial"/>
                <w:sz w:val="18"/>
                <w:szCs w:val="18"/>
                <w:b w:val="1"/>
                <w:bCs w:val="1"/>
                <w:color w:val="auto"/>
              </w:rPr>
              <w:t>March 30,</w:t>
            </w:r>
          </w:p>
        </w:tc>
        <w:tc>
          <w:tcPr>
            <w:tcW w:w="0" w:type="dxa"/>
            <w:vAlign w:val="bottom"/>
          </w:tcPr>
          <w:p>
            <w:pPr>
              <w:spacing w:after="0"/>
              <w:rPr>
                <w:sz w:val="1"/>
                <w:szCs w:val="1"/>
                <w:color w:val="auto"/>
              </w:rPr>
            </w:pPr>
          </w:p>
        </w:tc>
      </w:tr>
      <w:tr>
        <w:trPr>
          <w:trHeight w:val="235"/>
        </w:trPr>
        <w:tc>
          <w:tcPr>
            <w:tcW w:w="798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ind w:right="510"/>
              <w:spacing w:after="0"/>
              <w:rPr>
                <w:sz w:val="20"/>
                <w:szCs w:val="20"/>
                <w:color w:val="auto"/>
              </w:rPr>
            </w:pPr>
            <w:r>
              <w:rPr>
                <w:rFonts w:ascii="Arial" w:cs="Arial" w:eastAsia="Arial" w:hAnsi="Arial"/>
                <w:sz w:val="18"/>
                <w:szCs w:val="18"/>
                <w:b w:val="1"/>
                <w:bCs w:val="1"/>
                <w:color w:val="auto"/>
              </w:rPr>
              <w:t>2026</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center"/>
              <w:ind w:right="170"/>
              <w:spacing w:after="0"/>
              <w:rPr>
                <w:sz w:val="20"/>
                <w:szCs w:val="20"/>
                <w:color w:val="auto"/>
              </w:rPr>
            </w:pPr>
            <w:r>
              <w:rPr>
                <w:rFonts w:ascii="Arial" w:cs="Arial" w:eastAsia="Arial" w:hAnsi="Arial"/>
                <w:sz w:val="18"/>
                <w:szCs w:val="18"/>
                <w:b w:val="1"/>
                <w:bCs w:val="1"/>
                <w:color w:val="auto"/>
                <w:w w:val="99"/>
              </w:rPr>
              <w:t>2025</w:t>
            </w:r>
          </w:p>
        </w:tc>
        <w:tc>
          <w:tcPr>
            <w:tcW w:w="0" w:type="dxa"/>
            <w:vAlign w:val="bottom"/>
          </w:tcPr>
          <w:p>
            <w:pPr>
              <w:spacing w:after="0"/>
              <w:rPr>
                <w:sz w:val="1"/>
                <w:szCs w:val="1"/>
                <w:color w:val="auto"/>
              </w:rPr>
            </w:pPr>
          </w:p>
        </w:tc>
      </w:tr>
      <w:tr>
        <w:trPr>
          <w:trHeight w:val="223"/>
        </w:trPr>
        <w:tc>
          <w:tcPr>
            <w:tcW w:w="79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F-35</w:t>
            </w:r>
          </w:p>
        </w:tc>
        <w:tc>
          <w:tcPr>
            <w:tcW w:w="6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9"/>
        </w:trPr>
        <w:tc>
          <w:tcPr>
            <w:tcW w:w="7980" w:type="dxa"/>
            <w:vAlign w:val="bottom"/>
            <w:gridSpan w:val="2"/>
          </w:tcPr>
          <w:p>
            <w:pPr>
              <w:ind w:left="160"/>
              <w:spacing w:after="0"/>
              <w:rPr>
                <w:sz w:val="20"/>
                <w:szCs w:val="20"/>
                <w:color w:val="auto"/>
              </w:rPr>
            </w:pPr>
            <w:r>
              <w:rPr>
                <w:rFonts w:ascii="Arial" w:cs="Arial" w:eastAsia="Arial" w:hAnsi="Arial"/>
                <w:sz w:val="18"/>
                <w:szCs w:val="18"/>
                <w:color w:val="auto"/>
              </w:rPr>
              <w:t>F-16</w:t>
            </w:r>
          </w:p>
        </w:tc>
        <w:tc>
          <w:tcPr>
            <w:tcW w:w="220" w:type="dxa"/>
            <w:vAlign w:val="bottom"/>
          </w:tcPr>
          <w:p>
            <w:pPr>
              <w:spacing w:after="0"/>
              <w:rPr>
                <w:sz w:val="19"/>
                <w:szCs w:val="19"/>
                <w:color w:val="auto"/>
              </w:rPr>
            </w:pPr>
          </w:p>
        </w:tc>
        <w:tc>
          <w:tcPr>
            <w:tcW w:w="146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7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C-130J</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7980" w:type="dxa"/>
            <w:vAlign w:val="bottom"/>
            <w:gridSpan w:val="2"/>
          </w:tcPr>
          <w:p>
            <w:pPr>
              <w:ind w:left="160"/>
              <w:spacing w:after="0"/>
              <w:rPr>
                <w:sz w:val="20"/>
                <w:szCs w:val="20"/>
                <w:color w:val="auto"/>
              </w:rPr>
            </w:pPr>
            <w:r>
              <w:rPr>
                <w:rFonts w:ascii="Arial" w:cs="Arial" w:eastAsia="Arial" w:hAnsi="Arial"/>
                <w:sz w:val="18"/>
                <w:szCs w:val="18"/>
                <w:color w:val="auto"/>
              </w:rPr>
              <w:t>Government helicopter programs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7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Commercial helicopter programs</w:t>
            </w:r>
          </w:p>
        </w:tc>
        <w:tc>
          <w:tcPr>
            <w:tcW w:w="220" w:type="dxa"/>
            <w:vAlign w:val="bottom"/>
            <w:shd w:val="clear" w:color="auto" w:fill="CCEEFF"/>
          </w:tcPr>
          <w:p>
            <w:pPr>
              <w:spacing w:after="0"/>
              <w:rPr>
                <w:sz w:val="19"/>
                <w:szCs w:val="19"/>
                <w:color w:val="auto"/>
              </w:rPr>
            </w:pPr>
          </w:p>
        </w:tc>
        <w:tc>
          <w:tcPr>
            <w:tcW w:w="14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322"/>
        </w:trPr>
        <w:tc>
          <w:tcPr>
            <w:tcW w:w="8020" w:type="dxa"/>
            <w:vAlign w:val="bottom"/>
            <w:tcBorders>
              <w:bottom w:val="single" w:sz="8" w:color="CCEEFF"/>
            </w:tcBorders>
          </w:tcPr>
          <w:p>
            <w:pPr>
              <w:ind w:left="200"/>
              <w:spacing w:after="0"/>
              <w:rPr>
                <w:sz w:val="20"/>
                <w:szCs w:val="20"/>
                <w:color w:val="auto"/>
              </w:rPr>
            </w:pPr>
            <w:r>
              <w:rPr>
                <w:rFonts w:ascii="Arial" w:cs="Arial" w:eastAsia="Arial" w:hAnsi="Arial"/>
                <w:sz w:val="18"/>
                <w:szCs w:val="18"/>
                <w:b w:val="1"/>
                <w:bCs w:val="1"/>
                <w:color w:val="auto"/>
              </w:rPr>
              <w:t>Number of Weeks in Reporting Period</w:t>
            </w:r>
            <w:r>
              <w:rPr>
                <w:rFonts w:ascii="Arial" w:cs="Arial" w:eastAsia="Arial" w:hAnsi="Arial"/>
                <w:sz w:val="28"/>
                <w:szCs w:val="28"/>
                <w:color w:val="auto"/>
                <w:vertAlign w:val="superscript"/>
              </w:rPr>
              <w:t>1</w:t>
            </w:r>
          </w:p>
        </w:tc>
        <w:tc>
          <w:tcPr>
            <w:tcW w:w="15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bottom w:val="single" w:sz="8" w:color="CCEEFF"/>
            </w:tcBorders>
          </w:tcPr>
          <w:p>
            <w:pPr>
              <w:spacing w:after="0"/>
              <w:rPr>
                <w:sz w:val="24"/>
                <w:szCs w:val="24"/>
                <w:color w:val="auto"/>
              </w:rPr>
            </w:pPr>
          </w:p>
        </w:tc>
        <w:tc>
          <w:tcPr>
            <w:tcW w:w="15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2025</w:t>
            </w:r>
          </w:p>
        </w:tc>
      </w:tr>
      <w:tr>
        <w:trPr>
          <w:trHeight w:val="223"/>
        </w:trPr>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First quarter</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r>
      <w:tr>
        <w:trPr>
          <w:trHeight w:val="230"/>
        </w:trPr>
        <w:tc>
          <w:tcPr>
            <w:tcW w:w="8020" w:type="dxa"/>
            <w:vAlign w:val="bottom"/>
          </w:tcPr>
          <w:p>
            <w:pPr>
              <w:ind w:left="200"/>
              <w:spacing w:after="0"/>
              <w:rPr>
                <w:sz w:val="20"/>
                <w:szCs w:val="20"/>
                <w:color w:val="auto"/>
              </w:rPr>
            </w:pPr>
            <w:r>
              <w:rPr>
                <w:rFonts w:ascii="Arial" w:cs="Arial" w:eastAsia="Arial" w:hAnsi="Arial"/>
                <w:sz w:val="18"/>
                <w:szCs w:val="18"/>
                <w:color w:val="auto"/>
              </w:rPr>
              <w:t>Second quarter</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13</w:t>
            </w:r>
          </w:p>
        </w:tc>
      </w:tr>
      <w:tr>
        <w:trPr>
          <w:trHeight w:val="230"/>
        </w:trPr>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Third quarter</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r>
      <w:tr>
        <w:trPr>
          <w:trHeight w:val="247"/>
        </w:trPr>
        <w:tc>
          <w:tcPr>
            <w:tcW w:w="8020" w:type="dxa"/>
            <w:vAlign w:val="bottom"/>
          </w:tcPr>
          <w:p>
            <w:pPr>
              <w:ind w:left="200"/>
              <w:spacing w:after="0"/>
              <w:rPr>
                <w:sz w:val="20"/>
                <w:szCs w:val="20"/>
                <w:color w:val="auto"/>
              </w:rPr>
            </w:pPr>
            <w:r>
              <w:rPr>
                <w:rFonts w:ascii="Arial" w:cs="Arial" w:eastAsia="Arial" w:hAnsi="Arial"/>
                <w:sz w:val="18"/>
                <w:szCs w:val="18"/>
                <w:color w:val="auto"/>
              </w:rPr>
              <w:t>Fourth quarter</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13</w:t>
            </w:r>
          </w:p>
        </w:tc>
      </w:tr>
    </w:tbl>
    <w:p>
      <w:pPr>
        <w:spacing w:after="0" w:line="54" w:lineRule="exact"/>
        <w:rPr>
          <w:sz w:val="20"/>
          <w:szCs w:val="20"/>
          <w:color w:val="auto"/>
        </w:rPr>
      </w:pPr>
    </w:p>
    <w:p>
      <w:pPr>
        <w:ind w:left="200" w:right="60" w:hanging="174"/>
        <w:spacing w:after="0" w:line="204" w:lineRule="auto"/>
        <w:tabs>
          <w:tab w:leader="none" w:pos="200" w:val="left"/>
        </w:tabs>
        <w:numPr>
          <w:ilvl w:val="0"/>
          <w:numId w:val="12"/>
        </w:numPr>
        <w:rPr>
          <w:rFonts w:ascii="Arial" w:cs="Arial" w:eastAsia="Arial" w:hAnsi="Arial"/>
          <w:sz w:val="22"/>
          <w:szCs w:val="22"/>
          <w:color w:val="auto"/>
          <w:vertAlign w:val="superscript"/>
        </w:rPr>
      </w:pPr>
      <w:r>
        <w:rPr>
          <w:rFonts w:ascii="Arial" w:cs="Arial" w:eastAsia="Arial" w:hAnsi="Arial"/>
          <w:sz w:val="14"/>
          <w:szCs w:val="14"/>
          <w:color w:val="auto"/>
        </w:rPr>
        <w:t>Calendar quarters are typically comprised of 13 weeks. However, the company closes its books and records on the last Sunday of each month, except for the month of Dec., as its fiscal year ends on Dec. 31. As a result, the number of weeks in a reporting quarter may vary slightly during the year and for comparable prior year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sectPr>
      <w:pgSz w:w="11900" w:h="16838" w:orient="portrait"/>
      <w:cols w:equalWidth="0" w:num="1">
        <w:col w:w="11240"/>
      </w:cols>
      <w:pgMar w:left="320" w:top="92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bullet"/>
      <w:start w:val="1"/>
    </w:lvl>
  </w:abstractNum>
  <w:abstractNum w:abstractNumId="3">
    <w:nsid w:val="7545E146"/>
    <w:multiLevelType w:val="hybridMultilevel"/>
    <w:lvl w:ilvl="0">
      <w:lvlJc w:val="left"/>
      <w:lvlText w:val="2"/>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bullet"/>
      <w:start w:val="1"/>
    </w:lvl>
  </w:abstractNum>
  <w:abstractNum w:abstractNumId="6">
    <w:nsid w:val="12200854"/>
    <w:multiLevelType w:val="hybridMultilevel"/>
    <w:lvl w:ilvl="0">
      <w:lvlJc w:val="left"/>
      <w:lvlText w:val="1"/>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1"/>
      <w:numFmt w:val="bullet"/>
      <w:start w:val="1"/>
    </w:lvl>
  </w:abstractNum>
  <w:abstractNum w:abstractNumId="10">
    <w:nsid w:val="1190CDE7"/>
    <w:multiLevelType w:val="hybridMultilevel"/>
    <w:lvl w:ilvl="0">
      <w:lvlJc w:val="left"/>
      <w:lvlText w:val="1"/>
      <w:numFmt w:val="bullet"/>
      <w:start w:val="1"/>
    </w:lvl>
  </w:abstractNum>
  <w:abstractNum w:abstractNumId="11">
    <w:nsid w:val="66EF438D"/>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2026-04-23T05:37:32Z</dcterms:created>
  <dcterms:modified xsi:type="dcterms:W3CDTF">2026-04-23T05:37:32Z</dcterms:modified>
</cp:coreProperties>
</file>