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BURRITT DAVID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6801 ROCKLEDGE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LOCKHEED MARTIN CORP</w:t>
              </w:r>
            </w:hyperlink>
            <w:r>
              <w:rPr/>
              <w:t xml:space="preserve"> [ </w:t>
            </w:r>
            <w:r>
              <w:rPr>
                <w:rFonts w:ascii="Times;serif" w:hAnsi="Times;serif"/>
                <w:color w:val="0000FF"/>
                <w:sz w:val="24"/>
                <w:shd w:fill="FFFFFF" w:val="clear"/>
              </w:rPr>
              <w:t>LMT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5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276"/>
        <w:gridCol w:w="906"/>
        <w:gridCol w:w="801"/>
        <w:gridCol w:w="891"/>
        <w:gridCol w:w="1341"/>
        <w:gridCol w:w="801"/>
        <w:gridCol w:w="1236"/>
        <w:gridCol w:w="831"/>
        <w:gridCol w:w="966"/>
      </w:tblGrid>
      <w:tr>
        <w:trPr>
          <w:tblHeader w:val="true"/>
        </w:trPr>
        <w:tc>
          <w:tcPr>
            <w:tcW w:w="131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2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83.4216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83.4216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11,473.2749</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Lockheed Martin Directors Deferred Comp Plan</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14,183.9226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14,183.9226</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Lockheed Martin Directors Equity Plan</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stock units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information pertains to phantom stock units acquired at $509.46 per share through director retainer fee deferral under the Lockheed Martin Corporation Directors Deferred Compensation Plan exempt under Section 16(b). Units are settled in cash upon the reporting person's retirement or termination of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Holdings as of reportable transaction date include additional acquisitions through dividend reinvestment.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information pertains to previously acquired stock units under the Lockheed Martin Corporation Amended and Restated Directors Equity Plan exempt under Section 16(b). Settlement in cash or stock (as elected by the director) will occur upon the reporting person's retirement or termination of service, except that non-employee directors who have satisfied our stock ownership guidelines may elect to have payment of awards granted on or after January 1, 2018 (together with any dividend equivalents thereon) made on the first business day of April following vesting of the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B. Burritt, by Lynda M. Noggle,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4586" TargetMode="External"/><Relationship Id="rId5" Type="http://schemas.openxmlformats.org/officeDocument/2006/relationships/hyperlink" Target="http://www.sec.gov/cgi-bin/browse-edgar?action=getcompany&amp;CIK=00009364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4136</Characters>
  <CharactersWithSpaces>4812</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