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9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TAICLET JAMES D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6801 ROCKLEDGE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LOCKHEED MARTIN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LMT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Chairman, 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36,714.939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479.49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24,526.939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Lockheed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Martin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42.1247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Salaried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upon settlement of performance stock units granted on July 27, 2020, following the end of a three-year performance period 2020-2022 (Performance Cycle). The amount earned during the Performance Cycle is based on the satisfaction of performance against three separate financial metrics.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 to the Issuer of shares to satisfy the reporting person's tax withholding obligation upon vesting and settlement of stock units which is exempt under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Holdings as of reportable transaction date include additional acquisitions through dividend reinvestment.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Holdings as of reportable transaction date include acquisitions under the company's 401(k) plan.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James D. Taiclet, by Kerri R.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03/01/2023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-28575</wp:posOffset>
            </wp:positionV>
            <wp:extent cx="12814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Morey,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560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18672" TargetMode="External"/><Relationship Id="rId13" Type="http://schemas.openxmlformats.org/officeDocument/2006/relationships/hyperlink" Target="http://www.sec.gov/cgi-bin/browse-edgar?action=getcompany&amp;CIK=0000936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2023-03-01T20:24:43Z</dcterms:created>
  <dcterms:modified xsi:type="dcterms:W3CDTF">2023-03-01T20:24:43Z</dcterms:modified>
</cp:coreProperties>
</file>