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80"/>
        <w:spacing w:after="0" w:line="231"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36195</wp:posOffset>
            </wp:positionH>
            <wp:positionV relativeFrom="paragraph">
              <wp:posOffset>-235585</wp:posOffset>
            </wp:positionV>
            <wp:extent cx="132715" cy="132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715" cy="13271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7"/>
        </w:trPr>
        <w:tc>
          <w:tcPr>
            <w:tcW w:w="6480" w:type="dxa"/>
            <w:vAlign w:val="bottom"/>
          </w:tcPr>
          <w:p>
            <w:pPr>
              <w:jc w:val="center"/>
              <w:ind w:right="27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440" w:type="dxa"/>
            <w:vAlign w:val="bottom"/>
            <w:tcBorders>
              <w:bottom w:val="single" w:sz="8" w:color="808080"/>
            </w:tcBorders>
          </w:tcPr>
          <w:p>
            <w:pPr>
              <w:spacing w:after="0"/>
              <w:rPr>
                <w:sz w:val="23"/>
                <w:szCs w:val="23"/>
                <w:color w:val="auto"/>
              </w:rPr>
            </w:pPr>
          </w:p>
        </w:tc>
        <w:tc>
          <w:tcPr>
            <w:tcW w:w="6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480" w:type="dxa"/>
            <w:vAlign w:val="bottom"/>
            <w:vMerge w:val="restart"/>
          </w:tcPr>
          <w:p>
            <w:pPr>
              <w:jc w:val="center"/>
              <w:ind w:right="295"/>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4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7"/>
        </w:trPr>
        <w:tc>
          <w:tcPr>
            <w:tcW w:w="6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480" w:type="dxa"/>
            <w:vAlign w:val="bottom"/>
            <w:vMerge w:val="restart"/>
          </w:tcPr>
          <w:p>
            <w:pPr>
              <w:jc w:val="center"/>
              <w:ind w:right="275"/>
              <w:spacing w:after="0" w:line="192" w:lineRule="exact"/>
              <w:rPr>
                <w:sz w:val="20"/>
                <w:szCs w:val="20"/>
                <w:color w:val="auto"/>
              </w:rPr>
            </w:pPr>
            <w:r>
              <w:rPr>
                <w:rFonts w:ascii="Arial" w:cs="Arial" w:eastAsia="Arial" w:hAnsi="Arial"/>
                <w:sz w:val="21"/>
                <w:szCs w:val="21"/>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44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0"/>
        </w:trPr>
        <w:tc>
          <w:tcPr>
            <w:tcW w:w="64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4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640" w:type="dxa"/>
            <w:vAlign w:val="bottom"/>
            <w:vMerge w:val="restart"/>
          </w:tcPr>
          <w:p>
            <w:pPr>
              <w:jc w:val="right"/>
              <w:ind w:right="21"/>
              <w:spacing w:after="0"/>
              <w:rPr>
                <w:sz w:val="20"/>
                <w:szCs w:val="20"/>
                <w:color w:val="auto"/>
              </w:rPr>
            </w:pPr>
            <w:r>
              <w:rPr>
                <w:rFonts w:ascii="Arial" w:cs="Arial" w:eastAsia="Arial" w:hAnsi="Arial"/>
                <w:sz w:val="12"/>
                <w:szCs w:val="12"/>
                <w:color w:val="auto"/>
                <w:w w:val="94"/>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4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4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6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w w:val="96"/>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480" w:type="dxa"/>
            <w:vAlign w:val="bottom"/>
            <w:vMerge w:val="restart"/>
          </w:tcPr>
          <w:p>
            <w:pPr>
              <w:jc w:val="center"/>
              <w:ind w:right="27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64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4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4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5434965</wp:posOffset>
            </wp:positionH>
            <wp:positionV relativeFrom="paragraph">
              <wp:posOffset>-635000</wp:posOffset>
            </wp:positionV>
            <wp:extent cx="58420" cy="6483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8335"/>
                    </a:xfrm>
                    <a:prstGeom prst="rect">
                      <a:avLst/>
                    </a:prstGeom>
                    <a:noFill/>
                  </pic:spPr>
                </pic:pic>
              </a:graphicData>
            </a:graphic>
          </wp:anchor>
        </w:drawing>
        <w:drawing>
          <wp:anchor simplePos="0" relativeHeight="251657728" behindDoc="1" locked="0" layoutInCell="0" allowOverlap="1">
            <wp:simplePos x="0" y="0"/>
            <wp:positionH relativeFrom="column">
              <wp:posOffset>4097655</wp:posOffset>
            </wp:positionH>
            <wp:positionV relativeFrom="paragraph">
              <wp:posOffset>-635000</wp:posOffset>
            </wp:positionV>
            <wp:extent cx="58420" cy="6483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833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-1748790</wp:posOffset>
            </wp:positionH>
            <wp:positionV relativeFrom="paragraph">
              <wp:posOffset>17145</wp:posOffset>
            </wp:positionV>
            <wp:extent cx="7324725" cy="43446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725" cy="4344670"/>
                    </a:xfrm>
                    <a:prstGeom prst="rect">
                      <a:avLst/>
                    </a:prstGeom>
                    <a:noFill/>
                  </pic:spPr>
                </pic:pic>
              </a:graphicData>
            </a:graphic>
          </wp:anchor>
        </w:drawing>
      </w:r>
    </w:p>
    <w:p>
      <w:pPr>
        <w:spacing w:after="0" w:line="103" w:lineRule="exact"/>
        <w:rPr>
          <w:sz w:val="24"/>
          <w:szCs w:val="24"/>
          <w:color w:val="auto"/>
        </w:rPr>
      </w:pPr>
    </w:p>
    <w:p>
      <w:pPr>
        <w:sectPr>
          <w:pgSz w:w="11900" w:h="16838" w:orient="portrait"/>
          <w:cols w:equalWidth="0" w:num="2">
            <w:col w:w="2300" w:space="440"/>
            <w:col w:w="8780"/>
          </w:cols>
          <w:pgMar w:left="240" w:top="223"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STEVENS ANNE</w:t>
        </w:r>
      </w:hyperlink>
    </w:p>
    <w:p>
      <w:pPr>
        <w:spacing w:after="0" w:line="311"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5"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6801 ROCKLEDGE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8"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LOCKHEED MARTIN CORP</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LMT</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29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02/01/2016</w:t>
      </w:r>
    </w:p>
    <w:p>
      <w:pPr>
        <w:spacing w:after="0" w:line="20" w:lineRule="exact"/>
        <w:rPr>
          <w:sz w:val="24"/>
          <w:szCs w:val="24"/>
          <w:color w:val="auto"/>
        </w:rPr>
      </w:pPr>
      <w:r>
        <w:rPr>
          <w:sz w:val="24"/>
          <w:szCs w:val="24"/>
          <w:color w:val="auto"/>
        </w:rPr>
        <w:br w:type="column"/>
      </w:r>
    </w:p>
    <w:p>
      <w:pPr>
        <w:spacing w:after="0" w:line="2" w:lineRule="exact"/>
        <w:rPr>
          <w:sz w:val="24"/>
          <w:szCs w:val="24"/>
          <w:color w:val="auto"/>
        </w:rPr>
      </w:pPr>
    </w:p>
    <w:p>
      <w:pPr>
        <w:ind w:left="4" w:right="720" w:hanging="4"/>
        <w:spacing w:after="0" w:line="242" w:lineRule="auto"/>
        <w:tabs>
          <w:tab w:leader="none" w:pos="15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4"/>
        <w:spacing w:after="0"/>
        <w:tabs>
          <w:tab w:leader="none" w:pos="524" w:val="left"/>
          <w:tab w:leader="none" w:pos="2164"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08" w:lineRule="exact"/>
        <w:rPr>
          <w:sz w:val="24"/>
          <w:szCs w:val="24"/>
          <w:color w:val="auto"/>
        </w:rPr>
      </w:pPr>
    </w:p>
    <w:p>
      <w:pPr>
        <w:jc w:val="right"/>
        <w:ind w:right="48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44"/>
        <w:spacing w:after="0"/>
        <w:tabs>
          <w:tab w:leader="none" w:pos="21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07" w:lineRule="exact"/>
        <w:rPr>
          <w:sz w:val="24"/>
          <w:szCs w:val="24"/>
          <w:color w:val="auto"/>
        </w:rPr>
      </w:pPr>
    </w:p>
    <w:p>
      <w:pPr>
        <w:sectPr>
          <w:pgSz w:w="11900" w:h="16838" w:orient="portrait"/>
          <w:cols w:equalWidth="0" w:num="3">
            <w:col w:w="3340" w:space="720"/>
            <w:col w:w="3256" w:space="720"/>
            <w:col w:w="3484"/>
          </w:cols>
          <w:pgMar w:left="240" w:top="223" w:right="139" w:bottom="1440" w:gutter="0" w:footer="0" w:header="0"/>
          <w:type w:val="continuous"/>
        </w:sectPr>
      </w:pPr>
    </w:p>
    <w:p>
      <w:pPr>
        <w:spacing w:after="0" w:line="241"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4"/>
        </w:trPr>
        <w:tc>
          <w:tcPr>
            <w:tcW w:w="20" w:type="dxa"/>
            <w:vAlign w:val="bottom"/>
          </w:tcPr>
          <w:p>
            <w:pPr>
              <w:spacing w:after="0"/>
              <w:rPr>
                <w:sz w:val="20"/>
                <w:szCs w:val="20"/>
                <w:color w:val="auto"/>
              </w:rPr>
            </w:pPr>
          </w:p>
        </w:tc>
        <w:tc>
          <w:tcPr>
            <w:tcW w:w="1100" w:type="dxa"/>
            <w:vAlign w:val="bottom"/>
          </w:tcPr>
          <w:p>
            <w:pPr>
              <w:ind w:left="20"/>
              <w:spacing w:after="0"/>
              <w:rPr>
                <w:sz w:val="20"/>
                <w:szCs w:val="20"/>
                <w:color w:val="auto"/>
              </w:rPr>
            </w:pPr>
            <w:r>
              <w:rPr>
                <w:rFonts w:ascii="Arial" w:cs="Arial" w:eastAsia="Arial" w:hAnsi="Arial"/>
                <w:sz w:val="17"/>
                <w:szCs w:val="17"/>
                <w:color w:val="0000FF"/>
              </w:rPr>
              <w:t>BETHESDA</w:t>
            </w:r>
          </w:p>
        </w:tc>
        <w:tc>
          <w:tcPr>
            <w:tcW w:w="1020" w:type="dxa"/>
            <w:vAlign w:val="bottom"/>
          </w:tcPr>
          <w:p>
            <w:pPr>
              <w:ind w:left="200"/>
              <w:spacing w:after="0"/>
              <w:rPr>
                <w:sz w:val="20"/>
                <w:szCs w:val="20"/>
                <w:color w:val="auto"/>
              </w:rPr>
            </w:pPr>
            <w:r>
              <w:rPr>
                <w:rFonts w:ascii="Arial" w:cs="Arial" w:eastAsia="Arial" w:hAnsi="Arial"/>
                <w:sz w:val="17"/>
                <w:szCs w:val="17"/>
                <w:color w:val="0000FF"/>
              </w:rPr>
              <w:t>MD</w:t>
            </w:r>
          </w:p>
        </w:tc>
        <w:tc>
          <w:tcPr>
            <w:tcW w:w="1680" w:type="dxa"/>
            <w:vAlign w:val="bottom"/>
          </w:tcPr>
          <w:p>
            <w:pPr>
              <w:ind w:left="440"/>
              <w:spacing w:after="0"/>
              <w:rPr>
                <w:sz w:val="20"/>
                <w:szCs w:val="20"/>
                <w:color w:val="auto"/>
              </w:rPr>
            </w:pPr>
            <w:r>
              <w:rPr>
                <w:rFonts w:ascii="Arial" w:cs="Arial" w:eastAsia="Arial" w:hAnsi="Arial"/>
                <w:sz w:val="17"/>
                <w:szCs w:val="17"/>
                <w:color w:val="0000FF"/>
              </w:rPr>
              <w:t>20817</w:t>
            </w:r>
          </w:p>
        </w:tc>
      </w:tr>
      <w:tr>
        <w:trPr>
          <w:trHeight w:val="152"/>
        </w:trPr>
        <w:tc>
          <w:tcPr>
            <w:tcW w:w="2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0"/>
        </w:trPr>
        <w:tc>
          <w:tcPr>
            <w:tcW w:w="2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23"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8"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83" w:lineRule="exact"/>
        <w:rPr>
          <w:sz w:val="24"/>
          <w:szCs w:val="24"/>
          <w:color w:val="auto"/>
        </w:rPr>
      </w:pPr>
    </w:p>
    <w:p>
      <w:pPr>
        <w:sectPr>
          <w:pgSz w:w="11900" w:h="16838" w:orient="portrait"/>
          <w:cols w:equalWidth="0" w:num="2">
            <w:col w:w="3900" w:space="160"/>
            <w:col w:w="7460"/>
          </w:cols>
          <w:pgMar w:left="240" w:top="223"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2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tcPr>
          <w:p>
            <w:pPr>
              <w:ind w:left="8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tcPr>
          <w:p>
            <w:pPr>
              <w:ind w:left="1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 of</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900" w:type="dxa"/>
            <w:vAlign w:val="bottom"/>
          </w:tcPr>
          <w:p>
            <w:pPr>
              <w:ind w:left="88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1000" w:type="dxa"/>
            <w:vAlign w:val="bottom"/>
          </w:tcPr>
          <w:p>
            <w:pPr>
              <w:ind w:left="120"/>
              <w:spacing w:after="0" w:line="128"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Indirect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900" w:type="dxa"/>
            <w:vAlign w:val="bottom"/>
          </w:tcPr>
          <w:p>
            <w:pPr>
              <w:ind w:left="880"/>
              <w:spacing w:after="0" w:line="131"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Beneficially</w:t>
            </w:r>
          </w:p>
        </w:tc>
        <w:tc>
          <w:tcPr>
            <w:tcW w:w="100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1" w:lineRule="exact"/>
              <w:rPr>
                <w:sz w:val="20"/>
                <w:szCs w:val="20"/>
                <w:color w:val="auto"/>
              </w:rPr>
            </w:pPr>
            <w:r>
              <w:rPr>
                <w:rFonts w:ascii="Arial" w:cs="Arial" w:eastAsia="Arial" w:hAnsi="Arial"/>
                <w:sz w:val="12"/>
                <w:szCs w:val="12"/>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1" w:lineRule="exact"/>
              <w:rPr>
                <w:sz w:val="20"/>
                <w:szCs w:val="20"/>
                <w:color w:val="auto"/>
              </w:rPr>
            </w:pPr>
            <w:r>
              <w:rPr>
                <w:rFonts w:ascii="Arial" w:cs="Arial" w:eastAsia="Arial" w:hAnsi="Arial"/>
                <w:sz w:val="12"/>
                <w:szCs w:val="12"/>
                <w:b w:val="1"/>
                <w:bCs w:val="1"/>
                <w:color w:val="auto"/>
              </w:rPr>
              <w:t>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620" w:type="dxa"/>
            <w:vAlign w:val="bottom"/>
          </w:tcPr>
          <w:p>
            <w:pPr>
              <w:spacing w:after="0"/>
              <w:rPr>
                <w:sz w:val="6"/>
                <w:szCs w:val="6"/>
                <w:color w:val="auto"/>
              </w:rPr>
            </w:pPr>
          </w:p>
        </w:tc>
        <w:tc>
          <w:tcPr>
            <w:tcW w:w="19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1" w:lineRule="exact"/>
              <w:rPr>
                <w:sz w:val="20"/>
                <w:szCs w:val="20"/>
                <w:color w:val="auto"/>
              </w:rPr>
            </w:pPr>
            <w:r>
              <w:rPr>
                <w:rFonts w:ascii="Arial" w:cs="Arial" w:eastAsia="Arial" w:hAnsi="Arial"/>
                <w:sz w:val="12"/>
                <w:szCs w:val="12"/>
                <w:b w:val="1"/>
                <w:bCs w:val="1"/>
                <w:color w:val="auto"/>
              </w:rPr>
              <w:t>Reported</w:t>
            </w:r>
          </w:p>
        </w:tc>
        <w:tc>
          <w:tcPr>
            <w:tcW w:w="1000" w:type="dxa"/>
            <w:vAlign w:val="bottom"/>
          </w:tcPr>
          <w:p>
            <w:pPr>
              <w:spacing w:after="0"/>
              <w:rPr>
                <w:sz w:val="6"/>
                <w:szCs w:val="6"/>
                <w:color w:val="auto"/>
              </w:rPr>
            </w:pPr>
          </w:p>
        </w:tc>
        <w:tc>
          <w:tcPr>
            <w:tcW w:w="840" w:type="dxa"/>
            <w:vAlign w:val="bottom"/>
            <w:vMerge w:val="restart"/>
          </w:tcPr>
          <w:p>
            <w:pPr>
              <w:ind w:left="100"/>
              <w:spacing w:after="0" w:line="131"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620" w:type="dxa"/>
            <w:vAlign w:val="bottom"/>
          </w:tcPr>
          <w:p>
            <w:pPr>
              <w:spacing w:after="0"/>
              <w:rPr>
                <w:sz w:val="3"/>
                <w:szCs w:val="3"/>
                <w:color w:val="auto"/>
              </w:rPr>
            </w:pPr>
          </w:p>
        </w:tc>
        <w:tc>
          <w:tcPr>
            <w:tcW w:w="19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100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00"/>
              <w:spacing w:after="0" w:line="131" w:lineRule="exact"/>
              <w:rPr>
                <w:sz w:val="20"/>
                <w:szCs w:val="20"/>
                <w:color w:val="auto"/>
              </w:rPr>
            </w:pPr>
            <w:r>
              <w:rPr>
                <w:rFonts w:ascii="Arial" w:cs="Arial" w:eastAsia="Arial" w:hAnsi="Arial"/>
                <w:sz w:val="12"/>
                <w:szCs w:val="12"/>
                <w:b w:val="1"/>
                <w:bCs w:val="1"/>
                <w:color w:val="auto"/>
              </w:rPr>
              <w:t>(A) or</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Transaction(s)</w:t>
            </w:r>
          </w:p>
        </w:tc>
        <w:tc>
          <w:tcPr>
            <w:tcW w:w="10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620" w:type="dxa"/>
            <w:vAlign w:val="bottom"/>
          </w:tcPr>
          <w:p>
            <w:pPr>
              <w:spacing w:after="0"/>
              <w:rPr>
                <w:sz w:val="7"/>
                <w:szCs w:val="7"/>
                <w:color w:val="auto"/>
              </w:rPr>
            </w:pPr>
          </w:p>
        </w:tc>
        <w:tc>
          <w:tcPr>
            <w:tcW w:w="19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2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80" w:type="dxa"/>
            <w:vAlign w:val="bottom"/>
            <w:vMerge w:val="continue"/>
          </w:tcPr>
          <w:p>
            <w:pPr>
              <w:spacing w:after="0"/>
              <w:rPr>
                <w:sz w:val="7"/>
                <w:szCs w:val="7"/>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100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2620" w:type="dxa"/>
            <w:vAlign w:val="bottom"/>
          </w:tcPr>
          <w:p>
            <w:pPr>
              <w:spacing w:after="0"/>
              <w:rPr>
                <w:sz w:val="5"/>
                <w:szCs w:val="5"/>
                <w:color w:val="auto"/>
              </w:rPr>
            </w:pPr>
          </w:p>
        </w:tc>
        <w:tc>
          <w:tcPr>
            <w:tcW w:w="19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100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1"/>
        </w:trPr>
        <w:tc>
          <w:tcPr>
            <w:tcW w:w="20" w:type="dxa"/>
            <w:vAlign w:val="bottom"/>
            <w:tcBorders>
              <w:bottom w:val="single" w:sz="8" w:color="2C2C2C"/>
            </w:tcBorders>
          </w:tcPr>
          <w:p>
            <w:pPr>
              <w:spacing w:after="0"/>
              <w:rPr>
                <w:sz w:val="6"/>
                <w:szCs w:val="6"/>
                <w:color w:val="auto"/>
              </w:rPr>
            </w:pPr>
          </w:p>
        </w:tc>
        <w:tc>
          <w:tcPr>
            <w:tcW w:w="2620" w:type="dxa"/>
            <w:vAlign w:val="bottom"/>
            <w:tcBorders>
              <w:bottom w:val="single" w:sz="8" w:color="2C2C2C"/>
            </w:tcBorders>
          </w:tcPr>
          <w:p>
            <w:pPr>
              <w:spacing w:after="0"/>
              <w:rPr>
                <w:sz w:val="6"/>
                <w:szCs w:val="6"/>
                <w:color w:val="auto"/>
              </w:rPr>
            </w:pPr>
          </w:p>
        </w:tc>
        <w:tc>
          <w:tcPr>
            <w:tcW w:w="1900" w:type="dxa"/>
            <w:vAlign w:val="bottom"/>
            <w:tcBorders>
              <w:bottom w:val="single" w:sz="8" w:color="2C2C2C"/>
            </w:tcBorders>
          </w:tcPr>
          <w:p>
            <w:pPr>
              <w:spacing w:after="0"/>
              <w:rPr>
                <w:sz w:val="6"/>
                <w:szCs w:val="6"/>
                <w:color w:val="auto"/>
              </w:rPr>
            </w:pPr>
          </w:p>
        </w:tc>
        <w:tc>
          <w:tcPr>
            <w:tcW w:w="11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20" w:type="dxa"/>
            <w:vAlign w:val="bottom"/>
            <w:tcBorders>
              <w:top w:val="single" w:sz="8" w:color="808080"/>
            </w:tcBorders>
            <w:shd w:val="clear" w:color="auto" w:fill="2C2C2C"/>
          </w:tcPr>
          <w:p>
            <w:pPr>
              <w:spacing w:after="0" w:line="20" w:lineRule="exact"/>
              <w:rPr>
                <w:sz w:val="1"/>
                <w:szCs w:val="1"/>
                <w:color w:val="auto"/>
              </w:rPr>
            </w:pPr>
          </w:p>
        </w:tc>
        <w:tc>
          <w:tcPr>
            <w:tcW w:w="1900" w:type="dxa"/>
            <w:vAlign w:val="bottom"/>
            <w:tcBorders>
              <w:top w:val="single" w:sz="8" w:color="808080"/>
            </w:tcBorders>
            <w:shd w:val="clear" w:color="auto" w:fill="2C2C2C"/>
          </w:tcPr>
          <w:p>
            <w:pPr>
              <w:spacing w:after="0" w:line="20" w:lineRule="exact"/>
              <w:rPr>
                <w:sz w:val="1"/>
                <w:szCs w:val="1"/>
                <w:color w:val="auto"/>
              </w:rPr>
            </w:pPr>
          </w:p>
        </w:tc>
        <w:tc>
          <w:tcPr>
            <w:tcW w:w="110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00" w:type="dxa"/>
            <w:vAlign w:val="bottom"/>
            <w:tcBorders>
              <w:top w:val="single" w:sz="8" w:color="808080"/>
            </w:tcBorders>
            <w:shd w:val="clear" w:color="auto" w:fill="2C2C2C"/>
          </w:tcPr>
          <w:p>
            <w:pPr>
              <w:spacing w:after="0" w:line="20" w:lineRule="exact"/>
              <w:rPr>
                <w:sz w:val="1"/>
                <w:szCs w:val="1"/>
                <w:color w:val="auto"/>
              </w:rPr>
            </w:pPr>
          </w:p>
        </w:tc>
        <w:tc>
          <w:tcPr>
            <w:tcW w:w="620" w:type="dxa"/>
            <w:vAlign w:val="bottom"/>
            <w:tcBorders>
              <w:top w:val="single" w:sz="8" w:color="808080"/>
            </w:tcBorders>
            <w:shd w:val="clear" w:color="auto" w:fill="2C2C2C"/>
          </w:tcPr>
          <w:p>
            <w:pPr>
              <w:spacing w:after="0" w:line="20" w:lineRule="exact"/>
              <w:rPr>
                <w:sz w:val="1"/>
                <w:szCs w:val="1"/>
                <w:color w:val="auto"/>
              </w:rPr>
            </w:pPr>
          </w:p>
        </w:tc>
        <w:tc>
          <w:tcPr>
            <w:tcW w:w="6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100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5"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 of</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42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1"/>
        </w:trPr>
        <w:tc>
          <w:tcPr>
            <w:tcW w:w="7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15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Expiration Date</w:t>
            </w:r>
          </w:p>
        </w:tc>
        <w:tc>
          <w:tcPr>
            <w:tcW w:w="142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 Underlying</w:t>
            </w:r>
          </w:p>
        </w:tc>
        <w:tc>
          <w:tcPr>
            <w:tcW w:w="7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1"/>
        </w:trPr>
        <w:tc>
          <w:tcPr>
            <w:tcW w:w="7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15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(Month/Day/Year)</w:t>
            </w:r>
          </w:p>
        </w:tc>
        <w:tc>
          <w:tcPr>
            <w:tcW w:w="142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7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Acquired (A)</w:t>
            </w: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2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1"/>
        </w:trPr>
        <w:tc>
          <w:tcPr>
            <w:tcW w:w="700" w:type="dxa"/>
            <w:vAlign w:val="bottom"/>
          </w:tcPr>
          <w:p>
            <w:pPr>
              <w:spacing w:after="0"/>
              <w:rPr>
                <w:sz w:val="11"/>
                <w:szCs w:val="11"/>
                <w:color w:val="auto"/>
              </w:rPr>
            </w:pP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or Disposed</w:t>
            </w: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1"/>
        </w:trPr>
        <w:tc>
          <w:tcPr>
            <w:tcW w:w="700" w:type="dxa"/>
            <w:vAlign w:val="bottom"/>
          </w:tcPr>
          <w:p>
            <w:pPr>
              <w:spacing w:after="0"/>
              <w:rPr>
                <w:sz w:val="11"/>
                <w:szCs w:val="11"/>
                <w:color w:val="auto"/>
              </w:rPr>
            </w:pP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of (D) (Instr. 3,</w:t>
            </w: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4 and 5)</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vMerge w:val="restart"/>
          </w:tcPr>
          <w:p>
            <w:pPr>
              <w:ind w:left="60"/>
              <w:spacing w:after="0" w:line="131"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vMerge w:val="continue"/>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Amount or</w:t>
            </w:r>
          </w:p>
        </w:tc>
        <w:tc>
          <w:tcPr>
            <w:tcW w:w="700" w:type="dxa"/>
            <w:vAlign w:val="bottom"/>
          </w:tcPr>
          <w:p>
            <w:pPr>
              <w:spacing w:after="0"/>
              <w:rPr>
                <w:sz w:val="11"/>
                <w:szCs w:val="11"/>
                <w:color w:val="auto"/>
              </w:rPr>
            </w:pPr>
          </w:p>
        </w:tc>
        <w:tc>
          <w:tcPr>
            <w:tcW w:w="9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Number 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60" w:type="dxa"/>
            <w:vAlign w:val="bottom"/>
          </w:tcPr>
          <w:p>
            <w:pPr>
              <w:ind w:left="2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Phantom</w:t>
            </w:r>
          </w:p>
        </w:tc>
        <w:tc>
          <w:tcPr>
            <w:tcW w:w="7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tcPr>
          <w:p>
            <w:pPr>
              <w:ind w:left="80"/>
              <w:spacing w:after="0"/>
              <w:rPr>
                <w:sz w:val="20"/>
                <w:szCs w:val="20"/>
                <w:color w:val="auto"/>
              </w:rPr>
            </w:pPr>
            <w:r>
              <w:rPr>
                <w:rFonts w:ascii="Arial" w:cs="Arial" w:eastAsia="Arial" w:hAnsi="Arial"/>
                <w:sz w:val="13"/>
                <w:szCs w:val="13"/>
                <w:color w:val="0000FF"/>
              </w:rPr>
              <w:t>Lockheed</w:t>
            </w:r>
          </w:p>
        </w:tc>
        <w:tc>
          <w:tcPr>
            <w:tcW w:w="0" w:type="dxa"/>
            <w:vAlign w:val="bottom"/>
          </w:tcPr>
          <w:p>
            <w:pPr>
              <w:spacing w:after="0"/>
              <w:rPr>
                <w:sz w:val="1"/>
                <w:szCs w:val="1"/>
                <w:color w:val="auto"/>
              </w:rPr>
            </w:pPr>
          </w:p>
        </w:tc>
      </w:tr>
      <w:tr>
        <w:trPr>
          <w:trHeight w:val="65"/>
        </w:trPr>
        <w:tc>
          <w:tcPr>
            <w:tcW w:w="700" w:type="dxa"/>
            <w:vAlign w:val="bottom"/>
            <w:vMerge w:val="continue"/>
          </w:tcPr>
          <w:p>
            <w:pPr>
              <w:spacing w:after="0"/>
              <w:rPr>
                <w:sz w:val="5"/>
                <w:szCs w:val="5"/>
                <w:color w:val="auto"/>
              </w:rPr>
            </w:pP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1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820" w:type="dxa"/>
            <w:vAlign w:val="bottom"/>
          </w:tcPr>
          <w:p>
            <w:pPr>
              <w:spacing w:after="0"/>
              <w:rPr>
                <w:sz w:val="5"/>
                <w:szCs w:val="5"/>
                <w:color w:val="auto"/>
              </w:rPr>
            </w:pPr>
          </w:p>
        </w:tc>
        <w:tc>
          <w:tcPr>
            <w:tcW w:w="68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700" w:type="dxa"/>
            <w:vAlign w:val="bottom"/>
            <w:vMerge w:val="restart"/>
          </w:tcPr>
          <w:p>
            <w:pPr>
              <w:jc w:val="right"/>
              <w:ind w:right="223"/>
              <w:spacing w:after="0"/>
              <w:rPr>
                <w:sz w:val="20"/>
                <w:szCs w:val="20"/>
                <w:color w:val="auto"/>
              </w:rPr>
            </w:pPr>
            <w:r>
              <w:rPr>
                <w:rFonts w:ascii="Arial" w:cs="Arial" w:eastAsia="Arial" w:hAnsi="Arial"/>
                <w:sz w:val="11"/>
                <w:szCs w:val="11"/>
                <w:color w:val="008000"/>
              </w:rPr>
              <w:t>(2)</w:t>
            </w:r>
          </w:p>
        </w:tc>
        <w:tc>
          <w:tcPr>
            <w:tcW w:w="64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780" w:type="dxa"/>
            <w:vAlign w:val="bottom"/>
            <w:vMerge w:val="restart"/>
          </w:tcPr>
          <w:p>
            <w:pPr>
              <w:ind w:left="80"/>
              <w:spacing w:after="0"/>
              <w:rPr>
                <w:sz w:val="20"/>
                <w:szCs w:val="20"/>
                <w:color w:val="auto"/>
              </w:rPr>
            </w:pPr>
            <w:r>
              <w:rPr>
                <w:rFonts w:ascii="Arial" w:cs="Arial" w:eastAsia="Arial" w:hAnsi="Arial"/>
                <w:sz w:val="17"/>
                <w:szCs w:val="17"/>
                <w:color w:val="0000FF"/>
                <w:w w:val="95"/>
              </w:rPr>
              <w:t>691.1344</w:t>
            </w:r>
          </w:p>
        </w:tc>
        <w:tc>
          <w:tcPr>
            <w:tcW w:w="700" w:type="dxa"/>
            <w:vAlign w:val="bottom"/>
            <w:vMerge w:val="restart"/>
          </w:tcPr>
          <w:p>
            <w:pPr>
              <w:ind w:left="280"/>
              <w:spacing w:after="0"/>
              <w:rPr>
                <w:sz w:val="20"/>
                <w:szCs w:val="20"/>
                <w:color w:val="auto"/>
              </w:rPr>
            </w:pPr>
            <w:r>
              <w:rPr>
                <w:rFonts w:ascii="Arial" w:cs="Arial" w:eastAsia="Arial" w:hAnsi="Arial"/>
                <w:sz w:val="11"/>
                <w:szCs w:val="11"/>
                <w:color w:val="008000"/>
              </w:rPr>
              <w:t>(2)</w:t>
            </w:r>
          </w:p>
        </w:tc>
        <w:tc>
          <w:tcPr>
            <w:tcW w:w="940" w:type="dxa"/>
            <w:vAlign w:val="bottom"/>
            <w:vMerge w:val="restart"/>
          </w:tcPr>
          <w:p>
            <w:pPr>
              <w:ind w:left="80"/>
              <w:spacing w:after="0" w:line="205" w:lineRule="exact"/>
              <w:rPr>
                <w:sz w:val="20"/>
                <w:szCs w:val="20"/>
                <w:color w:val="auto"/>
              </w:rPr>
            </w:pPr>
            <w:r>
              <w:rPr>
                <w:rFonts w:ascii="Arial" w:cs="Arial" w:eastAsia="Arial" w:hAnsi="Arial"/>
                <w:sz w:val="13"/>
                <w:szCs w:val="13"/>
                <w:color w:val="0000FF"/>
                <w:w w:val="93"/>
              </w:rPr>
              <w:t>19,332.9159</w:t>
            </w:r>
            <w:r>
              <w:rPr>
                <w:rFonts w:ascii="Arial" w:cs="Arial" w:eastAsia="Arial" w:hAnsi="Arial"/>
                <w:sz w:val="21"/>
                <w:szCs w:val="21"/>
                <w:color w:val="008000"/>
                <w:w w:val="93"/>
                <w:vertAlign w:val="superscript"/>
              </w:rPr>
              <w:t>(3)</w:t>
            </w:r>
          </w:p>
        </w:tc>
        <w:tc>
          <w:tcPr>
            <w:tcW w:w="740" w:type="dxa"/>
            <w:vAlign w:val="bottom"/>
          </w:tcPr>
          <w:p>
            <w:pPr>
              <w:spacing w:after="0"/>
              <w:rPr>
                <w:sz w:val="5"/>
                <w:szCs w:val="5"/>
                <w:color w:val="auto"/>
              </w:rPr>
            </w:pPr>
          </w:p>
        </w:tc>
        <w:tc>
          <w:tcPr>
            <w:tcW w:w="760" w:type="dxa"/>
            <w:vAlign w:val="bottom"/>
            <w:vMerge w:val="restart"/>
          </w:tcPr>
          <w:p>
            <w:pPr>
              <w:ind w:left="80"/>
              <w:spacing w:after="0"/>
              <w:rPr>
                <w:sz w:val="20"/>
                <w:szCs w:val="20"/>
                <w:color w:val="auto"/>
              </w:rPr>
            </w:pPr>
            <w:r>
              <w:rPr>
                <w:rFonts w:ascii="Arial" w:cs="Arial" w:eastAsia="Arial" w:hAnsi="Arial"/>
                <w:sz w:val="13"/>
                <w:szCs w:val="13"/>
                <w:color w:val="0000FF"/>
              </w:rPr>
              <w:t>Martin</w:t>
            </w:r>
          </w:p>
        </w:tc>
        <w:tc>
          <w:tcPr>
            <w:tcW w:w="0" w:type="dxa"/>
            <w:vAlign w:val="bottom"/>
          </w:tcPr>
          <w:p>
            <w:pPr>
              <w:spacing w:after="0"/>
              <w:rPr>
                <w:sz w:val="1"/>
                <w:szCs w:val="1"/>
                <w:color w:val="auto"/>
              </w:rPr>
            </w:pPr>
          </w:p>
        </w:tc>
      </w:tr>
      <w:tr>
        <w:trPr>
          <w:trHeight w:val="140"/>
        </w:trPr>
        <w:tc>
          <w:tcPr>
            <w:tcW w:w="700" w:type="dxa"/>
            <w:vAlign w:val="bottom"/>
          </w:tcPr>
          <w:p>
            <w:pPr>
              <w:ind w:left="60"/>
              <w:spacing w:after="0" w:line="140"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12"/>
                <w:szCs w:val="12"/>
                <w:color w:val="auto"/>
              </w:rPr>
            </w:pPr>
          </w:p>
        </w:tc>
        <w:tc>
          <w:tcPr>
            <w:tcW w:w="1100" w:type="dxa"/>
            <w:vAlign w:val="bottom"/>
          </w:tcPr>
          <w:p>
            <w:pPr>
              <w:jc w:val="right"/>
              <w:ind w:right="180"/>
              <w:spacing w:after="0" w:line="140" w:lineRule="exact"/>
              <w:rPr>
                <w:sz w:val="20"/>
                <w:szCs w:val="20"/>
                <w:color w:val="auto"/>
              </w:rPr>
            </w:pPr>
            <w:r>
              <w:rPr>
                <w:rFonts w:ascii="Arial" w:cs="Arial" w:eastAsia="Arial" w:hAnsi="Arial"/>
                <w:sz w:val="13"/>
                <w:szCs w:val="13"/>
                <w:color w:val="0000FF"/>
              </w:rPr>
              <w:t>02/01/2016</w:t>
            </w:r>
          </w:p>
        </w:tc>
        <w:tc>
          <w:tcPr>
            <w:tcW w:w="1100" w:type="dxa"/>
            <w:vAlign w:val="bottom"/>
          </w:tcPr>
          <w:p>
            <w:pPr>
              <w:spacing w:after="0"/>
              <w:rPr>
                <w:sz w:val="12"/>
                <w:szCs w:val="12"/>
                <w:color w:val="auto"/>
              </w:rPr>
            </w:pPr>
          </w:p>
        </w:tc>
        <w:tc>
          <w:tcPr>
            <w:tcW w:w="820" w:type="dxa"/>
            <w:vAlign w:val="bottom"/>
          </w:tcPr>
          <w:p>
            <w:pPr>
              <w:ind w:left="180"/>
              <w:spacing w:after="0" w:line="140" w:lineRule="exact"/>
              <w:rPr>
                <w:sz w:val="20"/>
                <w:szCs w:val="20"/>
                <w:color w:val="auto"/>
              </w:rPr>
            </w:pPr>
            <w:r>
              <w:rPr>
                <w:rFonts w:ascii="Arial" w:cs="Arial" w:eastAsia="Arial" w:hAnsi="Arial"/>
                <w:sz w:val="13"/>
                <w:szCs w:val="13"/>
                <w:color w:val="0000FF"/>
              </w:rPr>
              <w:t>A</w:t>
            </w:r>
          </w:p>
        </w:tc>
        <w:tc>
          <w:tcPr>
            <w:tcW w:w="680" w:type="dxa"/>
            <w:vAlign w:val="bottom"/>
          </w:tcPr>
          <w:p>
            <w:pPr>
              <w:ind w:left="80"/>
              <w:spacing w:after="0" w:line="140" w:lineRule="exact"/>
              <w:rPr>
                <w:sz w:val="20"/>
                <w:szCs w:val="20"/>
                <w:color w:val="auto"/>
              </w:rPr>
            </w:pPr>
            <w:r>
              <w:rPr>
                <w:rFonts w:ascii="Arial" w:cs="Arial" w:eastAsia="Arial" w:hAnsi="Arial"/>
                <w:sz w:val="13"/>
                <w:szCs w:val="13"/>
                <w:color w:val="0000FF"/>
              </w:rPr>
              <w:t>691.1344</w:t>
            </w:r>
          </w:p>
        </w:tc>
        <w:tc>
          <w:tcPr>
            <w:tcW w:w="26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78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740" w:type="dxa"/>
            <w:vAlign w:val="bottom"/>
          </w:tcPr>
          <w:p>
            <w:pPr>
              <w:ind w:left="360"/>
              <w:spacing w:after="0" w:line="140" w:lineRule="exact"/>
              <w:rPr>
                <w:sz w:val="20"/>
                <w:szCs w:val="20"/>
                <w:color w:val="auto"/>
              </w:rPr>
            </w:pPr>
            <w:r>
              <w:rPr>
                <w:rFonts w:ascii="Arial" w:cs="Arial" w:eastAsia="Arial" w:hAnsi="Arial"/>
                <w:sz w:val="13"/>
                <w:szCs w:val="13"/>
                <w:color w:val="0000FF"/>
              </w:rPr>
              <w:t>I</w:t>
            </w:r>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3"/>
        </w:trPr>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tcPr>
          <w:p>
            <w:pPr>
              <w:ind w:left="180"/>
              <w:spacing w:after="0" w:line="83" w:lineRule="exact"/>
              <w:rPr>
                <w:sz w:val="20"/>
                <w:szCs w:val="20"/>
                <w:color w:val="auto"/>
              </w:rPr>
            </w:pPr>
            <w:r>
              <w:rPr>
                <w:rFonts w:ascii="Arial" w:cs="Arial" w:eastAsia="Arial" w:hAnsi="Arial"/>
                <w:sz w:val="9"/>
                <w:szCs w:val="9"/>
                <w:color w:val="0000FF"/>
              </w:rPr>
              <w:t>Stock</w:t>
            </w: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ind w:left="80"/>
              <w:spacing w:after="0" w:line="83" w:lineRule="exact"/>
              <w:rPr>
                <w:sz w:val="20"/>
                <w:szCs w:val="20"/>
                <w:color w:val="auto"/>
              </w:rPr>
            </w:pPr>
            <w:r>
              <w:rPr>
                <w:rFonts w:ascii="Arial" w:cs="Arial" w:eastAsia="Arial" w:hAnsi="Arial"/>
                <w:sz w:val="9"/>
                <w:szCs w:val="9"/>
                <w:color w:val="0000FF"/>
              </w:rPr>
              <w:t>Directors</w:t>
            </w:r>
          </w:p>
        </w:tc>
        <w:tc>
          <w:tcPr>
            <w:tcW w:w="0" w:type="dxa"/>
            <w:vAlign w:val="bottom"/>
          </w:tcPr>
          <w:p>
            <w:pPr>
              <w:spacing w:after="0"/>
              <w:rPr>
                <w:sz w:val="1"/>
                <w:szCs w:val="1"/>
                <w:color w:val="auto"/>
              </w:rPr>
            </w:pPr>
          </w:p>
        </w:tc>
      </w:tr>
      <w:tr>
        <w:trPr>
          <w:trHeight w:val="86"/>
        </w:trPr>
        <w:tc>
          <w:tcPr>
            <w:tcW w:w="70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vMerge w:val="restart"/>
          </w:tcPr>
          <w:p>
            <w:pPr>
              <w:ind w:left="80"/>
              <w:spacing w:after="0"/>
              <w:rPr>
                <w:sz w:val="20"/>
                <w:szCs w:val="20"/>
                <w:color w:val="auto"/>
              </w:rPr>
            </w:pPr>
            <w:r>
              <w:rPr>
                <w:rFonts w:ascii="Arial" w:cs="Arial" w:eastAsia="Arial" w:hAnsi="Arial"/>
                <w:sz w:val="13"/>
                <w:szCs w:val="13"/>
                <w:color w:val="0000FF"/>
              </w:rPr>
              <w:t>Equity Plan</w:t>
            </w:r>
          </w:p>
        </w:tc>
        <w:tc>
          <w:tcPr>
            <w:tcW w:w="0" w:type="dxa"/>
            <w:vAlign w:val="bottom"/>
          </w:tcPr>
          <w:p>
            <w:pPr>
              <w:spacing w:after="0"/>
              <w:rPr>
                <w:sz w:val="1"/>
                <w:szCs w:val="1"/>
                <w:color w:val="auto"/>
              </w:rPr>
            </w:pPr>
          </w:p>
        </w:tc>
      </w:tr>
      <w:tr>
        <w:trPr>
          <w:trHeight w:val="78"/>
        </w:trPr>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20" w:type="dxa"/>
            <w:vAlign w:val="bottom"/>
          </w:tcPr>
          <w:p>
            <w:pPr>
              <w:spacing w:after="0"/>
              <w:rPr>
                <w:sz w:val="6"/>
                <w:szCs w:val="6"/>
                <w:color w:val="auto"/>
              </w:rPr>
            </w:pPr>
          </w:p>
        </w:tc>
        <w:tc>
          <w:tcPr>
            <w:tcW w:w="68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8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5" w:lineRule="exact"/>
        <w:rPr>
          <w:sz w:val="24"/>
          <w:szCs w:val="24"/>
          <w:color w:val="auto"/>
        </w:rPr>
      </w:pPr>
    </w:p>
    <w:p>
      <w:pPr>
        <w:ind w:left="180" w:hanging="136"/>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phantom stock units convert on a 1-for-1 basis.</w:t>
      </w:r>
    </w:p>
    <w:p>
      <w:pPr>
        <w:spacing w:after="0" w:line="46" w:lineRule="exact"/>
        <w:rPr>
          <w:rFonts w:ascii="Arial" w:cs="Arial" w:eastAsia="Arial" w:hAnsi="Arial"/>
          <w:sz w:val="13"/>
          <w:szCs w:val="13"/>
          <w:color w:val="008000"/>
        </w:rPr>
      </w:pPr>
    </w:p>
    <w:p>
      <w:pPr>
        <w:ind w:left="40" w:right="240" w:firstLine="4"/>
        <w:spacing w:after="0" w:line="243" w:lineRule="auto"/>
        <w:tabs>
          <w:tab w:leader="none" w:pos="17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Under the Lockheed Martin Corporation 2009 Directors' Equity Plan, each non-employee director elects to receive an award of phantom stock units in accordance with the plan, which award is exempt under Rule 16b-3. The phantom stock units were acquired at $209.80 per share and vest 50% on June 30 following the award date and 50% on December 31 following the award date or, if earlier, upon retirement, death, disability or change in control. Settlement in cash or stock (as elected by the director) will occur upon the Reporting Person's retirement or termination of service.</w:t>
      </w:r>
    </w:p>
    <w:p>
      <w:pPr>
        <w:spacing w:after="0" w:line="29" w:lineRule="exact"/>
        <w:rPr>
          <w:rFonts w:ascii="Arial" w:cs="Arial" w:eastAsia="Arial" w:hAnsi="Arial"/>
          <w:sz w:val="13"/>
          <w:szCs w:val="13"/>
          <w:color w:val="008000"/>
        </w:rPr>
      </w:pPr>
    </w:p>
    <w:p>
      <w:pPr>
        <w:ind w:left="180" w:hanging="136"/>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End of period holdings include phantom stock units acquired through dividend reinvestment.</w:t>
      </w:r>
    </w:p>
    <w:p>
      <w:pPr>
        <w:spacing w:after="0" w:line="56"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Arial" w:cs="Arial" w:eastAsia="Arial" w:hAnsi="Arial"/>
                <w:sz w:val="17"/>
                <w:szCs w:val="17"/>
                <w:color w:val="0000FF"/>
                <w:w w:val="98"/>
              </w:rPr>
              <w:t>Anne Stevens, by Marian S.</w:t>
            </w:r>
          </w:p>
        </w:tc>
        <w:tc>
          <w:tcPr>
            <w:tcW w:w="960" w:type="dxa"/>
            <w:vAlign w:val="bottom"/>
            <w:gridSpan w:val="2"/>
            <w:vMerge w:val="restart"/>
          </w:tcPr>
          <w:p>
            <w:pPr>
              <w:ind w:left="180"/>
              <w:spacing w:after="0"/>
              <w:rPr>
                <w:sz w:val="20"/>
                <w:szCs w:val="20"/>
                <w:color w:val="auto"/>
              </w:rPr>
            </w:pPr>
            <w:r>
              <w:rPr>
                <w:rFonts w:ascii="Arial" w:cs="Arial" w:eastAsia="Arial" w:hAnsi="Arial"/>
                <w:sz w:val="17"/>
                <w:szCs w:val="17"/>
                <w:color w:val="0000FF"/>
                <w:w w:val="89"/>
              </w:rPr>
              <w:t>02/03/2016</w:t>
            </w:r>
          </w:p>
        </w:tc>
        <w:tc>
          <w:tcPr>
            <w:tcW w:w="0" w:type="dxa"/>
            <w:vAlign w:val="bottom"/>
          </w:tcPr>
          <w:p>
            <w:pPr>
              <w:spacing w:after="0"/>
              <w:rPr>
                <w:sz w:val="1"/>
                <w:szCs w:val="1"/>
                <w:color w:val="auto"/>
              </w:rPr>
            </w:pPr>
          </w:p>
        </w:tc>
      </w:tr>
      <w:tr>
        <w:trPr>
          <w:trHeight w:val="85"/>
        </w:trPr>
        <w:tc>
          <w:tcPr>
            <w:tcW w:w="1600" w:type="dxa"/>
            <w:vAlign w:val="bottom"/>
            <w:tcBorders>
              <w:top w:val="single" w:sz="8" w:color="auto"/>
            </w:tcBorders>
            <w:vMerge w:val="restart"/>
          </w:tcPr>
          <w:p>
            <w:pPr>
              <w:spacing w:after="0" w:line="189" w:lineRule="exact"/>
              <w:rPr>
                <w:sz w:val="20"/>
                <w:szCs w:val="20"/>
                <w:color w:val="auto"/>
              </w:rPr>
            </w:pPr>
            <w:r>
              <w:rPr>
                <w:rFonts w:ascii="Arial" w:cs="Arial" w:eastAsia="Arial" w:hAnsi="Arial"/>
                <w:sz w:val="17"/>
                <w:szCs w:val="17"/>
                <w:color w:val="0000FF"/>
                <w:w w:val="94"/>
              </w:rPr>
              <w:t>Block, Attorney-in-fact</w:t>
            </w:r>
          </w:p>
        </w:tc>
        <w:tc>
          <w:tcPr>
            <w:tcW w:w="300" w:type="dxa"/>
            <w:vAlign w:val="bottom"/>
            <w:tcBorders>
              <w:top w:val="single" w:sz="8" w:color="auto"/>
            </w:tcBorders>
            <w:vMerge w:val="restart"/>
          </w:tcPr>
          <w:p>
            <w:pPr>
              <w:spacing w:after="0"/>
              <w:rPr>
                <w:sz w:val="7"/>
                <w:szCs w:val="7"/>
                <w:color w:val="auto"/>
              </w:rPr>
            </w:pPr>
          </w:p>
        </w:tc>
        <w:tc>
          <w:tcPr>
            <w:tcW w:w="200" w:type="dxa"/>
            <w:vAlign w:val="bottom"/>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1600" w:type="dxa"/>
            <w:vAlign w:val="bottom"/>
            <w:tcBorders>
              <w:top w:val="single" w:sz="8" w:color="auto"/>
              <w:bottom w:val="single" w:sz="8" w:color="auto"/>
            </w:tcBorders>
            <w:vMerge w:val="continue"/>
          </w:tcPr>
          <w:p>
            <w:pPr>
              <w:spacing w:after="0"/>
              <w:rPr>
                <w:sz w:val="7"/>
                <w:szCs w:val="7"/>
                <w:color w:val="auto"/>
              </w:rPr>
            </w:pPr>
          </w:p>
        </w:tc>
        <w:tc>
          <w:tcPr>
            <w:tcW w:w="300" w:type="dxa"/>
            <w:vAlign w:val="bottom"/>
            <w:tcBorders>
              <w:top w:val="single" w:sz="8" w:color="auto"/>
            </w:tcBorders>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60" w:type="dxa"/>
            <w:vAlign w:val="bottom"/>
            <w:gridSpan w:val="2"/>
          </w:tcPr>
          <w:p>
            <w:pPr>
              <w:ind w:left="1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7" w:lineRule="exact"/>
        <w:rPr>
          <w:sz w:val="24"/>
          <w:szCs w:val="24"/>
          <w:color w:val="auto"/>
        </w:rPr>
      </w:pPr>
    </w:p>
    <w:p>
      <w:pPr>
        <w:jc w:val="both"/>
        <w:ind w:left="40" w:right="3920" w:firstLine="4"/>
        <w:spacing w:after="0" w:line="313" w:lineRule="auto"/>
        <w:tabs>
          <w:tab w:leader="none" w:pos="178"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3"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1101" TargetMode="External"/><Relationship Id="rId13" Type="http://schemas.openxmlformats.org/officeDocument/2006/relationships/hyperlink" Target="http://www.sec.gov/cgi-bin/browse-edgar?action=getcompany&amp;CIK=00009364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2019-12-24T05:17:39Z</dcterms:created>
  <dcterms:modified xsi:type="dcterms:W3CDTF">2019-12-24T05:17:39Z</dcterms:modified>
</cp:coreProperties>
</file>