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8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Hill Stephanie C.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85"/>
        <w:spacing w:after="0"/>
        <w:tabs>
          <w:tab w:leader="none" w:pos="504" w:val="left"/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4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153670</wp:posOffset>
            </wp:positionV>
            <wp:extent cx="6967220" cy="2272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27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13,247.49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14,096.49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12,396.49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1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3,553.244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-2065020</wp:posOffset>
            </wp:positionV>
            <wp:extent cx="7033260" cy="21075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upon settlement of performance stock units granted on February 22, 2018, following the end of a three-year performance period 2018-2020 (Performance Cycle). The amount earned during the Performance Cycle is based on the satisfaction of performance against three separate financial metrics.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granted on February 22, 2018, was the economic equivalent of one share of LMT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 of period holdings include additional acquisitions under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LMT common stock.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Stephanie C. Hill, by Kerri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283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Morey,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10312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6020" TargetMode="External"/><Relationship Id="rId14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2021-02-24T19:59:07Z</dcterms:created>
  <dcterms:modified xsi:type="dcterms:W3CDTF">2021-02-24T19:59:07Z</dcterms:modified>
</cp:coreProperties>
</file>